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EB48E5">
      <w:pPr>
        <w:tabs>
          <w:tab w:val="left" w:pos="1692"/>
        </w:tabs>
        <w:rPr>
          <w:rFonts w:hint="default" w:ascii="Times New Roman" w:hAnsi="Times New Roman" w:eastAsia="宋体" w:cs="Times New Roman"/>
          <w:color w:val="auto"/>
          <w:spacing w:val="0"/>
          <w:sz w:val="36"/>
          <w:szCs w:val="36"/>
          <w:highlight w:val="none"/>
          <w:lang w:eastAsia="zh-CN"/>
        </w:rPr>
      </w:pPr>
      <w:bookmarkStart w:id="23" w:name="_GoBack"/>
      <w:bookmarkEnd w:id="23"/>
    </w:p>
    <w:p w14:paraId="6BC34C7B">
      <w:pPr>
        <w:tabs>
          <w:tab w:val="left" w:pos="1692"/>
        </w:tabs>
        <w:rPr>
          <w:rFonts w:hint="default" w:ascii="Times New Roman" w:hAnsi="Times New Roman" w:eastAsia="宋体" w:cs="Times New Roman"/>
          <w:color w:val="auto"/>
          <w:spacing w:val="0"/>
          <w:sz w:val="36"/>
          <w:szCs w:val="36"/>
          <w:highlight w:val="none"/>
          <w:lang w:eastAsia="zh-CN"/>
        </w:rPr>
      </w:pPr>
    </w:p>
    <w:p w14:paraId="31C0A9CD">
      <w:pPr>
        <w:shd w:val="clear" w:color="auto" w:fill="auto"/>
        <w:rPr>
          <w:rFonts w:hint="default" w:ascii="Times New Roman" w:hAnsi="Times New Roman" w:eastAsia="宋体" w:cs="Times New Roman"/>
          <w:color w:val="auto"/>
          <w:spacing w:val="0"/>
          <w:sz w:val="36"/>
          <w:szCs w:val="36"/>
          <w:highlight w:val="none"/>
        </w:rPr>
      </w:pPr>
    </w:p>
    <w:p w14:paraId="14A5AB43">
      <w:pPr>
        <w:shd w:val="clear" w:color="auto" w:fill="auto"/>
        <w:rPr>
          <w:rFonts w:hint="default" w:ascii="Times New Roman" w:hAnsi="Times New Roman" w:eastAsia="宋体" w:cs="Times New Roman"/>
          <w:color w:val="auto"/>
          <w:spacing w:val="0"/>
          <w:sz w:val="36"/>
          <w:szCs w:val="36"/>
          <w:highlight w:val="none"/>
        </w:rPr>
      </w:pPr>
    </w:p>
    <w:p w14:paraId="5345CE96">
      <w:pPr>
        <w:shd w:val="clear" w:color="auto" w:fill="auto"/>
        <w:adjustRightInd w:val="0"/>
        <w:snapToGrid w:val="0"/>
        <w:jc w:val="center"/>
        <w:outlineLvl w:val="0"/>
        <w:rPr>
          <w:rFonts w:hint="default" w:ascii="Times New Roman" w:hAnsi="Times New Roman" w:eastAsia="宋体" w:cs="Times New Roman"/>
          <w:bCs/>
          <w:color w:val="auto"/>
          <w:spacing w:val="0"/>
          <w:sz w:val="72"/>
          <w:szCs w:val="72"/>
          <w:highlight w:val="none"/>
        </w:rPr>
      </w:pPr>
      <w:r>
        <w:rPr>
          <w:rFonts w:hint="default" w:ascii="Times New Roman" w:hAnsi="Times New Roman" w:eastAsia="宋体" w:cs="Times New Roman"/>
          <w:bCs/>
          <w:color w:val="auto"/>
          <w:spacing w:val="0"/>
          <w:sz w:val="72"/>
          <w:szCs w:val="72"/>
          <w:highlight w:val="none"/>
        </w:rPr>
        <w:t>建设项目环境影响报告表</w:t>
      </w:r>
    </w:p>
    <w:p w14:paraId="75AE801A">
      <w:pPr>
        <w:shd w:val="clear" w:color="auto" w:fill="auto"/>
        <w:adjustRightInd w:val="0"/>
        <w:snapToGrid w:val="0"/>
        <w:spacing w:before="192" w:beforeLines="80"/>
        <w:jc w:val="center"/>
        <w:rPr>
          <w:rFonts w:hint="default" w:ascii="Times New Roman" w:hAnsi="Times New Roman" w:eastAsia="宋体" w:cs="Times New Roman"/>
          <w:bCs/>
          <w:color w:val="auto"/>
          <w:spacing w:val="0"/>
          <w:sz w:val="48"/>
          <w:szCs w:val="48"/>
          <w:highlight w:val="none"/>
        </w:rPr>
      </w:pPr>
      <w:r>
        <w:rPr>
          <w:rFonts w:hint="default" w:ascii="Times New Roman" w:hAnsi="Times New Roman" w:eastAsia="宋体" w:cs="Times New Roman"/>
          <w:bCs/>
          <w:color w:val="auto"/>
          <w:spacing w:val="0"/>
          <w:sz w:val="48"/>
          <w:szCs w:val="48"/>
          <w:highlight w:val="none"/>
        </w:rPr>
        <w:t>（</w:t>
      </w:r>
      <w:r>
        <w:rPr>
          <w:rFonts w:hint="default" w:ascii="Times New Roman" w:hAnsi="Times New Roman" w:eastAsia="宋体" w:cs="Times New Roman"/>
          <w:bCs/>
          <w:color w:val="auto"/>
          <w:spacing w:val="0"/>
          <w:sz w:val="48"/>
          <w:szCs w:val="48"/>
          <w:highlight w:val="none"/>
          <w:lang w:val="en-US" w:eastAsia="zh-CN"/>
        </w:rPr>
        <w:t>生态</w:t>
      </w:r>
      <w:r>
        <w:rPr>
          <w:rFonts w:hint="default" w:ascii="Times New Roman" w:hAnsi="Times New Roman" w:eastAsia="宋体" w:cs="Times New Roman"/>
          <w:bCs/>
          <w:color w:val="auto"/>
          <w:spacing w:val="0"/>
          <w:sz w:val="48"/>
          <w:szCs w:val="48"/>
          <w:highlight w:val="none"/>
        </w:rPr>
        <w:t>影响类）</w:t>
      </w:r>
    </w:p>
    <w:p w14:paraId="591CD034">
      <w:pPr>
        <w:shd w:val="clear" w:color="auto" w:fill="auto"/>
        <w:adjustRightInd w:val="0"/>
        <w:snapToGrid w:val="0"/>
        <w:spacing w:line="288" w:lineRule="auto"/>
        <w:jc w:val="center"/>
        <w:outlineLvl w:val="9"/>
        <w:rPr>
          <w:rFonts w:hint="default" w:ascii="Times New Roman" w:hAnsi="Times New Roman" w:eastAsia="宋体" w:cs="Times New Roman"/>
          <w:color w:val="auto"/>
          <w:spacing w:val="0"/>
          <w:kern w:val="44"/>
          <w:sz w:val="32"/>
          <w:szCs w:val="32"/>
          <w:highlight w:val="none"/>
          <w:lang w:eastAsia="zh-CN"/>
        </w:rPr>
      </w:pPr>
      <w:r>
        <w:rPr>
          <w:rFonts w:hint="default" w:ascii="Times New Roman" w:hAnsi="Times New Roman" w:eastAsia="宋体" w:cs="Times New Roman"/>
          <w:color w:val="auto"/>
          <w:spacing w:val="0"/>
          <w:kern w:val="44"/>
          <w:sz w:val="32"/>
          <w:szCs w:val="32"/>
          <w:highlight w:val="none"/>
          <w:lang w:eastAsia="zh-CN"/>
        </w:rPr>
        <w:t>（</w:t>
      </w:r>
      <w:r>
        <w:rPr>
          <w:rFonts w:hint="eastAsia" w:ascii="Times New Roman" w:hAnsi="Times New Roman" w:eastAsia="宋体" w:cs="Times New Roman"/>
          <w:color w:val="auto"/>
          <w:spacing w:val="0"/>
          <w:kern w:val="44"/>
          <w:sz w:val="32"/>
          <w:szCs w:val="32"/>
          <w:highlight w:val="none"/>
          <w:lang w:val="en-US" w:eastAsia="zh-CN"/>
        </w:rPr>
        <w:t>报批</w:t>
      </w:r>
      <w:r>
        <w:rPr>
          <w:rFonts w:hint="default" w:ascii="Times New Roman" w:hAnsi="Times New Roman" w:eastAsia="宋体" w:cs="Times New Roman"/>
          <w:color w:val="auto"/>
          <w:spacing w:val="0"/>
          <w:kern w:val="44"/>
          <w:sz w:val="32"/>
          <w:szCs w:val="32"/>
          <w:highlight w:val="none"/>
          <w:lang w:val="en-US" w:eastAsia="zh-CN"/>
        </w:rPr>
        <w:t>稿</w:t>
      </w:r>
      <w:r>
        <w:rPr>
          <w:rFonts w:hint="default" w:ascii="Times New Roman" w:hAnsi="Times New Roman" w:eastAsia="宋体" w:cs="Times New Roman"/>
          <w:color w:val="auto"/>
          <w:spacing w:val="0"/>
          <w:kern w:val="44"/>
          <w:sz w:val="32"/>
          <w:szCs w:val="32"/>
          <w:highlight w:val="none"/>
          <w:lang w:eastAsia="zh-CN"/>
        </w:rPr>
        <w:t>）</w:t>
      </w:r>
    </w:p>
    <w:p w14:paraId="3148E12C">
      <w:pPr>
        <w:shd w:val="clear" w:color="auto" w:fill="auto"/>
        <w:jc w:val="center"/>
        <w:rPr>
          <w:rFonts w:hint="default" w:ascii="Times New Roman" w:hAnsi="Times New Roman" w:eastAsia="宋体" w:cs="Times New Roman"/>
          <w:color w:val="auto"/>
          <w:spacing w:val="0"/>
          <w:sz w:val="52"/>
          <w:szCs w:val="52"/>
          <w:highlight w:val="none"/>
        </w:rPr>
      </w:pPr>
    </w:p>
    <w:p w14:paraId="23429A3D">
      <w:pPr>
        <w:shd w:val="clear" w:color="auto" w:fill="auto"/>
        <w:ind w:firstLine="1040"/>
        <w:rPr>
          <w:rFonts w:hint="default" w:ascii="Times New Roman" w:hAnsi="Times New Roman" w:eastAsia="宋体" w:cs="Times New Roman"/>
          <w:color w:val="auto"/>
          <w:spacing w:val="0"/>
          <w:sz w:val="44"/>
          <w:szCs w:val="44"/>
          <w:highlight w:val="none"/>
        </w:rPr>
      </w:pPr>
    </w:p>
    <w:p w14:paraId="5806A442">
      <w:pPr>
        <w:shd w:val="clear" w:color="auto" w:fill="auto"/>
        <w:ind w:firstLine="1040"/>
        <w:rPr>
          <w:rFonts w:hint="default" w:ascii="Times New Roman" w:hAnsi="Times New Roman" w:eastAsia="宋体" w:cs="Times New Roman"/>
          <w:color w:val="auto"/>
          <w:spacing w:val="0"/>
          <w:sz w:val="44"/>
          <w:szCs w:val="44"/>
          <w:highlight w:val="none"/>
        </w:rPr>
      </w:pPr>
    </w:p>
    <w:p w14:paraId="76CEC491">
      <w:pPr>
        <w:shd w:val="clear" w:color="auto" w:fill="auto"/>
        <w:ind w:firstLine="1040"/>
        <w:rPr>
          <w:rFonts w:hint="default" w:ascii="Times New Roman" w:hAnsi="Times New Roman" w:eastAsia="宋体" w:cs="Times New Roman"/>
          <w:color w:val="auto"/>
          <w:spacing w:val="0"/>
          <w:sz w:val="44"/>
          <w:szCs w:val="44"/>
          <w:highlight w:val="none"/>
        </w:rPr>
      </w:pPr>
    </w:p>
    <w:p w14:paraId="6C010D79">
      <w:pPr>
        <w:shd w:val="clear" w:color="auto" w:fill="auto"/>
        <w:adjustRightInd w:val="0"/>
        <w:snapToGrid w:val="0"/>
        <w:spacing w:line="288" w:lineRule="auto"/>
        <w:ind w:firstLine="320" w:firstLineChars="100"/>
        <w:jc w:val="both"/>
        <w:rPr>
          <w:rFonts w:hint="default" w:ascii="Times New Roman" w:hAnsi="Times New Roman" w:eastAsia="宋体" w:cs="Times New Roman"/>
          <w:color w:val="auto"/>
          <w:spacing w:val="0"/>
          <w:sz w:val="36"/>
          <w:szCs w:val="36"/>
          <w:highlight w:val="none"/>
          <w:u w:val="single"/>
          <w:lang w:val="en-US"/>
        </w:rPr>
      </w:pPr>
      <w:r>
        <w:rPr>
          <w:rFonts w:hint="default" w:ascii="Times New Roman" w:hAnsi="Times New Roman" w:eastAsia="宋体" w:cs="Times New Roman"/>
          <w:color w:val="auto"/>
          <w:spacing w:val="0"/>
          <w:sz w:val="32"/>
          <w:szCs w:val="32"/>
          <w:highlight w:val="none"/>
        </w:rPr>
        <w:t>项目名称：</w:t>
      </w:r>
      <w:r>
        <w:rPr>
          <w:rFonts w:hint="default" w:ascii="Times New Roman" w:hAnsi="Times New Roman" w:eastAsia="宋体" w:cs="Times New Roman"/>
          <w:color w:val="auto"/>
          <w:spacing w:val="0"/>
          <w:sz w:val="32"/>
          <w:szCs w:val="32"/>
          <w:highlight w:val="none"/>
          <w:u w:val="single"/>
          <w:lang w:val="en-US" w:eastAsia="zh-CN"/>
        </w:rPr>
        <w:t xml:space="preserve"> </w:t>
      </w:r>
      <w:r>
        <w:rPr>
          <w:rFonts w:hint="default" w:ascii="Times New Roman" w:hAnsi="Times New Roman" w:eastAsia="宋体" w:cs="Times New Roman"/>
          <w:color w:val="auto"/>
          <w:spacing w:val="0"/>
          <w:sz w:val="32"/>
          <w:szCs w:val="32"/>
          <w:highlight w:val="none"/>
          <w:u w:val="single"/>
          <w:lang w:eastAsia="zh-CN"/>
        </w:rPr>
        <w:t>吉木萨尔县庆阳湖乡1号建筑用砂矿项目</w:t>
      </w:r>
      <w:r>
        <w:rPr>
          <w:rFonts w:hint="default" w:ascii="Times New Roman" w:hAnsi="Times New Roman" w:eastAsia="宋体" w:cs="Times New Roman"/>
          <w:color w:val="auto"/>
          <w:spacing w:val="0"/>
          <w:sz w:val="32"/>
          <w:szCs w:val="32"/>
          <w:highlight w:val="none"/>
          <w:u w:val="single"/>
          <w:lang w:val="en-US" w:eastAsia="zh-CN"/>
        </w:rPr>
        <w:t xml:space="preserve">      </w:t>
      </w:r>
    </w:p>
    <w:p w14:paraId="4C6558F3">
      <w:pPr>
        <w:shd w:val="clear" w:color="auto" w:fill="auto"/>
        <w:adjustRightInd w:val="0"/>
        <w:snapToGrid w:val="0"/>
        <w:spacing w:line="288" w:lineRule="auto"/>
        <w:ind w:firstLine="320" w:firstLineChars="100"/>
        <w:jc w:val="both"/>
        <w:rPr>
          <w:rFonts w:hint="default" w:ascii="Times New Roman" w:hAnsi="Times New Roman" w:eastAsia="宋体" w:cs="Times New Roman"/>
          <w:color w:val="auto"/>
          <w:spacing w:val="0"/>
          <w:sz w:val="32"/>
          <w:szCs w:val="32"/>
          <w:highlight w:val="none"/>
          <w:u w:val="single"/>
          <w:lang w:val="en-US" w:eastAsia="zh-CN"/>
        </w:rPr>
      </w:pPr>
      <w:r>
        <w:rPr>
          <w:rFonts w:hint="default" w:ascii="Times New Roman" w:hAnsi="Times New Roman" w:eastAsia="宋体" w:cs="Times New Roman"/>
          <w:color w:val="auto"/>
          <w:spacing w:val="0"/>
          <w:sz w:val="32"/>
          <w:szCs w:val="32"/>
          <w:highlight w:val="none"/>
        </w:rPr>
        <w:t>建设单位（盖章）：</w:t>
      </w:r>
      <w:r>
        <w:rPr>
          <w:rFonts w:hint="default" w:ascii="Times New Roman" w:hAnsi="Times New Roman" w:eastAsia="宋体" w:cs="Times New Roman"/>
          <w:color w:val="auto"/>
          <w:spacing w:val="0"/>
          <w:sz w:val="32"/>
          <w:szCs w:val="32"/>
          <w:highlight w:val="none"/>
          <w:u w:val="single"/>
          <w:lang w:val="en-US" w:eastAsia="zh-CN"/>
        </w:rPr>
        <w:t xml:space="preserve">    </w:t>
      </w:r>
      <w:r>
        <w:rPr>
          <w:rFonts w:hint="default" w:ascii="Times New Roman" w:hAnsi="Times New Roman" w:eastAsia="宋体" w:cs="Times New Roman"/>
          <w:color w:val="auto"/>
          <w:spacing w:val="0"/>
          <w:sz w:val="32"/>
          <w:szCs w:val="32"/>
          <w:highlight w:val="none"/>
          <w:u w:val="single"/>
          <w:lang w:eastAsia="zh-CN"/>
        </w:rPr>
        <w:t>新疆同丰建筑材料有限公司</w:t>
      </w:r>
      <w:r>
        <w:rPr>
          <w:rFonts w:hint="default" w:ascii="Times New Roman" w:hAnsi="Times New Roman" w:eastAsia="宋体" w:cs="Times New Roman"/>
          <w:color w:val="auto"/>
          <w:spacing w:val="0"/>
          <w:sz w:val="32"/>
          <w:szCs w:val="32"/>
          <w:highlight w:val="none"/>
          <w:u w:val="single"/>
          <w:lang w:val="en-US" w:eastAsia="zh-CN"/>
        </w:rPr>
        <w:t xml:space="preserve">            </w:t>
      </w:r>
    </w:p>
    <w:p w14:paraId="4A51C153">
      <w:pPr>
        <w:shd w:val="clear" w:color="auto" w:fill="auto"/>
        <w:adjustRightInd w:val="0"/>
        <w:snapToGrid w:val="0"/>
        <w:spacing w:line="288" w:lineRule="auto"/>
        <w:ind w:firstLine="320" w:firstLineChars="100"/>
        <w:jc w:val="both"/>
        <w:rPr>
          <w:rFonts w:hint="default" w:ascii="Times New Roman" w:hAnsi="Times New Roman" w:eastAsia="宋体" w:cs="Times New Roman"/>
          <w:color w:val="auto"/>
          <w:spacing w:val="0"/>
          <w:sz w:val="32"/>
          <w:szCs w:val="32"/>
          <w:highlight w:val="none"/>
          <w:u w:val="single"/>
          <w:lang w:val="en-US" w:eastAsia="zh-CN"/>
        </w:rPr>
      </w:pPr>
      <w:r>
        <w:rPr>
          <w:rFonts w:hint="default" w:ascii="Times New Roman" w:hAnsi="Times New Roman" w:eastAsia="宋体" w:cs="Times New Roman"/>
          <w:color w:val="auto"/>
          <w:spacing w:val="0"/>
          <w:sz w:val="32"/>
          <w:szCs w:val="32"/>
          <w:highlight w:val="none"/>
        </w:rPr>
        <w:t>编制日期：</w:t>
      </w:r>
      <w:r>
        <w:rPr>
          <w:rFonts w:hint="default" w:ascii="Times New Roman" w:hAnsi="Times New Roman" w:eastAsia="宋体" w:cs="Times New Roman"/>
          <w:color w:val="auto"/>
          <w:spacing w:val="0"/>
          <w:sz w:val="32"/>
          <w:szCs w:val="32"/>
          <w:highlight w:val="none"/>
          <w:u w:val="single"/>
        </w:rPr>
        <w:t xml:space="preserve">     </w:t>
      </w:r>
      <w:r>
        <w:rPr>
          <w:rFonts w:hint="default" w:ascii="Times New Roman" w:hAnsi="Times New Roman" w:eastAsia="宋体" w:cs="Times New Roman"/>
          <w:color w:val="auto"/>
          <w:spacing w:val="0"/>
          <w:sz w:val="32"/>
          <w:szCs w:val="32"/>
          <w:highlight w:val="none"/>
          <w:u w:val="single"/>
          <w:lang w:val="en-US" w:eastAsia="zh-CN"/>
        </w:rPr>
        <w:t xml:space="preserve">   </w:t>
      </w:r>
      <w:r>
        <w:rPr>
          <w:rFonts w:hint="default" w:ascii="Times New Roman" w:hAnsi="Times New Roman" w:eastAsia="宋体" w:cs="Times New Roman"/>
          <w:color w:val="auto"/>
          <w:spacing w:val="0"/>
          <w:sz w:val="32"/>
          <w:szCs w:val="32"/>
          <w:highlight w:val="none"/>
          <w:u w:val="single"/>
        </w:rPr>
        <w:t xml:space="preserve"> </w:t>
      </w:r>
      <w:r>
        <w:rPr>
          <w:rFonts w:hint="default" w:ascii="Times New Roman" w:hAnsi="Times New Roman" w:eastAsia="宋体" w:cs="Times New Roman"/>
          <w:color w:val="auto"/>
          <w:spacing w:val="0"/>
          <w:sz w:val="32"/>
          <w:szCs w:val="32"/>
          <w:highlight w:val="none"/>
          <w:u w:val="single"/>
          <w:lang w:val="en-US" w:eastAsia="zh-CN"/>
        </w:rPr>
        <w:t xml:space="preserve"> </w:t>
      </w:r>
      <w:r>
        <w:rPr>
          <w:rFonts w:hint="default" w:ascii="Times New Roman" w:hAnsi="Times New Roman" w:eastAsia="宋体" w:cs="Times New Roman"/>
          <w:color w:val="auto"/>
          <w:spacing w:val="0"/>
          <w:sz w:val="32"/>
          <w:szCs w:val="32"/>
          <w:highlight w:val="none"/>
          <w:u w:val="single"/>
        </w:rPr>
        <w:t xml:space="preserve"> 二〇二</w:t>
      </w:r>
      <w:r>
        <w:rPr>
          <w:rFonts w:hint="default" w:ascii="Times New Roman" w:hAnsi="Times New Roman" w:eastAsia="宋体" w:cs="Times New Roman"/>
          <w:color w:val="auto"/>
          <w:spacing w:val="0"/>
          <w:sz w:val="32"/>
          <w:szCs w:val="32"/>
          <w:highlight w:val="none"/>
          <w:u w:val="single"/>
          <w:lang w:val="en-US" w:eastAsia="zh-CN"/>
        </w:rPr>
        <w:t>六</w:t>
      </w:r>
      <w:r>
        <w:rPr>
          <w:rFonts w:hint="default" w:ascii="Times New Roman" w:hAnsi="Times New Roman" w:eastAsia="宋体" w:cs="Times New Roman"/>
          <w:color w:val="auto"/>
          <w:spacing w:val="0"/>
          <w:sz w:val="32"/>
          <w:szCs w:val="32"/>
          <w:highlight w:val="none"/>
          <w:u w:val="single"/>
        </w:rPr>
        <w:t>年</w:t>
      </w:r>
      <w:r>
        <w:rPr>
          <w:rFonts w:hint="eastAsia" w:ascii="Times New Roman" w:hAnsi="Times New Roman" w:eastAsia="宋体" w:cs="Times New Roman"/>
          <w:color w:val="auto"/>
          <w:spacing w:val="0"/>
          <w:sz w:val="32"/>
          <w:szCs w:val="32"/>
          <w:highlight w:val="none"/>
          <w:u w:val="single"/>
          <w:lang w:val="en-US" w:eastAsia="zh-CN"/>
        </w:rPr>
        <w:t>八</w:t>
      </w:r>
      <w:r>
        <w:rPr>
          <w:rFonts w:hint="default" w:ascii="Times New Roman" w:hAnsi="Times New Roman" w:eastAsia="宋体" w:cs="Times New Roman"/>
          <w:color w:val="auto"/>
          <w:spacing w:val="0"/>
          <w:sz w:val="32"/>
          <w:szCs w:val="32"/>
          <w:highlight w:val="none"/>
          <w:u w:val="single"/>
        </w:rPr>
        <w:t>月</w:t>
      </w:r>
      <w:r>
        <w:rPr>
          <w:rFonts w:hint="default" w:ascii="Times New Roman" w:hAnsi="Times New Roman" w:eastAsia="宋体" w:cs="Times New Roman"/>
          <w:color w:val="auto"/>
          <w:spacing w:val="0"/>
          <w:sz w:val="32"/>
          <w:szCs w:val="32"/>
          <w:highlight w:val="none"/>
          <w:u w:val="single"/>
          <w:lang w:val="en-US" w:eastAsia="zh-CN"/>
        </w:rPr>
        <w:t xml:space="preserve">                  </w:t>
      </w:r>
    </w:p>
    <w:p w14:paraId="630BA86A">
      <w:pPr>
        <w:shd w:val="clear" w:color="auto" w:fill="auto"/>
        <w:adjustRightInd w:val="0"/>
        <w:snapToGrid w:val="0"/>
        <w:spacing w:line="288" w:lineRule="auto"/>
        <w:ind w:firstLine="1040"/>
        <w:rPr>
          <w:rFonts w:hint="default" w:ascii="Times New Roman" w:hAnsi="Times New Roman" w:eastAsia="宋体" w:cs="Times New Roman"/>
          <w:color w:val="auto"/>
          <w:spacing w:val="0"/>
          <w:sz w:val="36"/>
          <w:szCs w:val="36"/>
          <w:highlight w:val="none"/>
          <w:u w:val="single"/>
        </w:rPr>
      </w:pPr>
      <w:bookmarkStart w:id="0" w:name="_Hlk57884087"/>
    </w:p>
    <w:p w14:paraId="7B59AF7C">
      <w:pPr>
        <w:shd w:val="clear" w:color="auto" w:fill="auto"/>
        <w:adjustRightInd w:val="0"/>
        <w:snapToGrid w:val="0"/>
        <w:spacing w:line="288" w:lineRule="auto"/>
        <w:ind w:firstLine="1040"/>
        <w:rPr>
          <w:rFonts w:hint="default" w:ascii="Times New Roman" w:hAnsi="Times New Roman" w:eastAsia="宋体" w:cs="Times New Roman"/>
          <w:color w:val="auto"/>
          <w:spacing w:val="0"/>
          <w:sz w:val="36"/>
          <w:szCs w:val="36"/>
          <w:highlight w:val="none"/>
        </w:rPr>
      </w:pPr>
    </w:p>
    <w:p w14:paraId="37BBC80B">
      <w:pPr>
        <w:pStyle w:val="49"/>
        <w:shd w:val="clear" w:color="auto" w:fill="auto"/>
        <w:rPr>
          <w:rFonts w:hint="default" w:ascii="Times New Roman" w:hAnsi="Times New Roman" w:eastAsia="宋体" w:cs="Times New Roman"/>
          <w:color w:val="auto"/>
          <w:spacing w:val="0"/>
          <w:highlight w:val="none"/>
        </w:rPr>
      </w:pPr>
    </w:p>
    <w:bookmarkEnd w:id="0"/>
    <w:p w14:paraId="14006DF5">
      <w:pPr>
        <w:shd w:val="clear" w:color="auto" w:fill="auto"/>
        <w:adjustRightInd w:val="0"/>
        <w:snapToGrid w:val="0"/>
        <w:spacing w:line="288" w:lineRule="auto"/>
        <w:jc w:val="center"/>
        <w:rPr>
          <w:rFonts w:hint="default" w:ascii="Times New Roman" w:hAnsi="Times New Roman" w:eastAsia="宋体" w:cs="Times New Roman"/>
          <w:color w:val="auto"/>
          <w:spacing w:val="0"/>
          <w:sz w:val="36"/>
          <w:szCs w:val="36"/>
          <w:highlight w:val="none"/>
        </w:rPr>
      </w:pPr>
    </w:p>
    <w:p w14:paraId="49C8CDF1">
      <w:pPr>
        <w:shd w:val="clear" w:color="auto" w:fill="auto"/>
        <w:adjustRightInd w:val="0"/>
        <w:snapToGrid w:val="0"/>
        <w:spacing w:line="288" w:lineRule="auto"/>
        <w:jc w:val="center"/>
        <w:rPr>
          <w:rFonts w:hint="default" w:ascii="Times New Roman" w:hAnsi="Times New Roman" w:eastAsia="宋体" w:cs="Times New Roman"/>
          <w:color w:val="auto"/>
          <w:spacing w:val="0"/>
          <w:sz w:val="36"/>
          <w:szCs w:val="36"/>
          <w:highlight w:val="none"/>
        </w:rPr>
      </w:pPr>
      <w:r>
        <w:rPr>
          <w:rFonts w:hint="default" w:ascii="Times New Roman" w:hAnsi="Times New Roman" w:eastAsia="宋体" w:cs="Times New Roman"/>
          <w:color w:val="auto"/>
          <w:spacing w:val="0"/>
          <w:sz w:val="36"/>
          <w:szCs w:val="36"/>
          <w:highlight w:val="none"/>
        </w:rPr>
        <w:t>中华人民共和国生态环境部制</w:t>
      </w:r>
    </w:p>
    <w:p w14:paraId="3B6326B9">
      <w:pPr>
        <w:rPr>
          <w:rFonts w:hint="default" w:ascii="Times New Roman" w:hAnsi="Times New Roman" w:eastAsia="宋体" w:cs="Times New Roman"/>
          <w:snapToGrid w:val="0"/>
          <w:color w:val="auto"/>
          <w:spacing w:val="0"/>
          <w:w w:val="100"/>
          <w:position w:val="0"/>
          <w:sz w:val="30"/>
          <w:szCs w:val="30"/>
          <w:highlight w:val="none"/>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73F831D1">
      <w:pPr>
        <w:keepNext w:val="0"/>
        <w:keepLines w:val="0"/>
        <w:pageBreakBefore w:val="0"/>
        <w:kinsoku/>
        <w:overflowPunct/>
        <w:topLinePunct w:val="0"/>
        <w:bidi w:val="0"/>
        <w:adjustRightInd w:val="0"/>
        <w:snapToGrid w:val="0"/>
        <w:spacing w:beforeAutospacing="0" w:afterAutospacing="0" w:line="360" w:lineRule="auto"/>
        <w:ind w:left="0" w:leftChars="0" w:right="0"/>
        <w:jc w:val="center"/>
        <w:outlineLvl w:val="0"/>
        <w:rPr>
          <w:rFonts w:hint="default" w:ascii="Times New Roman" w:hAnsi="Times New Roman" w:eastAsia="宋体" w:cs="Times New Roman"/>
          <w:b/>
          <w:bCs/>
          <w:snapToGrid w:val="0"/>
          <w:color w:val="auto"/>
          <w:spacing w:val="0"/>
          <w:w w:val="100"/>
          <w:position w:val="0"/>
          <w:sz w:val="30"/>
          <w:szCs w:val="30"/>
          <w:highlight w:val="none"/>
        </w:rPr>
        <w:sectPr>
          <w:footerReference r:id="rId6"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27790418">
      <w:pPr>
        <w:keepNext w:val="0"/>
        <w:keepLines w:val="0"/>
        <w:pageBreakBefore w:val="0"/>
        <w:kinsoku/>
        <w:overflowPunct/>
        <w:topLinePunct w:val="0"/>
        <w:bidi w:val="0"/>
        <w:adjustRightInd w:val="0"/>
        <w:snapToGrid w:val="0"/>
        <w:spacing w:beforeAutospacing="0" w:afterAutospacing="0" w:line="360" w:lineRule="auto"/>
        <w:ind w:left="0" w:leftChars="0" w:right="0"/>
        <w:jc w:val="center"/>
        <w:outlineLvl w:val="0"/>
        <w:rPr>
          <w:rFonts w:hint="default" w:ascii="Times New Roman" w:hAnsi="Times New Roman" w:eastAsia="宋体" w:cs="Times New Roman"/>
          <w:b/>
          <w:bCs/>
          <w:snapToGrid w:val="0"/>
          <w:color w:val="auto"/>
          <w:spacing w:val="0"/>
          <w:w w:val="100"/>
          <w:position w:val="0"/>
          <w:sz w:val="30"/>
          <w:szCs w:val="30"/>
          <w:highlight w:val="none"/>
        </w:rPr>
      </w:pPr>
      <w:r>
        <w:rPr>
          <w:rFonts w:hint="default" w:ascii="Times New Roman" w:hAnsi="Times New Roman" w:eastAsia="宋体" w:cs="Times New Roman"/>
          <w:b/>
          <w:bCs/>
          <w:snapToGrid w:val="0"/>
          <w:color w:val="auto"/>
          <w:spacing w:val="0"/>
          <w:w w:val="100"/>
          <w:position w:val="0"/>
          <w:sz w:val="30"/>
          <w:szCs w:val="30"/>
          <w:highlight w:val="none"/>
        </w:rPr>
        <w:t>一、建设项目基本情况</w:t>
      </w:r>
    </w:p>
    <w:tbl>
      <w:tblPr>
        <w:tblStyle w:val="38"/>
        <w:tblW w:w="4934"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243"/>
        <w:gridCol w:w="2500"/>
        <w:gridCol w:w="2088"/>
        <w:gridCol w:w="2922"/>
      </w:tblGrid>
      <w:tr w14:paraId="251BF6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jc w:val="center"/>
        </w:trPr>
        <w:tc>
          <w:tcPr>
            <w:tcW w:w="1244" w:type="dxa"/>
            <w:noWrap w:val="0"/>
            <w:tcMar>
              <w:top w:w="16" w:type="dxa"/>
              <w:left w:w="16" w:type="dxa"/>
              <w:right w:w="16" w:type="dxa"/>
            </w:tcMar>
            <w:vAlign w:val="center"/>
          </w:tcPr>
          <w:p w14:paraId="0BC678BC">
            <w:pPr>
              <w:keepNext w:val="0"/>
              <w:keepLines w:val="0"/>
              <w:pageBreakBefore w:val="0"/>
              <w:kinsoku/>
              <w:overflowPunct/>
              <w:topLinePunct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w w:val="100"/>
                <w:position w:val="0"/>
                <w:sz w:val="24"/>
                <w:szCs w:val="24"/>
                <w:highlight w:val="none"/>
                <w:lang w:val="en-US" w:eastAsia="zh-CN"/>
              </w:rPr>
              <w:t>建设项目名称</w:t>
            </w:r>
          </w:p>
        </w:tc>
        <w:tc>
          <w:tcPr>
            <w:tcW w:w="7516" w:type="dxa"/>
            <w:gridSpan w:val="3"/>
            <w:noWrap w:val="0"/>
            <w:vAlign w:val="center"/>
          </w:tcPr>
          <w:p w14:paraId="4EDC0252">
            <w:pPr>
              <w:keepNext w:val="0"/>
              <w:keepLines w:val="0"/>
              <w:pageBreakBefore w:val="0"/>
              <w:kinsoku/>
              <w:overflowPunct/>
              <w:topLinePunct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w w:val="100"/>
                <w:position w:val="0"/>
                <w:sz w:val="24"/>
                <w:szCs w:val="24"/>
                <w:highlight w:val="none"/>
                <w:lang w:val="en-US" w:eastAsia="zh-CN"/>
              </w:rPr>
              <w:t>吉木萨尔县庆阳湖乡1号建筑用砂矿项目</w:t>
            </w:r>
          </w:p>
        </w:tc>
      </w:tr>
      <w:tr w14:paraId="6AEEE4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244" w:type="dxa"/>
            <w:noWrap w:val="0"/>
            <w:tcMar>
              <w:top w:w="16" w:type="dxa"/>
              <w:left w:w="16" w:type="dxa"/>
              <w:right w:w="16" w:type="dxa"/>
            </w:tcMar>
            <w:vAlign w:val="center"/>
          </w:tcPr>
          <w:p w14:paraId="7D36221A">
            <w:pPr>
              <w:keepNext w:val="0"/>
              <w:keepLines w:val="0"/>
              <w:pageBreakBefore w:val="0"/>
              <w:kinsoku/>
              <w:overflowPunct/>
              <w:topLinePunct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w w:val="100"/>
                <w:position w:val="0"/>
                <w:sz w:val="24"/>
                <w:szCs w:val="24"/>
                <w:highlight w:val="none"/>
                <w:lang w:val="en-US" w:eastAsia="zh-CN"/>
              </w:rPr>
              <w:t>项目代码</w:t>
            </w:r>
          </w:p>
        </w:tc>
        <w:tc>
          <w:tcPr>
            <w:tcW w:w="7516" w:type="dxa"/>
            <w:gridSpan w:val="3"/>
            <w:noWrap w:val="0"/>
            <w:vAlign w:val="center"/>
          </w:tcPr>
          <w:p w14:paraId="46A6F934">
            <w:pPr>
              <w:keepNext w:val="0"/>
              <w:keepLines w:val="0"/>
              <w:pageBreakBefore w:val="0"/>
              <w:kinsoku/>
              <w:overflowPunct/>
              <w:topLinePunct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w w:val="100"/>
                <w:position w:val="0"/>
                <w:sz w:val="24"/>
                <w:szCs w:val="24"/>
                <w:highlight w:val="none"/>
                <w:lang w:val="en-US" w:eastAsia="zh-CN"/>
              </w:rPr>
              <w:t>2605-652327-04-03-666870</w:t>
            </w:r>
          </w:p>
        </w:tc>
      </w:tr>
      <w:tr w14:paraId="3C18AA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jc w:val="center"/>
        </w:trPr>
        <w:tc>
          <w:tcPr>
            <w:tcW w:w="1244" w:type="dxa"/>
            <w:noWrap w:val="0"/>
            <w:tcMar>
              <w:top w:w="16" w:type="dxa"/>
              <w:left w:w="16" w:type="dxa"/>
              <w:right w:w="16" w:type="dxa"/>
            </w:tcMar>
            <w:vAlign w:val="center"/>
          </w:tcPr>
          <w:p w14:paraId="20B37AA0">
            <w:pPr>
              <w:keepNext w:val="0"/>
              <w:keepLines w:val="0"/>
              <w:pageBreakBefore w:val="0"/>
              <w:kinsoku/>
              <w:overflowPunct/>
              <w:topLinePunct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rPr>
              <w:t>建设单位联系人</w:t>
            </w:r>
          </w:p>
        </w:tc>
        <w:tc>
          <w:tcPr>
            <w:tcW w:w="2502" w:type="dxa"/>
            <w:noWrap w:val="0"/>
            <w:vAlign w:val="center"/>
          </w:tcPr>
          <w:p w14:paraId="38489EA0">
            <w:pPr>
              <w:keepNext w:val="0"/>
              <w:keepLines w:val="0"/>
              <w:pageBreakBefore w:val="0"/>
              <w:kinsoku/>
              <w:overflowPunct/>
              <w:topLinePunct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w w:val="100"/>
                <w:position w:val="0"/>
                <w:sz w:val="24"/>
                <w:szCs w:val="24"/>
                <w:highlight w:val="none"/>
                <w:lang w:val="en-US" w:eastAsia="zh-CN"/>
              </w:rPr>
              <w:t>王诗海</w:t>
            </w:r>
          </w:p>
        </w:tc>
        <w:tc>
          <w:tcPr>
            <w:tcW w:w="2090" w:type="dxa"/>
            <w:noWrap w:val="0"/>
            <w:vAlign w:val="center"/>
          </w:tcPr>
          <w:p w14:paraId="399DF14D">
            <w:pPr>
              <w:keepNext w:val="0"/>
              <w:keepLines w:val="0"/>
              <w:pageBreakBefore w:val="0"/>
              <w:kinsoku/>
              <w:overflowPunct/>
              <w:topLinePunct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rPr>
              <w:t>联系方式</w:t>
            </w:r>
          </w:p>
        </w:tc>
        <w:tc>
          <w:tcPr>
            <w:tcW w:w="2924" w:type="dxa"/>
            <w:noWrap w:val="0"/>
            <w:vAlign w:val="center"/>
          </w:tcPr>
          <w:p w14:paraId="719ABD3E">
            <w:pPr>
              <w:keepNext w:val="0"/>
              <w:keepLines w:val="0"/>
              <w:pageBreakBefore w:val="0"/>
              <w:kinsoku/>
              <w:overflowPunct/>
              <w:topLinePunct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w w:val="100"/>
                <w:position w:val="0"/>
                <w:sz w:val="24"/>
                <w:szCs w:val="24"/>
                <w:highlight w:val="none"/>
                <w:lang w:val="en-US" w:eastAsia="zh-CN"/>
              </w:rPr>
              <w:t>13139940715</w:t>
            </w:r>
          </w:p>
        </w:tc>
      </w:tr>
      <w:tr w14:paraId="655D3C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jc w:val="center"/>
        </w:trPr>
        <w:tc>
          <w:tcPr>
            <w:tcW w:w="1244" w:type="dxa"/>
            <w:noWrap w:val="0"/>
            <w:tcMar>
              <w:top w:w="16" w:type="dxa"/>
              <w:left w:w="16" w:type="dxa"/>
              <w:right w:w="16" w:type="dxa"/>
            </w:tcMar>
            <w:vAlign w:val="center"/>
          </w:tcPr>
          <w:p w14:paraId="3481113D">
            <w:pPr>
              <w:keepNext w:val="0"/>
              <w:keepLines w:val="0"/>
              <w:pageBreakBefore w:val="0"/>
              <w:kinsoku/>
              <w:overflowPunct/>
              <w:topLinePunct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rPr>
              <w:t>建设地点</w:t>
            </w:r>
          </w:p>
        </w:tc>
        <w:tc>
          <w:tcPr>
            <w:tcW w:w="7516" w:type="dxa"/>
            <w:gridSpan w:val="3"/>
            <w:noWrap w:val="0"/>
            <w:vAlign w:val="center"/>
          </w:tcPr>
          <w:p w14:paraId="4E4B26C5">
            <w:pPr>
              <w:keepNext w:val="0"/>
              <w:keepLines w:val="0"/>
              <w:pageBreakBefore w:val="0"/>
              <w:widowControl/>
              <w:suppressLineNumbers w:val="0"/>
              <w:kinsoku/>
              <w:overflowPunct/>
              <w:topLinePunct w:val="0"/>
              <w:bidi w:val="0"/>
              <w:spacing w:beforeAutospacing="0" w:afterAutospacing="0"/>
              <w:ind w:left="0" w:leftChars="0" w:right="0"/>
              <w:jc w:val="center"/>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w w:val="100"/>
                <w:position w:val="0"/>
                <w:sz w:val="24"/>
                <w:szCs w:val="24"/>
                <w:highlight w:val="none"/>
                <w:lang w:val="en-US" w:eastAsia="zh-CN"/>
              </w:rPr>
              <w:t>新疆维吾尔自治区昌吉回族自治州吉木萨尔县庆阳湖乡</w:t>
            </w:r>
          </w:p>
        </w:tc>
      </w:tr>
      <w:tr w14:paraId="52A80E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jc w:val="center"/>
        </w:trPr>
        <w:tc>
          <w:tcPr>
            <w:tcW w:w="1244" w:type="dxa"/>
            <w:noWrap w:val="0"/>
            <w:tcMar>
              <w:top w:w="16" w:type="dxa"/>
              <w:left w:w="16" w:type="dxa"/>
              <w:right w:w="16" w:type="dxa"/>
            </w:tcMar>
            <w:vAlign w:val="center"/>
          </w:tcPr>
          <w:p w14:paraId="50402405">
            <w:pPr>
              <w:keepNext w:val="0"/>
              <w:keepLines w:val="0"/>
              <w:pageBreakBefore w:val="0"/>
              <w:kinsoku/>
              <w:overflowPunct/>
              <w:topLinePunct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rPr>
              <w:t>地理坐标</w:t>
            </w:r>
          </w:p>
        </w:tc>
        <w:tc>
          <w:tcPr>
            <w:tcW w:w="7516" w:type="dxa"/>
            <w:gridSpan w:val="3"/>
            <w:noWrap w:val="0"/>
            <w:vAlign w:val="center"/>
          </w:tcPr>
          <w:p w14:paraId="1E7A95AE">
            <w:pPr>
              <w:keepNext w:val="0"/>
              <w:keepLines w:val="0"/>
              <w:pageBreakBefore w:val="0"/>
              <w:kinsoku/>
              <w:overflowPunct/>
              <w:topLinePunct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w w:val="100"/>
                <w:position w:val="0"/>
                <w:sz w:val="24"/>
                <w:szCs w:val="24"/>
                <w:highlight w:val="none"/>
                <w:u w:val="single"/>
              </w:rPr>
              <w:t>（</w:t>
            </w:r>
            <w:r>
              <w:rPr>
                <w:rFonts w:hint="default" w:ascii="Times New Roman" w:hAnsi="Times New Roman" w:eastAsia="宋体" w:cs="Times New Roman"/>
                <w:color w:val="auto"/>
                <w:spacing w:val="0"/>
                <w:w w:val="100"/>
                <w:position w:val="0"/>
                <w:sz w:val="24"/>
                <w:szCs w:val="24"/>
                <w:highlight w:val="none"/>
                <w:u w:val="single"/>
                <w:lang w:val="en-US" w:eastAsia="zh-CN"/>
              </w:rPr>
              <w:t>东经89°00'04.284"；北纬44°00'30.160"</w:t>
            </w:r>
            <w:r>
              <w:rPr>
                <w:rFonts w:hint="default" w:ascii="Times New Roman" w:hAnsi="Times New Roman" w:eastAsia="宋体" w:cs="Times New Roman"/>
                <w:color w:val="auto"/>
                <w:spacing w:val="0"/>
                <w:w w:val="100"/>
                <w:position w:val="0"/>
                <w:sz w:val="24"/>
                <w:szCs w:val="24"/>
                <w:highlight w:val="none"/>
                <w:u w:val="single"/>
              </w:rPr>
              <w:t>）</w:t>
            </w:r>
          </w:p>
        </w:tc>
      </w:tr>
      <w:tr w14:paraId="246D1C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15" w:hRule="atLeast"/>
          <w:jc w:val="center"/>
        </w:trPr>
        <w:tc>
          <w:tcPr>
            <w:tcW w:w="1244" w:type="dxa"/>
            <w:noWrap w:val="0"/>
            <w:tcMar>
              <w:top w:w="16" w:type="dxa"/>
              <w:left w:w="16" w:type="dxa"/>
              <w:right w:w="16" w:type="dxa"/>
            </w:tcMar>
            <w:vAlign w:val="center"/>
          </w:tcPr>
          <w:p w14:paraId="128BC867">
            <w:pPr>
              <w:keepNext w:val="0"/>
              <w:keepLines w:val="0"/>
              <w:pageBreakBefore w:val="0"/>
              <w:kinsoku/>
              <w:overflowPunct/>
              <w:topLinePunct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rPr>
              <w:t>建设项目</w:t>
            </w:r>
          </w:p>
          <w:p w14:paraId="52FFE70A">
            <w:pPr>
              <w:keepNext w:val="0"/>
              <w:keepLines w:val="0"/>
              <w:pageBreakBefore w:val="0"/>
              <w:kinsoku/>
              <w:overflowPunct/>
              <w:topLinePunct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rPr>
              <w:t>行业类别</w:t>
            </w:r>
          </w:p>
        </w:tc>
        <w:tc>
          <w:tcPr>
            <w:tcW w:w="2502" w:type="dxa"/>
            <w:noWrap w:val="0"/>
            <w:vAlign w:val="center"/>
          </w:tcPr>
          <w:p w14:paraId="0D8BC24D">
            <w:pPr>
              <w:keepNext w:val="0"/>
              <w:keepLines w:val="0"/>
              <w:pageBreakBefore w:val="0"/>
              <w:kinsoku/>
              <w:overflowPunct/>
              <w:topLinePunct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w w:val="100"/>
                <w:position w:val="0"/>
                <w:sz w:val="24"/>
                <w:szCs w:val="24"/>
                <w:highlight w:val="none"/>
              </w:rPr>
              <w:t>八</w:t>
            </w:r>
            <w:r>
              <w:rPr>
                <w:rFonts w:hint="default" w:ascii="Times New Roman" w:hAnsi="Times New Roman" w:eastAsia="宋体" w:cs="Times New Roman"/>
                <w:color w:val="auto"/>
                <w:spacing w:val="0"/>
                <w:w w:val="100"/>
                <w:position w:val="0"/>
                <w:sz w:val="24"/>
                <w:szCs w:val="24"/>
                <w:highlight w:val="none"/>
                <w:lang w:val="en-US" w:eastAsia="zh-CN"/>
              </w:rPr>
              <w:t>、非金属矿采选业－土砂石开采101（不含河道采砂项目）-其他</w:t>
            </w:r>
          </w:p>
        </w:tc>
        <w:tc>
          <w:tcPr>
            <w:tcW w:w="2090" w:type="dxa"/>
            <w:noWrap w:val="0"/>
            <w:vAlign w:val="center"/>
          </w:tcPr>
          <w:p w14:paraId="359FEF3F">
            <w:pPr>
              <w:keepNext w:val="0"/>
              <w:keepLines w:val="0"/>
              <w:pageBreakBefore w:val="0"/>
              <w:kinsoku/>
              <w:overflowPunct/>
              <w:topLinePunct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rPr>
              <w:t>用地（用海）面积（</w:t>
            </w:r>
            <w:r>
              <w:rPr>
                <w:rFonts w:hint="default" w:ascii="Times New Roman" w:hAnsi="Times New Roman" w:eastAsia="宋体" w:cs="Times New Roman"/>
                <w:i w:val="0"/>
                <w:iCs w:val="0"/>
                <w:color w:val="auto"/>
                <w:spacing w:val="0"/>
                <w:w w:val="100"/>
                <w:kern w:val="0"/>
                <w:position w:val="0"/>
                <w:sz w:val="24"/>
                <w:szCs w:val="24"/>
                <w:highlight w:val="none"/>
                <w:lang w:val="en-US" w:eastAsia="zh-CN" w:bidi="ar"/>
              </w:rPr>
              <w:t>m</w:t>
            </w:r>
            <w:r>
              <w:rPr>
                <w:rFonts w:hint="default" w:ascii="Times New Roman" w:hAnsi="Times New Roman" w:eastAsia="宋体" w:cs="Times New Roman"/>
                <w:i w:val="0"/>
                <w:iCs w:val="0"/>
                <w:color w:val="auto"/>
                <w:spacing w:val="0"/>
                <w:w w:val="100"/>
                <w:kern w:val="0"/>
                <w:position w:val="0"/>
                <w:sz w:val="24"/>
                <w:szCs w:val="24"/>
                <w:highlight w:val="none"/>
                <w:vertAlign w:val="superscript"/>
                <w:lang w:val="en-US" w:eastAsia="zh-CN" w:bidi="ar"/>
              </w:rPr>
              <w:t>2</w:t>
            </w:r>
            <w:r>
              <w:rPr>
                <w:rFonts w:hint="default" w:ascii="Times New Roman" w:hAnsi="Times New Roman" w:eastAsia="宋体" w:cs="Times New Roman"/>
                <w:color w:val="auto"/>
                <w:spacing w:val="0"/>
                <w:w w:val="100"/>
                <w:position w:val="0"/>
                <w:sz w:val="24"/>
                <w:szCs w:val="24"/>
                <w:highlight w:val="none"/>
              </w:rPr>
              <w:t>）/长度（km）</w:t>
            </w:r>
          </w:p>
        </w:tc>
        <w:tc>
          <w:tcPr>
            <w:tcW w:w="2924" w:type="dxa"/>
            <w:noWrap w:val="0"/>
            <w:vAlign w:val="center"/>
          </w:tcPr>
          <w:p w14:paraId="751BC4EC">
            <w:pPr>
              <w:pStyle w:val="49"/>
              <w:keepNext w:val="0"/>
              <w:keepLines w:val="0"/>
              <w:pageBreakBefore w:val="0"/>
              <w:kinsoku/>
              <w:overflowPunct/>
              <w:topLinePunct w:val="0"/>
              <w:bidi w:val="0"/>
              <w:spacing w:beforeAutospacing="0" w:afterAutospacing="0" w:line="360" w:lineRule="auto"/>
              <w:ind w:left="0" w:leftChars="0" w:right="0"/>
              <w:rPr>
                <w:rFonts w:hint="default" w:ascii="Times New Roman" w:hAnsi="Times New Roman" w:eastAsia="宋体" w:cs="Times New Roman"/>
                <w:color w:val="auto"/>
                <w:spacing w:val="0"/>
                <w:position w:val="0"/>
                <w:sz w:val="24"/>
                <w:szCs w:val="24"/>
                <w:highlight w:val="none"/>
                <w:lang w:val="en-US" w:eastAsia="zh-CN"/>
              </w:rPr>
            </w:pPr>
            <w:r>
              <w:rPr>
                <w:rFonts w:hint="default" w:ascii="Times New Roman" w:hAnsi="Times New Roman" w:eastAsia="宋体" w:cs="Times New Roman"/>
                <w:color w:val="auto"/>
                <w:spacing w:val="0"/>
                <w:w w:val="100"/>
                <w:kern w:val="2"/>
                <w:position w:val="0"/>
                <w:sz w:val="24"/>
                <w:szCs w:val="24"/>
                <w:highlight w:val="none"/>
                <w:lang w:val="en-US" w:eastAsia="zh-CN" w:bidi="ar-SA"/>
              </w:rPr>
              <w:t>531099.04m</w:t>
            </w:r>
            <w:r>
              <w:rPr>
                <w:rFonts w:hint="default" w:ascii="Times New Roman" w:hAnsi="Times New Roman" w:eastAsia="宋体" w:cs="Times New Roman"/>
                <w:color w:val="auto"/>
                <w:spacing w:val="0"/>
                <w:w w:val="100"/>
                <w:kern w:val="2"/>
                <w:position w:val="0"/>
                <w:sz w:val="24"/>
                <w:szCs w:val="24"/>
                <w:highlight w:val="none"/>
                <w:vertAlign w:val="superscript"/>
                <w:lang w:val="en-US" w:eastAsia="zh-CN" w:bidi="ar-SA"/>
              </w:rPr>
              <w:t>2</w:t>
            </w:r>
          </w:p>
        </w:tc>
      </w:tr>
      <w:tr w14:paraId="7AA90C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1244" w:type="dxa"/>
            <w:noWrap w:val="0"/>
            <w:tcMar>
              <w:top w:w="16" w:type="dxa"/>
              <w:left w:w="16" w:type="dxa"/>
              <w:right w:w="16" w:type="dxa"/>
            </w:tcMar>
            <w:vAlign w:val="center"/>
          </w:tcPr>
          <w:p w14:paraId="0A9060CC">
            <w:pPr>
              <w:keepNext w:val="0"/>
              <w:keepLines w:val="0"/>
              <w:pageBreakBefore w:val="0"/>
              <w:kinsoku/>
              <w:overflowPunct/>
              <w:topLinePunct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rPr>
              <w:t>建设性质</w:t>
            </w:r>
          </w:p>
        </w:tc>
        <w:tc>
          <w:tcPr>
            <w:tcW w:w="2502" w:type="dxa"/>
            <w:noWrap w:val="0"/>
            <w:vAlign w:val="center"/>
          </w:tcPr>
          <w:p w14:paraId="3DD1229E">
            <w:pPr>
              <w:keepNext w:val="0"/>
              <w:keepLines w:val="0"/>
              <w:pageBreakBefore w:val="0"/>
              <w:kinsoku/>
              <w:overflowPunct/>
              <w:topLinePunct w:val="0"/>
              <w:bidi w:val="0"/>
              <w:adjustRightInd w:val="0"/>
              <w:snapToGrid w:val="0"/>
              <w:spacing w:beforeAutospacing="0" w:afterAutospacing="0"/>
              <w:ind w:left="0" w:leftChars="0" w:right="0"/>
              <w:jc w:val="left"/>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lang w:eastAsia="zh-CN"/>
              </w:rPr>
              <w:t>☑</w:t>
            </w:r>
            <w:r>
              <w:rPr>
                <w:rFonts w:hint="default" w:ascii="Times New Roman" w:hAnsi="Times New Roman" w:eastAsia="宋体" w:cs="Times New Roman"/>
                <w:color w:val="auto"/>
                <w:spacing w:val="0"/>
                <w:w w:val="100"/>
                <w:position w:val="0"/>
                <w:sz w:val="24"/>
                <w:szCs w:val="24"/>
                <w:highlight w:val="none"/>
              </w:rPr>
              <w:t>新建（迁建）</w:t>
            </w:r>
          </w:p>
          <w:p w14:paraId="5F5E5CA0">
            <w:pPr>
              <w:keepNext w:val="0"/>
              <w:keepLines w:val="0"/>
              <w:pageBreakBefore w:val="0"/>
              <w:kinsoku/>
              <w:overflowPunct/>
              <w:topLinePunct w:val="0"/>
              <w:bidi w:val="0"/>
              <w:adjustRightInd w:val="0"/>
              <w:snapToGrid w:val="0"/>
              <w:spacing w:beforeAutospacing="0" w:afterAutospacing="0"/>
              <w:ind w:left="0" w:leftChars="0" w:right="0"/>
              <w:jc w:val="left"/>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lang w:eastAsia="zh-CN"/>
              </w:rPr>
              <w:t>□</w:t>
            </w:r>
            <w:r>
              <w:rPr>
                <w:rFonts w:hint="default" w:ascii="Times New Roman" w:hAnsi="Times New Roman" w:eastAsia="宋体" w:cs="Times New Roman"/>
                <w:color w:val="auto"/>
                <w:spacing w:val="0"/>
                <w:w w:val="100"/>
                <w:position w:val="0"/>
                <w:sz w:val="24"/>
                <w:szCs w:val="24"/>
                <w:highlight w:val="none"/>
              </w:rPr>
              <w:t>改建</w:t>
            </w:r>
          </w:p>
          <w:p w14:paraId="60D0C92C">
            <w:pPr>
              <w:keepNext w:val="0"/>
              <w:keepLines w:val="0"/>
              <w:pageBreakBefore w:val="0"/>
              <w:kinsoku/>
              <w:overflowPunct/>
              <w:topLinePunct w:val="0"/>
              <w:bidi w:val="0"/>
              <w:adjustRightInd w:val="0"/>
              <w:snapToGrid w:val="0"/>
              <w:spacing w:beforeAutospacing="0" w:afterAutospacing="0"/>
              <w:ind w:left="0" w:leftChars="0" w:right="0"/>
              <w:jc w:val="left"/>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lang w:eastAsia="zh-CN"/>
              </w:rPr>
              <w:t>□</w:t>
            </w:r>
            <w:r>
              <w:rPr>
                <w:rFonts w:hint="default" w:ascii="Times New Roman" w:hAnsi="Times New Roman" w:eastAsia="宋体" w:cs="Times New Roman"/>
                <w:color w:val="auto"/>
                <w:spacing w:val="0"/>
                <w:w w:val="100"/>
                <w:position w:val="0"/>
                <w:sz w:val="24"/>
                <w:szCs w:val="24"/>
                <w:highlight w:val="none"/>
              </w:rPr>
              <w:t>扩建</w:t>
            </w:r>
          </w:p>
          <w:p w14:paraId="6CAAC59B">
            <w:pPr>
              <w:keepNext w:val="0"/>
              <w:keepLines w:val="0"/>
              <w:pageBreakBefore w:val="0"/>
              <w:kinsoku/>
              <w:overflowPunct/>
              <w:topLinePunct w:val="0"/>
              <w:bidi w:val="0"/>
              <w:adjustRightInd w:val="0"/>
              <w:snapToGrid w:val="0"/>
              <w:spacing w:beforeAutospacing="0" w:afterAutospacing="0"/>
              <w:ind w:left="0" w:leftChars="0" w:right="0"/>
              <w:jc w:val="left"/>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lang w:eastAsia="zh-CN"/>
              </w:rPr>
              <w:t>□</w:t>
            </w:r>
            <w:r>
              <w:rPr>
                <w:rFonts w:hint="default" w:ascii="Times New Roman" w:hAnsi="Times New Roman" w:eastAsia="宋体" w:cs="Times New Roman"/>
                <w:color w:val="auto"/>
                <w:spacing w:val="0"/>
                <w:w w:val="100"/>
                <w:position w:val="0"/>
                <w:sz w:val="24"/>
                <w:szCs w:val="24"/>
                <w:highlight w:val="none"/>
              </w:rPr>
              <w:t>技术改造</w:t>
            </w:r>
          </w:p>
        </w:tc>
        <w:tc>
          <w:tcPr>
            <w:tcW w:w="2090" w:type="dxa"/>
            <w:noWrap w:val="0"/>
            <w:vAlign w:val="center"/>
          </w:tcPr>
          <w:p w14:paraId="6989B379">
            <w:pPr>
              <w:keepNext w:val="0"/>
              <w:keepLines w:val="0"/>
              <w:pageBreakBefore w:val="0"/>
              <w:kinsoku/>
              <w:overflowPunct/>
              <w:topLinePunct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rPr>
              <w:t>建设项目</w:t>
            </w:r>
          </w:p>
          <w:p w14:paraId="4BF5CCA0">
            <w:pPr>
              <w:keepNext w:val="0"/>
              <w:keepLines w:val="0"/>
              <w:pageBreakBefore w:val="0"/>
              <w:kinsoku/>
              <w:overflowPunct/>
              <w:topLinePunct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rPr>
              <w:t>申报情形</w:t>
            </w:r>
          </w:p>
        </w:tc>
        <w:tc>
          <w:tcPr>
            <w:tcW w:w="2924" w:type="dxa"/>
            <w:noWrap w:val="0"/>
            <w:vAlign w:val="center"/>
          </w:tcPr>
          <w:p w14:paraId="4EE9EC63">
            <w:pPr>
              <w:keepNext w:val="0"/>
              <w:keepLines w:val="0"/>
              <w:pageBreakBefore w:val="0"/>
              <w:kinsoku/>
              <w:overflowPunct/>
              <w:topLinePunct w:val="0"/>
              <w:bidi w:val="0"/>
              <w:adjustRightInd w:val="0"/>
              <w:snapToGrid w:val="0"/>
              <w:spacing w:beforeAutospacing="0" w:afterAutospacing="0"/>
              <w:ind w:left="0" w:leftChars="0" w:right="0"/>
              <w:jc w:val="left"/>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lang w:eastAsia="zh-CN"/>
              </w:rPr>
              <w:t>☑</w:t>
            </w:r>
            <w:r>
              <w:rPr>
                <w:rFonts w:hint="default" w:ascii="Times New Roman" w:hAnsi="Times New Roman" w:eastAsia="宋体" w:cs="Times New Roman"/>
                <w:color w:val="auto"/>
                <w:spacing w:val="0"/>
                <w:w w:val="100"/>
                <w:position w:val="0"/>
                <w:sz w:val="24"/>
                <w:szCs w:val="24"/>
                <w:highlight w:val="none"/>
              </w:rPr>
              <w:t>首次申报项目</w:t>
            </w:r>
          </w:p>
          <w:p w14:paraId="7F7B2D1E">
            <w:pPr>
              <w:keepNext w:val="0"/>
              <w:keepLines w:val="0"/>
              <w:pageBreakBefore w:val="0"/>
              <w:kinsoku/>
              <w:overflowPunct/>
              <w:topLinePunct w:val="0"/>
              <w:bidi w:val="0"/>
              <w:adjustRightInd w:val="0"/>
              <w:snapToGrid w:val="0"/>
              <w:spacing w:beforeAutospacing="0" w:afterAutospacing="0"/>
              <w:ind w:left="0" w:leftChars="0" w:right="0"/>
              <w:jc w:val="left"/>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lang w:eastAsia="zh-CN"/>
              </w:rPr>
              <w:t>□</w:t>
            </w:r>
            <w:r>
              <w:rPr>
                <w:rFonts w:hint="default" w:ascii="Times New Roman" w:hAnsi="Times New Roman" w:eastAsia="宋体" w:cs="Times New Roman"/>
                <w:color w:val="auto"/>
                <w:spacing w:val="0"/>
                <w:w w:val="100"/>
                <w:position w:val="0"/>
                <w:sz w:val="24"/>
                <w:szCs w:val="24"/>
                <w:highlight w:val="none"/>
              </w:rPr>
              <w:t>不予批准后再次申报项目</w:t>
            </w:r>
          </w:p>
          <w:p w14:paraId="04DB5712">
            <w:pPr>
              <w:keepNext w:val="0"/>
              <w:keepLines w:val="0"/>
              <w:pageBreakBefore w:val="0"/>
              <w:kinsoku/>
              <w:overflowPunct/>
              <w:topLinePunct w:val="0"/>
              <w:bidi w:val="0"/>
              <w:adjustRightInd w:val="0"/>
              <w:snapToGrid w:val="0"/>
              <w:spacing w:beforeAutospacing="0" w:afterAutospacing="0"/>
              <w:ind w:left="0" w:leftChars="0" w:right="0"/>
              <w:jc w:val="left"/>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lang w:eastAsia="zh-CN"/>
              </w:rPr>
              <w:t>□</w:t>
            </w:r>
            <w:r>
              <w:rPr>
                <w:rFonts w:hint="default" w:ascii="Times New Roman" w:hAnsi="Times New Roman" w:eastAsia="宋体" w:cs="Times New Roman"/>
                <w:color w:val="auto"/>
                <w:spacing w:val="0"/>
                <w:w w:val="100"/>
                <w:position w:val="0"/>
                <w:sz w:val="24"/>
                <w:szCs w:val="24"/>
                <w:highlight w:val="none"/>
              </w:rPr>
              <w:t>超五年重新审核项目</w:t>
            </w:r>
          </w:p>
          <w:p w14:paraId="1CD11105">
            <w:pPr>
              <w:keepNext w:val="0"/>
              <w:keepLines w:val="0"/>
              <w:pageBreakBefore w:val="0"/>
              <w:kinsoku/>
              <w:overflowPunct/>
              <w:topLinePunct w:val="0"/>
              <w:bidi w:val="0"/>
              <w:adjustRightInd w:val="0"/>
              <w:snapToGrid w:val="0"/>
              <w:spacing w:beforeAutospacing="0" w:afterAutospacing="0"/>
              <w:ind w:left="0" w:leftChars="0" w:right="0"/>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lang w:eastAsia="zh-CN"/>
              </w:rPr>
              <w:t>□</w:t>
            </w:r>
            <w:r>
              <w:rPr>
                <w:rFonts w:hint="default" w:ascii="Times New Roman" w:hAnsi="Times New Roman" w:eastAsia="宋体" w:cs="Times New Roman"/>
                <w:color w:val="auto"/>
                <w:spacing w:val="0"/>
                <w:w w:val="100"/>
                <w:position w:val="0"/>
                <w:sz w:val="24"/>
                <w:szCs w:val="24"/>
                <w:highlight w:val="none"/>
              </w:rPr>
              <w:t>重大变动重新报批项目</w:t>
            </w:r>
          </w:p>
        </w:tc>
      </w:tr>
      <w:tr w14:paraId="0FF570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62" w:hRule="atLeast"/>
          <w:jc w:val="center"/>
        </w:trPr>
        <w:tc>
          <w:tcPr>
            <w:tcW w:w="1244" w:type="dxa"/>
            <w:noWrap w:val="0"/>
            <w:tcMar>
              <w:top w:w="16" w:type="dxa"/>
              <w:left w:w="16" w:type="dxa"/>
              <w:right w:w="16" w:type="dxa"/>
            </w:tcMar>
            <w:vAlign w:val="center"/>
          </w:tcPr>
          <w:p w14:paraId="2800D371">
            <w:pPr>
              <w:keepNext w:val="0"/>
              <w:keepLines w:val="0"/>
              <w:pageBreakBefore w:val="0"/>
              <w:kinsoku/>
              <w:overflowPunct/>
              <w:topLinePunct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rPr>
              <w:t>项目审批（核准/</w:t>
            </w:r>
          </w:p>
          <w:p w14:paraId="0C60F07E">
            <w:pPr>
              <w:keepNext w:val="0"/>
              <w:keepLines w:val="0"/>
              <w:pageBreakBefore w:val="0"/>
              <w:kinsoku/>
              <w:overflowPunct/>
              <w:topLinePunct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rPr>
              <w:t>备案）部门（选填）</w:t>
            </w:r>
          </w:p>
        </w:tc>
        <w:tc>
          <w:tcPr>
            <w:tcW w:w="2502" w:type="dxa"/>
            <w:noWrap w:val="0"/>
            <w:vAlign w:val="center"/>
          </w:tcPr>
          <w:p w14:paraId="73933BA1">
            <w:pPr>
              <w:keepNext w:val="0"/>
              <w:keepLines w:val="0"/>
              <w:pageBreakBefore w:val="0"/>
              <w:kinsoku/>
              <w:overflowPunct/>
              <w:topLinePunct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4"/>
                <w:szCs w:val="24"/>
                <w:highlight w:val="none"/>
                <w:lang w:val="en-US" w:eastAsia="zh-CN"/>
              </w:rPr>
              <w:t>吉木萨尔县发展和改革委员会</w:t>
            </w:r>
          </w:p>
        </w:tc>
        <w:tc>
          <w:tcPr>
            <w:tcW w:w="2090" w:type="dxa"/>
            <w:noWrap w:val="0"/>
            <w:vAlign w:val="center"/>
          </w:tcPr>
          <w:p w14:paraId="38850CAE">
            <w:pPr>
              <w:keepNext w:val="0"/>
              <w:keepLines w:val="0"/>
              <w:pageBreakBefore w:val="0"/>
              <w:kinsoku/>
              <w:overflowPunct/>
              <w:topLinePunct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w w:val="100"/>
                <w:position w:val="0"/>
                <w:sz w:val="24"/>
                <w:szCs w:val="24"/>
                <w:highlight w:val="none"/>
                <w:lang w:val="en-US" w:eastAsia="zh-CN"/>
              </w:rPr>
              <w:t>项目审批（核准/</w:t>
            </w:r>
          </w:p>
          <w:p w14:paraId="56688371">
            <w:pPr>
              <w:keepNext w:val="0"/>
              <w:keepLines w:val="0"/>
              <w:pageBreakBefore w:val="0"/>
              <w:kinsoku/>
              <w:overflowPunct/>
              <w:topLinePunct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w w:val="100"/>
                <w:position w:val="0"/>
                <w:sz w:val="24"/>
                <w:szCs w:val="24"/>
                <w:highlight w:val="none"/>
                <w:lang w:val="en-US" w:eastAsia="zh-CN"/>
              </w:rPr>
              <w:t>备案）文号（选填）</w:t>
            </w:r>
          </w:p>
        </w:tc>
        <w:tc>
          <w:tcPr>
            <w:tcW w:w="2924" w:type="dxa"/>
            <w:noWrap w:val="0"/>
            <w:vAlign w:val="center"/>
          </w:tcPr>
          <w:p w14:paraId="7BB07CC1">
            <w:pPr>
              <w:keepNext w:val="0"/>
              <w:keepLines w:val="0"/>
              <w:pageBreakBefore w:val="0"/>
              <w:kinsoku/>
              <w:overflowPunct/>
              <w:topLinePunct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w w:val="100"/>
                <w:position w:val="0"/>
                <w:sz w:val="24"/>
                <w:szCs w:val="24"/>
                <w:highlight w:val="none"/>
                <w:lang w:val="en-US" w:eastAsia="zh-CN"/>
              </w:rPr>
              <w:t>2605071085652327000062</w:t>
            </w:r>
          </w:p>
        </w:tc>
      </w:tr>
      <w:tr w14:paraId="28F636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jc w:val="center"/>
        </w:trPr>
        <w:tc>
          <w:tcPr>
            <w:tcW w:w="1244" w:type="dxa"/>
            <w:noWrap w:val="0"/>
            <w:tcMar>
              <w:top w:w="16" w:type="dxa"/>
              <w:left w:w="16" w:type="dxa"/>
              <w:right w:w="16" w:type="dxa"/>
            </w:tcMar>
            <w:vAlign w:val="center"/>
          </w:tcPr>
          <w:p w14:paraId="05B72C2A">
            <w:pPr>
              <w:keepNext w:val="0"/>
              <w:keepLines w:val="0"/>
              <w:pageBreakBefore w:val="0"/>
              <w:kinsoku/>
              <w:overflowPunct/>
              <w:topLinePunct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rPr>
              <w:t>总投资（万元）</w:t>
            </w:r>
          </w:p>
        </w:tc>
        <w:tc>
          <w:tcPr>
            <w:tcW w:w="2502" w:type="dxa"/>
            <w:noWrap w:val="0"/>
            <w:vAlign w:val="center"/>
          </w:tcPr>
          <w:p w14:paraId="2E764295">
            <w:pPr>
              <w:keepNext w:val="0"/>
              <w:keepLines w:val="0"/>
              <w:pageBreakBefore w:val="0"/>
              <w:widowControl/>
              <w:suppressLineNumbers w:val="0"/>
              <w:kinsoku/>
              <w:overflowPunct/>
              <w:topLinePunct w:val="0"/>
              <w:bidi w:val="0"/>
              <w:spacing w:beforeAutospacing="0" w:afterAutospacing="0"/>
              <w:ind w:left="0" w:leftChars="0" w:right="0"/>
              <w:jc w:val="center"/>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w w:val="100"/>
                <w:kern w:val="0"/>
                <w:position w:val="0"/>
                <w:sz w:val="24"/>
                <w:szCs w:val="24"/>
                <w:highlight w:val="none"/>
                <w:lang w:val="en-US" w:eastAsia="zh-CN" w:bidi="ar"/>
              </w:rPr>
              <w:t>6000</w:t>
            </w:r>
          </w:p>
        </w:tc>
        <w:tc>
          <w:tcPr>
            <w:tcW w:w="2090" w:type="dxa"/>
            <w:noWrap w:val="0"/>
            <w:tcMar>
              <w:top w:w="16" w:type="dxa"/>
              <w:left w:w="16" w:type="dxa"/>
              <w:right w:w="16" w:type="dxa"/>
            </w:tcMar>
            <w:vAlign w:val="center"/>
          </w:tcPr>
          <w:p w14:paraId="305D3B50">
            <w:pPr>
              <w:keepNext w:val="0"/>
              <w:keepLines w:val="0"/>
              <w:pageBreakBefore w:val="0"/>
              <w:kinsoku/>
              <w:overflowPunct/>
              <w:topLinePunct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rPr>
              <w:t>环保投资（万元）</w:t>
            </w:r>
          </w:p>
        </w:tc>
        <w:tc>
          <w:tcPr>
            <w:tcW w:w="2924" w:type="dxa"/>
            <w:noWrap w:val="0"/>
            <w:vAlign w:val="center"/>
          </w:tcPr>
          <w:p w14:paraId="275BC816">
            <w:pPr>
              <w:keepNext w:val="0"/>
              <w:keepLines w:val="0"/>
              <w:pageBreakBefore w:val="0"/>
              <w:kinsoku/>
              <w:overflowPunct/>
              <w:topLinePunct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w w:val="100"/>
                <w:position w:val="0"/>
                <w:sz w:val="24"/>
                <w:szCs w:val="24"/>
                <w:highlight w:val="none"/>
                <w:lang w:val="en-US" w:eastAsia="zh-CN"/>
              </w:rPr>
              <w:t>205</w:t>
            </w:r>
          </w:p>
        </w:tc>
      </w:tr>
      <w:tr w14:paraId="337CC5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4" w:hRule="atLeast"/>
          <w:jc w:val="center"/>
        </w:trPr>
        <w:tc>
          <w:tcPr>
            <w:tcW w:w="1244" w:type="dxa"/>
            <w:noWrap w:val="0"/>
            <w:tcMar>
              <w:top w:w="16" w:type="dxa"/>
              <w:left w:w="16" w:type="dxa"/>
              <w:right w:w="16" w:type="dxa"/>
            </w:tcMar>
            <w:vAlign w:val="center"/>
          </w:tcPr>
          <w:p w14:paraId="4692C7A9">
            <w:pPr>
              <w:keepNext w:val="0"/>
              <w:keepLines w:val="0"/>
              <w:pageBreakBefore w:val="0"/>
              <w:kinsoku/>
              <w:overflowPunct/>
              <w:topLinePunct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rPr>
              <w:t>环保投资占比（%）</w:t>
            </w:r>
          </w:p>
        </w:tc>
        <w:tc>
          <w:tcPr>
            <w:tcW w:w="2502" w:type="dxa"/>
            <w:noWrap w:val="0"/>
            <w:vAlign w:val="center"/>
          </w:tcPr>
          <w:p w14:paraId="2829A196">
            <w:pPr>
              <w:keepNext w:val="0"/>
              <w:keepLines w:val="0"/>
              <w:pageBreakBefore w:val="0"/>
              <w:kinsoku/>
              <w:overflowPunct/>
              <w:topLinePunct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w w:val="100"/>
                <w:position w:val="0"/>
                <w:sz w:val="24"/>
                <w:szCs w:val="24"/>
                <w:highlight w:val="none"/>
                <w:lang w:val="en-US" w:eastAsia="zh-CN"/>
              </w:rPr>
              <w:t>3.42</w:t>
            </w:r>
          </w:p>
        </w:tc>
        <w:tc>
          <w:tcPr>
            <w:tcW w:w="2090" w:type="dxa"/>
            <w:noWrap w:val="0"/>
            <w:tcMar>
              <w:top w:w="16" w:type="dxa"/>
              <w:left w:w="16" w:type="dxa"/>
              <w:right w:w="16" w:type="dxa"/>
            </w:tcMar>
            <w:vAlign w:val="center"/>
          </w:tcPr>
          <w:p w14:paraId="3073BE5D">
            <w:pPr>
              <w:keepNext w:val="0"/>
              <w:keepLines w:val="0"/>
              <w:pageBreakBefore w:val="0"/>
              <w:kinsoku/>
              <w:overflowPunct/>
              <w:topLinePunct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rPr>
              <w:t>施工工期</w:t>
            </w:r>
          </w:p>
        </w:tc>
        <w:tc>
          <w:tcPr>
            <w:tcW w:w="2924" w:type="dxa"/>
            <w:noWrap w:val="0"/>
            <w:vAlign w:val="center"/>
          </w:tcPr>
          <w:p w14:paraId="2512655F">
            <w:pPr>
              <w:keepNext w:val="0"/>
              <w:keepLines w:val="0"/>
              <w:pageBreakBefore w:val="0"/>
              <w:kinsoku/>
              <w:overflowPunct/>
              <w:topLinePunct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w w:val="100"/>
                <w:position w:val="0"/>
                <w:sz w:val="24"/>
                <w:highlight w:val="none"/>
                <w:lang w:val="en-US" w:eastAsia="zh-CN"/>
              </w:rPr>
              <w:t>24月</w:t>
            </w:r>
          </w:p>
        </w:tc>
      </w:tr>
      <w:tr w14:paraId="073FEC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60" w:hRule="atLeast"/>
          <w:jc w:val="center"/>
        </w:trPr>
        <w:tc>
          <w:tcPr>
            <w:tcW w:w="1244" w:type="dxa"/>
            <w:noWrap w:val="0"/>
            <w:tcMar>
              <w:top w:w="16" w:type="dxa"/>
              <w:left w:w="16" w:type="dxa"/>
              <w:right w:w="16" w:type="dxa"/>
            </w:tcMar>
            <w:vAlign w:val="center"/>
          </w:tcPr>
          <w:p w14:paraId="370536F2">
            <w:pPr>
              <w:keepNext w:val="0"/>
              <w:keepLines w:val="0"/>
              <w:pageBreakBefore w:val="0"/>
              <w:kinsoku/>
              <w:overflowPunct/>
              <w:topLinePunct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rPr>
              <w:t>是否开工建设</w:t>
            </w:r>
          </w:p>
        </w:tc>
        <w:tc>
          <w:tcPr>
            <w:tcW w:w="7516" w:type="dxa"/>
            <w:gridSpan w:val="3"/>
            <w:noWrap w:val="0"/>
            <w:vAlign w:val="center"/>
          </w:tcPr>
          <w:p w14:paraId="44274151">
            <w:pPr>
              <w:keepNext w:val="0"/>
              <w:keepLines w:val="0"/>
              <w:pageBreakBefore w:val="0"/>
              <w:kinsoku/>
              <w:overflowPunct/>
              <w:topLinePunct w:val="0"/>
              <w:bidi w:val="0"/>
              <w:adjustRightInd w:val="0"/>
              <w:snapToGrid w:val="0"/>
              <w:spacing w:beforeAutospacing="0" w:afterAutospacing="0"/>
              <w:ind w:left="0" w:leftChars="0" w:right="0" w:firstLine="105"/>
              <w:jc w:val="left"/>
              <w:rPr>
                <w:rFonts w:hint="default" w:ascii="Times New Roman" w:hAnsi="Times New Roman" w:eastAsia="宋体" w:cs="Times New Roman"/>
                <w:color w:val="auto"/>
                <w:spacing w:val="0"/>
                <w:w w:val="100"/>
                <w:position w:val="0"/>
                <w:sz w:val="24"/>
                <w:szCs w:val="24"/>
                <w:highlight w:val="none"/>
                <w:lang w:eastAsia="zh-CN"/>
              </w:rPr>
            </w:pPr>
            <w:r>
              <w:rPr>
                <w:rFonts w:hint="default" w:ascii="Times New Roman" w:hAnsi="Times New Roman" w:eastAsia="宋体" w:cs="Times New Roman"/>
                <w:color w:val="auto"/>
                <w:spacing w:val="0"/>
                <w:w w:val="100"/>
                <w:position w:val="0"/>
                <w:sz w:val="24"/>
                <w:szCs w:val="24"/>
                <w:highlight w:val="none"/>
                <w:lang w:eastAsia="zh-CN"/>
              </w:rPr>
              <w:t>☑</w:t>
            </w:r>
            <w:r>
              <w:rPr>
                <w:rFonts w:hint="default" w:ascii="Times New Roman" w:hAnsi="Times New Roman" w:eastAsia="宋体" w:cs="Times New Roman"/>
                <w:color w:val="auto"/>
                <w:spacing w:val="0"/>
                <w:w w:val="100"/>
                <w:position w:val="0"/>
                <w:sz w:val="24"/>
                <w:szCs w:val="24"/>
                <w:highlight w:val="none"/>
              </w:rPr>
              <w:t>否</w:t>
            </w:r>
          </w:p>
          <w:p w14:paraId="0FC9D463">
            <w:pPr>
              <w:keepNext w:val="0"/>
              <w:keepLines w:val="0"/>
              <w:pageBreakBefore w:val="0"/>
              <w:kinsoku/>
              <w:overflowPunct/>
              <w:topLinePunct w:val="0"/>
              <w:bidi w:val="0"/>
              <w:adjustRightInd w:val="0"/>
              <w:snapToGrid w:val="0"/>
              <w:spacing w:beforeAutospacing="0" w:afterAutospacing="0"/>
              <w:ind w:left="0" w:leftChars="0" w:right="0" w:firstLine="92"/>
              <w:jc w:val="left"/>
              <w:rPr>
                <w:rFonts w:hint="default" w:ascii="Times New Roman" w:hAnsi="Times New Roman" w:eastAsia="宋体" w:cs="Times New Roman"/>
                <w:color w:val="auto"/>
                <w:spacing w:val="0"/>
                <w:w w:val="100"/>
                <w:position w:val="0"/>
                <w:sz w:val="24"/>
                <w:szCs w:val="24"/>
                <w:highlight w:val="none"/>
                <w:lang w:eastAsia="zh-CN"/>
              </w:rPr>
            </w:pPr>
            <w:r>
              <w:rPr>
                <w:rFonts w:hint="default" w:ascii="Times New Roman" w:hAnsi="Times New Roman" w:eastAsia="宋体" w:cs="Times New Roman"/>
                <w:color w:val="auto"/>
                <w:spacing w:val="0"/>
                <w:w w:val="100"/>
                <w:position w:val="0"/>
                <w:sz w:val="24"/>
                <w:szCs w:val="24"/>
                <w:highlight w:val="none"/>
                <w:lang w:eastAsia="zh-CN"/>
              </w:rPr>
              <w:t>□</w:t>
            </w:r>
            <w:r>
              <w:rPr>
                <w:rFonts w:hint="default" w:ascii="Times New Roman" w:hAnsi="Times New Roman" w:eastAsia="宋体" w:cs="Times New Roman"/>
                <w:color w:val="auto"/>
                <w:spacing w:val="0"/>
                <w:w w:val="100"/>
                <w:position w:val="0"/>
                <w:sz w:val="24"/>
                <w:szCs w:val="24"/>
                <w:highlight w:val="none"/>
              </w:rPr>
              <w:t>是：</w:t>
            </w:r>
          </w:p>
        </w:tc>
      </w:tr>
      <w:tr w14:paraId="6E6580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40" w:hRule="atLeast"/>
          <w:jc w:val="center"/>
        </w:trPr>
        <w:tc>
          <w:tcPr>
            <w:tcW w:w="1244" w:type="dxa"/>
            <w:noWrap w:val="0"/>
            <w:tcMar>
              <w:top w:w="16" w:type="dxa"/>
              <w:left w:w="16" w:type="dxa"/>
              <w:right w:w="16" w:type="dxa"/>
            </w:tcMar>
            <w:vAlign w:val="center"/>
          </w:tcPr>
          <w:p w14:paraId="76A23E1D">
            <w:pPr>
              <w:keepNext w:val="0"/>
              <w:keepLines w:val="0"/>
              <w:pageBreakBefore w:val="0"/>
              <w:kinsoku/>
              <w:overflowPunct/>
              <w:topLinePunct w:val="0"/>
              <w:autoSpaceDE w:val="0"/>
              <w:autoSpaceDN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kern w:val="0"/>
                <w:position w:val="0"/>
                <w:sz w:val="24"/>
                <w:szCs w:val="24"/>
                <w:highlight w:val="none"/>
              </w:rPr>
            </w:pPr>
            <w:r>
              <w:rPr>
                <w:rFonts w:hint="default" w:ascii="Times New Roman" w:hAnsi="Times New Roman" w:eastAsia="宋体" w:cs="Times New Roman"/>
                <w:color w:val="auto"/>
                <w:spacing w:val="0"/>
                <w:w w:val="100"/>
                <w:kern w:val="0"/>
                <w:position w:val="0"/>
                <w:sz w:val="24"/>
                <w:szCs w:val="24"/>
                <w:highlight w:val="none"/>
              </w:rPr>
              <w:t>专项评价设置情况</w:t>
            </w:r>
          </w:p>
        </w:tc>
        <w:tc>
          <w:tcPr>
            <w:tcW w:w="7516" w:type="dxa"/>
            <w:gridSpan w:val="3"/>
            <w:noWrap w:val="0"/>
            <w:tcMar>
              <w:top w:w="16" w:type="dxa"/>
              <w:left w:w="16" w:type="dxa"/>
              <w:right w:w="16" w:type="dxa"/>
            </w:tcMar>
            <w:vAlign w:val="center"/>
          </w:tcPr>
          <w:p w14:paraId="5EBC7C0E">
            <w:pPr>
              <w:keepNext w:val="0"/>
              <w:keepLines w:val="0"/>
              <w:pageBreakBefore w:val="0"/>
              <w:kinsoku/>
              <w:overflowPunct/>
              <w:topLinePunct w:val="0"/>
              <w:autoSpaceDE w:val="0"/>
              <w:autoSpaceDN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kern w:val="0"/>
                <w:position w:val="0"/>
                <w:sz w:val="24"/>
                <w:szCs w:val="24"/>
                <w:highlight w:val="none"/>
                <w:lang w:eastAsia="zh-CN"/>
              </w:rPr>
            </w:pPr>
            <w:r>
              <w:rPr>
                <w:rFonts w:hint="default" w:ascii="Times New Roman" w:hAnsi="Times New Roman" w:eastAsia="宋体" w:cs="Times New Roman"/>
                <w:color w:val="auto"/>
                <w:spacing w:val="0"/>
                <w:w w:val="100"/>
                <w:kern w:val="0"/>
                <w:position w:val="0"/>
                <w:sz w:val="24"/>
                <w:highlight w:val="none"/>
                <w:lang w:val="en-US" w:eastAsia="zh-CN"/>
              </w:rPr>
              <w:t>无</w:t>
            </w:r>
          </w:p>
        </w:tc>
      </w:tr>
      <w:tr w14:paraId="59534E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88" w:hRule="atLeast"/>
          <w:jc w:val="center"/>
        </w:trPr>
        <w:tc>
          <w:tcPr>
            <w:tcW w:w="1244" w:type="dxa"/>
            <w:noWrap w:val="0"/>
            <w:tcMar>
              <w:top w:w="16" w:type="dxa"/>
              <w:left w:w="16" w:type="dxa"/>
              <w:right w:w="16" w:type="dxa"/>
            </w:tcMar>
            <w:vAlign w:val="center"/>
          </w:tcPr>
          <w:p w14:paraId="2F4DAE46">
            <w:pPr>
              <w:keepNext w:val="0"/>
              <w:keepLines w:val="0"/>
              <w:pageBreakBefore w:val="0"/>
              <w:kinsoku/>
              <w:overflowPunct/>
              <w:topLinePunct w:val="0"/>
              <w:autoSpaceDE w:val="0"/>
              <w:autoSpaceDN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kern w:val="0"/>
                <w:position w:val="0"/>
                <w:sz w:val="24"/>
                <w:szCs w:val="24"/>
                <w:highlight w:val="none"/>
              </w:rPr>
            </w:pPr>
            <w:r>
              <w:rPr>
                <w:rFonts w:hint="default" w:ascii="Times New Roman" w:hAnsi="Times New Roman" w:eastAsia="宋体" w:cs="Times New Roman"/>
                <w:color w:val="auto"/>
                <w:spacing w:val="0"/>
                <w:w w:val="100"/>
                <w:kern w:val="0"/>
                <w:position w:val="0"/>
                <w:sz w:val="24"/>
                <w:szCs w:val="24"/>
                <w:highlight w:val="none"/>
              </w:rPr>
              <w:t>规划情况</w:t>
            </w:r>
          </w:p>
        </w:tc>
        <w:tc>
          <w:tcPr>
            <w:tcW w:w="7516" w:type="dxa"/>
            <w:gridSpan w:val="3"/>
            <w:noWrap w:val="0"/>
            <w:tcMar>
              <w:top w:w="16" w:type="dxa"/>
              <w:left w:w="16" w:type="dxa"/>
              <w:right w:w="16" w:type="dxa"/>
            </w:tcMar>
            <w:vAlign w:val="center"/>
          </w:tcPr>
          <w:p w14:paraId="6413F987">
            <w:pPr>
              <w:keepNext w:val="0"/>
              <w:keepLines w:val="0"/>
              <w:pageBreakBefore w:val="0"/>
              <w:kinsoku/>
              <w:overflowPunct/>
              <w:topLinePunct w:val="0"/>
              <w:autoSpaceDE w:val="0"/>
              <w:autoSpaceDN w:val="0"/>
              <w:bidi w:val="0"/>
              <w:adjustRightInd w:val="0"/>
              <w:snapToGrid w:val="0"/>
              <w:spacing w:beforeAutospacing="0" w:afterAutospacing="0" w:line="360" w:lineRule="auto"/>
              <w:ind w:left="0" w:leftChars="0" w:right="0"/>
              <w:jc w:val="both"/>
              <w:rPr>
                <w:rFonts w:hint="default" w:ascii="Times New Roman" w:hAnsi="Times New Roman" w:eastAsia="宋体" w:cs="Times New Roman"/>
                <w:color w:val="auto"/>
                <w:spacing w:val="0"/>
                <w:sz w:val="24"/>
                <w:highlight w:val="none"/>
                <w:lang w:eastAsia="zh-CN"/>
              </w:rPr>
            </w:pPr>
            <w:r>
              <w:rPr>
                <w:rFonts w:hint="eastAsia" w:ascii="Times New Roman" w:hAnsi="Times New Roman" w:eastAsia="宋体" w:cs="Times New Roman"/>
                <w:color w:val="auto"/>
                <w:kern w:val="0"/>
                <w:sz w:val="24"/>
                <w:szCs w:val="24"/>
                <w:highlight w:val="none"/>
                <w:lang w:val="en-US" w:eastAsia="zh-CN" w:bidi="ar"/>
              </w:rPr>
              <w:t>规划名称：</w:t>
            </w:r>
            <w:r>
              <w:rPr>
                <w:rFonts w:hint="default" w:ascii="Times New Roman" w:hAnsi="Times New Roman" w:eastAsia="宋体" w:cs="Times New Roman"/>
                <w:color w:val="auto"/>
                <w:kern w:val="0"/>
                <w:sz w:val="24"/>
                <w:szCs w:val="24"/>
                <w:highlight w:val="none"/>
                <w:lang w:val="en-US" w:eastAsia="zh-CN" w:bidi="ar"/>
              </w:rPr>
              <w:t>《新疆维吾尔自治区昌吉回族自治州矿产资源总体规划》</w:t>
            </w:r>
            <w:r>
              <w:rPr>
                <w:rFonts w:hint="default" w:ascii="Times New Roman" w:hAnsi="Times New Roman" w:eastAsia="宋体" w:cs="Times New Roman"/>
                <w:color w:val="auto"/>
                <w:spacing w:val="0"/>
                <w:sz w:val="24"/>
                <w:highlight w:val="none"/>
                <w:lang w:eastAsia="zh-CN"/>
              </w:rPr>
              <w:t>（</w:t>
            </w:r>
            <w:r>
              <w:rPr>
                <w:rFonts w:hint="default" w:ascii="Times New Roman" w:hAnsi="Times New Roman" w:eastAsia="宋体" w:cs="Times New Roman"/>
                <w:color w:val="auto"/>
                <w:spacing w:val="0"/>
                <w:sz w:val="24"/>
                <w:highlight w:val="none"/>
                <w:lang w:val="en-US" w:eastAsia="zh-CN"/>
              </w:rPr>
              <w:t>2021-2025</w:t>
            </w:r>
            <w:r>
              <w:rPr>
                <w:rFonts w:hint="default" w:ascii="Times New Roman" w:hAnsi="Times New Roman" w:eastAsia="宋体" w:cs="Times New Roman"/>
                <w:color w:val="auto"/>
                <w:spacing w:val="0"/>
                <w:sz w:val="24"/>
                <w:highlight w:val="none"/>
                <w:lang w:eastAsia="zh-CN"/>
              </w:rPr>
              <w:t>）</w:t>
            </w:r>
          </w:p>
          <w:p w14:paraId="77DD6EC8">
            <w:pPr>
              <w:keepNext w:val="0"/>
              <w:keepLines w:val="0"/>
              <w:pageBreakBefore w:val="0"/>
              <w:kinsoku/>
              <w:overflowPunct/>
              <w:topLinePunct w:val="0"/>
              <w:autoSpaceDE w:val="0"/>
              <w:autoSpaceDN w:val="0"/>
              <w:bidi w:val="0"/>
              <w:adjustRightInd w:val="0"/>
              <w:snapToGrid w:val="0"/>
              <w:spacing w:beforeAutospacing="0" w:afterAutospacing="0" w:line="360" w:lineRule="auto"/>
              <w:ind w:left="0" w:leftChars="0" w:right="0"/>
              <w:jc w:val="both"/>
              <w:rPr>
                <w:rFonts w:hint="eastAsia" w:ascii="Times New Roman" w:hAnsi="Times New Roman" w:eastAsia="宋体" w:cs="Times New Roman"/>
                <w:color w:val="auto"/>
                <w:spacing w:val="0"/>
                <w:sz w:val="24"/>
                <w:highlight w:val="none"/>
                <w:lang w:val="en-US" w:eastAsia="zh-CN"/>
              </w:rPr>
            </w:pPr>
            <w:r>
              <w:rPr>
                <w:rFonts w:hint="eastAsia" w:ascii="Times New Roman" w:hAnsi="Times New Roman" w:eastAsia="宋体" w:cs="Times New Roman"/>
                <w:color w:val="auto"/>
                <w:spacing w:val="0"/>
                <w:sz w:val="24"/>
                <w:highlight w:val="none"/>
                <w:lang w:val="en-US" w:eastAsia="zh-CN"/>
              </w:rPr>
              <w:t>审批机关：自然资源部</w:t>
            </w:r>
          </w:p>
          <w:p w14:paraId="4C1D9799">
            <w:pPr>
              <w:keepNext w:val="0"/>
              <w:keepLines w:val="0"/>
              <w:pageBreakBefore w:val="0"/>
              <w:kinsoku/>
              <w:overflowPunct/>
              <w:topLinePunct w:val="0"/>
              <w:autoSpaceDE w:val="0"/>
              <w:autoSpaceDN w:val="0"/>
              <w:bidi w:val="0"/>
              <w:adjustRightInd w:val="0"/>
              <w:snapToGrid w:val="0"/>
              <w:spacing w:beforeAutospacing="0" w:afterAutospacing="0" w:line="360" w:lineRule="auto"/>
              <w:ind w:left="0" w:leftChars="0" w:right="0"/>
              <w:jc w:val="both"/>
              <w:rPr>
                <w:rFonts w:hint="default" w:ascii="Times New Roman" w:hAnsi="Times New Roman" w:eastAsia="宋体" w:cs="Times New Roman"/>
                <w:color w:val="auto"/>
                <w:spacing w:val="0"/>
                <w:sz w:val="24"/>
                <w:highlight w:val="none"/>
                <w:lang w:val="en-US" w:eastAsia="zh-CN"/>
              </w:rPr>
            </w:pPr>
            <w:r>
              <w:rPr>
                <w:rFonts w:hint="eastAsia" w:ascii="Times New Roman" w:hAnsi="Times New Roman" w:eastAsia="宋体" w:cs="Times New Roman"/>
                <w:color w:val="auto"/>
                <w:spacing w:val="0"/>
                <w:sz w:val="24"/>
                <w:highlight w:val="none"/>
                <w:lang w:val="en-US" w:eastAsia="zh-CN"/>
              </w:rPr>
              <w:t>审批文号：自然资函〔2022〕1092号</w:t>
            </w:r>
          </w:p>
        </w:tc>
      </w:tr>
      <w:tr w14:paraId="107505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8" w:hRule="atLeast"/>
          <w:jc w:val="center"/>
        </w:trPr>
        <w:tc>
          <w:tcPr>
            <w:tcW w:w="1244" w:type="dxa"/>
            <w:noWrap w:val="0"/>
            <w:tcMar>
              <w:top w:w="16" w:type="dxa"/>
              <w:left w:w="16" w:type="dxa"/>
              <w:right w:w="16" w:type="dxa"/>
            </w:tcMar>
            <w:vAlign w:val="center"/>
          </w:tcPr>
          <w:p w14:paraId="7B29ADD0">
            <w:pPr>
              <w:keepNext w:val="0"/>
              <w:keepLines w:val="0"/>
              <w:pageBreakBefore w:val="0"/>
              <w:kinsoku/>
              <w:overflowPunct/>
              <w:topLinePunct w:val="0"/>
              <w:autoSpaceDE w:val="0"/>
              <w:autoSpaceDN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kern w:val="0"/>
                <w:position w:val="0"/>
                <w:sz w:val="24"/>
                <w:szCs w:val="24"/>
                <w:highlight w:val="none"/>
              </w:rPr>
            </w:pPr>
            <w:r>
              <w:rPr>
                <w:rFonts w:hint="default" w:ascii="Times New Roman" w:hAnsi="Times New Roman" w:eastAsia="宋体" w:cs="Times New Roman"/>
                <w:color w:val="auto"/>
                <w:spacing w:val="0"/>
                <w:w w:val="100"/>
                <w:kern w:val="0"/>
                <w:position w:val="0"/>
                <w:sz w:val="24"/>
                <w:szCs w:val="24"/>
                <w:highlight w:val="none"/>
              </w:rPr>
              <w:t>规划环境影响评价情况</w:t>
            </w:r>
          </w:p>
        </w:tc>
        <w:tc>
          <w:tcPr>
            <w:tcW w:w="7516" w:type="dxa"/>
            <w:gridSpan w:val="3"/>
            <w:noWrap w:val="0"/>
            <w:tcMar>
              <w:top w:w="16" w:type="dxa"/>
              <w:left w:w="16" w:type="dxa"/>
              <w:right w:w="16" w:type="dxa"/>
            </w:tcMar>
            <w:vAlign w:val="center"/>
          </w:tcPr>
          <w:p w14:paraId="04AEA5CF">
            <w:pPr>
              <w:keepNext w:val="0"/>
              <w:keepLines w:val="0"/>
              <w:pageBreakBefore w:val="0"/>
              <w:kinsoku/>
              <w:overflowPunct/>
              <w:topLinePunct w:val="0"/>
              <w:autoSpaceDE w:val="0"/>
              <w:autoSpaceDN w:val="0"/>
              <w:bidi w:val="0"/>
              <w:adjustRightInd w:val="0"/>
              <w:snapToGrid w:val="0"/>
              <w:spacing w:beforeAutospacing="0" w:afterAutospacing="0" w:line="360" w:lineRule="auto"/>
              <w:ind w:left="0" w:leftChars="0" w:right="0"/>
              <w:jc w:val="both"/>
              <w:rPr>
                <w:rFonts w:hint="default"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文件名称：</w:t>
            </w:r>
            <w:r>
              <w:rPr>
                <w:rFonts w:hint="default" w:ascii="Times New Roman" w:hAnsi="Times New Roman" w:eastAsia="宋体" w:cs="Times New Roman"/>
                <w:color w:val="auto"/>
                <w:kern w:val="0"/>
                <w:sz w:val="24"/>
                <w:szCs w:val="24"/>
                <w:highlight w:val="none"/>
                <w:lang w:val="en-US" w:eastAsia="zh-CN" w:bidi="ar"/>
              </w:rPr>
              <w:t>《新疆维吾尔自治区矿产资源总体规划（2021-2025）环境影响报告书》</w:t>
            </w:r>
          </w:p>
          <w:p w14:paraId="742E1955">
            <w:pPr>
              <w:keepNext w:val="0"/>
              <w:keepLines w:val="0"/>
              <w:pageBreakBefore w:val="0"/>
              <w:kinsoku/>
              <w:overflowPunct/>
              <w:topLinePunct w:val="0"/>
              <w:autoSpaceDE w:val="0"/>
              <w:autoSpaceDN w:val="0"/>
              <w:bidi w:val="0"/>
              <w:adjustRightInd w:val="0"/>
              <w:snapToGrid w:val="0"/>
              <w:spacing w:beforeAutospacing="0" w:afterAutospacing="0" w:line="360" w:lineRule="auto"/>
              <w:ind w:left="0" w:leftChars="0" w:right="0"/>
              <w:jc w:val="both"/>
              <w:rPr>
                <w:rFonts w:hint="eastAsia" w:ascii="Times New Roman" w:hAnsi="Times New Roman" w:eastAsia="宋体" w:cs="Times New Roman"/>
                <w:color w:val="auto"/>
                <w:kern w:val="0"/>
                <w:sz w:val="24"/>
                <w:szCs w:val="24"/>
                <w:highlight w:val="none"/>
                <w:lang w:val="en-US" w:eastAsia="zh-CN" w:bidi="ar"/>
              </w:rPr>
            </w:pPr>
            <w:r>
              <w:rPr>
                <w:rFonts w:hint="eastAsia" w:ascii="Times New Roman" w:hAnsi="Times New Roman" w:eastAsia="宋体" w:cs="Times New Roman"/>
                <w:color w:val="auto"/>
                <w:kern w:val="0"/>
                <w:sz w:val="24"/>
                <w:szCs w:val="24"/>
                <w:highlight w:val="none"/>
                <w:lang w:val="en-US" w:eastAsia="zh-CN" w:bidi="ar"/>
              </w:rPr>
              <w:t>审查机关：生态环境部</w:t>
            </w:r>
          </w:p>
          <w:p w14:paraId="36F27978">
            <w:pPr>
              <w:keepNext w:val="0"/>
              <w:keepLines w:val="0"/>
              <w:pageBreakBefore w:val="0"/>
              <w:kinsoku/>
              <w:overflowPunct/>
              <w:topLinePunct w:val="0"/>
              <w:autoSpaceDE w:val="0"/>
              <w:autoSpaceDN w:val="0"/>
              <w:bidi w:val="0"/>
              <w:adjustRightInd w:val="0"/>
              <w:snapToGrid w:val="0"/>
              <w:spacing w:beforeAutospacing="0" w:afterAutospacing="0" w:line="360" w:lineRule="auto"/>
              <w:ind w:left="0" w:leftChars="0" w:right="0"/>
              <w:jc w:val="both"/>
              <w:rPr>
                <w:rFonts w:hint="default" w:ascii="Times New Roman" w:hAnsi="Times New Roman" w:eastAsia="宋体" w:cs="Times New Roman"/>
                <w:color w:val="auto"/>
                <w:spacing w:val="0"/>
                <w:highlight w:val="none"/>
                <w:lang w:val="en-US" w:eastAsia="zh-CN"/>
              </w:rPr>
            </w:pPr>
            <w:r>
              <w:rPr>
                <w:rFonts w:hint="default" w:ascii="Times New Roman" w:hAnsi="Times New Roman" w:eastAsia="宋体" w:cs="Times New Roman"/>
                <w:color w:val="auto"/>
                <w:kern w:val="0"/>
                <w:sz w:val="24"/>
                <w:szCs w:val="24"/>
                <w:highlight w:val="none"/>
                <w:lang w:val="en-US" w:eastAsia="zh-CN" w:bidi="ar"/>
              </w:rPr>
              <w:t>审查文件名称及文号：关于《新疆维吾尔自治区矿产资源总体规划（2021—2025年）环境影响报告书》的审查意见，环审〔2022〕124号</w:t>
            </w:r>
          </w:p>
        </w:tc>
      </w:tr>
      <w:tr w14:paraId="479AA9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244" w:type="dxa"/>
            <w:noWrap w:val="0"/>
            <w:tcMar>
              <w:top w:w="16" w:type="dxa"/>
              <w:left w:w="16" w:type="dxa"/>
              <w:right w:w="16" w:type="dxa"/>
            </w:tcMar>
            <w:vAlign w:val="center"/>
          </w:tcPr>
          <w:p w14:paraId="01A7B015">
            <w:pPr>
              <w:keepNext w:val="0"/>
              <w:keepLines w:val="0"/>
              <w:pageBreakBefore w:val="0"/>
              <w:kinsoku/>
              <w:overflowPunct/>
              <w:topLinePunct w:val="0"/>
              <w:autoSpaceDE w:val="0"/>
              <w:autoSpaceDN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kern w:val="0"/>
                <w:position w:val="0"/>
                <w:sz w:val="24"/>
                <w:szCs w:val="24"/>
                <w:highlight w:val="none"/>
              </w:rPr>
            </w:pPr>
            <w:r>
              <w:rPr>
                <w:rFonts w:hint="default" w:ascii="Times New Roman" w:hAnsi="Times New Roman" w:eastAsia="宋体" w:cs="Times New Roman"/>
                <w:color w:val="auto"/>
                <w:spacing w:val="0"/>
                <w:w w:val="100"/>
                <w:kern w:val="0"/>
                <w:position w:val="0"/>
                <w:sz w:val="24"/>
                <w:szCs w:val="24"/>
                <w:highlight w:val="none"/>
              </w:rPr>
              <w:t>规划及规划环境影响评价符合性分析</w:t>
            </w:r>
          </w:p>
        </w:tc>
        <w:tc>
          <w:tcPr>
            <w:tcW w:w="7516" w:type="dxa"/>
            <w:gridSpan w:val="3"/>
            <w:noWrap w:val="0"/>
            <w:tcMar>
              <w:top w:w="16" w:type="dxa"/>
              <w:left w:w="16" w:type="dxa"/>
              <w:right w:w="16" w:type="dxa"/>
            </w:tcMar>
            <w:vAlign w:val="center"/>
          </w:tcPr>
          <w:p w14:paraId="34FDB2C2">
            <w:pPr>
              <w:keepNext w:val="0"/>
              <w:keepLines w:val="0"/>
              <w:pageBreakBefore w:val="0"/>
              <w:kinsoku/>
              <w:overflowPunct/>
              <w:topLinePunct w:val="0"/>
              <w:autoSpaceDE w:val="0"/>
              <w:autoSpaceDN w:val="0"/>
              <w:bidi w:val="0"/>
              <w:adjustRightInd w:val="0"/>
              <w:snapToGrid w:val="0"/>
              <w:spacing w:beforeAutospacing="0" w:afterAutospacing="0" w:line="360" w:lineRule="auto"/>
              <w:ind w:right="0"/>
              <w:rPr>
                <w:rFonts w:hint="default" w:ascii="Times New Roman" w:hAnsi="Times New Roman" w:eastAsia="宋体" w:cs="Times New Roman"/>
                <w:b/>
                <w:bCs/>
                <w:color w:val="auto"/>
                <w:spacing w:val="0"/>
                <w:sz w:val="24"/>
                <w:highlight w:val="none"/>
                <w:lang w:val="en-US" w:eastAsia="zh-CN"/>
              </w:rPr>
            </w:pPr>
            <w:r>
              <w:rPr>
                <w:rFonts w:hint="default" w:ascii="Times New Roman" w:hAnsi="Times New Roman" w:eastAsia="宋体" w:cs="Times New Roman"/>
                <w:b/>
                <w:bCs/>
                <w:color w:val="auto"/>
                <w:spacing w:val="0"/>
                <w:sz w:val="24"/>
                <w:highlight w:val="none"/>
                <w:lang w:val="en-US" w:eastAsia="zh-CN"/>
              </w:rPr>
              <w:t>1.项目与《新疆维吾尔自治区昌吉回族自治州矿产资源总体规划》（2021-2025）</w:t>
            </w:r>
          </w:p>
          <w:p w14:paraId="46374A12">
            <w:pPr>
              <w:pStyle w:val="51"/>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《新疆维吾尔自治区昌吉回族自治州矿产资源总体规划》提出：</w:t>
            </w:r>
          </w:p>
          <w:p w14:paraId="5F52927A">
            <w:pPr>
              <w:pStyle w:val="51"/>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建立完善的绿色矿山标准体系和完善的管理制度，研究形成配套绿色矿山建设的激励机制。到2025年，全州绿色矿山格局基本形成，新建矿山全部按照绿色矿山标准建设；生产矿山加快改造升级，大、中型生产矿山绿色矿山建成率完成自治区目标，小型矿山严格按照绿色矿山要求规范管理：创新资源节约集约循环利用产业发展新模式，资源集约节约利用水平显著提高，矿山地质环境得到有效保护，土地复垦水平得到全面提升。</w:t>
            </w:r>
          </w:p>
          <w:p w14:paraId="06D7B157">
            <w:pPr>
              <w:pStyle w:val="51"/>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2.开展对建设绿色矿业目标的研究，开展采矿对环境、土地损毁机理以及土地复垦和选矿重建的新技术、新方法研究，为恢复因矿产资源开采而造成的生态破坏和环境污染提供理论技术支撑。</w:t>
            </w:r>
          </w:p>
          <w:p w14:paraId="78073795">
            <w:pPr>
              <w:pStyle w:val="51"/>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3.鼓励矿山企业发展智能化设计控制系统，实现勘查、开采全流程自动控制和动态全局优化，朝着智能矿山的建设目标迈进。优先推进煤炭行业智能化技术装备的研发与应用，以数字化、智能化、自动化采矿装备为核心，以智能设计与生产管理软件系统为平台，通过对矿山生产对象和过程进行实时、动态、智能化监测与控制，实现矿山开采的安全、高效、经济和效益最大化。</w:t>
            </w:r>
          </w:p>
          <w:p w14:paraId="6F410774">
            <w:pPr>
              <w:pStyle w:val="51"/>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spacing w:val="0"/>
                <w:w w:val="100"/>
                <w:kern w:val="2"/>
                <w:position w:val="0"/>
                <w:sz w:val="24"/>
                <w:szCs w:val="24"/>
                <w:highlight w:val="none"/>
                <w:lang w:val="en-US" w:eastAsia="zh-CN" w:bidi="ar-SA"/>
              </w:rPr>
              <w:t>本次建筑用砂矿用于将淖铁路改建白石湖至将军庙线增建第二线工程建设铁路路基填筑用砂石料，项目运营期主要是砂石料的开采、破碎、筛分等工序最后外售，符合</w:t>
            </w:r>
            <w:r>
              <w:rPr>
                <w:rFonts w:hint="default" w:ascii="Times New Roman" w:hAnsi="Times New Roman" w:eastAsia="宋体" w:cs="Times New Roman"/>
                <w:color w:val="auto"/>
                <w:highlight w:val="none"/>
                <w:lang w:val="en-US" w:eastAsia="zh-CN"/>
              </w:rPr>
              <w:t>资源集约节约利用水平显著提高的任务目标；项目运营期先将剥离表</w:t>
            </w:r>
            <w:r>
              <w:rPr>
                <w:rFonts w:hint="default" w:ascii="Times New Roman" w:hAnsi="Times New Roman" w:eastAsia="宋体" w:cs="Times New Roman"/>
                <w:highlight w:val="none"/>
                <w:lang w:val="en-US" w:eastAsia="zh-CN"/>
              </w:rPr>
              <w:t>层</w:t>
            </w:r>
            <w:r>
              <w:rPr>
                <w:rFonts w:hint="default" w:ascii="Times New Roman" w:hAnsi="Times New Roman" w:eastAsia="宋体" w:cs="Times New Roman"/>
                <w:color w:val="auto"/>
                <w:highlight w:val="none"/>
                <w:lang w:val="en-US" w:eastAsia="zh-CN"/>
              </w:rPr>
              <w:t>土堆放至表土堆场，定期洒水降尘，项目区开采深度较浅，不涉及爆破、不涉及地下开采，能够实现矿山开采的安全、高效、经济和效益最大化；项目开采期结束后，进行土地复垦，复垦后能够解决开采而造成的生态破坏和环境污染问题。</w:t>
            </w:r>
          </w:p>
          <w:p w14:paraId="79517A7E">
            <w:pPr>
              <w:keepNext w:val="0"/>
              <w:keepLines w:val="0"/>
              <w:pageBreakBefore w:val="0"/>
              <w:kinsoku/>
              <w:overflowPunct/>
              <w:topLinePunct w:val="0"/>
              <w:autoSpaceDE w:val="0"/>
              <w:autoSpaceDN w:val="0"/>
              <w:bidi w:val="0"/>
              <w:adjustRightInd w:val="0"/>
              <w:snapToGrid w:val="0"/>
              <w:spacing w:beforeAutospacing="0" w:afterAutospacing="0" w:line="360" w:lineRule="auto"/>
              <w:ind w:left="0" w:leftChars="0" w:right="0"/>
              <w:rPr>
                <w:rFonts w:hint="default" w:ascii="Times New Roman" w:hAnsi="Times New Roman" w:eastAsia="宋体" w:cs="Times New Roman"/>
                <w:b/>
                <w:color w:val="auto"/>
                <w:spacing w:val="0"/>
                <w:w w:val="100"/>
                <w:kern w:val="0"/>
                <w:position w:val="0"/>
                <w:sz w:val="24"/>
                <w:szCs w:val="24"/>
                <w:highlight w:val="none"/>
                <w:lang w:val="en-US" w:eastAsia="zh-CN"/>
              </w:rPr>
            </w:pPr>
            <w:r>
              <w:rPr>
                <w:rFonts w:hint="default" w:ascii="Times New Roman" w:hAnsi="Times New Roman" w:eastAsia="宋体" w:cs="Times New Roman"/>
                <w:b/>
                <w:color w:val="auto"/>
                <w:spacing w:val="0"/>
                <w:w w:val="100"/>
                <w:kern w:val="0"/>
                <w:position w:val="0"/>
                <w:sz w:val="24"/>
                <w:szCs w:val="24"/>
                <w:highlight w:val="none"/>
                <w:lang w:val="en-US" w:eastAsia="zh-CN"/>
              </w:rPr>
              <w:t>2.与《新疆维吾尔自治区矿产资源总体规划（2021-2025）环境影响报告书》符合性分析</w:t>
            </w:r>
          </w:p>
          <w:p w14:paraId="5B675A44">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right="0" w:firstLine="480" w:firstLineChars="200"/>
              <w:rPr>
                <w:rFonts w:hint="default" w:ascii="Times New Roman" w:hAnsi="Times New Roman" w:eastAsia="宋体" w:cs="Times New Roman"/>
                <w:color w:val="auto"/>
                <w:spacing w:val="0"/>
                <w:w w:val="100"/>
                <w:kern w:val="0"/>
                <w:position w:val="0"/>
                <w:sz w:val="24"/>
                <w:szCs w:val="24"/>
                <w:highlight w:val="none"/>
                <w:lang w:val="en-US" w:eastAsia="zh-CN"/>
              </w:rPr>
            </w:pPr>
            <w:r>
              <w:rPr>
                <w:rFonts w:hint="default" w:ascii="Times New Roman" w:hAnsi="Times New Roman" w:eastAsia="宋体" w:cs="Times New Roman"/>
                <w:color w:val="auto"/>
                <w:spacing w:val="0"/>
                <w:w w:val="100"/>
                <w:kern w:val="0"/>
                <w:position w:val="0"/>
                <w:sz w:val="24"/>
                <w:szCs w:val="24"/>
                <w:highlight w:val="none"/>
                <w:lang w:val="en-US" w:eastAsia="zh-CN"/>
              </w:rPr>
              <w:t>规划环评提出：合理控制矿产资源开发规模与强度，优先避让生态敏感区（如自然保护区、水源地等），不得占用禁止开发区域。实施污染物达标排放，落实“三同时”制度（污染防治设施与主体工程同时设计、施工、投产）。加强废水、固废、废气治理，推广清洁生产技术。对开发活动造成的生态破坏采取有效恢复措施，减少土地沙化与水土流失。</w:t>
            </w:r>
          </w:p>
          <w:p w14:paraId="31FF27E5">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right="0" w:firstLine="480" w:firstLineChars="200"/>
              <w:rPr>
                <w:rFonts w:hint="default"/>
                <w:lang w:val="en-US" w:eastAsia="zh-CN"/>
              </w:rPr>
            </w:pPr>
            <w:r>
              <w:rPr>
                <w:rFonts w:hint="default" w:ascii="Times New Roman" w:hAnsi="Times New Roman" w:eastAsia="宋体" w:cs="Times New Roman"/>
                <w:color w:val="auto"/>
                <w:spacing w:val="0"/>
                <w:w w:val="100"/>
                <w:kern w:val="0"/>
                <w:position w:val="0"/>
                <w:sz w:val="24"/>
                <w:szCs w:val="24"/>
                <w:highlight w:val="none"/>
                <w:lang w:val="en-US" w:eastAsia="zh-CN"/>
              </w:rPr>
              <w:t>本项目占地范围内不涉及自然保护区、饮用水源保护区、风景名胜区、森林公园及其他需要特别保护的环境敏感区和禁止开发区域；本次环评对项目“三废”、噪声及生态影响均提出了相应的治理或减缓措施，采取措施后污染物可达标排放或得到妥善处置。符合规划环评相关要求。</w:t>
            </w:r>
          </w:p>
        </w:tc>
      </w:tr>
      <w:tr w14:paraId="5D2DD7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244" w:type="dxa"/>
            <w:noWrap w:val="0"/>
            <w:tcMar>
              <w:top w:w="16" w:type="dxa"/>
              <w:left w:w="16" w:type="dxa"/>
              <w:right w:w="16" w:type="dxa"/>
            </w:tcMar>
            <w:vAlign w:val="center"/>
          </w:tcPr>
          <w:p w14:paraId="3A011D63">
            <w:pPr>
              <w:keepNext w:val="0"/>
              <w:keepLines w:val="0"/>
              <w:pageBreakBefore w:val="0"/>
              <w:kinsoku/>
              <w:overflowPunct/>
              <w:topLinePunct w:val="0"/>
              <w:autoSpaceDE w:val="0"/>
              <w:autoSpaceDN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kern w:val="0"/>
                <w:position w:val="0"/>
                <w:sz w:val="24"/>
                <w:szCs w:val="24"/>
                <w:highlight w:val="none"/>
              </w:rPr>
            </w:pPr>
            <w:bookmarkStart w:id="1" w:name="_Hlk56690880"/>
            <w:r>
              <w:rPr>
                <w:rFonts w:hint="default" w:ascii="Times New Roman" w:hAnsi="Times New Roman" w:eastAsia="宋体" w:cs="Times New Roman"/>
                <w:color w:val="auto"/>
                <w:spacing w:val="0"/>
                <w:w w:val="100"/>
                <w:kern w:val="0"/>
                <w:position w:val="0"/>
                <w:sz w:val="24"/>
                <w:szCs w:val="24"/>
                <w:highlight w:val="none"/>
              </w:rPr>
              <w:t>其他符合性分析</w:t>
            </w:r>
            <w:bookmarkEnd w:id="1"/>
          </w:p>
        </w:tc>
        <w:tc>
          <w:tcPr>
            <w:tcW w:w="7516" w:type="dxa"/>
            <w:gridSpan w:val="3"/>
            <w:noWrap w:val="0"/>
            <w:tcMar>
              <w:top w:w="16" w:type="dxa"/>
              <w:left w:w="16" w:type="dxa"/>
              <w:right w:w="16" w:type="dxa"/>
            </w:tcMar>
            <w:vAlign w:val="center"/>
          </w:tcPr>
          <w:p w14:paraId="45266F67">
            <w:pPr>
              <w:keepNext w:val="0"/>
              <w:keepLines w:val="0"/>
              <w:pageBreakBefore w:val="0"/>
              <w:kinsoku/>
              <w:overflowPunct/>
              <w:topLinePunct w:val="0"/>
              <w:autoSpaceDE w:val="0"/>
              <w:autoSpaceDN w:val="0"/>
              <w:bidi w:val="0"/>
              <w:adjustRightInd w:val="0"/>
              <w:snapToGrid w:val="0"/>
              <w:spacing w:beforeAutospacing="0" w:afterAutospacing="0" w:line="360" w:lineRule="auto"/>
              <w:ind w:left="0" w:leftChars="0" w:right="0"/>
              <w:rPr>
                <w:rFonts w:hint="default" w:ascii="Times New Roman" w:hAnsi="Times New Roman" w:eastAsia="宋体" w:cs="Times New Roman"/>
                <w:b/>
                <w:color w:val="auto"/>
                <w:spacing w:val="0"/>
                <w:w w:val="100"/>
                <w:kern w:val="0"/>
                <w:position w:val="0"/>
                <w:sz w:val="24"/>
                <w:szCs w:val="24"/>
                <w:highlight w:val="none"/>
              </w:rPr>
            </w:pPr>
            <w:r>
              <w:rPr>
                <w:rFonts w:hint="default" w:ascii="Times New Roman" w:hAnsi="Times New Roman" w:eastAsia="宋体" w:cs="Times New Roman"/>
                <w:b/>
                <w:color w:val="auto"/>
                <w:spacing w:val="0"/>
                <w:w w:val="100"/>
                <w:kern w:val="0"/>
                <w:position w:val="0"/>
                <w:sz w:val="24"/>
                <w:szCs w:val="24"/>
                <w:highlight w:val="none"/>
                <w:lang w:val="en-US" w:eastAsia="zh-CN"/>
              </w:rPr>
              <w:t>1.产业政策的符合性分析</w:t>
            </w:r>
          </w:p>
          <w:p w14:paraId="648138ED">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firstLine="480" w:firstLineChars="200"/>
              <w:rPr>
                <w:rFonts w:hint="default" w:ascii="Times New Roman" w:hAnsi="Times New Roman" w:eastAsia="宋体" w:cs="Times New Roman"/>
                <w:color w:val="auto"/>
                <w:spacing w:val="0"/>
                <w:w w:val="100"/>
                <w:kern w:val="0"/>
                <w:position w:val="0"/>
                <w:sz w:val="24"/>
                <w:szCs w:val="24"/>
                <w:highlight w:val="none"/>
              </w:rPr>
            </w:pPr>
            <w:r>
              <w:rPr>
                <w:rFonts w:hint="default" w:ascii="Times New Roman" w:hAnsi="Times New Roman" w:eastAsia="宋体" w:cs="Times New Roman"/>
                <w:color w:val="auto"/>
                <w:spacing w:val="0"/>
                <w:w w:val="100"/>
                <w:kern w:val="0"/>
                <w:position w:val="0"/>
                <w:sz w:val="24"/>
                <w:szCs w:val="24"/>
                <w:highlight w:val="none"/>
              </w:rPr>
              <w:t>本项目属土砂石开采项目，对照《产业结构调整指导目录（20</w:t>
            </w:r>
            <w:r>
              <w:rPr>
                <w:rFonts w:hint="default" w:ascii="Times New Roman" w:hAnsi="Times New Roman" w:eastAsia="宋体" w:cs="Times New Roman"/>
                <w:color w:val="auto"/>
                <w:spacing w:val="0"/>
                <w:w w:val="100"/>
                <w:kern w:val="0"/>
                <w:position w:val="0"/>
                <w:sz w:val="24"/>
                <w:szCs w:val="24"/>
                <w:highlight w:val="none"/>
                <w:lang w:val="en-US" w:eastAsia="zh-CN"/>
              </w:rPr>
              <w:t>24</w:t>
            </w:r>
            <w:r>
              <w:rPr>
                <w:rFonts w:hint="default" w:ascii="Times New Roman" w:hAnsi="Times New Roman" w:eastAsia="宋体" w:cs="Times New Roman"/>
                <w:color w:val="auto"/>
                <w:spacing w:val="0"/>
                <w:w w:val="100"/>
                <w:kern w:val="0"/>
                <w:position w:val="0"/>
                <w:sz w:val="24"/>
                <w:szCs w:val="24"/>
                <w:highlight w:val="none"/>
              </w:rPr>
              <w:t>年本）》，本项目</w:t>
            </w:r>
            <w:r>
              <w:rPr>
                <w:rFonts w:hint="default" w:ascii="Times New Roman" w:hAnsi="Times New Roman" w:eastAsia="宋体" w:cs="Times New Roman"/>
                <w:color w:val="auto"/>
                <w:spacing w:val="0"/>
                <w:w w:val="100"/>
                <w:kern w:val="0"/>
                <w:position w:val="0"/>
                <w:sz w:val="24"/>
                <w:szCs w:val="24"/>
                <w:highlight w:val="none"/>
                <w:lang w:val="en-US" w:eastAsia="zh-CN"/>
              </w:rPr>
              <w:t>不属于</w:t>
            </w:r>
            <w:r>
              <w:rPr>
                <w:rFonts w:hint="default" w:ascii="Times New Roman" w:hAnsi="Times New Roman" w:eastAsia="宋体" w:cs="Times New Roman"/>
                <w:color w:val="auto"/>
                <w:spacing w:val="0"/>
                <w:w w:val="100"/>
                <w:kern w:val="0"/>
                <w:position w:val="0"/>
                <w:sz w:val="24"/>
                <w:szCs w:val="24"/>
                <w:highlight w:val="none"/>
              </w:rPr>
              <w:t>鼓励类、限制类和淘汰类，</w:t>
            </w:r>
            <w:r>
              <w:rPr>
                <w:rFonts w:hint="default" w:ascii="Times New Roman" w:hAnsi="Times New Roman" w:eastAsia="宋体" w:cs="Times New Roman"/>
                <w:color w:val="auto"/>
                <w:spacing w:val="0"/>
                <w:w w:val="100"/>
                <w:kern w:val="0"/>
                <w:position w:val="0"/>
                <w:sz w:val="24"/>
                <w:szCs w:val="24"/>
                <w:highlight w:val="none"/>
                <w:lang w:val="en-US" w:eastAsia="zh-CN"/>
              </w:rPr>
              <w:t>为</w:t>
            </w:r>
            <w:r>
              <w:rPr>
                <w:rFonts w:hint="default" w:ascii="Times New Roman" w:hAnsi="Times New Roman" w:eastAsia="宋体" w:cs="Times New Roman"/>
                <w:color w:val="auto"/>
                <w:spacing w:val="0"/>
                <w:w w:val="100"/>
                <w:kern w:val="0"/>
                <w:position w:val="0"/>
                <w:sz w:val="24"/>
                <w:szCs w:val="24"/>
                <w:highlight w:val="none"/>
              </w:rPr>
              <w:t>允许类</w:t>
            </w:r>
            <w:r>
              <w:rPr>
                <w:rFonts w:hint="default" w:ascii="Times New Roman" w:hAnsi="Times New Roman" w:eastAsia="宋体" w:cs="Times New Roman"/>
                <w:color w:val="auto"/>
                <w:spacing w:val="0"/>
                <w:w w:val="100"/>
                <w:kern w:val="0"/>
                <w:position w:val="0"/>
                <w:sz w:val="24"/>
                <w:szCs w:val="24"/>
                <w:highlight w:val="none"/>
                <w:lang w:val="en-US" w:eastAsia="zh-CN"/>
              </w:rPr>
              <w:t>建设项目</w:t>
            </w:r>
            <w:r>
              <w:rPr>
                <w:rFonts w:hint="default" w:ascii="Times New Roman" w:hAnsi="Times New Roman" w:eastAsia="宋体" w:cs="Times New Roman"/>
                <w:color w:val="auto"/>
                <w:spacing w:val="0"/>
                <w:w w:val="100"/>
                <w:kern w:val="0"/>
                <w:position w:val="0"/>
                <w:sz w:val="24"/>
                <w:szCs w:val="24"/>
                <w:highlight w:val="none"/>
              </w:rPr>
              <w:t>，因此，本项目建设符合现行国家相关产业政策。</w:t>
            </w:r>
          </w:p>
          <w:p w14:paraId="52FD8421">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rPr>
                <w:rFonts w:hint="default" w:ascii="Times New Roman" w:hAnsi="Times New Roman" w:eastAsia="宋体" w:cs="Times New Roman"/>
                <w:b/>
                <w:color w:val="auto"/>
                <w:spacing w:val="0"/>
                <w:w w:val="100"/>
                <w:kern w:val="0"/>
                <w:position w:val="0"/>
                <w:sz w:val="24"/>
                <w:szCs w:val="24"/>
                <w:highlight w:val="none"/>
              </w:rPr>
            </w:pPr>
            <w:r>
              <w:rPr>
                <w:rFonts w:hint="default" w:ascii="Times New Roman" w:hAnsi="Times New Roman" w:eastAsia="宋体" w:cs="Times New Roman"/>
                <w:b/>
                <w:color w:val="auto"/>
                <w:spacing w:val="0"/>
                <w:w w:val="100"/>
                <w:kern w:val="0"/>
                <w:position w:val="0"/>
                <w:sz w:val="24"/>
                <w:szCs w:val="24"/>
                <w:highlight w:val="none"/>
                <w:lang w:val="en-US" w:eastAsia="zh-CN"/>
              </w:rPr>
              <w:t>2.</w:t>
            </w:r>
            <w:r>
              <w:rPr>
                <w:rFonts w:hint="default" w:ascii="Times New Roman" w:hAnsi="Times New Roman" w:eastAsia="宋体" w:cs="Times New Roman"/>
                <w:b/>
                <w:color w:val="auto"/>
                <w:spacing w:val="0"/>
                <w:w w:val="100"/>
                <w:kern w:val="0"/>
                <w:position w:val="0"/>
                <w:sz w:val="24"/>
                <w:szCs w:val="24"/>
                <w:highlight w:val="none"/>
              </w:rPr>
              <w:t>“</w:t>
            </w:r>
            <w:r>
              <w:rPr>
                <w:rFonts w:hint="default" w:ascii="Times New Roman" w:hAnsi="Times New Roman" w:eastAsia="宋体" w:cs="Times New Roman"/>
                <w:b/>
                <w:color w:val="auto"/>
                <w:spacing w:val="0"/>
                <w:w w:val="100"/>
                <w:kern w:val="0"/>
                <w:position w:val="0"/>
                <w:sz w:val="24"/>
                <w:szCs w:val="24"/>
                <w:highlight w:val="none"/>
                <w:lang w:val="en-US" w:eastAsia="zh-CN"/>
              </w:rPr>
              <w:t>生态环境分区管控方案</w:t>
            </w:r>
            <w:r>
              <w:rPr>
                <w:rFonts w:hint="default" w:ascii="Times New Roman" w:hAnsi="Times New Roman" w:eastAsia="宋体" w:cs="Times New Roman"/>
                <w:b/>
                <w:color w:val="auto"/>
                <w:spacing w:val="0"/>
                <w:w w:val="100"/>
                <w:kern w:val="0"/>
                <w:position w:val="0"/>
                <w:sz w:val="24"/>
                <w:szCs w:val="24"/>
                <w:highlight w:val="none"/>
              </w:rPr>
              <w:t>”符合性分析</w:t>
            </w:r>
          </w:p>
          <w:p w14:paraId="6CDCCDB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jc w:val="both"/>
              <w:textAlignment w:val="auto"/>
              <w:rPr>
                <w:rFonts w:hint="default" w:ascii="Times New Roman" w:hAnsi="Times New Roman" w:eastAsia="宋体" w:cs="Times New Roman"/>
                <w:b/>
                <w:bCs/>
                <w:color w:val="auto"/>
                <w:spacing w:val="0"/>
                <w:kern w:val="2"/>
                <w:sz w:val="24"/>
                <w:szCs w:val="24"/>
                <w:highlight w:val="none"/>
                <w:lang w:val="en-US" w:eastAsia="zh-CN" w:bidi="ar-SA"/>
              </w:rPr>
            </w:pPr>
            <w:r>
              <w:rPr>
                <w:rFonts w:hint="default" w:ascii="Times New Roman" w:hAnsi="Times New Roman" w:eastAsia="宋体" w:cs="Times New Roman"/>
                <w:b/>
                <w:bCs/>
                <w:color w:val="auto"/>
                <w:spacing w:val="0"/>
                <w:w w:val="100"/>
                <w:kern w:val="0"/>
                <w:position w:val="0"/>
                <w:sz w:val="24"/>
                <w:szCs w:val="24"/>
                <w:highlight w:val="none"/>
                <w:lang w:val="en-US" w:eastAsia="zh-CN"/>
              </w:rPr>
              <w:t>2.1</w:t>
            </w:r>
            <w:r>
              <w:rPr>
                <w:rFonts w:hint="default" w:ascii="Times New Roman" w:hAnsi="Times New Roman" w:eastAsia="宋体" w:cs="Times New Roman"/>
                <w:b/>
                <w:bCs/>
                <w:color w:val="auto"/>
                <w:spacing w:val="0"/>
                <w:kern w:val="2"/>
                <w:sz w:val="24"/>
                <w:szCs w:val="24"/>
                <w:highlight w:val="none"/>
                <w:lang w:val="en-US" w:eastAsia="zh-CN" w:bidi="ar-SA"/>
              </w:rPr>
              <w:t>与《关于印发&lt;新疆维吾尔自治区生态环境分区管控动态更新成果&gt;的通知》符合性分析</w:t>
            </w:r>
          </w:p>
          <w:p w14:paraId="158B439B">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b/>
                <w:bCs/>
                <w:color w:val="auto"/>
                <w:spacing w:val="0"/>
                <w:highlight w:val="none"/>
                <w:lang w:val="en-US" w:eastAsia="zh-CN"/>
              </w:rPr>
            </w:pPr>
            <w:r>
              <w:rPr>
                <w:rFonts w:hint="default" w:ascii="Times New Roman" w:hAnsi="Times New Roman" w:eastAsia="宋体" w:cs="Times New Roman"/>
                <w:b/>
                <w:bCs/>
                <w:color w:val="auto"/>
                <w:spacing w:val="0"/>
                <w:highlight w:val="none"/>
                <w:lang w:val="en-US" w:eastAsia="zh-CN"/>
              </w:rPr>
              <w:t>表1-1   项目与《关于印发&lt;新疆维吾尔自治区生态环境分区管控动态更新成果&gt;的通知》符合性分析一览表</w:t>
            </w:r>
          </w:p>
          <w:tbl>
            <w:tblPr>
              <w:tblStyle w:val="38"/>
              <w:tblW w:w="4949"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527"/>
              <w:gridCol w:w="564"/>
              <w:gridCol w:w="3793"/>
              <w:gridCol w:w="1740"/>
              <w:gridCol w:w="778"/>
            </w:tblGrid>
            <w:tr w14:paraId="50CFDFE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76" w:type="dxa"/>
                  <w:gridSpan w:val="2"/>
                  <w:tcBorders>
                    <w:bottom w:val="single" w:color="000000" w:sz="12" w:space="0"/>
                  </w:tcBorders>
                  <w:noWrap w:val="0"/>
                  <w:vAlign w:val="center"/>
                </w:tcPr>
                <w:p w14:paraId="7E5D0F17">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pacing w:val="0"/>
                      <w:sz w:val="21"/>
                      <w:szCs w:val="21"/>
                      <w:highlight w:val="none"/>
                      <w:u w:val="none"/>
                    </w:rPr>
                  </w:pPr>
                  <w:r>
                    <w:rPr>
                      <w:rFonts w:hint="default" w:ascii="Times New Roman" w:hAnsi="Times New Roman" w:eastAsia="宋体" w:cs="Times New Roman"/>
                      <w:b/>
                      <w:bCs/>
                      <w:i w:val="0"/>
                      <w:iCs w:val="0"/>
                      <w:color w:val="auto"/>
                      <w:spacing w:val="0"/>
                      <w:kern w:val="0"/>
                      <w:sz w:val="21"/>
                      <w:szCs w:val="21"/>
                      <w:highlight w:val="none"/>
                      <w:u w:val="none"/>
                      <w:lang w:val="en-US" w:eastAsia="zh-CN" w:bidi="ar"/>
                    </w:rPr>
                    <w:t>管控维度</w:t>
                  </w:r>
                </w:p>
              </w:tc>
              <w:tc>
                <w:tcPr>
                  <w:tcW w:w="3742" w:type="dxa"/>
                  <w:tcBorders>
                    <w:bottom w:val="single" w:color="000000" w:sz="12" w:space="0"/>
                  </w:tcBorders>
                  <w:noWrap w:val="0"/>
                  <w:vAlign w:val="center"/>
                </w:tcPr>
                <w:p w14:paraId="524ECFB1">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pacing w:val="0"/>
                      <w:sz w:val="21"/>
                      <w:szCs w:val="21"/>
                      <w:highlight w:val="none"/>
                      <w:u w:val="none"/>
                    </w:rPr>
                  </w:pPr>
                  <w:r>
                    <w:rPr>
                      <w:rFonts w:hint="default" w:ascii="Times New Roman" w:hAnsi="Times New Roman" w:eastAsia="宋体" w:cs="Times New Roman"/>
                      <w:b/>
                      <w:bCs/>
                      <w:i w:val="0"/>
                      <w:iCs w:val="0"/>
                      <w:color w:val="auto"/>
                      <w:spacing w:val="0"/>
                      <w:kern w:val="0"/>
                      <w:sz w:val="21"/>
                      <w:szCs w:val="21"/>
                      <w:highlight w:val="none"/>
                      <w:u w:val="none"/>
                      <w:lang w:val="en-US" w:eastAsia="zh-CN" w:bidi="ar"/>
                    </w:rPr>
                    <w:t>管控要求</w:t>
                  </w:r>
                </w:p>
              </w:tc>
              <w:tc>
                <w:tcPr>
                  <w:tcW w:w="1717" w:type="dxa"/>
                  <w:tcBorders>
                    <w:bottom w:val="single" w:color="000000" w:sz="12" w:space="0"/>
                  </w:tcBorders>
                  <w:noWrap w:val="0"/>
                  <w:vAlign w:val="center"/>
                </w:tcPr>
                <w:p w14:paraId="78A53AC3">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pacing w:val="0"/>
                      <w:kern w:val="0"/>
                      <w:sz w:val="21"/>
                      <w:szCs w:val="21"/>
                      <w:highlight w:val="none"/>
                      <w:u w:val="none"/>
                      <w:lang w:val="en-US" w:eastAsia="zh-CN" w:bidi="ar"/>
                    </w:rPr>
                  </w:pPr>
                  <w:r>
                    <w:rPr>
                      <w:rFonts w:hint="default" w:ascii="Times New Roman" w:hAnsi="Times New Roman" w:eastAsia="宋体" w:cs="Times New Roman"/>
                      <w:b/>
                      <w:bCs/>
                      <w:i w:val="0"/>
                      <w:iCs w:val="0"/>
                      <w:color w:val="auto"/>
                      <w:spacing w:val="0"/>
                      <w:kern w:val="0"/>
                      <w:sz w:val="21"/>
                      <w:szCs w:val="21"/>
                      <w:highlight w:val="none"/>
                      <w:u w:val="none"/>
                      <w:lang w:val="en-US" w:eastAsia="zh-CN" w:bidi="ar"/>
                    </w:rPr>
                    <w:t>符合性分析</w:t>
                  </w:r>
                </w:p>
              </w:tc>
              <w:tc>
                <w:tcPr>
                  <w:tcW w:w="768" w:type="dxa"/>
                  <w:tcBorders>
                    <w:bottom w:val="single" w:color="000000" w:sz="12" w:space="0"/>
                  </w:tcBorders>
                  <w:noWrap w:val="0"/>
                  <w:vAlign w:val="center"/>
                </w:tcPr>
                <w:p w14:paraId="2DB712D8">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pacing w:val="0"/>
                      <w:kern w:val="0"/>
                      <w:sz w:val="21"/>
                      <w:szCs w:val="21"/>
                      <w:highlight w:val="none"/>
                      <w:u w:val="none"/>
                      <w:lang w:val="en-US" w:eastAsia="zh-CN" w:bidi="ar"/>
                    </w:rPr>
                  </w:pPr>
                  <w:r>
                    <w:rPr>
                      <w:rFonts w:hint="default" w:ascii="Times New Roman" w:hAnsi="Times New Roman" w:eastAsia="宋体" w:cs="Times New Roman"/>
                      <w:b/>
                      <w:bCs/>
                      <w:i w:val="0"/>
                      <w:iCs w:val="0"/>
                      <w:color w:val="auto"/>
                      <w:spacing w:val="0"/>
                      <w:kern w:val="0"/>
                      <w:sz w:val="21"/>
                      <w:szCs w:val="21"/>
                      <w:highlight w:val="none"/>
                      <w:u w:val="none"/>
                      <w:lang w:val="en-US" w:eastAsia="zh-CN" w:bidi="ar"/>
                    </w:rPr>
                    <w:t>是否符合</w:t>
                  </w:r>
                </w:p>
              </w:tc>
            </w:tr>
            <w:tr w14:paraId="3AECFB8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520" w:type="dxa"/>
                  <w:vMerge w:val="restart"/>
                  <w:tcBorders>
                    <w:tl2br w:val="nil"/>
                    <w:tr2bl w:val="nil"/>
                  </w:tcBorders>
                  <w:noWrap w:val="0"/>
                  <w:vAlign w:val="center"/>
                </w:tcPr>
                <w:p w14:paraId="00C2A2DA">
                  <w:pPr>
                    <w:spacing w:line="240" w:lineRule="auto"/>
                    <w:jc w:val="center"/>
                    <w:rPr>
                      <w:rFonts w:hint="default" w:ascii="Times New Roman" w:hAnsi="Times New Roman" w:eastAsia="宋体" w:cs="Times New Roman"/>
                      <w:i w:val="0"/>
                      <w:iCs w:val="0"/>
                      <w:color w:val="auto"/>
                      <w:spacing w:val="0"/>
                      <w:sz w:val="21"/>
                      <w:szCs w:val="21"/>
                      <w:highlight w:val="none"/>
                      <w:u w:val="none"/>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A1空间布局约束</w:t>
                  </w:r>
                </w:p>
              </w:tc>
              <w:tc>
                <w:tcPr>
                  <w:tcW w:w="556" w:type="dxa"/>
                  <w:vMerge w:val="restart"/>
                  <w:tcBorders>
                    <w:tl2br w:val="nil"/>
                    <w:tr2bl w:val="nil"/>
                  </w:tcBorders>
                  <w:noWrap w:val="0"/>
                  <w:vAlign w:val="center"/>
                </w:tcPr>
                <w:p w14:paraId="2B66C7D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sz w:val="21"/>
                      <w:szCs w:val="21"/>
                      <w:highlight w:val="none"/>
                      <w:u w:val="none"/>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A1.4其它布局要求</w:t>
                  </w:r>
                </w:p>
              </w:tc>
              <w:tc>
                <w:tcPr>
                  <w:tcW w:w="3742" w:type="dxa"/>
                  <w:tcBorders>
                    <w:tl2br w:val="nil"/>
                    <w:tr2bl w:val="nil"/>
                  </w:tcBorders>
                  <w:noWrap w:val="0"/>
                  <w:vAlign w:val="center"/>
                </w:tcPr>
                <w:p w14:paraId="15FD1A4A">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auto"/>
                      <w:spacing w:val="0"/>
                      <w:sz w:val="21"/>
                      <w:szCs w:val="21"/>
                      <w:highlight w:val="none"/>
                      <w:u w:val="none"/>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A1.4-1〕一切开发建设活动应符合国家、自治区主体功能区规划、自治区和各地颁布实施的生态环境功能区划、国民经济发展规划、产业发展规划、国土空间规划等相关规划及重点生态功能区负面清单要求，符合区域或产业规划环评要求。</w:t>
                  </w:r>
                </w:p>
              </w:tc>
              <w:tc>
                <w:tcPr>
                  <w:tcW w:w="1717" w:type="dxa"/>
                  <w:tcBorders>
                    <w:tl2br w:val="nil"/>
                    <w:tr2bl w:val="nil"/>
                  </w:tcBorders>
                  <w:noWrap w:val="0"/>
                  <w:vAlign w:val="center"/>
                </w:tcPr>
                <w:p w14:paraId="4C38288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本项目建设符合国家、自治区主体功能区规划的相关要求</w:t>
                  </w:r>
                </w:p>
              </w:tc>
              <w:tc>
                <w:tcPr>
                  <w:tcW w:w="768" w:type="dxa"/>
                  <w:tcBorders>
                    <w:tl2br w:val="nil"/>
                    <w:tr2bl w:val="nil"/>
                  </w:tcBorders>
                  <w:noWrap w:val="0"/>
                  <w:vAlign w:val="center"/>
                </w:tcPr>
                <w:p w14:paraId="6398B32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符合</w:t>
                  </w:r>
                </w:p>
              </w:tc>
            </w:tr>
            <w:tr w14:paraId="220E3C8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520" w:type="dxa"/>
                  <w:vMerge w:val="continue"/>
                  <w:tcBorders>
                    <w:tl2br w:val="nil"/>
                    <w:tr2bl w:val="nil"/>
                  </w:tcBorders>
                  <w:noWrap w:val="0"/>
                  <w:vAlign w:val="center"/>
                </w:tcPr>
                <w:p w14:paraId="4CED5D55">
                  <w:pPr>
                    <w:spacing w:line="240" w:lineRule="auto"/>
                    <w:jc w:val="center"/>
                    <w:rPr>
                      <w:rFonts w:hint="default" w:ascii="Times New Roman" w:hAnsi="Times New Roman" w:eastAsia="宋体" w:cs="Times New Roman"/>
                      <w:i w:val="0"/>
                      <w:iCs w:val="0"/>
                      <w:color w:val="auto"/>
                      <w:spacing w:val="0"/>
                      <w:sz w:val="21"/>
                      <w:szCs w:val="21"/>
                      <w:highlight w:val="none"/>
                      <w:u w:val="none"/>
                    </w:rPr>
                  </w:pPr>
                </w:p>
              </w:tc>
              <w:tc>
                <w:tcPr>
                  <w:tcW w:w="556" w:type="dxa"/>
                  <w:vMerge w:val="continue"/>
                  <w:tcBorders>
                    <w:tl2br w:val="nil"/>
                    <w:tr2bl w:val="nil"/>
                  </w:tcBorders>
                  <w:noWrap w:val="0"/>
                  <w:vAlign w:val="center"/>
                </w:tcPr>
                <w:p w14:paraId="02858D90">
                  <w:pPr>
                    <w:spacing w:line="240" w:lineRule="auto"/>
                    <w:jc w:val="center"/>
                    <w:rPr>
                      <w:rFonts w:hint="default" w:ascii="Times New Roman" w:hAnsi="Times New Roman" w:eastAsia="宋体" w:cs="Times New Roman"/>
                      <w:i w:val="0"/>
                      <w:iCs w:val="0"/>
                      <w:color w:val="auto"/>
                      <w:spacing w:val="0"/>
                      <w:sz w:val="21"/>
                      <w:szCs w:val="21"/>
                      <w:highlight w:val="none"/>
                      <w:u w:val="none"/>
                    </w:rPr>
                  </w:pPr>
                </w:p>
              </w:tc>
              <w:tc>
                <w:tcPr>
                  <w:tcW w:w="3742" w:type="dxa"/>
                  <w:tcBorders>
                    <w:tl2br w:val="nil"/>
                    <w:tr2bl w:val="nil"/>
                  </w:tcBorders>
                  <w:noWrap w:val="0"/>
                  <w:vAlign w:val="center"/>
                </w:tcPr>
                <w:p w14:paraId="70D56B60">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auto"/>
                      <w:spacing w:val="0"/>
                      <w:sz w:val="21"/>
                      <w:szCs w:val="21"/>
                      <w:highlight w:val="none"/>
                      <w:u w:val="none"/>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〔A1.4-2〕新建、扩建石化、化工、焦化、有色金属冶炼、平板玻璃项目应布设在依法合规设立并经规划环评的产业园区。</w:t>
                  </w:r>
                </w:p>
              </w:tc>
              <w:tc>
                <w:tcPr>
                  <w:tcW w:w="1717" w:type="dxa"/>
                  <w:tcBorders>
                    <w:tl2br w:val="nil"/>
                    <w:tr2bl w:val="nil"/>
                  </w:tcBorders>
                  <w:noWrap w:val="0"/>
                  <w:vAlign w:val="center"/>
                </w:tcPr>
                <w:p w14:paraId="1513E75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本项目不涉及</w:t>
                  </w:r>
                </w:p>
              </w:tc>
              <w:tc>
                <w:tcPr>
                  <w:tcW w:w="768" w:type="dxa"/>
                  <w:tcBorders>
                    <w:tl2br w:val="nil"/>
                    <w:tr2bl w:val="nil"/>
                  </w:tcBorders>
                  <w:noWrap w:val="0"/>
                  <w:vAlign w:val="center"/>
                </w:tcPr>
                <w:p w14:paraId="34B5F49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符合</w:t>
                  </w:r>
                </w:p>
              </w:tc>
            </w:tr>
            <w:tr w14:paraId="00D5477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520" w:type="dxa"/>
                  <w:vMerge w:val="continue"/>
                  <w:tcBorders>
                    <w:tl2br w:val="nil"/>
                    <w:tr2bl w:val="nil"/>
                  </w:tcBorders>
                  <w:noWrap w:val="0"/>
                  <w:vAlign w:val="center"/>
                </w:tcPr>
                <w:p w14:paraId="398CA042">
                  <w:pPr>
                    <w:spacing w:line="240" w:lineRule="auto"/>
                    <w:jc w:val="center"/>
                    <w:rPr>
                      <w:rFonts w:hint="default" w:ascii="Times New Roman" w:hAnsi="Times New Roman" w:eastAsia="宋体" w:cs="Times New Roman"/>
                      <w:i w:val="0"/>
                      <w:iCs w:val="0"/>
                      <w:color w:val="auto"/>
                      <w:spacing w:val="0"/>
                      <w:sz w:val="21"/>
                      <w:szCs w:val="21"/>
                      <w:highlight w:val="none"/>
                      <w:u w:val="none"/>
                    </w:rPr>
                  </w:pPr>
                </w:p>
              </w:tc>
              <w:tc>
                <w:tcPr>
                  <w:tcW w:w="556" w:type="dxa"/>
                  <w:vMerge w:val="continue"/>
                  <w:tcBorders>
                    <w:tl2br w:val="nil"/>
                    <w:tr2bl w:val="nil"/>
                  </w:tcBorders>
                  <w:noWrap w:val="0"/>
                  <w:vAlign w:val="center"/>
                </w:tcPr>
                <w:p w14:paraId="10444BE9">
                  <w:pPr>
                    <w:spacing w:line="240" w:lineRule="auto"/>
                    <w:jc w:val="center"/>
                    <w:rPr>
                      <w:rFonts w:hint="default" w:ascii="Times New Roman" w:hAnsi="Times New Roman" w:eastAsia="宋体" w:cs="Times New Roman"/>
                      <w:i w:val="0"/>
                      <w:iCs w:val="0"/>
                      <w:color w:val="auto"/>
                      <w:spacing w:val="0"/>
                      <w:sz w:val="21"/>
                      <w:szCs w:val="21"/>
                      <w:highlight w:val="none"/>
                      <w:u w:val="none"/>
                    </w:rPr>
                  </w:pPr>
                </w:p>
              </w:tc>
              <w:tc>
                <w:tcPr>
                  <w:tcW w:w="3742" w:type="dxa"/>
                  <w:tcBorders>
                    <w:tl2br w:val="nil"/>
                    <w:tr2bl w:val="nil"/>
                  </w:tcBorders>
                  <w:noWrap w:val="0"/>
                  <w:vAlign w:val="center"/>
                </w:tcPr>
                <w:p w14:paraId="6DBB40CB">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auto"/>
                      <w:spacing w:val="0"/>
                      <w:sz w:val="21"/>
                      <w:szCs w:val="21"/>
                      <w:highlight w:val="none"/>
                      <w:u w:val="none"/>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A1.4-3〕危险化学品生产企业搬迁改造及新建化工项目必须进入国家及自治区各级人民政府正式批准设立，规划环评通过审查，规划通过审批且环保基础设施完善的工业园区，并符合国土空间规划、产业发展规划和生态红线管控要求。</w:t>
                  </w:r>
                </w:p>
              </w:tc>
              <w:tc>
                <w:tcPr>
                  <w:tcW w:w="1717" w:type="dxa"/>
                  <w:tcBorders>
                    <w:tl2br w:val="nil"/>
                    <w:tr2bl w:val="nil"/>
                  </w:tcBorders>
                  <w:noWrap w:val="0"/>
                  <w:vAlign w:val="center"/>
                </w:tcPr>
                <w:p w14:paraId="1F8337B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本项目不涉及</w:t>
                  </w:r>
                </w:p>
              </w:tc>
              <w:tc>
                <w:tcPr>
                  <w:tcW w:w="768" w:type="dxa"/>
                  <w:tcBorders>
                    <w:tl2br w:val="nil"/>
                    <w:tr2bl w:val="nil"/>
                  </w:tcBorders>
                  <w:noWrap w:val="0"/>
                  <w:vAlign w:val="center"/>
                </w:tcPr>
                <w:p w14:paraId="09790F0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符合</w:t>
                  </w:r>
                </w:p>
              </w:tc>
            </w:tr>
            <w:tr w14:paraId="7FC6736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520" w:type="dxa"/>
                  <w:vMerge w:val="continue"/>
                  <w:tcBorders>
                    <w:tl2br w:val="nil"/>
                    <w:tr2bl w:val="nil"/>
                  </w:tcBorders>
                  <w:noWrap w:val="0"/>
                  <w:vAlign w:val="center"/>
                </w:tcPr>
                <w:p w14:paraId="4E03D626">
                  <w:pPr>
                    <w:spacing w:line="240" w:lineRule="auto"/>
                    <w:jc w:val="center"/>
                    <w:rPr>
                      <w:rFonts w:hint="default" w:ascii="Times New Roman" w:hAnsi="Times New Roman" w:eastAsia="宋体" w:cs="Times New Roman"/>
                      <w:i w:val="0"/>
                      <w:iCs w:val="0"/>
                      <w:color w:val="auto"/>
                      <w:spacing w:val="0"/>
                      <w:sz w:val="21"/>
                      <w:szCs w:val="21"/>
                      <w:highlight w:val="none"/>
                      <w:u w:val="none"/>
                    </w:rPr>
                  </w:pPr>
                </w:p>
              </w:tc>
              <w:tc>
                <w:tcPr>
                  <w:tcW w:w="556" w:type="dxa"/>
                  <w:vMerge w:val="restart"/>
                  <w:tcBorders>
                    <w:tl2br w:val="nil"/>
                    <w:tr2bl w:val="nil"/>
                  </w:tcBorders>
                  <w:noWrap w:val="0"/>
                  <w:vAlign w:val="center"/>
                </w:tcPr>
                <w:p w14:paraId="0373106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sz w:val="21"/>
                      <w:szCs w:val="21"/>
                      <w:highlight w:val="none"/>
                      <w:u w:val="none"/>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A2.2污染控制措施要求</w:t>
                  </w:r>
                </w:p>
              </w:tc>
              <w:tc>
                <w:tcPr>
                  <w:tcW w:w="3742" w:type="dxa"/>
                  <w:tcBorders>
                    <w:tl2br w:val="nil"/>
                    <w:tr2bl w:val="nil"/>
                  </w:tcBorders>
                  <w:noWrap w:val="0"/>
                  <w:vAlign w:val="center"/>
                </w:tcPr>
                <w:p w14:paraId="51734CA5">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auto"/>
                      <w:spacing w:val="0"/>
                      <w:sz w:val="21"/>
                      <w:szCs w:val="21"/>
                      <w:highlight w:val="none"/>
                      <w:u w:val="none"/>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A2.2-1〕推动能源、钢铁、建材、有色、电力、化工等重点领域技术升级，控制工业过程温室气体排放，推动工业领域绿色低碳发展。积极鼓励发展二氧化碳捕集利用与封存等低碳技术。促进大气污染物与温室气体协同控制。实施污染物和温室气体协同控制，实现减污降碳协同效应。强化污水、垃圾等集中处置设施环境管理，协同控制氢氟碳化物、甲烷、氧化亚氮等温室气体。加强节约能源与大气污染防治协同有效衔接，促进大气污染防治协同增效。</w:t>
                  </w:r>
                </w:p>
              </w:tc>
              <w:tc>
                <w:tcPr>
                  <w:tcW w:w="1717" w:type="dxa"/>
                  <w:tcBorders>
                    <w:tl2br w:val="nil"/>
                    <w:tr2bl w:val="nil"/>
                  </w:tcBorders>
                  <w:noWrap w:val="0"/>
                  <w:vAlign w:val="center"/>
                </w:tcPr>
                <w:p w14:paraId="0C9E463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本项目不涉及能源、钢铁、建材、有色、电力、化工等重点领域技术升级</w:t>
                  </w:r>
                </w:p>
              </w:tc>
              <w:tc>
                <w:tcPr>
                  <w:tcW w:w="768" w:type="dxa"/>
                  <w:tcBorders>
                    <w:tl2br w:val="nil"/>
                    <w:tr2bl w:val="nil"/>
                  </w:tcBorders>
                  <w:noWrap w:val="0"/>
                  <w:vAlign w:val="center"/>
                </w:tcPr>
                <w:p w14:paraId="3AA80F4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符合</w:t>
                  </w:r>
                </w:p>
              </w:tc>
            </w:tr>
            <w:tr w14:paraId="294BFD1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520" w:type="dxa"/>
                  <w:vMerge w:val="continue"/>
                  <w:tcBorders>
                    <w:tl2br w:val="nil"/>
                    <w:tr2bl w:val="nil"/>
                  </w:tcBorders>
                  <w:noWrap w:val="0"/>
                  <w:vAlign w:val="center"/>
                </w:tcPr>
                <w:p w14:paraId="103D6811">
                  <w:pPr>
                    <w:spacing w:line="240" w:lineRule="auto"/>
                    <w:jc w:val="center"/>
                    <w:rPr>
                      <w:rFonts w:hint="default" w:ascii="Times New Roman" w:hAnsi="Times New Roman" w:eastAsia="宋体" w:cs="Times New Roman"/>
                      <w:i w:val="0"/>
                      <w:iCs w:val="0"/>
                      <w:color w:val="auto"/>
                      <w:spacing w:val="0"/>
                      <w:sz w:val="21"/>
                      <w:szCs w:val="21"/>
                      <w:highlight w:val="none"/>
                      <w:u w:val="none"/>
                    </w:rPr>
                  </w:pPr>
                </w:p>
              </w:tc>
              <w:tc>
                <w:tcPr>
                  <w:tcW w:w="556" w:type="dxa"/>
                  <w:vMerge w:val="continue"/>
                  <w:tcBorders>
                    <w:tl2br w:val="nil"/>
                    <w:tr2bl w:val="nil"/>
                  </w:tcBorders>
                  <w:noWrap w:val="0"/>
                  <w:vAlign w:val="center"/>
                </w:tcPr>
                <w:p w14:paraId="588C9F74">
                  <w:pPr>
                    <w:spacing w:line="240" w:lineRule="auto"/>
                    <w:jc w:val="center"/>
                    <w:rPr>
                      <w:rFonts w:hint="default" w:ascii="Times New Roman" w:hAnsi="Times New Roman" w:eastAsia="宋体" w:cs="Times New Roman"/>
                      <w:i w:val="0"/>
                      <w:iCs w:val="0"/>
                      <w:color w:val="auto"/>
                      <w:spacing w:val="0"/>
                      <w:sz w:val="21"/>
                      <w:szCs w:val="21"/>
                      <w:highlight w:val="none"/>
                      <w:u w:val="none"/>
                    </w:rPr>
                  </w:pPr>
                </w:p>
              </w:tc>
              <w:tc>
                <w:tcPr>
                  <w:tcW w:w="3742" w:type="dxa"/>
                  <w:tcBorders>
                    <w:tl2br w:val="nil"/>
                    <w:tr2bl w:val="nil"/>
                  </w:tcBorders>
                  <w:noWrap w:val="0"/>
                  <w:vAlign w:val="center"/>
                </w:tcPr>
                <w:p w14:paraId="596429DB">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auto"/>
                      <w:spacing w:val="0"/>
                      <w:sz w:val="21"/>
                      <w:szCs w:val="21"/>
                      <w:highlight w:val="none"/>
                      <w:u w:val="none"/>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A2.2-2〕实施重点行业氮氧化物等污染物深度治理。持续推进钢铁、水泥、焦化行业超低排放改造。推进玻璃、陶瓷、铸造、铁合金、有色、煤化和石化等行业采取清洁生产、提标改造、深度治理等综合措施。加强自备燃煤机组污染治理设施运行管控，确保按照超低排放标准运行。针对铸造、铁合金、焦化、水泥、砖瓦、石灰、耐火材料、金属冶炼以及煤化工、石油化工等行业，严格控制物料储存、输送及生产工艺过程无组织排放。重点涉气排放企业逐步取消烟气旁路，因安全生产无法取消的，安装在线监控系统。</w:t>
                  </w:r>
                </w:p>
              </w:tc>
              <w:tc>
                <w:tcPr>
                  <w:tcW w:w="1717" w:type="dxa"/>
                  <w:tcBorders>
                    <w:tl2br w:val="nil"/>
                    <w:tr2bl w:val="nil"/>
                  </w:tcBorders>
                  <w:noWrap w:val="0"/>
                  <w:vAlign w:val="center"/>
                </w:tcPr>
                <w:p w14:paraId="395BC99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本项目不涉及钢铁、水泥、焦化行业建设</w:t>
                  </w:r>
                </w:p>
              </w:tc>
              <w:tc>
                <w:tcPr>
                  <w:tcW w:w="768" w:type="dxa"/>
                  <w:tcBorders>
                    <w:tl2br w:val="nil"/>
                    <w:tr2bl w:val="nil"/>
                  </w:tcBorders>
                  <w:noWrap w:val="0"/>
                  <w:vAlign w:val="center"/>
                </w:tcPr>
                <w:p w14:paraId="16A17B7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符合</w:t>
                  </w:r>
                </w:p>
              </w:tc>
            </w:tr>
            <w:tr w14:paraId="1843C21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520" w:type="dxa"/>
                  <w:vMerge w:val="continue"/>
                  <w:tcBorders>
                    <w:tl2br w:val="nil"/>
                    <w:tr2bl w:val="nil"/>
                  </w:tcBorders>
                  <w:noWrap w:val="0"/>
                  <w:vAlign w:val="center"/>
                </w:tcPr>
                <w:p w14:paraId="7A60C4A3">
                  <w:pPr>
                    <w:spacing w:line="240" w:lineRule="auto"/>
                    <w:jc w:val="center"/>
                    <w:rPr>
                      <w:rFonts w:hint="default" w:ascii="Times New Roman" w:hAnsi="Times New Roman" w:eastAsia="宋体" w:cs="Times New Roman"/>
                      <w:i w:val="0"/>
                      <w:iCs w:val="0"/>
                      <w:color w:val="auto"/>
                      <w:spacing w:val="0"/>
                      <w:sz w:val="21"/>
                      <w:szCs w:val="21"/>
                      <w:highlight w:val="none"/>
                      <w:u w:val="none"/>
                    </w:rPr>
                  </w:pPr>
                </w:p>
              </w:tc>
              <w:tc>
                <w:tcPr>
                  <w:tcW w:w="556" w:type="dxa"/>
                  <w:vMerge w:val="continue"/>
                  <w:tcBorders>
                    <w:tl2br w:val="nil"/>
                    <w:tr2bl w:val="nil"/>
                  </w:tcBorders>
                  <w:noWrap w:val="0"/>
                  <w:vAlign w:val="center"/>
                </w:tcPr>
                <w:p w14:paraId="0EAC514C">
                  <w:pPr>
                    <w:spacing w:line="240" w:lineRule="auto"/>
                    <w:jc w:val="center"/>
                    <w:rPr>
                      <w:rFonts w:hint="default" w:ascii="Times New Roman" w:hAnsi="Times New Roman" w:eastAsia="宋体" w:cs="Times New Roman"/>
                      <w:i w:val="0"/>
                      <w:iCs w:val="0"/>
                      <w:color w:val="auto"/>
                      <w:spacing w:val="0"/>
                      <w:sz w:val="21"/>
                      <w:szCs w:val="21"/>
                      <w:highlight w:val="none"/>
                      <w:u w:val="none"/>
                    </w:rPr>
                  </w:pPr>
                </w:p>
              </w:tc>
              <w:tc>
                <w:tcPr>
                  <w:tcW w:w="3742" w:type="dxa"/>
                  <w:tcBorders>
                    <w:tl2br w:val="nil"/>
                    <w:tr2bl w:val="nil"/>
                  </w:tcBorders>
                  <w:noWrap w:val="0"/>
                  <w:vAlign w:val="center"/>
                </w:tcPr>
                <w:p w14:paraId="4E44228C">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auto"/>
                      <w:spacing w:val="0"/>
                      <w:sz w:val="21"/>
                      <w:szCs w:val="21"/>
                      <w:highlight w:val="none"/>
                      <w:u w:val="none"/>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A2.2-3〕强化重点区域大气污染联防联控，合理确定产业布局，推动区域内统一产业准入和排放标准。实施水泥行业错峰生产，推进散煤整治、挥发性有机污染物综合治理、钢铁、水泥、焦化和燃煤工业锅炉行业超低排放改造、燃气锅炉低氮燃烧改造、工业园区内轨道运输(大宗货物“公转铁”)、柴油货车治理、锅炉炉窑综合治理等工程项目。全面推行绿色施工，持续推动城市建成区重污染企业搬迁或关闭退出。</w:t>
                  </w:r>
                </w:p>
              </w:tc>
              <w:tc>
                <w:tcPr>
                  <w:tcW w:w="1717" w:type="dxa"/>
                  <w:tcBorders>
                    <w:tl2br w:val="nil"/>
                    <w:tr2bl w:val="nil"/>
                  </w:tcBorders>
                  <w:noWrap w:val="0"/>
                  <w:vAlign w:val="center"/>
                </w:tcPr>
                <w:p w14:paraId="68A740A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本项目不涉及</w:t>
                  </w:r>
                </w:p>
              </w:tc>
              <w:tc>
                <w:tcPr>
                  <w:tcW w:w="768" w:type="dxa"/>
                  <w:tcBorders>
                    <w:tl2br w:val="nil"/>
                    <w:tr2bl w:val="nil"/>
                  </w:tcBorders>
                  <w:noWrap w:val="0"/>
                  <w:vAlign w:val="center"/>
                </w:tcPr>
                <w:p w14:paraId="5E0F7C2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符合</w:t>
                  </w:r>
                </w:p>
              </w:tc>
            </w:tr>
            <w:tr w14:paraId="041D1D0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520" w:type="dxa"/>
                  <w:vMerge w:val="continue"/>
                  <w:tcBorders>
                    <w:tl2br w:val="nil"/>
                    <w:tr2bl w:val="nil"/>
                  </w:tcBorders>
                  <w:noWrap w:val="0"/>
                  <w:vAlign w:val="center"/>
                </w:tcPr>
                <w:p w14:paraId="6D14CF87">
                  <w:pPr>
                    <w:spacing w:line="240" w:lineRule="auto"/>
                    <w:jc w:val="center"/>
                    <w:rPr>
                      <w:rFonts w:hint="default" w:ascii="Times New Roman" w:hAnsi="Times New Roman" w:eastAsia="宋体" w:cs="Times New Roman"/>
                      <w:i w:val="0"/>
                      <w:iCs w:val="0"/>
                      <w:color w:val="auto"/>
                      <w:spacing w:val="0"/>
                      <w:sz w:val="21"/>
                      <w:szCs w:val="21"/>
                      <w:highlight w:val="none"/>
                      <w:u w:val="none"/>
                    </w:rPr>
                  </w:pPr>
                </w:p>
              </w:tc>
              <w:tc>
                <w:tcPr>
                  <w:tcW w:w="556" w:type="dxa"/>
                  <w:vMerge w:val="continue"/>
                  <w:tcBorders>
                    <w:tl2br w:val="nil"/>
                    <w:tr2bl w:val="nil"/>
                  </w:tcBorders>
                  <w:noWrap w:val="0"/>
                  <w:vAlign w:val="center"/>
                </w:tcPr>
                <w:p w14:paraId="55A9A98A">
                  <w:pPr>
                    <w:spacing w:line="240" w:lineRule="auto"/>
                    <w:jc w:val="center"/>
                    <w:rPr>
                      <w:rFonts w:hint="default" w:ascii="Times New Roman" w:hAnsi="Times New Roman" w:eastAsia="宋体" w:cs="Times New Roman"/>
                      <w:i w:val="0"/>
                      <w:iCs w:val="0"/>
                      <w:color w:val="auto"/>
                      <w:spacing w:val="0"/>
                      <w:sz w:val="21"/>
                      <w:szCs w:val="21"/>
                      <w:highlight w:val="none"/>
                      <w:u w:val="none"/>
                    </w:rPr>
                  </w:pPr>
                </w:p>
              </w:tc>
              <w:tc>
                <w:tcPr>
                  <w:tcW w:w="3742" w:type="dxa"/>
                  <w:tcBorders>
                    <w:tl2br w:val="nil"/>
                    <w:tr2bl w:val="nil"/>
                  </w:tcBorders>
                  <w:noWrap w:val="0"/>
                  <w:vAlign w:val="center"/>
                </w:tcPr>
                <w:p w14:paraId="410F3140">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auto"/>
                      <w:spacing w:val="0"/>
                      <w:sz w:val="21"/>
                      <w:szCs w:val="21"/>
                      <w:highlight w:val="none"/>
                      <w:u w:val="none"/>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〔A2.2-4〕强化用水定额管理。推进地下水超采综合治理。开展河湖生态流量(水量)确定工作，强化生态用水保障。</w:t>
                  </w:r>
                </w:p>
              </w:tc>
              <w:tc>
                <w:tcPr>
                  <w:tcW w:w="1717" w:type="dxa"/>
                  <w:tcBorders>
                    <w:tl2br w:val="nil"/>
                    <w:tr2bl w:val="nil"/>
                  </w:tcBorders>
                  <w:noWrap w:val="0"/>
                  <w:vAlign w:val="center"/>
                </w:tcPr>
                <w:p w14:paraId="4649DDD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本项目不涉及地下水开采</w:t>
                  </w:r>
                </w:p>
              </w:tc>
              <w:tc>
                <w:tcPr>
                  <w:tcW w:w="768" w:type="dxa"/>
                  <w:tcBorders>
                    <w:tl2br w:val="nil"/>
                    <w:tr2bl w:val="nil"/>
                  </w:tcBorders>
                  <w:noWrap w:val="0"/>
                  <w:vAlign w:val="center"/>
                </w:tcPr>
                <w:p w14:paraId="36ACD64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符合</w:t>
                  </w:r>
                </w:p>
              </w:tc>
            </w:tr>
            <w:tr w14:paraId="7F2F3D1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520" w:type="dxa"/>
                  <w:vMerge w:val="continue"/>
                  <w:tcBorders>
                    <w:tl2br w:val="nil"/>
                    <w:tr2bl w:val="nil"/>
                  </w:tcBorders>
                  <w:noWrap w:val="0"/>
                  <w:vAlign w:val="center"/>
                </w:tcPr>
                <w:p w14:paraId="7112B42E">
                  <w:pPr>
                    <w:spacing w:line="240" w:lineRule="auto"/>
                    <w:jc w:val="center"/>
                    <w:rPr>
                      <w:rFonts w:hint="default" w:ascii="Times New Roman" w:hAnsi="Times New Roman" w:eastAsia="宋体" w:cs="Times New Roman"/>
                      <w:i w:val="0"/>
                      <w:iCs w:val="0"/>
                      <w:color w:val="auto"/>
                      <w:spacing w:val="0"/>
                      <w:sz w:val="21"/>
                      <w:szCs w:val="21"/>
                      <w:highlight w:val="none"/>
                      <w:u w:val="none"/>
                    </w:rPr>
                  </w:pPr>
                </w:p>
              </w:tc>
              <w:tc>
                <w:tcPr>
                  <w:tcW w:w="556" w:type="dxa"/>
                  <w:vMerge w:val="continue"/>
                  <w:tcBorders>
                    <w:tl2br w:val="nil"/>
                    <w:tr2bl w:val="nil"/>
                  </w:tcBorders>
                  <w:noWrap w:val="0"/>
                  <w:vAlign w:val="center"/>
                </w:tcPr>
                <w:p w14:paraId="0EA594DB">
                  <w:pPr>
                    <w:spacing w:line="240" w:lineRule="auto"/>
                    <w:jc w:val="center"/>
                    <w:rPr>
                      <w:rFonts w:hint="default" w:ascii="Times New Roman" w:hAnsi="Times New Roman" w:eastAsia="宋体" w:cs="Times New Roman"/>
                      <w:i w:val="0"/>
                      <w:iCs w:val="0"/>
                      <w:color w:val="auto"/>
                      <w:spacing w:val="0"/>
                      <w:sz w:val="21"/>
                      <w:szCs w:val="21"/>
                      <w:highlight w:val="none"/>
                      <w:u w:val="none"/>
                    </w:rPr>
                  </w:pPr>
                </w:p>
              </w:tc>
              <w:tc>
                <w:tcPr>
                  <w:tcW w:w="3742" w:type="dxa"/>
                  <w:tcBorders>
                    <w:tl2br w:val="nil"/>
                    <w:tr2bl w:val="nil"/>
                  </w:tcBorders>
                  <w:noWrap w:val="0"/>
                  <w:vAlign w:val="center"/>
                </w:tcPr>
                <w:p w14:paraId="5118F5AA">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auto"/>
                      <w:spacing w:val="0"/>
                      <w:sz w:val="21"/>
                      <w:szCs w:val="21"/>
                      <w:highlight w:val="none"/>
                      <w:u w:val="none"/>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A2.2-5〕持续推进伊犁河、额尔齐斯河、额敏河、玛纳斯河、乌伦古湖、博斯腾湖等流域生态治理，加强生态修复。推动重点行业、重点企业绿色发展，严格落实水污染物排放标准。加强农副食品加工、化工、印染、棉浆粕、粘胶纤维等企业综合治理和清洁化改造。</w:t>
                  </w:r>
                </w:p>
              </w:tc>
              <w:tc>
                <w:tcPr>
                  <w:tcW w:w="1717" w:type="dxa"/>
                  <w:tcBorders>
                    <w:tl2br w:val="nil"/>
                    <w:tr2bl w:val="nil"/>
                  </w:tcBorders>
                  <w:noWrap w:val="0"/>
                  <w:vAlign w:val="center"/>
                </w:tcPr>
                <w:p w14:paraId="24E2E8D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本项目不涉及流域生态治理，不涉及农副食品加工、化工、印染、棉浆粕、粘胶纤维等企业综合治理和清洁化改造</w:t>
                  </w:r>
                </w:p>
              </w:tc>
              <w:tc>
                <w:tcPr>
                  <w:tcW w:w="768" w:type="dxa"/>
                  <w:tcBorders>
                    <w:tl2br w:val="nil"/>
                    <w:tr2bl w:val="nil"/>
                  </w:tcBorders>
                  <w:noWrap w:val="0"/>
                  <w:vAlign w:val="center"/>
                </w:tcPr>
                <w:p w14:paraId="38D938B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符合</w:t>
                  </w:r>
                </w:p>
              </w:tc>
            </w:tr>
            <w:tr w14:paraId="68D30C5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520" w:type="dxa"/>
                  <w:vMerge w:val="continue"/>
                  <w:tcBorders>
                    <w:tl2br w:val="nil"/>
                    <w:tr2bl w:val="nil"/>
                  </w:tcBorders>
                  <w:noWrap w:val="0"/>
                  <w:vAlign w:val="center"/>
                </w:tcPr>
                <w:p w14:paraId="0758984B">
                  <w:pPr>
                    <w:spacing w:line="240" w:lineRule="auto"/>
                    <w:jc w:val="center"/>
                    <w:rPr>
                      <w:rFonts w:hint="default" w:ascii="Times New Roman" w:hAnsi="Times New Roman" w:eastAsia="宋体" w:cs="Times New Roman"/>
                      <w:i w:val="0"/>
                      <w:iCs w:val="0"/>
                      <w:color w:val="auto"/>
                      <w:spacing w:val="0"/>
                      <w:sz w:val="21"/>
                      <w:szCs w:val="21"/>
                      <w:highlight w:val="none"/>
                      <w:u w:val="none"/>
                    </w:rPr>
                  </w:pPr>
                </w:p>
              </w:tc>
              <w:tc>
                <w:tcPr>
                  <w:tcW w:w="556" w:type="dxa"/>
                  <w:vMerge w:val="continue"/>
                  <w:tcBorders>
                    <w:tl2br w:val="nil"/>
                    <w:tr2bl w:val="nil"/>
                  </w:tcBorders>
                  <w:noWrap w:val="0"/>
                  <w:vAlign w:val="center"/>
                </w:tcPr>
                <w:p w14:paraId="331A6968">
                  <w:pPr>
                    <w:spacing w:line="240" w:lineRule="auto"/>
                    <w:jc w:val="center"/>
                    <w:rPr>
                      <w:rFonts w:hint="default" w:ascii="Times New Roman" w:hAnsi="Times New Roman" w:eastAsia="宋体" w:cs="Times New Roman"/>
                      <w:i w:val="0"/>
                      <w:iCs w:val="0"/>
                      <w:color w:val="auto"/>
                      <w:spacing w:val="0"/>
                      <w:sz w:val="21"/>
                      <w:szCs w:val="21"/>
                      <w:highlight w:val="none"/>
                      <w:u w:val="none"/>
                    </w:rPr>
                  </w:pPr>
                </w:p>
              </w:tc>
              <w:tc>
                <w:tcPr>
                  <w:tcW w:w="3742" w:type="dxa"/>
                  <w:tcBorders>
                    <w:tl2br w:val="nil"/>
                    <w:tr2bl w:val="nil"/>
                  </w:tcBorders>
                  <w:noWrap w:val="0"/>
                  <w:vAlign w:val="center"/>
                </w:tcPr>
                <w:p w14:paraId="49DD13D1">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auto"/>
                      <w:spacing w:val="0"/>
                      <w:sz w:val="21"/>
                      <w:szCs w:val="21"/>
                      <w:highlight w:val="none"/>
                      <w:u w:val="none"/>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A2.2-6〕推进地表水与地下水协同防治。以傍河型地下水饮用水水源为重点，防范受污染河段侧渗和垂直补给对地下水污染。加强化学品生产企业、工业聚集区、矿山开采区等污染源的地表、地下协同防治与环境风险管控。加强工业污染防治。推动重点行业、重点企业绿色发展，严格落实水污染物排放标准和排污许可制度。加强农副食品加工、化工、印染、棉浆粕、粘胶纤维、制糖等企业综合治理和清洁化改造。支持企业积极实施节水技术改造，加强工业园区污水集中处理设施运行管理，加快再生水回用设施建设，提升园区水资源循环利用水平。</w:t>
                  </w:r>
                </w:p>
              </w:tc>
              <w:tc>
                <w:tcPr>
                  <w:tcW w:w="1717" w:type="dxa"/>
                  <w:tcBorders>
                    <w:tl2br w:val="nil"/>
                    <w:tr2bl w:val="nil"/>
                  </w:tcBorders>
                  <w:noWrap w:val="0"/>
                  <w:vAlign w:val="center"/>
                </w:tcPr>
                <w:p w14:paraId="708CBF6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本项目不涉及饮用水水源</w:t>
                  </w:r>
                </w:p>
              </w:tc>
              <w:tc>
                <w:tcPr>
                  <w:tcW w:w="768" w:type="dxa"/>
                  <w:tcBorders>
                    <w:tl2br w:val="nil"/>
                    <w:tr2bl w:val="nil"/>
                  </w:tcBorders>
                  <w:noWrap w:val="0"/>
                  <w:vAlign w:val="center"/>
                </w:tcPr>
                <w:p w14:paraId="7F51EB3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符合</w:t>
                  </w:r>
                </w:p>
              </w:tc>
            </w:tr>
            <w:tr w14:paraId="391F9BA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520" w:type="dxa"/>
                  <w:vMerge w:val="continue"/>
                  <w:tcBorders>
                    <w:tl2br w:val="nil"/>
                    <w:tr2bl w:val="nil"/>
                  </w:tcBorders>
                  <w:noWrap w:val="0"/>
                  <w:vAlign w:val="center"/>
                </w:tcPr>
                <w:p w14:paraId="7FC47B00">
                  <w:pPr>
                    <w:spacing w:line="240" w:lineRule="auto"/>
                    <w:jc w:val="center"/>
                    <w:rPr>
                      <w:rFonts w:hint="default" w:ascii="Times New Roman" w:hAnsi="Times New Roman" w:eastAsia="宋体" w:cs="Times New Roman"/>
                      <w:i w:val="0"/>
                      <w:iCs w:val="0"/>
                      <w:color w:val="auto"/>
                      <w:spacing w:val="0"/>
                      <w:sz w:val="21"/>
                      <w:szCs w:val="21"/>
                      <w:highlight w:val="none"/>
                      <w:u w:val="none"/>
                    </w:rPr>
                  </w:pPr>
                </w:p>
              </w:tc>
              <w:tc>
                <w:tcPr>
                  <w:tcW w:w="556" w:type="dxa"/>
                  <w:vMerge w:val="continue"/>
                  <w:tcBorders>
                    <w:tl2br w:val="nil"/>
                    <w:tr2bl w:val="nil"/>
                  </w:tcBorders>
                  <w:noWrap w:val="0"/>
                  <w:vAlign w:val="center"/>
                </w:tcPr>
                <w:p w14:paraId="01B06745">
                  <w:pPr>
                    <w:spacing w:line="240" w:lineRule="auto"/>
                    <w:jc w:val="center"/>
                    <w:rPr>
                      <w:rFonts w:hint="default" w:ascii="Times New Roman" w:hAnsi="Times New Roman" w:eastAsia="宋体" w:cs="Times New Roman"/>
                      <w:i w:val="0"/>
                      <w:iCs w:val="0"/>
                      <w:color w:val="auto"/>
                      <w:spacing w:val="0"/>
                      <w:sz w:val="21"/>
                      <w:szCs w:val="21"/>
                      <w:highlight w:val="none"/>
                      <w:u w:val="none"/>
                    </w:rPr>
                  </w:pPr>
                </w:p>
              </w:tc>
              <w:tc>
                <w:tcPr>
                  <w:tcW w:w="3742" w:type="dxa"/>
                  <w:tcBorders>
                    <w:tl2br w:val="nil"/>
                    <w:tr2bl w:val="nil"/>
                  </w:tcBorders>
                  <w:noWrap w:val="0"/>
                  <w:vAlign w:val="center"/>
                </w:tcPr>
                <w:p w14:paraId="0B0ABC7F">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auto"/>
                      <w:spacing w:val="0"/>
                      <w:sz w:val="21"/>
                      <w:szCs w:val="21"/>
                      <w:highlight w:val="none"/>
                      <w:u w:val="none"/>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A2.2-7〕强化重点区域地下水环境风险管控，对化学品生产企业、工业集聚区、尾矿库、矿山开采区、危险废物处置场、垃圾填埋场等地下水污染源及周边区域，逐步开展地下水环境状况调查评估，加强风险管控。</w:t>
                  </w:r>
                </w:p>
              </w:tc>
              <w:tc>
                <w:tcPr>
                  <w:tcW w:w="1717" w:type="dxa"/>
                  <w:tcBorders>
                    <w:tl2br w:val="nil"/>
                    <w:tr2bl w:val="nil"/>
                  </w:tcBorders>
                  <w:noWrap w:val="0"/>
                  <w:vAlign w:val="center"/>
                </w:tcPr>
                <w:p w14:paraId="739CF73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本项目为砂矿的开采，项目运营期危险废物为废机油及油桶，产生后暂存于危废贮存库，委托拉运</w:t>
                  </w:r>
                </w:p>
              </w:tc>
              <w:tc>
                <w:tcPr>
                  <w:tcW w:w="768" w:type="dxa"/>
                  <w:tcBorders>
                    <w:tl2br w:val="nil"/>
                    <w:tr2bl w:val="nil"/>
                  </w:tcBorders>
                  <w:noWrap w:val="0"/>
                  <w:vAlign w:val="center"/>
                </w:tcPr>
                <w:p w14:paraId="173F536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符合</w:t>
                  </w:r>
                </w:p>
              </w:tc>
            </w:tr>
            <w:tr w14:paraId="0700D49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520" w:type="dxa"/>
                  <w:vMerge w:val="continue"/>
                  <w:tcBorders>
                    <w:tl2br w:val="nil"/>
                    <w:tr2bl w:val="nil"/>
                  </w:tcBorders>
                  <w:noWrap w:val="0"/>
                  <w:vAlign w:val="center"/>
                </w:tcPr>
                <w:p w14:paraId="14706EDF">
                  <w:pPr>
                    <w:spacing w:line="240" w:lineRule="auto"/>
                    <w:jc w:val="center"/>
                    <w:rPr>
                      <w:rFonts w:hint="default" w:ascii="Times New Roman" w:hAnsi="Times New Roman" w:eastAsia="宋体" w:cs="Times New Roman"/>
                      <w:i w:val="0"/>
                      <w:iCs w:val="0"/>
                      <w:color w:val="auto"/>
                      <w:spacing w:val="0"/>
                      <w:sz w:val="21"/>
                      <w:szCs w:val="21"/>
                      <w:highlight w:val="none"/>
                      <w:u w:val="none"/>
                    </w:rPr>
                  </w:pPr>
                </w:p>
              </w:tc>
              <w:tc>
                <w:tcPr>
                  <w:tcW w:w="556" w:type="dxa"/>
                  <w:vMerge w:val="continue"/>
                  <w:tcBorders>
                    <w:tl2br w:val="nil"/>
                    <w:tr2bl w:val="nil"/>
                  </w:tcBorders>
                  <w:noWrap w:val="0"/>
                  <w:vAlign w:val="center"/>
                </w:tcPr>
                <w:p w14:paraId="1F182F6E">
                  <w:pPr>
                    <w:spacing w:line="240" w:lineRule="auto"/>
                    <w:jc w:val="center"/>
                    <w:rPr>
                      <w:rFonts w:hint="default" w:ascii="Times New Roman" w:hAnsi="Times New Roman" w:eastAsia="宋体" w:cs="Times New Roman"/>
                      <w:i w:val="0"/>
                      <w:iCs w:val="0"/>
                      <w:color w:val="auto"/>
                      <w:spacing w:val="0"/>
                      <w:sz w:val="21"/>
                      <w:szCs w:val="21"/>
                      <w:highlight w:val="none"/>
                      <w:u w:val="none"/>
                    </w:rPr>
                  </w:pPr>
                </w:p>
              </w:tc>
              <w:tc>
                <w:tcPr>
                  <w:tcW w:w="3742" w:type="dxa"/>
                  <w:tcBorders>
                    <w:tl2br w:val="nil"/>
                    <w:tr2bl w:val="nil"/>
                  </w:tcBorders>
                  <w:noWrap w:val="0"/>
                  <w:vAlign w:val="center"/>
                </w:tcPr>
                <w:p w14:paraId="04D45DBA">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auto"/>
                      <w:spacing w:val="0"/>
                      <w:sz w:val="21"/>
                      <w:szCs w:val="21"/>
                      <w:highlight w:val="none"/>
                      <w:u w:val="none"/>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〔A2.2-8〕严控土壤重金属污染，加强油(气)田开发土壤污染防治，以历史遗留工业企业污染场地为重点，开展土壤污染风险管控与修复工程。</w:t>
                  </w:r>
                </w:p>
              </w:tc>
              <w:tc>
                <w:tcPr>
                  <w:tcW w:w="1717" w:type="dxa"/>
                  <w:tcBorders>
                    <w:tl2br w:val="nil"/>
                    <w:tr2bl w:val="nil"/>
                  </w:tcBorders>
                  <w:noWrap w:val="0"/>
                  <w:vAlign w:val="center"/>
                </w:tcPr>
                <w:p w14:paraId="44E1328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本项目不涉及</w:t>
                  </w:r>
                </w:p>
              </w:tc>
              <w:tc>
                <w:tcPr>
                  <w:tcW w:w="768" w:type="dxa"/>
                  <w:tcBorders>
                    <w:tl2br w:val="nil"/>
                    <w:tr2bl w:val="nil"/>
                  </w:tcBorders>
                  <w:noWrap w:val="0"/>
                  <w:vAlign w:val="center"/>
                </w:tcPr>
                <w:p w14:paraId="15C3C91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符合</w:t>
                  </w:r>
                </w:p>
              </w:tc>
            </w:tr>
            <w:tr w14:paraId="0C79F89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520" w:type="dxa"/>
                  <w:vMerge w:val="continue"/>
                  <w:tcBorders>
                    <w:tl2br w:val="nil"/>
                    <w:tr2bl w:val="nil"/>
                  </w:tcBorders>
                  <w:noWrap w:val="0"/>
                  <w:vAlign w:val="center"/>
                </w:tcPr>
                <w:p w14:paraId="09B0706A">
                  <w:pPr>
                    <w:spacing w:line="240" w:lineRule="auto"/>
                    <w:jc w:val="center"/>
                    <w:rPr>
                      <w:rFonts w:hint="default" w:ascii="Times New Roman" w:hAnsi="Times New Roman" w:eastAsia="宋体" w:cs="Times New Roman"/>
                      <w:i w:val="0"/>
                      <w:iCs w:val="0"/>
                      <w:color w:val="auto"/>
                      <w:spacing w:val="0"/>
                      <w:sz w:val="21"/>
                      <w:szCs w:val="21"/>
                      <w:highlight w:val="none"/>
                      <w:u w:val="none"/>
                    </w:rPr>
                  </w:pPr>
                </w:p>
              </w:tc>
              <w:tc>
                <w:tcPr>
                  <w:tcW w:w="556" w:type="dxa"/>
                  <w:vMerge w:val="continue"/>
                  <w:tcBorders>
                    <w:tl2br w:val="nil"/>
                    <w:tr2bl w:val="nil"/>
                  </w:tcBorders>
                  <w:noWrap w:val="0"/>
                  <w:vAlign w:val="center"/>
                </w:tcPr>
                <w:p w14:paraId="7230463F">
                  <w:pPr>
                    <w:spacing w:line="240" w:lineRule="auto"/>
                    <w:jc w:val="center"/>
                    <w:rPr>
                      <w:rFonts w:hint="default" w:ascii="Times New Roman" w:hAnsi="Times New Roman" w:eastAsia="宋体" w:cs="Times New Roman"/>
                      <w:i w:val="0"/>
                      <w:iCs w:val="0"/>
                      <w:color w:val="auto"/>
                      <w:spacing w:val="0"/>
                      <w:sz w:val="21"/>
                      <w:szCs w:val="21"/>
                      <w:highlight w:val="none"/>
                      <w:u w:val="none"/>
                    </w:rPr>
                  </w:pPr>
                </w:p>
              </w:tc>
              <w:tc>
                <w:tcPr>
                  <w:tcW w:w="3742" w:type="dxa"/>
                  <w:tcBorders>
                    <w:tl2br w:val="nil"/>
                    <w:tr2bl w:val="nil"/>
                  </w:tcBorders>
                  <w:noWrap w:val="0"/>
                  <w:vAlign w:val="center"/>
                </w:tcPr>
                <w:p w14:paraId="44FA4421">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auto"/>
                      <w:spacing w:val="0"/>
                      <w:sz w:val="21"/>
                      <w:szCs w:val="21"/>
                      <w:highlight w:val="none"/>
                      <w:u w:val="none"/>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A2.2-9〕加强种植业污染防治。深入推进化肥农药减量增效，全面推广测土配方施肥，引导推动有机肥、绿肥替代化肥，集成推广化肥减量增效技术模式，加强农药包装废弃物管理。实施农膜回收行动，健全农田废旧地膜回收利用体系，提高废旧地膜回收率。推进农作物秸秆综合利用，不断完善秸秆收储运用体系，形成布局合理、多元利用的秸秆综合利用格局。</w:t>
                  </w:r>
                </w:p>
              </w:tc>
              <w:tc>
                <w:tcPr>
                  <w:tcW w:w="1717" w:type="dxa"/>
                  <w:tcBorders>
                    <w:tl2br w:val="nil"/>
                    <w:tr2bl w:val="nil"/>
                  </w:tcBorders>
                  <w:noWrap w:val="0"/>
                  <w:vAlign w:val="center"/>
                </w:tcPr>
                <w:p w14:paraId="22D4FFD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本项目不涉及</w:t>
                  </w:r>
                  <w:r>
                    <w:rPr>
                      <w:rFonts w:hint="default" w:ascii="Times New Roman" w:hAnsi="Times New Roman" w:eastAsia="宋体" w:cs="Times New Roman"/>
                      <w:color w:val="auto"/>
                      <w:spacing w:val="0"/>
                      <w:highlight w:val="none"/>
                      <w:lang w:val="en-US" w:eastAsia="zh-CN"/>
                    </w:rPr>
                    <w:t>种</w:t>
                  </w:r>
                  <w:r>
                    <w:rPr>
                      <w:rFonts w:hint="default" w:ascii="Times New Roman" w:hAnsi="Times New Roman" w:eastAsia="宋体" w:cs="Times New Roman"/>
                      <w:i w:val="0"/>
                      <w:iCs w:val="0"/>
                      <w:color w:val="auto"/>
                      <w:spacing w:val="0"/>
                      <w:kern w:val="0"/>
                      <w:sz w:val="21"/>
                      <w:szCs w:val="21"/>
                      <w:highlight w:val="none"/>
                      <w:u w:val="none"/>
                      <w:lang w:val="en-US" w:eastAsia="zh-CN" w:bidi="ar"/>
                    </w:rPr>
                    <w:t>植业污染防治</w:t>
                  </w:r>
                </w:p>
              </w:tc>
              <w:tc>
                <w:tcPr>
                  <w:tcW w:w="768" w:type="dxa"/>
                  <w:tcBorders>
                    <w:tl2br w:val="nil"/>
                    <w:tr2bl w:val="nil"/>
                  </w:tcBorders>
                  <w:noWrap w:val="0"/>
                  <w:vAlign w:val="center"/>
                </w:tcPr>
                <w:p w14:paraId="3BBF540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符合</w:t>
                  </w:r>
                </w:p>
              </w:tc>
            </w:tr>
            <w:tr w14:paraId="5B57A44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520" w:type="dxa"/>
                  <w:vMerge w:val="restart"/>
                  <w:tcBorders>
                    <w:tl2br w:val="nil"/>
                    <w:tr2bl w:val="nil"/>
                  </w:tcBorders>
                  <w:noWrap w:val="0"/>
                  <w:vAlign w:val="center"/>
                </w:tcPr>
                <w:p w14:paraId="2D540E1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sz w:val="21"/>
                      <w:szCs w:val="21"/>
                      <w:highlight w:val="none"/>
                      <w:u w:val="none"/>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A3环境风险防控</w:t>
                  </w:r>
                </w:p>
              </w:tc>
              <w:tc>
                <w:tcPr>
                  <w:tcW w:w="556" w:type="dxa"/>
                  <w:vMerge w:val="restart"/>
                  <w:tcBorders>
                    <w:tl2br w:val="nil"/>
                    <w:tr2bl w:val="nil"/>
                  </w:tcBorders>
                  <w:noWrap w:val="0"/>
                  <w:vAlign w:val="center"/>
                </w:tcPr>
                <w:p w14:paraId="05D6EC1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sz w:val="21"/>
                      <w:szCs w:val="21"/>
                      <w:highlight w:val="none"/>
                      <w:u w:val="none"/>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A3.1人居环境要求</w:t>
                  </w:r>
                </w:p>
              </w:tc>
              <w:tc>
                <w:tcPr>
                  <w:tcW w:w="3742" w:type="dxa"/>
                  <w:tcBorders>
                    <w:tl2br w:val="nil"/>
                    <w:tr2bl w:val="nil"/>
                  </w:tcBorders>
                  <w:noWrap w:val="0"/>
                  <w:vAlign w:val="center"/>
                </w:tcPr>
                <w:p w14:paraId="0FB6E604">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auto"/>
                      <w:spacing w:val="0"/>
                      <w:sz w:val="21"/>
                      <w:szCs w:val="21"/>
                      <w:highlight w:val="none"/>
                      <w:u w:val="none"/>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〔A3.1-1〕建立和完善重污染天气兵地联合应急预案、预报预警应急机制和会商联动机制。“乌一昌一石”区域内可能影响相邻行政区域大气环境的项目，兵地间、城市间必须相互征求意见。</w:t>
                  </w:r>
                </w:p>
              </w:tc>
              <w:tc>
                <w:tcPr>
                  <w:tcW w:w="1717" w:type="dxa"/>
                  <w:tcBorders>
                    <w:tl2br w:val="nil"/>
                    <w:tr2bl w:val="nil"/>
                  </w:tcBorders>
                  <w:noWrap w:val="0"/>
                  <w:vAlign w:val="center"/>
                </w:tcPr>
                <w:p w14:paraId="6F781F0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本项目不涉及</w:t>
                  </w:r>
                </w:p>
              </w:tc>
              <w:tc>
                <w:tcPr>
                  <w:tcW w:w="768" w:type="dxa"/>
                  <w:tcBorders>
                    <w:tl2br w:val="nil"/>
                    <w:tr2bl w:val="nil"/>
                  </w:tcBorders>
                  <w:noWrap w:val="0"/>
                  <w:vAlign w:val="center"/>
                </w:tcPr>
                <w:p w14:paraId="1A8D526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符合</w:t>
                  </w:r>
                </w:p>
              </w:tc>
            </w:tr>
            <w:tr w14:paraId="625DC62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520" w:type="dxa"/>
                  <w:vMerge w:val="continue"/>
                  <w:tcBorders>
                    <w:tl2br w:val="nil"/>
                    <w:tr2bl w:val="nil"/>
                  </w:tcBorders>
                  <w:noWrap w:val="0"/>
                  <w:vAlign w:val="center"/>
                </w:tcPr>
                <w:p w14:paraId="72126711">
                  <w:pPr>
                    <w:spacing w:line="240" w:lineRule="auto"/>
                    <w:jc w:val="center"/>
                    <w:rPr>
                      <w:rFonts w:hint="default" w:ascii="Times New Roman" w:hAnsi="Times New Roman" w:eastAsia="宋体" w:cs="Times New Roman"/>
                      <w:i w:val="0"/>
                      <w:iCs w:val="0"/>
                      <w:color w:val="auto"/>
                      <w:spacing w:val="0"/>
                      <w:sz w:val="21"/>
                      <w:szCs w:val="21"/>
                      <w:highlight w:val="none"/>
                      <w:u w:val="none"/>
                    </w:rPr>
                  </w:pPr>
                </w:p>
              </w:tc>
              <w:tc>
                <w:tcPr>
                  <w:tcW w:w="556" w:type="dxa"/>
                  <w:vMerge w:val="continue"/>
                  <w:tcBorders>
                    <w:tl2br w:val="nil"/>
                    <w:tr2bl w:val="nil"/>
                  </w:tcBorders>
                  <w:noWrap w:val="0"/>
                  <w:vAlign w:val="center"/>
                </w:tcPr>
                <w:p w14:paraId="551D66EE">
                  <w:pPr>
                    <w:spacing w:line="240" w:lineRule="auto"/>
                    <w:jc w:val="center"/>
                    <w:rPr>
                      <w:rFonts w:hint="default" w:ascii="Times New Roman" w:hAnsi="Times New Roman" w:eastAsia="宋体" w:cs="Times New Roman"/>
                      <w:i w:val="0"/>
                      <w:iCs w:val="0"/>
                      <w:color w:val="auto"/>
                      <w:spacing w:val="0"/>
                      <w:sz w:val="21"/>
                      <w:szCs w:val="21"/>
                      <w:highlight w:val="none"/>
                      <w:u w:val="none"/>
                    </w:rPr>
                  </w:pPr>
                </w:p>
              </w:tc>
              <w:tc>
                <w:tcPr>
                  <w:tcW w:w="3742" w:type="dxa"/>
                  <w:tcBorders>
                    <w:tl2br w:val="nil"/>
                    <w:tr2bl w:val="nil"/>
                  </w:tcBorders>
                  <w:noWrap w:val="0"/>
                  <w:vAlign w:val="center"/>
                </w:tcPr>
                <w:p w14:paraId="3C736FD2">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auto"/>
                      <w:spacing w:val="0"/>
                      <w:sz w:val="21"/>
                      <w:szCs w:val="21"/>
                      <w:highlight w:val="none"/>
                      <w:u w:val="none"/>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A3.1-2〕对跨国境河流、涉及县级及以上集中式饮用水水源地的河流、其他重要环境敏感目标的河流，建立健全流域上下游突发水污染事件联防联控机制，建立流域环境应急基础信息动态更新长效机制，绘制全流域“一河一策一图”。建立健全跨部门、跨区域的环境应急协调联动处置机制，强化流域上下游、兵地各部门协调，实施联合监测、联合执法、应急联动、信息共享，形成“政府引导、多元联动、社会参与、专业救援”的环境应急处置机制，持续开展应急综合演练，实现从被动应对到主动防控的重大转变。加强流域突发水环境事件应急能力建设，提升应急响应水平，加强监测预警、拦污控污、信息通报、协同处置、基础保障等工作，防范重大生态环境风险，坚决守住生态环境安全底线。</w:t>
                  </w:r>
                </w:p>
              </w:tc>
              <w:tc>
                <w:tcPr>
                  <w:tcW w:w="1717" w:type="dxa"/>
                  <w:tcBorders>
                    <w:tl2br w:val="nil"/>
                    <w:tr2bl w:val="nil"/>
                  </w:tcBorders>
                  <w:noWrap w:val="0"/>
                  <w:vAlign w:val="center"/>
                </w:tcPr>
                <w:p w14:paraId="6D9C72D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本项目不涉及</w:t>
                  </w:r>
                </w:p>
              </w:tc>
              <w:tc>
                <w:tcPr>
                  <w:tcW w:w="768" w:type="dxa"/>
                  <w:tcBorders>
                    <w:tl2br w:val="nil"/>
                    <w:tr2bl w:val="nil"/>
                  </w:tcBorders>
                  <w:noWrap w:val="0"/>
                  <w:vAlign w:val="center"/>
                </w:tcPr>
                <w:p w14:paraId="3F2EB6B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符合</w:t>
                  </w:r>
                </w:p>
              </w:tc>
            </w:tr>
            <w:tr w14:paraId="791AD9A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520" w:type="dxa"/>
                  <w:vMerge w:val="continue"/>
                  <w:tcBorders>
                    <w:tl2br w:val="nil"/>
                    <w:tr2bl w:val="nil"/>
                  </w:tcBorders>
                  <w:noWrap w:val="0"/>
                  <w:vAlign w:val="center"/>
                </w:tcPr>
                <w:p w14:paraId="36D9533D">
                  <w:pPr>
                    <w:spacing w:line="240" w:lineRule="auto"/>
                    <w:jc w:val="center"/>
                    <w:rPr>
                      <w:rFonts w:hint="default" w:ascii="Times New Roman" w:hAnsi="Times New Roman" w:eastAsia="宋体" w:cs="Times New Roman"/>
                      <w:i w:val="0"/>
                      <w:iCs w:val="0"/>
                      <w:color w:val="auto"/>
                      <w:spacing w:val="0"/>
                      <w:sz w:val="21"/>
                      <w:szCs w:val="21"/>
                      <w:highlight w:val="none"/>
                      <w:u w:val="none"/>
                    </w:rPr>
                  </w:pPr>
                </w:p>
              </w:tc>
              <w:tc>
                <w:tcPr>
                  <w:tcW w:w="556" w:type="dxa"/>
                  <w:vMerge w:val="continue"/>
                  <w:tcBorders>
                    <w:tl2br w:val="nil"/>
                    <w:tr2bl w:val="nil"/>
                  </w:tcBorders>
                  <w:noWrap w:val="0"/>
                  <w:vAlign w:val="center"/>
                </w:tcPr>
                <w:p w14:paraId="24E2D5E5">
                  <w:pPr>
                    <w:spacing w:line="240" w:lineRule="auto"/>
                    <w:jc w:val="center"/>
                    <w:rPr>
                      <w:rFonts w:hint="default" w:ascii="Times New Roman" w:hAnsi="Times New Roman" w:eastAsia="宋体" w:cs="Times New Roman"/>
                      <w:i w:val="0"/>
                      <w:iCs w:val="0"/>
                      <w:color w:val="auto"/>
                      <w:spacing w:val="0"/>
                      <w:sz w:val="21"/>
                      <w:szCs w:val="21"/>
                      <w:highlight w:val="none"/>
                      <w:u w:val="none"/>
                    </w:rPr>
                  </w:pPr>
                </w:p>
              </w:tc>
              <w:tc>
                <w:tcPr>
                  <w:tcW w:w="3742" w:type="dxa"/>
                  <w:tcBorders>
                    <w:tl2br w:val="nil"/>
                    <w:tr2bl w:val="nil"/>
                  </w:tcBorders>
                  <w:noWrap w:val="0"/>
                  <w:vAlign w:val="center"/>
                </w:tcPr>
                <w:p w14:paraId="767EE473">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auto"/>
                      <w:spacing w:val="0"/>
                      <w:sz w:val="21"/>
                      <w:szCs w:val="21"/>
                      <w:highlight w:val="none"/>
                      <w:u w:val="none"/>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〔A3.1-3〕强化重污染天气监测预报预警能力，建立和完善重污染天气兵地联合应急预案、预警应急机制和会商联动机制，加强轻、中度污染天气管控。</w:t>
                  </w:r>
                </w:p>
              </w:tc>
              <w:tc>
                <w:tcPr>
                  <w:tcW w:w="1717" w:type="dxa"/>
                  <w:tcBorders>
                    <w:tl2br w:val="nil"/>
                    <w:tr2bl w:val="nil"/>
                  </w:tcBorders>
                  <w:noWrap w:val="0"/>
                  <w:vAlign w:val="center"/>
                </w:tcPr>
                <w:p w14:paraId="4B6350C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本项目不涉及</w:t>
                  </w:r>
                </w:p>
              </w:tc>
              <w:tc>
                <w:tcPr>
                  <w:tcW w:w="768" w:type="dxa"/>
                  <w:tcBorders>
                    <w:tl2br w:val="nil"/>
                    <w:tr2bl w:val="nil"/>
                  </w:tcBorders>
                  <w:noWrap w:val="0"/>
                  <w:vAlign w:val="center"/>
                </w:tcPr>
                <w:p w14:paraId="44663EC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符合</w:t>
                  </w:r>
                </w:p>
              </w:tc>
            </w:tr>
            <w:tr w14:paraId="627443E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520" w:type="dxa"/>
                  <w:vMerge w:val="restart"/>
                  <w:tcBorders>
                    <w:tl2br w:val="nil"/>
                    <w:tr2bl w:val="nil"/>
                  </w:tcBorders>
                  <w:noWrap w:val="0"/>
                  <w:vAlign w:val="center"/>
                </w:tcPr>
                <w:p w14:paraId="2A22FA8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sz w:val="21"/>
                      <w:szCs w:val="21"/>
                      <w:highlight w:val="none"/>
                      <w:u w:val="none"/>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A4资源利用要求</w:t>
                  </w:r>
                </w:p>
              </w:tc>
              <w:tc>
                <w:tcPr>
                  <w:tcW w:w="556" w:type="dxa"/>
                  <w:vMerge w:val="restart"/>
                  <w:tcBorders>
                    <w:tl2br w:val="nil"/>
                    <w:tr2bl w:val="nil"/>
                  </w:tcBorders>
                  <w:noWrap w:val="0"/>
                  <w:vAlign w:val="center"/>
                </w:tcPr>
                <w:p w14:paraId="0F2BCA1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sz w:val="21"/>
                      <w:szCs w:val="21"/>
                      <w:highlight w:val="none"/>
                      <w:u w:val="none"/>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A4.1水资源</w:t>
                  </w:r>
                </w:p>
              </w:tc>
              <w:tc>
                <w:tcPr>
                  <w:tcW w:w="3742" w:type="dxa"/>
                  <w:tcBorders>
                    <w:tl2br w:val="nil"/>
                    <w:tr2bl w:val="nil"/>
                  </w:tcBorders>
                  <w:noWrap w:val="0"/>
                  <w:vAlign w:val="center"/>
                </w:tcPr>
                <w:p w14:paraId="7585B609">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auto"/>
                      <w:spacing w:val="0"/>
                      <w:sz w:val="21"/>
                      <w:szCs w:val="21"/>
                      <w:highlight w:val="none"/>
                      <w:u w:val="none"/>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〔A4.1-1〕自治区用水总量2025年、2030年控制在国家下达的指标内。</w:t>
                  </w:r>
                </w:p>
              </w:tc>
              <w:tc>
                <w:tcPr>
                  <w:tcW w:w="1717" w:type="dxa"/>
                  <w:tcBorders>
                    <w:tl2br w:val="nil"/>
                    <w:tr2bl w:val="nil"/>
                  </w:tcBorders>
                  <w:noWrap w:val="0"/>
                  <w:vAlign w:val="center"/>
                </w:tcPr>
                <w:p w14:paraId="32BA148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本项目不涉及</w:t>
                  </w:r>
                </w:p>
              </w:tc>
              <w:tc>
                <w:tcPr>
                  <w:tcW w:w="768" w:type="dxa"/>
                  <w:tcBorders>
                    <w:tl2br w:val="nil"/>
                    <w:tr2bl w:val="nil"/>
                  </w:tcBorders>
                  <w:noWrap w:val="0"/>
                  <w:vAlign w:val="center"/>
                </w:tcPr>
                <w:p w14:paraId="674565E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符合</w:t>
                  </w:r>
                </w:p>
              </w:tc>
            </w:tr>
            <w:tr w14:paraId="1E832D5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520" w:type="dxa"/>
                  <w:vMerge w:val="continue"/>
                  <w:tcBorders>
                    <w:tl2br w:val="nil"/>
                    <w:tr2bl w:val="nil"/>
                  </w:tcBorders>
                  <w:noWrap w:val="0"/>
                  <w:vAlign w:val="center"/>
                </w:tcPr>
                <w:p w14:paraId="1DBBE764">
                  <w:pPr>
                    <w:spacing w:line="240" w:lineRule="auto"/>
                    <w:jc w:val="center"/>
                    <w:rPr>
                      <w:rFonts w:hint="default" w:ascii="Times New Roman" w:hAnsi="Times New Roman" w:eastAsia="宋体" w:cs="Times New Roman"/>
                      <w:i w:val="0"/>
                      <w:iCs w:val="0"/>
                      <w:color w:val="auto"/>
                      <w:spacing w:val="0"/>
                      <w:sz w:val="21"/>
                      <w:szCs w:val="21"/>
                      <w:highlight w:val="none"/>
                      <w:u w:val="none"/>
                    </w:rPr>
                  </w:pPr>
                </w:p>
              </w:tc>
              <w:tc>
                <w:tcPr>
                  <w:tcW w:w="556" w:type="dxa"/>
                  <w:vMerge w:val="continue"/>
                  <w:tcBorders>
                    <w:tl2br w:val="nil"/>
                    <w:tr2bl w:val="nil"/>
                  </w:tcBorders>
                  <w:noWrap w:val="0"/>
                  <w:vAlign w:val="center"/>
                </w:tcPr>
                <w:p w14:paraId="743B2C04">
                  <w:pPr>
                    <w:spacing w:line="240" w:lineRule="auto"/>
                    <w:jc w:val="center"/>
                    <w:rPr>
                      <w:rFonts w:hint="default" w:ascii="Times New Roman" w:hAnsi="Times New Roman" w:eastAsia="宋体" w:cs="Times New Roman"/>
                      <w:i w:val="0"/>
                      <w:iCs w:val="0"/>
                      <w:color w:val="auto"/>
                      <w:spacing w:val="0"/>
                      <w:sz w:val="21"/>
                      <w:szCs w:val="21"/>
                      <w:highlight w:val="none"/>
                      <w:u w:val="none"/>
                    </w:rPr>
                  </w:pPr>
                </w:p>
              </w:tc>
              <w:tc>
                <w:tcPr>
                  <w:tcW w:w="3742" w:type="dxa"/>
                  <w:tcBorders>
                    <w:tl2br w:val="nil"/>
                    <w:tr2bl w:val="nil"/>
                  </w:tcBorders>
                  <w:noWrap w:val="0"/>
                  <w:vAlign w:val="center"/>
                </w:tcPr>
                <w:p w14:paraId="00950A90">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auto"/>
                      <w:spacing w:val="0"/>
                      <w:sz w:val="21"/>
                      <w:szCs w:val="21"/>
                      <w:highlight w:val="none"/>
                      <w:u w:val="none"/>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A4.1-2〕加大城镇污水再生利用工程建设力度，推进区域再生水循环利用，到2025年，城市生活污水再生利用率力争达到60%。〔A4.1-3〕加强农村水利基础设施建设，推进农村供水保障工程，农村自来水普及率、集中供水率分别达到99.3%、99.7%。</w:t>
                  </w:r>
                </w:p>
              </w:tc>
              <w:tc>
                <w:tcPr>
                  <w:tcW w:w="1717" w:type="dxa"/>
                  <w:tcBorders>
                    <w:tl2br w:val="nil"/>
                    <w:tr2bl w:val="nil"/>
                  </w:tcBorders>
                  <w:noWrap w:val="0"/>
                  <w:vAlign w:val="center"/>
                </w:tcPr>
                <w:p w14:paraId="30C1B83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本项目不涉及</w:t>
                  </w:r>
                </w:p>
              </w:tc>
              <w:tc>
                <w:tcPr>
                  <w:tcW w:w="768" w:type="dxa"/>
                  <w:tcBorders>
                    <w:tl2br w:val="nil"/>
                    <w:tr2bl w:val="nil"/>
                  </w:tcBorders>
                  <w:noWrap w:val="0"/>
                  <w:vAlign w:val="center"/>
                </w:tcPr>
                <w:p w14:paraId="7B31D0B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符合</w:t>
                  </w:r>
                </w:p>
              </w:tc>
            </w:tr>
            <w:tr w14:paraId="7243B33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520" w:type="dxa"/>
                  <w:vMerge w:val="continue"/>
                  <w:tcBorders>
                    <w:tl2br w:val="nil"/>
                    <w:tr2bl w:val="nil"/>
                  </w:tcBorders>
                  <w:noWrap w:val="0"/>
                  <w:vAlign w:val="center"/>
                </w:tcPr>
                <w:p w14:paraId="4D8DD00F">
                  <w:pPr>
                    <w:spacing w:line="240" w:lineRule="auto"/>
                    <w:jc w:val="center"/>
                    <w:rPr>
                      <w:rFonts w:hint="default" w:ascii="Times New Roman" w:hAnsi="Times New Roman" w:eastAsia="宋体" w:cs="Times New Roman"/>
                      <w:i w:val="0"/>
                      <w:iCs w:val="0"/>
                      <w:color w:val="auto"/>
                      <w:spacing w:val="0"/>
                      <w:sz w:val="21"/>
                      <w:szCs w:val="21"/>
                      <w:highlight w:val="none"/>
                      <w:u w:val="none"/>
                    </w:rPr>
                  </w:pPr>
                </w:p>
              </w:tc>
              <w:tc>
                <w:tcPr>
                  <w:tcW w:w="556" w:type="dxa"/>
                  <w:vMerge w:val="continue"/>
                  <w:tcBorders>
                    <w:tl2br w:val="nil"/>
                    <w:tr2bl w:val="nil"/>
                  </w:tcBorders>
                  <w:noWrap w:val="0"/>
                  <w:vAlign w:val="center"/>
                </w:tcPr>
                <w:p w14:paraId="03990620">
                  <w:pPr>
                    <w:spacing w:line="240" w:lineRule="auto"/>
                    <w:jc w:val="center"/>
                    <w:rPr>
                      <w:rFonts w:hint="default" w:ascii="Times New Roman" w:hAnsi="Times New Roman" w:eastAsia="宋体" w:cs="Times New Roman"/>
                      <w:i w:val="0"/>
                      <w:iCs w:val="0"/>
                      <w:color w:val="auto"/>
                      <w:spacing w:val="0"/>
                      <w:sz w:val="21"/>
                      <w:szCs w:val="21"/>
                      <w:highlight w:val="none"/>
                      <w:u w:val="none"/>
                    </w:rPr>
                  </w:pPr>
                </w:p>
              </w:tc>
              <w:tc>
                <w:tcPr>
                  <w:tcW w:w="3742" w:type="dxa"/>
                  <w:tcBorders>
                    <w:tl2br w:val="nil"/>
                    <w:tr2bl w:val="nil"/>
                  </w:tcBorders>
                  <w:noWrap w:val="0"/>
                  <w:vAlign w:val="center"/>
                </w:tcPr>
                <w:p w14:paraId="7B7FB464">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auto"/>
                      <w:spacing w:val="0"/>
                      <w:sz w:val="21"/>
                      <w:szCs w:val="21"/>
                      <w:highlight w:val="none"/>
                      <w:u w:val="none"/>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〔A4.1-4〕地下水资源利用实行总量控制和水位控制。取用地下水资源，应当按照国家和自治区有关规定申请取水许可。地下水利用应当以浅层地下水为主。</w:t>
                  </w:r>
                </w:p>
              </w:tc>
              <w:tc>
                <w:tcPr>
                  <w:tcW w:w="1717" w:type="dxa"/>
                  <w:tcBorders>
                    <w:tl2br w:val="nil"/>
                    <w:tr2bl w:val="nil"/>
                  </w:tcBorders>
                  <w:noWrap w:val="0"/>
                  <w:vAlign w:val="center"/>
                </w:tcPr>
                <w:p w14:paraId="2763DF0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本项目不涉及</w:t>
                  </w:r>
                </w:p>
              </w:tc>
              <w:tc>
                <w:tcPr>
                  <w:tcW w:w="768" w:type="dxa"/>
                  <w:tcBorders>
                    <w:tl2br w:val="nil"/>
                    <w:tr2bl w:val="nil"/>
                  </w:tcBorders>
                  <w:noWrap w:val="0"/>
                  <w:vAlign w:val="center"/>
                </w:tcPr>
                <w:p w14:paraId="2FAF80C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符合</w:t>
                  </w:r>
                </w:p>
              </w:tc>
            </w:tr>
            <w:tr w14:paraId="09CA723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20" w:type="dxa"/>
                  <w:vMerge w:val="continue"/>
                  <w:tcBorders>
                    <w:tl2br w:val="nil"/>
                    <w:tr2bl w:val="nil"/>
                  </w:tcBorders>
                  <w:noWrap w:val="0"/>
                  <w:vAlign w:val="center"/>
                </w:tcPr>
                <w:p w14:paraId="1C6B337C">
                  <w:pPr>
                    <w:spacing w:line="240" w:lineRule="auto"/>
                    <w:jc w:val="center"/>
                    <w:rPr>
                      <w:rFonts w:hint="default" w:ascii="Times New Roman" w:hAnsi="Times New Roman" w:eastAsia="宋体" w:cs="Times New Roman"/>
                      <w:i w:val="0"/>
                      <w:iCs w:val="0"/>
                      <w:color w:val="auto"/>
                      <w:spacing w:val="0"/>
                      <w:sz w:val="21"/>
                      <w:szCs w:val="21"/>
                      <w:highlight w:val="none"/>
                      <w:u w:val="none"/>
                    </w:rPr>
                  </w:pPr>
                </w:p>
              </w:tc>
              <w:tc>
                <w:tcPr>
                  <w:tcW w:w="556" w:type="dxa"/>
                  <w:tcBorders>
                    <w:tl2br w:val="nil"/>
                    <w:tr2bl w:val="nil"/>
                  </w:tcBorders>
                  <w:noWrap w:val="0"/>
                  <w:vAlign w:val="center"/>
                </w:tcPr>
                <w:p w14:paraId="21408DF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sz w:val="21"/>
                      <w:szCs w:val="21"/>
                      <w:highlight w:val="none"/>
                      <w:u w:val="none"/>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A4.2土地资源</w:t>
                  </w:r>
                </w:p>
              </w:tc>
              <w:tc>
                <w:tcPr>
                  <w:tcW w:w="3742" w:type="dxa"/>
                  <w:tcBorders>
                    <w:tl2br w:val="nil"/>
                    <w:tr2bl w:val="nil"/>
                  </w:tcBorders>
                  <w:noWrap w:val="0"/>
                  <w:vAlign w:val="center"/>
                </w:tcPr>
                <w:p w14:paraId="72D7D054">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auto"/>
                      <w:spacing w:val="0"/>
                      <w:sz w:val="21"/>
                      <w:szCs w:val="21"/>
                      <w:highlight w:val="none"/>
                      <w:u w:val="none"/>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〔A4.2-1〕土地资源上线指标控制在最终批复的国土空间规划控制指标内。</w:t>
                  </w:r>
                </w:p>
              </w:tc>
              <w:tc>
                <w:tcPr>
                  <w:tcW w:w="1717" w:type="dxa"/>
                  <w:tcBorders>
                    <w:tl2br w:val="nil"/>
                    <w:tr2bl w:val="nil"/>
                  </w:tcBorders>
                  <w:noWrap w:val="0"/>
                  <w:vAlign w:val="center"/>
                </w:tcPr>
                <w:p w14:paraId="1BA6946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本项目为砂石矿开采项目，项目已取得昌吉州自然资源自然资源局采矿证。</w:t>
                  </w:r>
                </w:p>
              </w:tc>
              <w:tc>
                <w:tcPr>
                  <w:tcW w:w="768" w:type="dxa"/>
                  <w:tcBorders>
                    <w:tl2br w:val="nil"/>
                    <w:tr2bl w:val="nil"/>
                  </w:tcBorders>
                  <w:noWrap w:val="0"/>
                  <w:vAlign w:val="center"/>
                </w:tcPr>
                <w:p w14:paraId="7177A0E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符合</w:t>
                  </w:r>
                </w:p>
              </w:tc>
            </w:tr>
            <w:tr w14:paraId="32CC4DB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520" w:type="dxa"/>
                  <w:vMerge w:val="continue"/>
                  <w:tcBorders>
                    <w:tl2br w:val="nil"/>
                    <w:tr2bl w:val="nil"/>
                  </w:tcBorders>
                  <w:noWrap w:val="0"/>
                  <w:vAlign w:val="center"/>
                </w:tcPr>
                <w:p w14:paraId="371C6784">
                  <w:pPr>
                    <w:spacing w:line="240" w:lineRule="auto"/>
                    <w:jc w:val="center"/>
                    <w:rPr>
                      <w:rFonts w:hint="default" w:ascii="Times New Roman" w:hAnsi="Times New Roman" w:eastAsia="宋体" w:cs="Times New Roman"/>
                      <w:i w:val="0"/>
                      <w:iCs w:val="0"/>
                      <w:color w:val="auto"/>
                      <w:spacing w:val="0"/>
                      <w:sz w:val="21"/>
                      <w:szCs w:val="21"/>
                      <w:highlight w:val="none"/>
                      <w:u w:val="none"/>
                    </w:rPr>
                  </w:pPr>
                </w:p>
              </w:tc>
              <w:tc>
                <w:tcPr>
                  <w:tcW w:w="556" w:type="dxa"/>
                  <w:vMerge w:val="restart"/>
                  <w:tcBorders>
                    <w:tl2br w:val="nil"/>
                    <w:tr2bl w:val="nil"/>
                  </w:tcBorders>
                  <w:noWrap w:val="0"/>
                  <w:vAlign w:val="center"/>
                </w:tcPr>
                <w:p w14:paraId="10516B2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sz w:val="21"/>
                      <w:szCs w:val="21"/>
                      <w:highlight w:val="none"/>
                      <w:u w:val="none"/>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A4.5资源综合利用</w:t>
                  </w:r>
                </w:p>
              </w:tc>
              <w:tc>
                <w:tcPr>
                  <w:tcW w:w="3742" w:type="dxa"/>
                  <w:tcBorders>
                    <w:tl2br w:val="nil"/>
                    <w:tr2bl w:val="nil"/>
                  </w:tcBorders>
                  <w:noWrap w:val="0"/>
                  <w:vAlign w:val="center"/>
                </w:tcPr>
                <w:p w14:paraId="11C819CE">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auto"/>
                      <w:spacing w:val="0"/>
                      <w:sz w:val="21"/>
                      <w:szCs w:val="21"/>
                      <w:highlight w:val="none"/>
                      <w:u w:val="none"/>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A4.5-1〕加强固体废物源头减量、资源化利用和无害化处置，最大限度减少填埋量。推进工业固体废物精细化、名录化环境管理，促进大宗工业固废综合利用、主要农业废弃物全量利用。加快构建废旧物资回收和循环利用体系，健全强制报废制度和废旧家电、消费电子等耐用消费品回收处理体系，推行生产企业“逆向回收”等模式。以尾矿和共伴生矿、煤矸石、炉渣、粉煤灰、脱硫石膏、冶炼渣、建筑垃圾等为重点，持续推进固体废物综合利用和环境整治，不断提高大宗固体废物资源化利用水平。推行生活垃圾分类，加快建设县(市)生活垃圾处理设施，到2025年，全疆城市生活垃圾无害化处理率达到99%以上。</w:t>
                  </w:r>
                </w:p>
              </w:tc>
              <w:tc>
                <w:tcPr>
                  <w:tcW w:w="1717" w:type="dxa"/>
                  <w:tcBorders>
                    <w:tl2br w:val="nil"/>
                    <w:tr2bl w:val="nil"/>
                  </w:tcBorders>
                  <w:noWrap w:val="0"/>
                  <w:vAlign w:val="center"/>
                </w:tcPr>
                <w:p w14:paraId="2D0990B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本项目运营期产生的固废主要有生活垃圾、剥离表层土、除尘灰、不合格品和沉淀池沉沙；办公、生活区的生活垃圾委托环卫部门处置;本项目剥离表土拉运至表土堆场堆放，并进行防尘网苫盖，用于后期矿区回填;除尘设备收集的尘回用于生产;搅拌过程中产生的不合格品回用于生产;沉淀池污泥收集后掺入砂石料外售</w:t>
                  </w:r>
                </w:p>
              </w:tc>
              <w:tc>
                <w:tcPr>
                  <w:tcW w:w="768" w:type="dxa"/>
                  <w:tcBorders>
                    <w:tl2br w:val="nil"/>
                    <w:tr2bl w:val="nil"/>
                  </w:tcBorders>
                  <w:noWrap w:val="0"/>
                  <w:vAlign w:val="center"/>
                </w:tcPr>
                <w:p w14:paraId="51BCF2D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符合</w:t>
                  </w:r>
                </w:p>
              </w:tc>
            </w:tr>
            <w:tr w14:paraId="40C0A2F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520" w:type="dxa"/>
                  <w:vMerge w:val="continue"/>
                  <w:tcBorders>
                    <w:tl2br w:val="nil"/>
                    <w:tr2bl w:val="nil"/>
                  </w:tcBorders>
                  <w:noWrap w:val="0"/>
                  <w:vAlign w:val="center"/>
                </w:tcPr>
                <w:p w14:paraId="0CB40763">
                  <w:pPr>
                    <w:spacing w:line="240" w:lineRule="auto"/>
                    <w:jc w:val="center"/>
                    <w:rPr>
                      <w:rFonts w:hint="default" w:ascii="Times New Roman" w:hAnsi="Times New Roman" w:eastAsia="宋体" w:cs="Times New Roman"/>
                      <w:i w:val="0"/>
                      <w:iCs w:val="0"/>
                      <w:color w:val="auto"/>
                      <w:spacing w:val="0"/>
                      <w:sz w:val="21"/>
                      <w:szCs w:val="21"/>
                      <w:highlight w:val="none"/>
                      <w:u w:val="none"/>
                    </w:rPr>
                  </w:pPr>
                </w:p>
              </w:tc>
              <w:tc>
                <w:tcPr>
                  <w:tcW w:w="556" w:type="dxa"/>
                  <w:vMerge w:val="continue"/>
                  <w:tcBorders>
                    <w:tl2br w:val="nil"/>
                    <w:tr2bl w:val="nil"/>
                  </w:tcBorders>
                  <w:noWrap w:val="0"/>
                  <w:vAlign w:val="center"/>
                </w:tcPr>
                <w:p w14:paraId="74C4C4D0">
                  <w:pPr>
                    <w:spacing w:line="240" w:lineRule="auto"/>
                    <w:jc w:val="center"/>
                    <w:rPr>
                      <w:rFonts w:hint="default" w:ascii="Times New Roman" w:hAnsi="Times New Roman" w:eastAsia="宋体" w:cs="Times New Roman"/>
                      <w:i w:val="0"/>
                      <w:iCs w:val="0"/>
                      <w:color w:val="auto"/>
                      <w:spacing w:val="0"/>
                      <w:sz w:val="21"/>
                      <w:szCs w:val="21"/>
                      <w:highlight w:val="none"/>
                      <w:u w:val="none"/>
                    </w:rPr>
                  </w:pPr>
                </w:p>
              </w:tc>
              <w:tc>
                <w:tcPr>
                  <w:tcW w:w="3742" w:type="dxa"/>
                  <w:tcBorders>
                    <w:tl2br w:val="nil"/>
                    <w:tr2bl w:val="nil"/>
                  </w:tcBorders>
                  <w:noWrap w:val="0"/>
                  <w:vAlign w:val="center"/>
                </w:tcPr>
                <w:p w14:paraId="1ACA1669">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auto"/>
                      <w:spacing w:val="0"/>
                      <w:sz w:val="21"/>
                      <w:szCs w:val="21"/>
                      <w:highlight w:val="none"/>
                      <w:u w:val="none"/>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A4.5-2〕推动工业固废按元素价值综合开发利用，加快推进尾矿(共伴生矿)、粉煤灰、煤矸石、冶炼渣、工业副产石膏、赤泥、化工废渣等工业固废在有价组分提取、建材生产、市政设施建设、井下充填、生态修复、土壤治理等领域的规模化利用。着力提升工业固废在生产纤维材料、微晶玻璃、超细化填料、低碳水泥、固废基高性能混凝土、预制件、节能型建筑材料等领域的高值化利用水平。</w:t>
                  </w:r>
                </w:p>
              </w:tc>
              <w:tc>
                <w:tcPr>
                  <w:tcW w:w="1717" w:type="dxa"/>
                  <w:tcBorders>
                    <w:tl2br w:val="nil"/>
                    <w:tr2bl w:val="nil"/>
                  </w:tcBorders>
                  <w:noWrap w:val="0"/>
                  <w:vAlign w:val="center"/>
                </w:tcPr>
                <w:p w14:paraId="5AEA2B1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本项目的除尘设备收集的除尘灰回用于生产</w:t>
                  </w:r>
                </w:p>
              </w:tc>
              <w:tc>
                <w:tcPr>
                  <w:tcW w:w="768" w:type="dxa"/>
                  <w:tcBorders>
                    <w:tl2br w:val="nil"/>
                    <w:tr2bl w:val="nil"/>
                  </w:tcBorders>
                  <w:noWrap w:val="0"/>
                  <w:vAlign w:val="center"/>
                </w:tcPr>
                <w:p w14:paraId="7B98141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符合</w:t>
                  </w:r>
                </w:p>
              </w:tc>
            </w:tr>
            <w:tr w14:paraId="1D69B4B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520" w:type="dxa"/>
                  <w:vMerge w:val="continue"/>
                  <w:tcBorders>
                    <w:tl2br w:val="nil"/>
                    <w:tr2bl w:val="nil"/>
                  </w:tcBorders>
                  <w:noWrap w:val="0"/>
                  <w:vAlign w:val="center"/>
                </w:tcPr>
                <w:p w14:paraId="5AC1588B">
                  <w:pPr>
                    <w:spacing w:line="240" w:lineRule="auto"/>
                    <w:jc w:val="center"/>
                    <w:rPr>
                      <w:rFonts w:hint="default" w:ascii="Times New Roman" w:hAnsi="Times New Roman" w:eastAsia="宋体" w:cs="Times New Roman"/>
                      <w:i w:val="0"/>
                      <w:iCs w:val="0"/>
                      <w:color w:val="auto"/>
                      <w:spacing w:val="0"/>
                      <w:sz w:val="21"/>
                      <w:szCs w:val="21"/>
                      <w:highlight w:val="none"/>
                      <w:u w:val="none"/>
                    </w:rPr>
                  </w:pPr>
                </w:p>
              </w:tc>
              <w:tc>
                <w:tcPr>
                  <w:tcW w:w="556" w:type="dxa"/>
                  <w:vMerge w:val="continue"/>
                  <w:tcBorders>
                    <w:tl2br w:val="nil"/>
                    <w:tr2bl w:val="nil"/>
                  </w:tcBorders>
                  <w:noWrap w:val="0"/>
                  <w:vAlign w:val="center"/>
                </w:tcPr>
                <w:p w14:paraId="39574159">
                  <w:pPr>
                    <w:spacing w:line="240" w:lineRule="auto"/>
                    <w:jc w:val="center"/>
                    <w:rPr>
                      <w:rFonts w:hint="default" w:ascii="Times New Roman" w:hAnsi="Times New Roman" w:eastAsia="宋体" w:cs="Times New Roman"/>
                      <w:i w:val="0"/>
                      <w:iCs w:val="0"/>
                      <w:color w:val="auto"/>
                      <w:spacing w:val="0"/>
                      <w:sz w:val="21"/>
                      <w:szCs w:val="21"/>
                      <w:highlight w:val="none"/>
                      <w:u w:val="none"/>
                    </w:rPr>
                  </w:pPr>
                </w:p>
              </w:tc>
              <w:tc>
                <w:tcPr>
                  <w:tcW w:w="3742" w:type="dxa"/>
                  <w:tcBorders>
                    <w:tl2br w:val="nil"/>
                    <w:tr2bl w:val="nil"/>
                  </w:tcBorders>
                  <w:noWrap w:val="0"/>
                  <w:vAlign w:val="center"/>
                </w:tcPr>
                <w:p w14:paraId="3A349F6D">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auto"/>
                      <w:spacing w:val="0"/>
                      <w:sz w:val="21"/>
                      <w:szCs w:val="21"/>
                      <w:highlight w:val="none"/>
                      <w:u w:val="none"/>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A4.5-3〕结合工业领域减污降碳要求，加快探索钢铁、有色、化工、建材等重点行业工业固体废物减量化路径，全面推行清洁生产。全面推进绿色矿山、“无废”矿区建设，推广尾矿等大宗工业固体废物环境友好型井下充填回填，减少尾矿库贮存量。推动大宗工业固体废物在提取有价组分、生产建材、筑路、生态修复、土壤治理等领域的规模化利用。</w:t>
                  </w:r>
                </w:p>
              </w:tc>
              <w:tc>
                <w:tcPr>
                  <w:tcW w:w="1717" w:type="dxa"/>
                  <w:tcBorders>
                    <w:tl2br w:val="nil"/>
                    <w:tr2bl w:val="nil"/>
                  </w:tcBorders>
                  <w:noWrap w:val="0"/>
                  <w:vAlign w:val="center"/>
                </w:tcPr>
                <w:p w14:paraId="0360B6A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本项目不涉及钢铁、有色、化工、建材等重点行业建设</w:t>
                  </w:r>
                </w:p>
              </w:tc>
              <w:tc>
                <w:tcPr>
                  <w:tcW w:w="768" w:type="dxa"/>
                  <w:tcBorders>
                    <w:tl2br w:val="nil"/>
                    <w:tr2bl w:val="nil"/>
                  </w:tcBorders>
                  <w:noWrap w:val="0"/>
                  <w:vAlign w:val="center"/>
                </w:tcPr>
                <w:p w14:paraId="43BFA98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符合</w:t>
                  </w:r>
                </w:p>
              </w:tc>
            </w:tr>
            <w:tr w14:paraId="5BAFF16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520" w:type="dxa"/>
                  <w:vMerge w:val="continue"/>
                  <w:tcBorders>
                    <w:tl2br w:val="nil"/>
                    <w:tr2bl w:val="nil"/>
                  </w:tcBorders>
                  <w:noWrap w:val="0"/>
                  <w:vAlign w:val="center"/>
                </w:tcPr>
                <w:p w14:paraId="0D76AD28">
                  <w:pPr>
                    <w:spacing w:line="240" w:lineRule="auto"/>
                    <w:jc w:val="center"/>
                    <w:rPr>
                      <w:rFonts w:hint="default" w:ascii="Times New Roman" w:hAnsi="Times New Roman" w:eastAsia="宋体" w:cs="Times New Roman"/>
                      <w:i w:val="0"/>
                      <w:iCs w:val="0"/>
                      <w:color w:val="auto"/>
                      <w:spacing w:val="0"/>
                      <w:sz w:val="21"/>
                      <w:szCs w:val="21"/>
                      <w:highlight w:val="none"/>
                      <w:u w:val="none"/>
                    </w:rPr>
                  </w:pPr>
                </w:p>
              </w:tc>
              <w:tc>
                <w:tcPr>
                  <w:tcW w:w="556" w:type="dxa"/>
                  <w:vMerge w:val="continue"/>
                  <w:tcBorders>
                    <w:tl2br w:val="nil"/>
                    <w:tr2bl w:val="nil"/>
                  </w:tcBorders>
                  <w:noWrap w:val="0"/>
                  <w:vAlign w:val="center"/>
                </w:tcPr>
                <w:p w14:paraId="6E9CFB80">
                  <w:pPr>
                    <w:spacing w:line="240" w:lineRule="auto"/>
                    <w:jc w:val="center"/>
                    <w:rPr>
                      <w:rFonts w:hint="default" w:ascii="Times New Roman" w:hAnsi="Times New Roman" w:eastAsia="宋体" w:cs="Times New Roman"/>
                      <w:i w:val="0"/>
                      <w:iCs w:val="0"/>
                      <w:color w:val="auto"/>
                      <w:spacing w:val="0"/>
                      <w:sz w:val="21"/>
                      <w:szCs w:val="21"/>
                      <w:highlight w:val="none"/>
                      <w:u w:val="none"/>
                    </w:rPr>
                  </w:pPr>
                </w:p>
              </w:tc>
              <w:tc>
                <w:tcPr>
                  <w:tcW w:w="3742" w:type="dxa"/>
                  <w:tcBorders>
                    <w:tl2br w:val="nil"/>
                    <w:tr2bl w:val="nil"/>
                  </w:tcBorders>
                  <w:noWrap w:val="0"/>
                  <w:vAlign w:val="center"/>
                </w:tcPr>
                <w:p w14:paraId="602563BE">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auto"/>
                      <w:spacing w:val="0"/>
                      <w:sz w:val="21"/>
                      <w:szCs w:val="21"/>
                      <w:highlight w:val="none"/>
                      <w:u w:val="none"/>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A4.5-4〕发展生态种植、生态养殖，建立农业循环经济发展模式，促进农业固体废物综合利用。鼓励和引导农民采用增施有机肥秸秆还田、种植绿肥等技术，持续减少化肥农药使用比例。加大畜禽粪污和秸秆资源化利用先进技术和新型市场模式的集成推广，推动形成长效运行机制。</w:t>
                  </w:r>
                </w:p>
              </w:tc>
              <w:tc>
                <w:tcPr>
                  <w:tcW w:w="1717" w:type="dxa"/>
                  <w:tcBorders>
                    <w:tl2br w:val="nil"/>
                    <w:tr2bl w:val="nil"/>
                  </w:tcBorders>
                  <w:noWrap w:val="0"/>
                  <w:vAlign w:val="center"/>
                </w:tcPr>
                <w:p w14:paraId="4E9BD09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本项目不涉及农业循环经济</w:t>
                  </w:r>
                </w:p>
              </w:tc>
              <w:tc>
                <w:tcPr>
                  <w:tcW w:w="768" w:type="dxa"/>
                  <w:tcBorders>
                    <w:tl2br w:val="nil"/>
                    <w:tr2bl w:val="nil"/>
                  </w:tcBorders>
                  <w:noWrap w:val="0"/>
                  <w:vAlign w:val="center"/>
                </w:tcPr>
                <w:p w14:paraId="0533B64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pacing w:val="0"/>
                      <w:kern w:val="0"/>
                      <w:sz w:val="21"/>
                      <w:szCs w:val="21"/>
                      <w:highlight w:val="none"/>
                      <w:u w:val="none"/>
                      <w:lang w:val="en-US" w:eastAsia="zh-CN" w:bidi="ar"/>
                    </w:rPr>
                  </w:pPr>
                  <w:r>
                    <w:rPr>
                      <w:rFonts w:hint="default" w:ascii="Times New Roman" w:hAnsi="Times New Roman" w:eastAsia="宋体" w:cs="Times New Roman"/>
                      <w:i w:val="0"/>
                      <w:iCs w:val="0"/>
                      <w:color w:val="auto"/>
                      <w:spacing w:val="0"/>
                      <w:kern w:val="0"/>
                      <w:sz w:val="21"/>
                      <w:szCs w:val="21"/>
                      <w:highlight w:val="none"/>
                      <w:u w:val="none"/>
                      <w:lang w:val="en-US" w:eastAsia="zh-CN" w:bidi="ar"/>
                    </w:rPr>
                    <w:t>符合</w:t>
                  </w:r>
                </w:p>
              </w:tc>
            </w:tr>
          </w:tbl>
          <w:p w14:paraId="391A54E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firstLine="480" w:firstLineChars="200"/>
              <w:jc w:val="both"/>
              <w:textAlignment w:val="auto"/>
              <w:rPr>
                <w:rFonts w:hint="default" w:ascii="Times New Roman" w:hAnsi="Times New Roman" w:eastAsia="宋体" w:cs="Times New Roman"/>
                <w:bCs/>
                <w:color w:val="auto"/>
                <w:spacing w:val="0"/>
                <w:position w:val="0"/>
                <w:sz w:val="24"/>
                <w:szCs w:val="24"/>
                <w:highlight w:val="none"/>
              </w:rPr>
            </w:pPr>
            <w:r>
              <w:rPr>
                <w:rFonts w:hint="default" w:ascii="Times New Roman" w:hAnsi="Times New Roman" w:eastAsia="宋体" w:cs="Times New Roman"/>
                <w:bCs/>
                <w:color w:val="auto"/>
                <w:spacing w:val="0"/>
                <w:position w:val="0"/>
                <w:sz w:val="24"/>
                <w:szCs w:val="24"/>
                <w:highlight w:val="none"/>
              </w:rPr>
              <w:t>本项目厂址位于新疆维吾尔自治区</w:t>
            </w:r>
            <w:r>
              <w:rPr>
                <w:rFonts w:hint="default" w:ascii="Times New Roman" w:hAnsi="Times New Roman" w:eastAsia="宋体" w:cs="Times New Roman"/>
                <w:bCs/>
                <w:color w:val="auto"/>
                <w:spacing w:val="0"/>
                <w:position w:val="0"/>
                <w:sz w:val="24"/>
                <w:szCs w:val="24"/>
                <w:highlight w:val="none"/>
                <w:lang w:val="en-US" w:eastAsia="zh-CN"/>
              </w:rPr>
              <w:t>吉木萨尔县庆阳湖乡</w:t>
            </w:r>
            <w:r>
              <w:rPr>
                <w:rFonts w:hint="default" w:ascii="Times New Roman" w:hAnsi="Times New Roman" w:eastAsia="宋体" w:cs="Times New Roman"/>
                <w:bCs/>
                <w:color w:val="auto"/>
                <w:spacing w:val="0"/>
                <w:position w:val="0"/>
                <w:sz w:val="24"/>
                <w:szCs w:val="24"/>
                <w:highlight w:val="none"/>
              </w:rPr>
              <w:t>。项目不在《新疆维吾尔自治区28个国家重点生态功能区县（市）产业准入负面清单（试行）》</w:t>
            </w:r>
            <w:r>
              <w:rPr>
                <w:rFonts w:hint="default" w:ascii="Times New Roman" w:hAnsi="Times New Roman" w:eastAsia="宋体" w:cs="Times New Roman"/>
                <w:bCs/>
                <w:color w:val="auto"/>
                <w:spacing w:val="0"/>
                <w:position w:val="0"/>
                <w:sz w:val="24"/>
                <w:szCs w:val="24"/>
                <w:highlight w:val="none"/>
                <w:lang w:eastAsia="zh-CN"/>
              </w:rPr>
              <w:t>和《新疆维吾尔自治区17个新增纳入国家重点生态功能区县（市）产业准入负面清单（试行）》</w:t>
            </w:r>
            <w:r>
              <w:rPr>
                <w:rFonts w:hint="default" w:ascii="Times New Roman" w:hAnsi="Times New Roman" w:eastAsia="宋体" w:cs="Times New Roman"/>
                <w:bCs/>
                <w:color w:val="auto"/>
                <w:spacing w:val="0"/>
                <w:position w:val="0"/>
                <w:sz w:val="24"/>
                <w:szCs w:val="24"/>
                <w:highlight w:val="none"/>
              </w:rPr>
              <w:t>名单内。</w:t>
            </w:r>
          </w:p>
          <w:p w14:paraId="29BFBE5E">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firstLine="480" w:firstLineChars="200"/>
              <w:jc w:val="both"/>
              <w:textAlignment w:val="auto"/>
              <w:rPr>
                <w:rFonts w:hint="default" w:ascii="Times New Roman" w:hAnsi="Times New Roman" w:eastAsia="宋体" w:cs="Times New Roman"/>
                <w:b w:val="0"/>
                <w:bCs w:val="0"/>
                <w:color w:val="auto"/>
                <w:spacing w:val="0"/>
                <w:kern w:val="0"/>
                <w:sz w:val="24"/>
                <w:szCs w:val="24"/>
                <w:highlight w:val="none"/>
                <w:lang w:val="en-US" w:eastAsia="zh-CN"/>
              </w:rPr>
            </w:pPr>
            <w:r>
              <w:rPr>
                <w:rFonts w:hint="default" w:ascii="Times New Roman" w:hAnsi="Times New Roman" w:eastAsia="宋体" w:cs="Times New Roman"/>
                <w:color w:val="auto"/>
                <w:spacing w:val="0"/>
                <w:sz w:val="24"/>
                <w:szCs w:val="24"/>
                <w:highlight w:val="none"/>
              </w:rPr>
              <w:t>综上所述，本项目符合《新疆维吾尔自治区“三线一单”生态环境分区管控方案》相关要求。</w:t>
            </w:r>
          </w:p>
          <w:p w14:paraId="366194AE">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textAlignment w:val="auto"/>
              <w:rPr>
                <w:rFonts w:hint="default" w:ascii="Times New Roman" w:hAnsi="Times New Roman" w:eastAsia="宋体" w:cs="Times New Roman"/>
                <w:b/>
                <w:bCs/>
                <w:color w:val="auto"/>
                <w:spacing w:val="0"/>
                <w:w w:val="100"/>
                <w:kern w:val="0"/>
                <w:position w:val="0"/>
                <w:sz w:val="24"/>
                <w:szCs w:val="24"/>
                <w:highlight w:val="none"/>
                <w:lang w:val="en-US" w:eastAsia="zh-CN"/>
              </w:rPr>
            </w:pPr>
            <w:r>
              <w:rPr>
                <w:rFonts w:hint="default" w:ascii="Times New Roman" w:hAnsi="Times New Roman" w:eastAsia="宋体" w:cs="Times New Roman"/>
                <w:b/>
                <w:bCs/>
                <w:color w:val="auto"/>
                <w:spacing w:val="0"/>
                <w:w w:val="100"/>
                <w:kern w:val="0"/>
                <w:position w:val="0"/>
                <w:sz w:val="24"/>
                <w:szCs w:val="24"/>
                <w:highlight w:val="none"/>
                <w:lang w:val="en-US" w:eastAsia="zh-CN"/>
              </w:rPr>
              <w:t>2.2项目与《</w:t>
            </w:r>
            <w:r>
              <w:rPr>
                <w:rFonts w:hint="default" w:ascii="Times New Roman" w:hAnsi="Times New Roman" w:eastAsia="宋体" w:cs="Times New Roman"/>
                <w:b/>
                <w:bCs/>
                <w:kern w:val="0"/>
                <w:sz w:val="24"/>
                <w:szCs w:val="24"/>
                <w:highlight w:val="none"/>
                <w:lang w:val="en-US" w:eastAsia="zh-CN"/>
              </w:rPr>
              <w:t>关于发布〈昌吉回族自治州生态环境分区管控动态更新成果〉的公告</w:t>
            </w:r>
            <w:r>
              <w:rPr>
                <w:rFonts w:hint="default" w:ascii="Times New Roman" w:hAnsi="Times New Roman" w:eastAsia="宋体" w:cs="Times New Roman"/>
                <w:b/>
                <w:bCs/>
                <w:color w:val="auto"/>
                <w:spacing w:val="0"/>
                <w:w w:val="100"/>
                <w:kern w:val="0"/>
                <w:position w:val="0"/>
                <w:sz w:val="24"/>
                <w:szCs w:val="24"/>
                <w:highlight w:val="none"/>
                <w:lang w:val="en-US" w:eastAsia="zh-CN"/>
              </w:rPr>
              <w:t>》符合性分析</w:t>
            </w:r>
          </w:p>
          <w:p w14:paraId="6FED4A66">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firstLine="480" w:firstLineChars="200"/>
              <w:textAlignment w:val="auto"/>
              <w:rPr>
                <w:rFonts w:hint="default" w:ascii="Times New Roman" w:hAnsi="Times New Roman" w:eastAsia="宋体" w:cs="Times New Roman"/>
                <w:b w:val="0"/>
                <w:bCs w:val="0"/>
                <w:color w:val="auto"/>
                <w:spacing w:val="0"/>
                <w:w w:val="100"/>
                <w:kern w:val="0"/>
                <w:position w:val="0"/>
                <w:sz w:val="24"/>
                <w:szCs w:val="24"/>
                <w:highlight w:val="none"/>
                <w:lang w:val="en-US" w:eastAsia="zh-CN"/>
              </w:rPr>
            </w:pPr>
            <w:r>
              <w:rPr>
                <w:rFonts w:hint="default" w:ascii="Times New Roman" w:hAnsi="Times New Roman" w:eastAsia="宋体" w:cs="Times New Roman"/>
                <w:b w:val="0"/>
                <w:bCs w:val="0"/>
                <w:color w:val="auto"/>
                <w:spacing w:val="0"/>
                <w:w w:val="100"/>
                <w:kern w:val="0"/>
                <w:position w:val="0"/>
                <w:sz w:val="24"/>
                <w:szCs w:val="24"/>
                <w:highlight w:val="none"/>
                <w:lang w:val="en-US" w:eastAsia="zh-CN"/>
              </w:rPr>
              <w:t>本项目位于新疆维吾尔自治区昌吉回族自治州吉木萨尔，根据《昌吉回族自治州“三线一单”生态环境分区管控方案及生态环境准入清单》本项目所属为文件中“吉木萨尔县限采区”，环境管控单元编码：ZH65232720005。本项目与其符合情况见下表1-2，环境管控单元分类图见附图1。</w:t>
            </w:r>
          </w:p>
          <w:p w14:paraId="651F18E9">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40" w:lineRule="auto"/>
              <w:ind w:left="0" w:leftChars="0" w:right="0"/>
              <w:jc w:val="center"/>
              <w:textAlignment w:val="auto"/>
              <w:rPr>
                <w:rFonts w:hint="default" w:ascii="Times New Roman" w:hAnsi="Times New Roman" w:eastAsia="宋体" w:cs="Times New Roman"/>
                <w:b/>
                <w:bCs/>
                <w:color w:val="auto"/>
                <w:spacing w:val="0"/>
                <w:w w:val="100"/>
                <w:kern w:val="0"/>
                <w:position w:val="0"/>
                <w:sz w:val="21"/>
                <w:szCs w:val="21"/>
                <w:highlight w:val="none"/>
                <w:lang w:val="en-US" w:eastAsia="zh-CN"/>
              </w:rPr>
            </w:pPr>
            <w:r>
              <w:rPr>
                <w:rFonts w:hint="default" w:ascii="Times New Roman" w:hAnsi="Times New Roman" w:eastAsia="宋体" w:cs="Times New Roman"/>
                <w:b/>
                <w:bCs/>
                <w:color w:val="auto"/>
                <w:spacing w:val="0"/>
                <w:w w:val="100"/>
                <w:kern w:val="0"/>
                <w:position w:val="0"/>
                <w:sz w:val="21"/>
                <w:szCs w:val="21"/>
                <w:highlight w:val="none"/>
                <w:lang w:val="en-US" w:eastAsia="zh-CN"/>
              </w:rPr>
              <w:t>表1-2 与《关于发布〈昌吉回族自治州生态环境分区管控动态更新成果〉的公告）》符合性分析</w:t>
            </w:r>
          </w:p>
          <w:tbl>
            <w:tblPr>
              <w:tblStyle w:val="39"/>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85"/>
              <w:gridCol w:w="3501"/>
              <w:gridCol w:w="2461"/>
              <w:gridCol w:w="755"/>
            </w:tblGrid>
            <w:tr w14:paraId="1BF2C3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6" w:type="dxa"/>
                  <w:tcBorders>
                    <w:bottom w:val="single" w:color="000000" w:sz="12" w:space="0"/>
                    <w:tl2br w:val="nil"/>
                    <w:tr2bl w:val="nil"/>
                  </w:tcBorders>
                  <w:vAlign w:val="center"/>
                </w:tcPr>
                <w:p w14:paraId="4C7A816A">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40" w:lineRule="auto"/>
                    <w:ind w:left="0" w:leftChars="0" w:right="0"/>
                    <w:jc w:val="center"/>
                    <w:textAlignment w:val="auto"/>
                    <w:rPr>
                      <w:rFonts w:hint="default" w:ascii="Times New Roman" w:hAnsi="Times New Roman" w:eastAsia="宋体" w:cs="Times New Roman"/>
                      <w:b/>
                      <w:bCs/>
                      <w:color w:val="auto"/>
                      <w:spacing w:val="0"/>
                      <w:w w:val="100"/>
                      <w:kern w:val="0"/>
                      <w:position w:val="0"/>
                      <w:sz w:val="21"/>
                      <w:szCs w:val="21"/>
                      <w:highlight w:val="none"/>
                      <w:lang w:val="en-US" w:eastAsia="zh-CN"/>
                    </w:rPr>
                  </w:pPr>
                  <w:r>
                    <w:rPr>
                      <w:rFonts w:hint="default" w:ascii="Times New Roman" w:hAnsi="Times New Roman" w:eastAsia="宋体" w:cs="Times New Roman"/>
                      <w:b/>
                      <w:bCs/>
                      <w:color w:val="auto"/>
                      <w:spacing w:val="0"/>
                      <w:w w:val="100"/>
                      <w:kern w:val="0"/>
                      <w:position w:val="0"/>
                      <w:sz w:val="21"/>
                      <w:szCs w:val="21"/>
                      <w:highlight w:val="none"/>
                      <w:lang w:val="en-US" w:eastAsia="zh-CN"/>
                    </w:rPr>
                    <w:t>管控名称</w:t>
                  </w:r>
                </w:p>
              </w:tc>
              <w:tc>
                <w:tcPr>
                  <w:tcW w:w="3454" w:type="dxa"/>
                  <w:tcBorders>
                    <w:bottom w:val="single" w:color="000000" w:sz="12" w:space="0"/>
                    <w:tl2br w:val="nil"/>
                    <w:tr2bl w:val="nil"/>
                  </w:tcBorders>
                  <w:vAlign w:val="center"/>
                </w:tcPr>
                <w:p w14:paraId="783055EF">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40" w:lineRule="auto"/>
                    <w:ind w:left="0" w:leftChars="0" w:right="0"/>
                    <w:jc w:val="center"/>
                    <w:textAlignment w:val="auto"/>
                    <w:rPr>
                      <w:rFonts w:hint="default" w:ascii="Times New Roman" w:hAnsi="Times New Roman" w:eastAsia="宋体" w:cs="Times New Roman"/>
                      <w:b/>
                      <w:bCs/>
                      <w:color w:val="auto"/>
                      <w:spacing w:val="0"/>
                      <w:w w:val="100"/>
                      <w:kern w:val="0"/>
                      <w:position w:val="0"/>
                      <w:sz w:val="21"/>
                      <w:szCs w:val="21"/>
                      <w:highlight w:val="none"/>
                      <w:lang w:val="en-US" w:eastAsia="zh-CN"/>
                    </w:rPr>
                  </w:pPr>
                  <w:r>
                    <w:rPr>
                      <w:rFonts w:hint="default" w:ascii="Times New Roman" w:hAnsi="Times New Roman" w:eastAsia="宋体" w:cs="Times New Roman"/>
                      <w:b/>
                      <w:bCs/>
                      <w:color w:val="auto"/>
                      <w:spacing w:val="0"/>
                      <w:w w:val="100"/>
                      <w:kern w:val="0"/>
                      <w:position w:val="0"/>
                      <w:sz w:val="21"/>
                      <w:szCs w:val="21"/>
                      <w:highlight w:val="none"/>
                      <w:lang w:val="en-US" w:eastAsia="zh-CN"/>
                    </w:rPr>
                    <w:t>管控要求</w:t>
                  </w:r>
                </w:p>
              </w:tc>
              <w:tc>
                <w:tcPr>
                  <w:tcW w:w="2428" w:type="dxa"/>
                  <w:tcBorders>
                    <w:bottom w:val="single" w:color="000000" w:sz="12" w:space="0"/>
                    <w:tl2br w:val="nil"/>
                    <w:tr2bl w:val="nil"/>
                  </w:tcBorders>
                  <w:vAlign w:val="center"/>
                </w:tcPr>
                <w:p w14:paraId="2708DB62">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40" w:lineRule="auto"/>
                    <w:ind w:left="0" w:leftChars="0" w:right="0"/>
                    <w:jc w:val="center"/>
                    <w:textAlignment w:val="auto"/>
                    <w:rPr>
                      <w:rFonts w:hint="default" w:ascii="Times New Roman" w:hAnsi="Times New Roman" w:eastAsia="宋体" w:cs="Times New Roman"/>
                      <w:b/>
                      <w:bCs/>
                      <w:color w:val="auto"/>
                      <w:spacing w:val="0"/>
                      <w:w w:val="100"/>
                      <w:kern w:val="0"/>
                      <w:position w:val="0"/>
                      <w:sz w:val="21"/>
                      <w:szCs w:val="21"/>
                      <w:highlight w:val="none"/>
                      <w:lang w:val="en-US" w:eastAsia="zh-CN"/>
                    </w:rPr>
                  </w:pPr>
                  <w:r>
                    <w:rPr>
                      <w:rFonts w:hint="default" w:ascii="Times New Roman" w:hAnsi="Times New Roman" w:eastAsia="宋体" w:cs="Times New Roman"/>
                      <w:b/>
                      <w:bCs/>
                      <w:color w:val="auto"/>
                      <w:spacing w:val="0"/>
                      <w:w w:val="100"/>
                      <w:kern w:val="0"/>
                      <w:position w:val="0"/>
                      <w:sz w:val="21"/>
                      <w:szCs w:val="21"/>
                      <w:highlight w:val="none"/>
                      <w:lang w:val="en-US" w:eastAsia="zh-CN"/>
                    </w:rPr>
                    <w:t>项目概况</w:t>
                  </w:r>
                </w:p>
              </w:tc>
              <w:tc>
                <w:tcPr>
                  <w:tcW w:w="745" w:type="dxa"/>
                  <w:tcBorders>
                    <w:bottom w:val="single" w:color="000000" w:sz="12" w:space="0"/>
                    <w:tl2br w:val="nil"/>
                    <w:tr2bl w:val="nil"/>
                  </w:tcBorders>
                  <w:vAlign w:val="center"/>
                </w:tcPr>
                <w:p w14:paraId="305F1AAD">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40" w:lineRule="auto"/>
                    <w:ind w:left="0" w:leftChars="0" w:right="0"/>
                    <w:jc w:val="center"/>
                    <w:textAlignment w:val="auto"/>
                    <w:rPr>
                      <w:rFonts w:hint="default" w:ascii="Times New Roman" w:hAnsi="Times New Roman" w:eastAsia="宋体" w:cs="Times New Roman"/>
                      <w:b/>
                      <w:bCs/>
                      <w:color w:val="auto"/>
                      <w:spacing w:val="0"/>
                      <w:w w:val="100"/>
                      <w:kern w:val="0"/>
                      <w:position w:val="0"/>
                      <w:sz w:val="21"/>
                      <w:szCs w:val="21"/>
                      <w:highlight w:val="none"/>
                      <w:lang w:val="en-US" w:eastAsia="zh-CN"/>
                    </w:rPr>
                  </w:pPr>
                  <w:r>
                    <w:rPr>
                      <w:rFonts w:hint="default" w:ascii="Times New Roman" w:hAnsi="Times New Roman" w:eastAsia="宋体" w:cs="Times New Roman"/>
                      <w:b/>
                      <w:bCs/>
                      <w:color w:val="auto"/>
                      <w:spacing w:val="0"/>
                      <w:w w:val="100"/>
                      <w:kern w:val="0"/>
                      <w:position w:val="0"/>
                      <w:sz w:val="21"/>
                      <w:szCs w:val="21"/>
                      <w:highlight w:val="none"/>
                      <w:lang w:val="en-US" w:eastAsia="zh-CN"/>
                    </w:rPr>
                    <w:t>符合情况</w:t>
                  </w:r>
                </w:p>
              </w:tc>
            </w:tr>
            <w:tr w14:paraId="639B0E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6" w:type="dxa"/>
                  <w:vMerge w:val="restart"/>
                  <w:tcBorders>
                    <w:top w:val="single" w:color="000000" w:sz="12" w:space="0"/>
                    <w:tl2br w:val="nil"/>
                    <w:tr2bl w:val="nil"/>
                  </w:tcBorders>
                  <w:vAlign w:val="center"/>
                </w:tcPr>
                <w:p w14:paraId="15380D0D">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40" w:lineRule="auto"/>
                    <w:ind w:left="0" w:leftChars="0" w:right="0"/>
                    <w:jc w:val="center"/>
                    <w:textAlignment w:val="auto"/>
                    <w:rPr>
                      <w:rFonts w:hint="default" w:ascii="Times New Roman" w:hAnsi="Times New Roman" w:eastAsia="宋体" w:cs="Times New Roman"/>
                      <w:b w:val="0"/>
                      <w:bCs w:val="0"/>
                      <w:color w:val="auto"/>
                      <w:spacing w:val="0"/>
                      <w:w w:val="100"/>
                      <w:kern w:val="0"/>
                      <w:position w:val="0"/>
                      <w:sz w:val="21"/>
                      <w:szCs w:val="21"/>
                      <w:highlight w:val="none"/>
                      <w:lang w:val="en-US" w:eastAsia="zh-CN"/>
                    </w:rPr>
                  </w:pPr>
                  <w:r>
                    <w:rPr>
                      <w:rFonts w:hint="default" w:ascii="Times New Roman" w:hAnsi="Times New Roman" w:eastAsia="宋体" w:cs="Times New Roman"/>
                      <w:sz w:val="21"/>
                      <w:szCs w:val="21"/>
                      <w:highlight w:val="none"/>
                      <w:vertAlign w:val="baseline"/>
                      <w:lang w:val="en-US" w:eastAsia="zh-CN"/>
                    </w:rPr>
                    <w:t>吉木萨尔县限采区</w:t>
                  </w:r>
                </w:p>
              </w:tc>
              <w:tc>
                <w:tcPr>
                  <w:tcW w:w="3454" w:type="dxa"/>
                  <w:tcBorders>
                    <w:top w:val="single" w:color="000000" w:sz="12" w:space="0"/>
                    <w:tl2br w:val="nil"/>
                    <w:tr2bl w:val="nil"/>
                  </w:tcBorders>
                  <w:vAlign w:val="center"/>
                </w:tcPr>
                <w:p w14:paraId="4B5D62BC">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Autospacing="0" w:afterAutospacing="0" w:line="240" w:lineRule="auto"/>
                    <w:ind w:right="0" w:rightChars="0"/>
                    <w:jc w:val="center"/>
                    <w:textAlignment w:val="auto"/>
                    <w:rPr>
                      <w:rFonts w:hint="default" w:ascii="Times New Roman" w:hAnsi="Times New Roman" w:eastAsia="宋体" w:cs="Times New Roman"/>
                      <w:color w:val="auto"/>
                      <w:spacing w:val="0"/>
                      <w:sz w:val="21"/>
                      <w:szCs w:val="21"/>
                      <w:highlight w:val="none"/>
                      <w:lang w:val="en-US" w:eastAsia="zh-CN" w:bidi="ar-SA"/>
                    </w:rPr>
                  </w:pPr>
                  <w:r>
                    <w:rPr>
                      <w:rFonts w:hint="eastAsia" w:ascii="Times New Roman" w:hAnsi="Times New Roman" w:eastAsia="宋体" w:cs="Times New Roman"/>
                      <w:color w:val="auto"/>
                      <w:spacing w:val="0"/>
                      <w:sz w:val="21"/>
                      <w:szCs w:val="21"/>
                      <w:highlight w:val="none"/>
                      <w:lang w:val="en-US" w:eastAsia="zh-CN" w:bidi="ar-SA"/>
                    </w:rPr>
                    <w:t>/</w:t>
                  </w:r>
                </w:p>
              </w:tc>
              <w:tc>
                <w:tcPr>
                  <w:tcW w:w="2428" w:type="dxa"/>
                  <w:tcBorders>
                    <w:top w:val="single" w:color="000000" w:sz="12" w:space="0"/>
                    <w:tl2br w:val="nil"/>
                    <w:tr2bl w:val="nil"/>
                  </w:tcBorders>
                  <w:vAlign w:val="center"/>
                </w:tcPr>
                <w:p w14:paraId="72105E92">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Autospacing="0" w:afterAutospacing="0" w:line="240" w:lineRule="auto"/>
                    <w:ind w:right="0" w:rightChars="0"/>
                    <w:jc w:val="center"/>
                    <w:textAlignment w:val="auto"/>
                    <w:rPr>
                      <w:rFonts w:hint="default" w:ascii="Times New Roman" w:hAnsi="Times New Roman" w:eastAsia="宋体" w:cs="Times New Roman"/>
                      <w:color w:val="auto"/>
                      <w:spacing w:val="0"/>
                      <w:sz w:val="21"/>
                      <w:szCs w:val="21"/>
                      <w:highlight w:val="none"/>
                      <w:lang w:val="en-US" w:eastAsia="zh-CN" w:bidi="ar-SA"/>
                    </w:rPr>
                  </w:pPr>
                  <w:r>
                    <w:rPr>
                      <w:rFonts w:hint="eastAsia" w:ascii="Times New Roman" w:hAnsi="Times New Roman" w:eastAsia="宋体" w:cs="Times New Roman"/>
                      <w:color w:val="auto"/>
                      <w:spacing w:val="0"/>
                      <w:sz w:val="21"/>
                      <w:szCs w:val="21"/>
                      <w:highlight w:val="none"/>
                      <w:lang w:val="en-US" w:eastAsia="zh-CN" w:bidi="ar-SA"/>
                    </w:rPr>
                    <w:t>/</w:t>
                  </w:r>
                </w:p>
              </w:tc>
              <w:tc>
                <w:tcPr>
                  <w:tcW w:w="745" w:type="dxa"/>
                  <w:tcBorders>
                    <w:top w:val="single" w:color="000000" w:sz="12" w:space="0"/>
                    <w:tl2br w:val="nil"/>
                    <w:tr2bl w:val="nil"/>
                  </w:tcBorders>
                  <w:vAlign w:val="center"/>
                </w:tcPr>
                <w:p w14:paraId="452942B1">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40" w:lineRule="auto"/>
                    <w:ind w:left="0" w:leftChars="0" w:right="0"/>
                    <w:jc w:val="center"/>
                    <w:textAlignment w:val="auto"/>
                    <w:rPr>
                      <w:rFonts w:hint="default" w:ascii="Times New Roman" w:hAnsi="Times New Roman" w:eastAsia="宋体" w:cs="Times New Roman"/>
                      <w:b w:val="0"/>
                      <w:bCs w:val="0"/>
                      <w:color w:val="auto"/>
                      <w:spacing w:val="0"/>
                      <w:w w:val="100"/>
                      <w:kern w:val="0"/>
                      <w:position w:val="0"/>
                      <w:sz w:val="21"/>
                      <w:szCs w:val="21"/>
                      <w:highlight w:val="none"/>
                      <w:lang w:val="en-US" w:eastAsia="zh-CN"/>
                    </w:rPr>
                  </w:pPr>
                  <w:r>
                    <w:rPr>
                      <w:rFonts w:hint="default" w:ascii="Times New Roman" w:hAnsi="Times New Roman" w:eastAsia="宋体" w:cs="Times New Roman"/>
                      <w:b w:val="0"/>
                      <w:bCs w:val="0"/>
                      <w:color w:val="auto"/>
                      <w:spacing w:val="0"/>
                      <w:w w:val="100"/>
                      <w:kern w:val="0"/>
                      <w:position w:val="0"/>
                      <w:sz w:val="21"/>
                      <w:szCs w:val="21"/>
                      <w:highlight w:val="none"/>
                      <w:lang w:val="en-US" w:eastAsia="zh-CN"/>
                    </w:rPr>
                    <w:t>符合</w:t>
                  </w:r>
                </w:p>
              </w:tc>
            </w:tr>
            <w:tr w14:paraId="08C7C6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6" w:type="dxa"/>
                  <w:vMerge w:val="continue"/>
                  <w:tcBorders>
                    <w:tl2br w:val="nil"/>
                    <w:tr2bl w:val="nil"/>
                  </w:tcBorders>
                  <w:vAlign w:val="center"/>
                </w:tcPr>
                <w:p w14:paraId="38942318">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40" w:lineRule="auto"/>
                    <w:ind w:left="0" w:leftChars="0" w:right="0"/>
                    <w:jc w:val="center"/>
                    <w:textAlignment w:val="auto"/>
                    <w:rPr>
                      <w:rFonts w:hint="default" w:ascii="Times New Roman" w:hAnsi="Times New Roman" w:eastAsia="宋体" w:cs="Times New Roman"/>
                      <w:b w:val="0"/>
                      <w:bCs w:val="0"/>
                      <w:color w:val="auto"/>
                      <w:spacing w:val="0"/>
                      <w:w w:val="100"/>
                      <w:kern w:val="0"/>
                      <w:position w:val="0"/>
                      <w:sz w:val="21"/>
                      <w:szCs w:val="21"/>
                      <w:highlight w:val="none"/>
                      <w:lang w:val="en-US" w:eastAsia="zh-CN"/>
                    </w:rPr>
                  </w:pPr>
                </w:p>
              </w:tc>
              <w:tc>
                <w:tcPr>
                  <w:tcW w:w="3454" w:type="dxa"/>
                  <w:tcBorders>
                    <w:tl2br w:val="nil"/>
                    <w:tr2bl w:val="nil"/>
                  </w:tcBorders>
                  <w:vAlign w:val="center"/>
                </w:tcPr>
                <w:p w14:paraId="1F70BDBA">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Autospacing="0" w:afterAutospacing="0" w:line="240" w:lineRule="auto"/>
                    <w:ind w:right="0" w:rightChars="0"/>
                    <w:jc w:val="center"/>
                    <w:textAlignment w:val="auto"/>
                    <w:rPr>
                      <w:rFonts w:hint="default" w:ascii="Times New Roman" w:hAnsi="Times New Roman" w:eastAsia="宋体" w:cs="Times New Roman"/>
                      <w:color w:val="auto"/>
                      <w:spacing w:val="0"/>
                      <w:sz w:val="21"/>
                      <w:szCs w:val="21"/>
                      <w:highlight w:val="none"/>
                      <w:lang w:val="en-US" w:eastAsia="zh-CN" w:bidi="ar-SA"/>
                    </w:rPr>
                  </w:pPr>
                  <w:r>
                    <w:rPr>
                      <w:rFonts w:hint="eastAsia" w:ascii="Times New Roman" w:hAnsi="Times New Roman" w:eastAsia="宋体" w:cs="Times New Roman"/>
                      <w:color w:val="auto"/>
                      <w:spacing w:val="0"/>
                      <w:sz w:val="21"/>
                      <w:szCs w:val="21"/>
                      <w:highlight w:val="none"/>
                      <w:lang w:val="en-US" w:eastAsia="zh-CN" w:bidi="ar-SA"/>
                    </w:rPr>
                    <w:t>/</w:t>
                  </w:r>
                </w:p>
              </w:tc>
              <w:tc>
                <w:tcPr>
                  <w:tcW w:w="2428" w:type="dxa"/>
                  <w:tcBorders>
                    <w:tl2br w:val="nil"/>
                    <w:tr2bl w:val="nil"/>
                  </w:tcBorders>
                  <w:vAlign w:val="center"/>
                </w:tcPr>
                <w:p w14:paraId="21334642">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Autospacing="0" w:afterAutospacing="0" w:line="240" w:lineRule="auto"/>
                    <w:ind w:right="0" w:rightChars="0"/>
                    <w:jc w:val="center"/>
                    <w:textAlignment w:val="auto"/>
                    <w:rPr>
                      <w:rFonts w:hint="default" w:ascii="Times New Roman" w:hAnsi="Times New Roman" w:eastAsia="宋体" w:cs="Times New Roman"/>
                      <w:color w:val="auto"/>
                      <w:spacing w:val="0"/>
                      <w:sz w:val="21"/>
                      <w:szCs w:val="21"/>
                      <w:highlight w:val="none"/>
                      <w:lang w:val="en-US" w:eastAsia="zh-CN" w:bidi="ar-SA"/>
                    </w:rPr>
                  </w:pPr>
                  <w:r>
                    <w:rPr>
                      <w:rFonts w:hint="eastAsia" w:ascii="Times New Roman" w:hAnsi="Times New Roman" w:eastAsia="宋体" w:cs="Times New Roman"/>
                      <w:color w:val="auto"/>
                      <w:spacing w:val="0"/>
                      <w:sz w:val="21"/>
                      <w:szCs w:val="21"/>
                      <w:highlight w:val="none"/>
                      <w:lang w:val="en-US" w:eastAsia="zh-CN" w:bidi="ar-SA"/>
                    </w:rPr>
                    <w:t>/</w:t>
                  </w:r>
                </w:p>
              </w:tc>
              <w:tc>
                <w:tcPr>
                  <w:tcW w:w="745" w:type="dxa"/>
                  <w:tcBorders>
                    <w:tl2br w:val="nil"/>
                    <w:tr2bl w:val="nil"/>
                  </w:tcBorders>
                  <w:vAlign w:val="center"/>
                </w:tcPr>
                <w:p w14:paraId="06673CC5">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40" w:lineRule="auto"/>
                    <w:ind w:left="0" w:leftChars="0" w:right="0"/>
                    <w:jc w:val="center"/>
                    <w:textAlignment w:val="auto"/>
                    <w:rPr>
                      <w:rFonts w:hint="default" w:ascii="Times New Roman" w:hAnsi="Times New Roman" w:eastAsia="宋体" w:cs="Times New Roman"/>
                      <w:b w:val="0"/>
                      <w:bCs w:val="0"/>
                      <w:color w:val="auto"/>
                      <w:spacing w:val="0"/>
                      <w:w w:val="100"/>
                      <w:kern w:val="0"/>
                      <w:position w:val="0"/>
                      <w:sz w:val="21"/>
                      <w:szCs w:val="21"/>
                      <w:highlight w:val="none"/>
                      <w:lang w:val="en-US" w:eastAsia="zh-CN"/>
                    </w:rPr>
                  </w:pPr>
                  <w:r>
                    <w:rPr>
                      <w:rFonts w:hint="default" w:ascii="Times New Roman" w:hAnsi="Times New Roman" w:eastAsia="宋体" w:cs="Times New Roman"/>
                      <w:b w:val="0"/>
                      <w:bCs w:val="0"/>
                      <w:color w:val="auto"/>
                      <w:spacing w:val="0"/>
                      <w:w w:val="100"/>
                      <w:kern w:val="0"/>
                      <w:position w:val="0"/>
                      <w:sz w:val="21"/>
                      <w:szCs w:val="21"/>
                      <w:highlight w:val="none"/>
                      <w:lang w:val="en-US" w:eastAsia="zh-CN"/>
                    </w:rPr>
                    <w:t>符合</w:t>
                  </w:r>
                </w:p>
              </w:tc>
            </w:tr>
            <w:tr w14:paraId="6E2298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6" w:type="dxa"/>
                  <w:vMerge w:val="continue"/>
                  <w:tcBorders>
                    <w:tl2br w:val="nil"/>
                    <w:tr2bl w:val="nil"/>
                  </w:tcBorders>
                  <w:vAlign w:val="center"/>
                </w:tcPr>
                <w:p w14:paraId="2A30813C">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40" w:lineRule="auto"/>
                    <w:ind w:left="0" w:leftChars="0" w:right="0"/>
                    <w:jc w:val="center"/>
                    <w:textAlignment w:val="auto"/>
                    <w:rPr>
                      <w:rFonts w:hint="default" w:ascii="Times New Roman" w:hAnsi="Times New Roman" w:eastAsia="宋体" w:cs="Times New Roman"/>
                      <w:b w:val="0"/>
                      <w:bCs w:val="0"/>
                      <w:color w:val="auto"/>
                      <w:spacing w:val="0"/>
                      <w:w w:val="100"/>
                      <w:kern w:val="0"/>
                      <w:position w:val="0"/>
                      <w:sz w:val="21"/>
                      <w:szCs w:val="21"/>
                      <w:highlight w:val="none"/>
                      <w:lang w:val="en-US" w:eastAsia="zh-CN"/>
                    </w:rPr>
                  </w:pPr>
                </w:p>
              </w:tc>
              <w:tc>
                <w:tcPr>
                  <w:tcW w:w="3454" w:type="dxa"/>
                  <w:tcBorders>
                    <w:tl2br w:val="nil"/>
                    <w:tr2bl w:val="nil"/>
                  </w:tcBorders>
                  <w:vAlign w:val="center"/>
                </w:tcPr>
                <w:p w14:paraId="44EFE074">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40" w:lineRule="auto"/>
                    <w:ind w:left="0" w:leftChars="0" w:right="0"/>
                    <w:jc w:val="center"/>
                    <w:textAlignment w:val="auto"/>
                    <w:rPr>
                      <w:rFonts w:hint="default" w:ascii="Times New Roman" w:hAnsi="Times New Roman" w:eastAsia="宋体" w:cs="Times New Roman"/>
                      <w:b w:val="0"/>
                      <w:bCs w:val="0"/>
                      <w:color w:val="auto"/>
                      <w:spacing w:val="0"/>
                      <w:w w:val="100"/>
                      <w:kern w:val="0"/>
                      <w:position w:val="0"/>
                      <w:sz w:val="21"/>
                      <w:szCs w:val="21"/>
                      <w:highlight w:val="none"/>
                      <w:lang w:val="en-US" w:eastAsia="zh-CN"/>
                    </w:rPr>
                  </w:pPr>
                  <w:r>
                    <w:rPr>
                      <w:rFonts w:hint="eastAsia" w:ascii="Times New Roman" w:hAnsi="Times New Roman" w:eastAsia="宋体" w:cs="Times New Roman"/>
                      <w:b w:val="0"/>
                      <w:bCs w:val="0"/>
                      <w:color w:val="auto"/>
                      <w:spacing w:val="0"/>
                      <w:w w:val="100"/>
                      <w:kern w:val="0"/>
                      <w:position w:val="0"/>
                      <w:sz w:val="21"/>
                      <w:szCs w:val="21"/>
                      <w:highlight w:val="none"/>
                      <w:lang w:val="en-US" w:eastAsia="zh-CN"/>
                    </w:rPr>
                    <w:t>/</w:t>
                  </w:r>
                </w:p>
              </w:tc>
              <w:tc>
                <w:tcPr>
                  <w:tcW w:w="2428" w:type="dxa"/>
                  <w:tcBorders>
                    <w:tl2br w:val="nil"/>
                    <w:tr2bl w:val="nil"/>
                  </w:tcBorders>
                  <w:vAlign w:val="center"/>
                </w:tcPr>
                <w:p w14:paraId="791E3CC1">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40" w:lineRule="auto"/>
                    <w:ind w:left="0" w:leftChars="0" w:right="0"/>
                    <w:jc w:val="center"/>
                    <w:textAlignment w:val="auto"/>
                    <w:rPr>
                      <w:rFonts w:hint="default" w:ascii="Times New Roman" w:hAnsi="Times New Roman" w:eastAsia="宋体" w:cs="Times New Roman"/>
                      <w:b w:val="0"/>
                      <w:bCs w:val="0"/>
                      <w:color w:val="auto"/>
                      <w:spacing w:val="0"/>
                      <w:w w:val="100"/>
                      <w:kern w:val="0"/>
                      <w:position w:val="0"/>
                      <w:sz w:val="21"/>
                      <w:szCs w:val="21"/>
                      <w:highlight w:val="none"/>
                      <w:lang w:val="en-US" w:eastAsia="zh-CN"/>
                    </w:rPr>
                  </w:pPr>
                  <w:r>
                    <w:rPr>
                      <w:rFonts w:hint="eastAsia" w:ascii="Times New Roman" w:hAnsi="Times New Roman" w:eastAsia="宋体" w:cs="Times New Roman"/>
                      <w:b w:val="0"/>
                      <w:bCs w:val="0"/>
                      <w:color w:val="auto"/>
                      <w:spacing w:val="0"/>
                      <w:w w:val="100"/>
                      <w:kern w:val="0"/>
                      <w:position w:val="0"/>
                      <w:sz w:val="21"/>
                      <w:szCs w:val="21"/>
                      <w:highlight w:val="none"/>
                      <w:lang w:val="en-US" w:eastAsia="zh-CN"/>
                    </w:rPr>
                    <w:t>/</w:t>
                  </w:r>
                </w:p>
              </w:tc>
              <w:tc>
                <w:tcPr>
                  <w:tcW w:w="745" w:type="dxa"/>
                  <w:tcBorders>
                    <w:tl2br w:val="nil"/>
                    <w:tr2bl w:val="nil"/>
                  </w:tcBorders>
                  <w:vAlign w:val="center"/>
                </w:tcPr>
                <w:p w14:paraId="39C17420">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40" w:lineRule="auto"/>
                    <w:ind w:left="0" w:leftChars="0" w:right="0"/>
                    <w:jc w:val="center"/>
                    <w:textAlignment w:val="auto"/>
                    <w:rPr>
                      <w:rFonts w:hint="default" w:ascii="Times New Roman" w:hAnsi="Times New Roman" w:eastAsia="宋体" w:cs="Times New Roman"/>
                      <w:b w:val="0"/>
                      <w:bCs w:val="0"/>
                      <w:color w:val="auto"/>
                      <w:spacing w:val="0"/>
                      <w:w w:val="100"/>
                      <w:kern w:val="0"/>
                      <w:position w:val="0"/>
                      <w:sz w:val="21"/>
                      <w:szCs w:val="21"/>
                      <w:highlight w:val="none"/>
                      <w:lang w:val="en-US" w:eastAsia="zh-CN"/>
                    </w:rPr>
                  </w:pPr>
                  <w:r>
                    <w:rPr>
                      <w:rFonts w:hint="default" w:ascii="Times New Roman" w:hAnsi="Times New Roman" w:eastAsia="宋体" w:cs="Times New Roman"/>
                      <w:b w:val="0"/>
                      <w:bCs w:val="0"/>
                      <w:color w:val="auto"/>
                      <w:spacing w:val="0"/>
                      <w:w w:val="100"/>
                      <w:kern w:val="0"/>
                      <w:position w:val="0"/>
                      <w:sz w:val="21"/>
                      <w:szCs w:val="21"/>
                      <w:highlight w:val="none"/>
                      <w:lang w:val="en-US" w:eastAsia="zh-CN"/>
                    </w:rPr>
                    <w:t>符合</w:t>
                  </w:r>
                </w:p>
              </w:tc>
            </w:tr>
            <w:tr w14:paraId="57C581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6" w:type="dxa"/>
                  <w:vMerge w:val="continue"/>
                  <w:tcBorders>
                    <w:tl2br w:val="nil"/>
                    <w:tr2bl w:val="nil"/>
                  </w:tcBorders>
                  <w:vAlign w:val="center"/>
                </w:tcPr>
                <w:p w14:paraId="6AFE258F">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40" w:lineRule="auto"/>
                    <w:ind w:left="0" w:leftChars="0" w:right="0"/>
                    <w:jc w:val="center"/>
                    <w:textAlignment w:val="auto"/>
                    <w:rPr>
                      <w:rFonts w:hint="default" w:ascii="Times New Roman" w:hAnsi="Times New Roman" w:eastAsia="宋体" w:cs="Times New Roman"/>
                      <w:b w:val="0"/>
                      <w:bCs w:val="0"/>
                      <w:color w:val="auto"/>
                      <w:spacing w:val="0"/>
                      <w:w w:val="100"/>
                      <w:kern w:val="0"/>
                      <w:position w:val="0"/>
                      <w:sz w:val="21"/>
                      <w:szCs w:val="21"/>
                      <w:highlight w:val="none"/>
                      <w:lang w:val="en-US" w:eastAsia="zh-CN"/>
                    </w:rPr>
                  </w:pPr>
                </w:p>
              </w:tc>
              <w:tc>
                <w:tcPr>
                  <w:tcW w:w="3454" w:type="dxa"/>
                  <w:tcBorders>
                    <w:tl2br w:val="nil"/>
                    <w:tr2bl w:val="nil"/>
                  </w:tcBorders>
                  <w:vAlign w:val="center"/>
                </w:tcPr>
                <w:p w14:paraId="432E0AFD">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40" w:lineRule="auto"/>
                    <w:ind w:left="0" w:leftChars="0" w:right="0"/>
                    <w:jc w:val="both"/>
                    <w:textAlignment w:val="auto"/>
                    <w:rPr>
                      <w:rFonts w:hint="default" w:ascii="Times New Roman" w:hAnsi="Times New Roman" w:eastAsia="宋体" w:cs="Times New Roman"/>
                      <w:b w:val="0"/>
                      <w:bCs w:val="0"/>
                      <w:color w:val="auto"/>
                      <w:spacing w:val="0"/>
                      <w:w w:val="100"/>
                      <w:kern w:val="0"/>
                      <w:position w:val="0"/>
                      <w:sz w:val="21"/>
                      <w:szCs w:val="21"/>
                      <w:highlight w:val="none"/>
                      <w:lang w:val="en-US" w:eastAsia="zh-CN"/>
                    </w:rPr>
                  </w:pPr>
                  <w:r>
                    <w:rPr>
                      <w:rFonts w:hint="default" w:ascii="Times New Roman" w:hAnsi="Times New Roman" w:eastAsia="宋体" w:cs="Times New Roman"/>
                      <w:b w:val="0"/>
                      <w:bCs w:val="0"/>
                      <w:color w:val="auto"/>
                      <w:spacing w:val="0"/>
                      <w:w w:val="100"/>
                      <w:kern w:val="0"/>
                      <w:position w:val="0"/>
                      <w:sz w:val="21"/>
                      <w:szCs w:val="21"/>
                      <w:highlight w:val="none"/>
                      <w:lang w:val="en-US" w:eastAsia="zh-CN"/>
                    </w:rPr>
                    <w:t>1、县级以上人民政府水行政主管部门应当合理配置地表水、地下水，从严控制地下水取水总量。</w:t>
                  </w:r>
                </w:p>
                <w:p w14:paraId="256A6C1F">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40" w:lineRule="auto"/>
                    <w:ind w:left="0" w:leftChars="0" w:right="0"/>
                    <w:jc w:val="both"/>
                    <w:textAlignment w:val="auto"/>
                    <w:rPr>
                      <w:rFonts w:hint="default" w:ascii="Times New Roman" w:hAnsi="Times New Roman" w:eastAsia="宋体" w:cs="Times New Roman"/>
                      <w:b w:val="0"/>
                      <w:bCs w:val="0"/>
                      <w:color w:val="auto"/>
                      <w:spacing w:val="0"/>
                      <w:w w:val="100"/>
                      <w:kern w:val="0"/>
                      <w:position w:val="0"/>
                      <w:sz w:val="21"/>
                      <w:szCs w:val="21"/>
                      <w:highlight w:val="none"/>
                      <w:lang w:val="en-US" w:eastAsia="zh-CN"/>
                    </w:rPr>
                  </w:pPr>
                  <w:r>
                    <w:rPr>
                      <w:rFonts w:hint="default" w:ascii="Times New Roman" w:hAnsi="Times New Roman" w:eastAsia="宋体" w:cs="Times New Roman"/>
                      <w:b w:val="0"/>
                      <w:bCs w:val="0"/>
                      <w:color w:val="auto"/>
                      <w:spacing w:val="0"/>
                      <w:w w:val="100"/>
                      <w:kern w:val="0"/>
                      <w:position w:val="0"/>
                      <w:sz w:val="21"/>
                      <w:szCs w:val="21"/>
                      <w:highlight w:val="none"/>
                      <w:lang w:val="en-US" w:eastAsia="zh-CN"/>
                    </w:rPr>
                    <w:t>2、严守水资源开发利用控制、用水效率控制和水功能区限制纳污“三条红线”，严格实行区域用水总量和强度控制，强化用水定额管理。推进地下水超采综合治理。</w:t>
                  </w:r>
                </w:p>
              </w:tc>
              <w:tc>
                <w:tcPr>
                  <w:tcW w:w="2428" w:type="dxa"/>
                  <w:tcBorders>
                    <w:tl2br w:val="nil"/>
                    <w:tr2bl w:val="nil"/>
                  </w:tcBorders>
                  <w:vAlign w:val="center"/>
                </w:tcPr>
                <w:p w14:paraId="653C85B7">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40" w:lineRule="auto"/>
                    <w:ind w:left="0" w:leftChars="0" w:right="0"/>
                    <w:jc w:val="both"/>
                    <w:textAlignment w:val="auto"/>
                    <w:rPr>
                      <w:rFonts w:hint="default" w:ascii="Times New Roman" w:hAnsi="Times New Roman" w:eastAsia="宋体" w:cs="Times New Roman"/>
                      <w:b w:val="0"/>
                      <w:bCs w:val="0"/>
                      <w:color w:val="auto"/>
                      <w:spacing w:val="0"/>
                      <w:w w:val="100"/>
                      <w:kern w:val="0"/>
                      <w:position w:val="0"/>
                      <w:sz w:val="21"/>
                      <w:szCs w:val="21"/>
                      <w:highlight w:val="none"/>
                      <w:lang w:val="en-US" w:eastAsia="zh-CN"/>
                    </w:rPr>
                  </w:pPr>
                  <w:r>
                    <w:rPr>
                      <w:rFonts w:hint="eastAsia" w:ascii="Times New Roman" w:hAnsi="Times New Roman" w:eastAsia="宋体" w:cs="Times New Roman"/>
                      <w:b w:val="0"/>
                      <w:bCs w:val="0"/>
                      <w:color w:val="auto"/>
                      <w:spacing w:val="0"/>
                      <w:w w:val="100"/>
                      <w:kern w:val="0"/>
                      <w:position w:val="0"/>
                      <w:sz w:val="21"/>
                      <w:szCs w:val="21"/>
                      <w:highlight w:val="none"/>
                      <w:lang w:val="en-US" w:eastAsia="zh-CN"/>
                    </w:rPr>
                    <w:t>本项目为砂石料项目，不涉及地下水开采</w:t>
                  </w:r>
                </w:p>
              </w:tc>
              <w:tc>
                <w:tcPr>
                  <w:tcW w:w="745" w:type="dxa"/>
                  <w:tcBorders>
                    <w:tl2br w:val="nil"/>
                    <w:tr2bl w:val="nil"/>
                  </w:tcBorders>
                  <w:vAlign w:val="center"/>
                </w:tcPr>
                <w:p w14:paraId="5DDF7EB5">
                  <w:pPr>
                    <w:keepNext w:val="0"/>
                    <w:keepLines w:val="0"/>
                    <w:pageBreakBefore w:val="0"/>
                    <w:widowControl w:val="0"/>
                    <w:kinsoku/>
                    <w:wordWrap/>
                    <w:overflowPunct/>
                    <w:topLinePunct w:val="0"/>
                    <w:autoSpaceDE w:val="0"/>
                    <w:autoSpaceDN w:val="0"/>
                    <w:bidi w:val="0"/>
                    <w:adjustRightInd w:val="0"/>
                    <w:snapToGrid w:val="0"/>
                    <w:spacing w:beforeAutospacing="0" w:afterAutospacing="0" w:line="240" w:lineRule="auto"/>
                    <w:ind w:left="0" w:leftChars="0" w:right="0"/>
                    <w:jc w:val="center"/>
                    <w:textAlignment w:val="auto"/>
                    <w:rPr>
                      <w:rFonts w:hint="default" w:ascii="Times New Roman" w:hAnsi="Times New Roman" w:eastAsia="宋体" w:cs="Times New Roman"/>
                      <w:b/>
                      <w:bCs/>
                      <w:color w:val="auto"/>
                      <w:spacing w:val="0"/>
                      <w:w w:val="100"/>
                      <w:kern w:val="0"/>
                      <w:position w:val="0"/>
                      <w:sz w:val="21"/>
                      <w:szCs w:val="21"/>
                      <w:highlight w:val="none"/>
                      <w:lang w:val="en-US" w:eastAsia="zh-CN"/>
                    </w:rPr>
                  </w:pPr>
                  <w:r>
                    <w:rPr>
                      <w:rFonts w:hint="default" w:ascii="Times New Roman" w:hAnsi="Times New Roman" w:eastAsia="宋体" w:cs="Times New Roman"/>
                      <w:b w:val="0"/>
                      <w:bCs w:val="0"/>
                      <w:color w:val="auto"/>
                      <w:spacing w:val="0"/>
                      <w:w w:val="100"/>
                      <w:kern w:val="0"/>
                      <w:position w:val="0"/>
                      <w:sz w:val="21"/>
                      <w:szCs w:val="21"/>
                      <w:highlight w:val="none"/>
                      <w:lang w:val="en-US" w:eastAsia="zh-CN"/>
                    </w:rPr>
                    <w:t>符合</w:t>
                  </w:r>
                </w:p>
              </w:tc>
            </w:tr>
          </w:tbl>
          <w:p w14:paraId="45D33935">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right="0"/>
              <w:textAlignment w:val="auto"/>
              <w:rPr>
                <w:rFonts w:hint="default" w:ascii="Times New Roman" w:hAnsi="Times New Roman" w:eastAsia="宋体" w:cs="Times New Roman"/>
                <w:color w:val="auto"/>
                <w:spacing w:val="0"/>
                <w:w w:val="100"/>
                <w:kern w:val="0"/>
                <w:position w:val="0"/>
                <w:sz w:val="24"/>
                <w:szCs w:val="24"/>
                <w:highlight w:val="none"/>
              </w:rPr>
            </w:pPr>
            <w:r>
              <w:rPr>
                <w:rFonts w:hint="default" w:ascii="Times New Roman" w:hAnsi="Times New Roman" w:eastAsia="宋体" w:cs="Times New Roman"/>
                <w:b/>
                <w:color w:val="auto"/>
                <w:spacing w:val="0"/>
                <w:w w:val="100"/>
                <w:kern w:val="0"/>
                <w:position w:val="0"/>
                <w:sz w:val="24"/>
                <w:szCs w:val="24"/>
                <w:highlight w:val="none"/>
                <w:lang w:val="en-US" w:eastAsia="zh-CN"/>
              </w:rPr>
              <w:t>3.</w:t>
            </w:r>
            <w:r>
              <w:rPr>
                <w:rFonts w:hint="default" w:ascii="Times New Roman" w:hAnsi="Times New Roman" w:eastAsia="宋体" w:cs="Times New Roman"/>
                <w:b/>
                <w:bCs/>
                <w:color w:val="auto"/>
                <w:spacing w:val="0"/>
                <w:w w:val="100"/>
                <w:kern w:val="0"/>
                <w:position w:val="0"/>
                <w:sz w:val="24"/>
                <w:szCs w:val="24"/>
                <w:highlight w:val="none"/>
              </w:rPr>
              <w:t>与《新疆维吾尔自治区环境保护条例》符合性分析</w:t>
            </w:r>
          </w:p>
          <w:p w14:paraId="24B5118E">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firstLine="480" w:firstLineChars="200"/>
              <w:textAlignment w:val="auto"/>
              <w:rPr>
                <w:rFonts w:hint="default" w:ascii="Times New Roman" w:hAnsi="Times New Roman" w:eastAsia="宋体" w:cs="Times New Roman"/>
                <w:color w:val="auto"/>
                <w:spacing w:val="0"/>
                <w:w w:val="100"/>
                <w:kern w:val="0"/>
                <w:position w:val="0"/>
                <w:sz w:val="24"/>
                <w:szCs w:val="24"/>
                <w:highlight w:val="none"/>
              </w:rPr>
            </w:pPr>
            <w:r>
              <w:rPr>
                <w:rFonts w:hint="default" w:ascii="Times New Roman" w:hAnsi="Times New Roman" w:eastAsia="宋体" w:cs="Times New Roman"/>
                <w:color w:val="auto"/>
                <w:spacing w:val="0"/>
                <w:w w:val="100"/>
                <w:kern w:val="0"/>
                <w:position w:val="0"/>
                <w:sz w:val="24"/>
                <w:szCs w:val="24"/>
                <w:highlight w:val="none"/>
              </w:rPr>
              <w:t>第四十七条规定“矿产资源勘探、开发单位，应当对矿产资源勘探、开发产生的尾矿、煤矸石、粉煤灰、冶炼渣以及脱硫、脱硝、除尘等产生的固体废物的堆存场所进行整治，完善防扬散、防流失、防渗漏等设施；造成环境污染的，应当采取有效措施进行生态修复。</w:t>
            </w:r>
          </w:p>
          <w:p w14:paraId="08451C5B">
            <w:pPr>
              <w:keepNext w:val="0"/>
              <w:keepLines w:val="0"/>
              <w:pageBreakBefore w:val="0"/>
              <w:widowControl w:val="0"/>
              <w:kinsoku/>
              <w:wordWrap/>
              <w:overflowPunct/>
              <w:topLinePunct w:val="0"/>
              <w:autoSpaceDE w:val="0"/>
              <w:autoSpaceDN w:val="0"/>
              <w:bidi w:val="0"/>
              <w:adjustRightInd w:val="0"/>
              <w:snapToGrid w:val="0"/>
              <w:spacing w:beforeAutospacing="0" w:afterAutospacing="0" w:line="360" w:lineRule="auto"/>
              <w:ind w:left="0" w:leftChars="0" w:right="0" w:firstLine="480" w:firstLineChars="200"/>
              <w:textAlignment w:val="auto"/>
              <w:rPr>
                <w:rFonts w:hint="default" w:ascii="Times New Roman" w:hAnsi="Times New Roman" w:eastAsia="宋体" w:cs="Times New Roman"/>
                <w:color w:val="auto"/>
                <w:spacing w:val="0"/>
                <w:w w:val="100"/>
                <w:kern w:val="0"/>
                <w:position w:val="0"/>
                <w:sz w:val="24"/>
                <w:szCs w:val="24"/>
                <w:highlight w:val="none"/>
              </w:rPr>
            </w:pPr>
            <w:r>
              <w:rPr>
                <w:rFonts w:hint="default" w:ascii="Times New Roman" w:hAnsi="Times New Roman" w:eastAsia="宋体" w:cs="Times New Roman"/>
                <w:color w:val="auto"/>
                <w:spacing w:val="0"/>
                <w:w w:val="100"/>
                <w:kern w:val="0"/>
                <w:position w:val="0"/>
                <w:sz w:val="24"/>
                <w:szCs w:val="24"/>
                <w:highlight w:val="none"/>
              </w:rPr>
              <w:t>本项目为建筑用砂矿开采，所占地为</w:t>
            </w:r>
            <w:r>
              <w:rPr>
                <w:rFonts w:hint="default" w:ascii="Times New Roman" w:hAnsi="Times New Roman" w:eastAsia="宋体" w:cs="Times New Roman"/>
                <w:color w:val="auto"/>
                <w:spacing w:val="0"/>
                <w:w w:val="100"/>
                <w:kern w:val="0"/>
                <w:position w:val="0"/>
                <w:sz w:val="24"/>
                <w:szCs w:val="24"/>
                <w:highlight w:val="none"/>
                <w:lang w:val="en-US" w:eastAsia="zh-CN"/>
              </w:rPr>
              <w:t>其他草地和林地</w:t>
            </w:r>
            <w:r>
              <w:rPr>
                <w:rFonts w:hint="default" w:ascii="Times New Roman" w:hAnsi="Times New Roman" w:eastAsia="宋体" w:cs="Times New Roman"/>
                <w:color w:val="auto"/>
                <w:spacing w:val="0"/>
                <w:w w:val="100"/>
                <w:kern w:val="0"/>
                <w:position w:val="0"/>
                <w:sz w:val="24"/>
                <w:szCs w:val="24"/>
                <w:highlight w:val="none"/>
              </w:rPr>
              <w:t>，本项目</w:t>
            </w:r>
            <w:r>
              <w:rPr>
                <w:rFonts w:hint="default" w:ascii="Times New Roman" w:hAnsi="Times New Roman" w:eastAsia="宋体" w:cs="Times New Roman"/>
                <w:color w:val="auto"/>
                <w:spacing w:val="0"/>
                <w:w w:val="100"/>
                <w:kern w:val="0"/>
                <w:position w:val="0"/>
                <w:sz w:val="24"/>
                <w:szCs w:val="24"/>
                <w:highlight w:val="none"/>
                <w:lang w:val="en-US" w:eastAsia="zh-CN"/>
              </w:rPr>
              <w:t>表层土</w:t>
            </w:r>
            <w:r>
              <w:rPr>
                <w:rFonts w:hint="default" w:ascii="Times New Roman" w:hAnsi="Times New Roman" w:eastAsia="宋体" w:cs="Times New Roman"/>
                <w:color w:val="auto"/>
                <w:spacing w:val="0"/>
                <w:w w:val="100"/>
                <w:kern w:val="0"/>
                <w:position w:val="0"/>
                <w:sz w:val="24"/>
                <w:szCs w:val="24"/>
                <w:highlight w:val="none"/>
              </w:rPr>
              <w:t>临时堆放在</w:t>
            </w:r>
            <w:r>
              <w:rPr>
                <w:rFonts w:hint="default" w:ascii="Times New Roman" w:hAnsi="Times New Roman" w:eastAsia="宋体" w:cs="Times New Roman"/>
                <w:color w:val="auto"/>
                <w:spacing w:val="0"/>
                <w:w w:val="100"/>
                <w:kern w:val="0"/>
                <w:position w:val="0"/>
                <w:sz w:val="24"/>
                <w:szCs w:val="24"/>
                <w:highlight w:val="none"/>
                <w:lang w:eastAsia="zh-CN"/>
              </w:rPr>
              <w:t>表土临时堆放区</w:t>
            </w:r>
            <w:r>
              <w:rPr>
                <w:rFonts w:hint="default" w:ascii="Times New Roman" w:hAnsi="Times New Roman" w:eastAsia="宋体" w:cs="Times New Roman"/>
                <w:color w:val="auto"/>
                <w:spacing w:val="0"/>
                <w:w w:val="100"/>
                <w:kern w:val="0"/>
                <w:position w:val="0"/>
                <w:sz w:val="24"/>
                <w:szCs w:val="24"/>
                <w:highlight w:val="none"/>
              </w:rPr>
              <w:t>，定期用于矿区回填。生产过程中</w:t>
            </w:r>
            <w:r>
              <w:rPr>
                <w:rFonts w:hint="default" w:ascii="Times New Roman" w:hAnsi="Times New Roman" w:eastAsia="宋体" w:cs="Times New Roman"/>
                <w:color w:val="auto"/>
                <w:spacing w:val="0"/>
                <w:w w:val="100"/>
                <w:kern w:val="0"/>
                <w:position w:val="0"/>
                <w:sz w:val="24"/>
                <w:szCs w:val="24"/>
                <w:highlight w:val="none"/>
                <w:lang w:val="en-US" w:eastAsia="zh-CN"/>
              </w:rPr>
              <w:t>危废为润滑油及油桶，每年产量较少，暂存于危废贮存库，定期委托处置</w:t>
            </w:r>
            <w:r>
              <w:rPr>
                <w:rFonts w:hint="default" w:ascii="Times New Roman" w:hAnsi="Times New Roman" w:eastAsia="宋体" w:cs="Times New Roman"/>
                <w:color w:val="auto"/>
                <w:spacing w:val="0"/>
                <w:w w:val="100"/>
                <w:kern w:val="0"/>
                <w:position w:val="0"/>
                <w:sz w:val="24"/>
                <w:szCs w:val="24"/>
                <w:highlight w:val="none"/>
              </w:rPr>
              <w:t>。因此，符合《新疆维吾尔自治区环境保护条例》的相关要求。</w:t>
            </w:r>
          </w:p>
          <w:p w14:paraId="37575D6C">
            <w:pPr>
              <w:keepNext w:val="0"/>
              <w:keepLines w:val="0"/>
              <w:pageBreakBefore w:val="0"/>
              <w:kinsoku/>
              <w:overflowPunct/>
              <w:topLinePunct w:val="0"/>
              <w:autoSpaceDE w:val="0"/>
              <w:autoSpaceDN w:val="0"/>
              <w:bidi w:val="0"/>
              <w:adjustRightInd w:val="0"/>
              <w:snapToGrid w:val="0"/>
              <w:spacing w:beforeAutospacing="0" w:afterAutospacing="0" w:line="360" w:lineRule="auto"/>
              <w:ind w:left="0" w:leftChars="0" w:right="0"/>
              <w:rPr>
                <w:rFonts w:hint="default" w:ascii="Times New Roman" w:hAnsi="Times New Roman" w:eastAsia="宋体" w:cs="Times New Roman"/>
                <w:b/>
                <w:bCs/>
                <w:color w:val="auto"/>
                <w:spacing w:val="0"/>
                <w:w w:val="100"/>
                <w:kern w:val="0"/>
                <w:position w:val="0"/>
                <w:sz w:val="24"/>
                <w:szCs w:val="24"/>
                <w:highlight w:val="none"/>
              </w:rPr>
            </w:pPr>
            <w:r>
              <w:rPr>
                <w:rFonts w:hint="default" w:ascii="Times New Roman" w:hAnsi="Times New Roman" w:eastAsia="宋体" w:cs="Times New Roman"/>
                <w:b/>
                <w:bCs/>
                <w:color w:val="auto"/>
                <w:spacing w:val="0"/>
                <w:w w:val="100"/>
                <w:kern w:val="0"/>
                <w:position w:val="0"/>
                <w:sz w:val="24"/>
                <w:szCs w:val="24"/>
                <w:highlight w:val="none"/>
                <w:lang w:val="en-US" w:eastAsia="zh-CN"/>
              </w:rPr>
              <w:t>4.</w:t>
            </w:r>
            <w:r>
              <w:rPr>
                <w:rFonts w:hint="default" w:ascii="Times New Roman" w:hAnsi="Times New Roman" w:eastAsia="宋体" w:cs="Times New Roman"/>
                <w:b/>
                <w:bCs/>
                <w:color w:val="auto"/>
                <w:spacing w:val="0"/>
                <w:w w:val="100"/>
                <w:kern w:val="0"/>
                <w:position w:val="0"/>
                <w:sz w:val="24"/>
                <w:szCs w:val="24"/>
                <w:highlight w:val="none"/>
              </w:rPr>
              <w:t>与《新疆维吾尔自治区大气污染防治条例》的符合性分析</w:t>
            </w:r>
          </w:p>
          <w:p w14:paraId="27D22690">
            <w:pPr>
              <w:pStyle w:val="52"/>
              <w:keepNext w:val="0"/>
              <w:keepLines w:val="0"/>
              <w:pageBreakBefore w:val="0"/>
              <w:kinsoku/>
              <w:overflowPunct/>
              <w:topLinePunct w:val="0"/>
              <w:bidi w:val="0"/>
              <w:spacing w:beforeAutospacing="0" w:afterAutospacing="0"/>
              <w:ind w:left="0" w:leftChars="0" w:right="0" w:firstLine="420"/>
              <w:rPr>
                <w:rFonts w:hint="default" w:ascii="Times New Roman" w:hAnsi="Times New Roman" w:eastAsia="宋体" w:cs="Times New Roman"/>
                <w:bCs/>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表1-</w:t>
            </w:r>
            <w:r>
              <w:rPr>
                <w:rFonts w:hint="default" w:ascii="Times New Roman" w:hAnsi="Times New Roman" w:eastAsia="宋体" w:cs="Times New Roman"/>
                <w:color w:val="auto"/>
                <w:spacing w:val="0"/>
                <w:w w:val="100"/>
                <w:position w:val="0"/>
                <w:highlight w:val="none"/>
                <w:lang w:val="en-US" w:eastAsia="zh-CN"/>
              </w:rPr>
              <w:t xml:space="preserve">3   </w:t>
            </w:r>
            <w:r>
              <w:rPr>
                <w:rFonts w:hint="default" w:ascii="Times New Roman" w:hAnsi="Times New Roman" w:eastAsia="宋体" w:cs="Times New Roman"/>
                <w:color w:val="auto"/>
                <w:spacing w:val="0"/>
                <w:w w:val="100"/>
                <w:position w:val="0"/>
                <w:highlight w:val="none"/>
              </w:rPr>
              <w:t>与《</w:t>
            </w:r>
            <w:r>
              <w:rPr>
                <w:rFonts w:hint="default" w:ascii="Times New Roman" w:hAnsi="Times New Roman" w:eastAsia="宋体" w:cs="Times New Roman"/>
                <w:bCs/>
                <w:color w:val="auto"/>
                <w:spacing w:val="0"/>
                <w:w w:val="100"/>
                <w:position w:val="0"/>
                <w:highlight w:val="none"/>
              </w:rPr>
              <w:t>新疆维吾尔自治区大气污染防治条例</w:t>
            </w:r>
            <w:r>
              <w:rPr>
                <w:rFonts w:hint="default" w:ascii="Times New Roman" w:hAnsi="Times New Roman" w:eastAsia="宋体" w:cs="Times New Roman"/>
                <w:color w:val="auto"/>
                <w:spacing w:val="0"/>
                <w:w w:val="100"/>
                <w:position w:val="0"/>
                <w:highlight w:val="none"/>
              </w:rPr>
              <w:t>》符合性</w:t>
            </w:r>
          </w:p>
          <w:tbl>
            <w:tblPr>
              <w:tblStyle w:val="39"/>
              <w:tblW w:w="495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000"/>
              <w:gridCol w:w="1977"/>
              <w:gridCol w:w="780"/>
            </w:tblGrid>
            <w:tr w14:paraId="76D0E05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 w:hRule="atLeast"/>
                <w:jc w:val="center"/>
              </w:trPr>
              <w:tc>
                <w:tcPr>
                  <w:tcW w:w="657" w:type="dxa"/>
                  <w:tcBorders>
                    <w:top w:val="single" w:color="auto" w:sz="12" w:space="0"/>
                    <w:bottom w:val="single" w:color="auto" w:sz="12" w:space="0"/>
                  </w:tcBorders>
                  <w:noWrap w:val="0"/>
                  <w:vAlign w:val="center"/>
                </w:tcPr>
                <w:p w14:paraId="5A4B8F93">
                  <w:pPr>
                    <w:pStyle w:val="55"/>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b/>
                      <w:color w:val="auto"/>
                      <w:spacing w:val="0"/>
                      <w:w w:val="100"/>
                      <w:position w:val="0"/>
                      <w:highlight w:val="none"/>
                    </w:rPr>
                  </w:pPr>
                  <w:r>
                    <w:rPr>
                      <w:rFonts w:hint="default" w:ascii="Times New Roman" w:hAnsi="Times New Roman" w:eastAsia="宋体" w:cs="Times New Roman"/>
                      <w:b/>
                      <w:color w:val="auto"/>
                      <w:spacing w:val="0"/>
                      <w:w w:val="100"/>
                      <w:position w:val="0"/>
                      <w:highlight w:val="none"/>
                      <w:lang w:eastAsia="zh-CN"/>
                    </w:rPr>
                    <w:t>序号</w:t>
                  </w:r>
                </w:p>
              </w:tc>
              <w:tc>
                <w:tcPr>
                  <w:tcW w:w="4119" w:type="dxa"/>
                  <w:tcBorders>
                    <w:top w:val="single" w:color="auto" w:sz="12" w:space="0"/>
                    <w:bottom w:val="single" w:color="auto" w:sz="12" w:space="0"/>
                  </w:tcBorders>
                  <w:noWrap w:val="0"/>
                  <w:vAlign w:val="center"/>
                </w:tcPr>
                <w:p w14:paraId="53371884">
                  <w:pPr>
                    <w:pStyle w:val="55"/>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b/>
                      <w:color w:val="auto"/>
                      <w:spacing w:val="0"/>
                      <w:w w:val="100"/>
                      <w:position w:val="0"/>
                      <w:highlight w:val="none"/>
                    </w:rPr>
                  </w:pPr>
                  <w:r>
                    <w:rPr>
                      <w:rFonts w:hint="default" w:ascii="Times New Roman" w:hAnsi="Times New Roman" w:eastAsia="宋体" w:cs="Times New Roman"/>
                      <w:b/>
                      <w:color w:val="auto"/>
                      <w:spacing w:val="0"/>
                      <w:w w:val="100"/>
                      <w:position w:val="0"/>
                      <w:highlight w:val="none"/>
                      <w:lang w:eastAsia="zh-CN"/>
                    </w:rPr>
                    <w:t>管理条例</w:t>
                  </w:r>
                </w:p>
              </w:tc>
              <w:tc>
                <w:tcPr>
                  <w:tcW w:w="2032" w:type="dxa"/>
                  <w:tcBorders>
                    <w:top w:val="single" w:color="auto" w:sz="12" w:space="0"/>
                    <w:bottom w:val="single" w:color="auto" w:sz="12" w:space="0"/>
                  </w:tcBorders>
                  <w:noWrap w:val="0"/>
                  <w:vAlign w:val="center"/>
                </w:tcPr>
                <w:p w14:paraId="21C5CFAE">
                  <w:pPr>
                    <w:pStyle w:val="55"/>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b/>
                      <w:color w:val="auto"/>
                      <w:spacing w:val="0"/>
                      <w:w w:val="100"/>
                      <w:position w:val="0"/>
                      <w:highlight w:val="none"/>
                    </w:rPr>
                  </w:pPr>
                  <w:r>
                    <w:rPr>
                      <w:rFonts w:hint="default" w:ascii="Times New Roman" w:hAnsi="Times New Roman" w:eastAsia="宋体" w:cs="Times New Roman"/>
                      <w:b/>
                      <w:color w:val="auto"/>
                      <w:spacing w:val="0"/>
                      <w:w w:val="100"/>
                      <w:position w:val="0"/>
                      <w:highlight w:val="none"/>
                      <w:lang w:eastAsia="zh-CN"/>
                    </w:rPr>
                    <w:t>本项目</w:t>
                  </w:r>
                </w:p>
              </w:tc>
              <w:tc>
                <w:tcPr>
                  <w:tcW w:w="796" w:type="dxa"/>
                  <w:tcBorders>
                    <w:top w:val="single" w:color="auto" w:sz="12" w:space="0"/>
                    <w:bottom w:val="single" w:color="auto" w:sz="12" w:space="0"/>
                  </w:tcBorders>
                  <w:noWrap w:val="0"/>
                  <w:vAlign w:val="center"/>
                </w:tcPr>
                <w:p w14:paraId="3208D864">
                  <w:pPr>
                    <w:pStyle w:val="55"/>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b/>
                      <w:color w:val="auto"/>
                      <w:spacing w:val="0"/>
                      <w:w w:val="100"/>
                      <w:position w:val="0"/>
                      <w:highlight w:val="none"/>
                    </w:rPr>
                  </w:pPr>
                  <w:r>
                    <w:rPr>
                      <w:rFonts w:hint="default" w:ascii="Times New Roman" w:hAnsi="Times New Roman" w:eastAsia="宋体" w:cs="Times New Roman"/>
                      <w:b/>
                      <w:color w:val="auto"/>
                      <w:spacing w:val="0"/>
                      <w:w w:val="100"/>
                      <w:position w:val="0"/>
                      <w:highlight w:val="none"/>
                      <w:lang w:eastAsia="zh-CN"/>
                    </w:rPr>
                    <w:t>符合性</w:t>
                  </w:r>
                </w:p>
              </w:tc>
            </w:tr>
            <w:tr w14:paraId="59BB320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 w:hRule="atLeast"/>
                <w:jc w:val="center"/>
              </w:trPr>
              <w:tc>
                <w:tcPr>
                  <w:tcW w:w="657" w:type="dxa"/>
                  <w:vMerge w:val="restart"/>
                  <w:tcBorders>
                    <w:top w:val="single" w:color="auto" w:sz="12" w:space="0"/>
                  </w:tcBorders>
                  <w:noWrap w:val="0"/>
                  <w:vAlign w:val="center"/>
                </w:tcPr>
                <w:p w14:paraId="3840DF91">
                  <w:pPr>
                    <w:pStyle w:val="55"/>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lang w:eastAsia="zh-CN"/>
                    </w:rPr>
                  </w:pPr>
                  <w:r>
                    <w:rPr>
                      <w:rFonts w:hint="default" w:ascii="Times New Roman" w:hAnsi="Times New Roman" w:eastAsia="宋体" w:cs="Times New Roman"/>
                      <w:color w:val="auto"/>
                      <w:spacing w:val="0"/>
                      <w:w w:val="100"/>
                      <w:position w:val="0"/>
                      <w:highlight w:val="none"/>
                      <w:lang w:eastAsia="zh-CN"/>
                    </w:rPr>
                    <w:t>扬尘污染防治</w:t>
                  </w:r>
                </w:p>
              </w:tc>
              <w:tc>
                <w:tcPr>
                  <w:tcW w:w="4119" w:type="dxa"/>
                  <w:tcBorders>
                    <w:top w:val="single" w:color="auto" w:sz="12" w:space="0"/>
                  </w:tcBorders>
                  <w:noWrap w:val="0"/>
                  <w:vAlign w:val="center"/>
                </w:tcPr>
                <w:p w14:paraId="7D4D949B">
                  <w:pPr>
                    <w:pStyle w:val="55"/>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lang w:eastAsia="zh-CN"/>
                    </w:rPr>
                  </w:pPr>
                  <w:r>
                    <w:rPr>
                      <w:rFonts w:hint="default" w:ascii="Times New Roman" w:hAnsi="Times New Roman" w:eastAsia="宋体" w:cs="Times New Roman"/>
                      <w:color w:val="auto"/>
                      <w:spacing w:val="0"/>
                      <w:w w:val="100"/>
                      <w:position w:val="0"/>
                      <w:highlight w:val="none"/>
                      <w:lang w:eastAsia="zh-CN"/>
                    </w:rPr>
                    <w:t>第四十三条贮存易产生扬尘的煤炭、煤矸石、煤渣、煤灰、水泥、石灰、石膏、砂土等物料的堆场应当密闭；不能密闭的，贮存单位或者个人应当采取下列防尘措施：</w:t>
                  </w:r>
                </w:p>
                <w:p w14:paraId="53C47391">
                  <w:pPr>
                    <w:pStyle w:val="55"/>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lang w:eastAsia="zh-CN"/>
                    </w:rPr>
                  </w:pPr>
                  <w:r>
                    <w:rPr>
                      <w:rFonts w:hint="default" w:ascii="Times New Roman" w:hAnsi="Times New Roman" w:eastAsia="宋体" w:cs="Times New Roman"/>
                      <w:color w:val="auto"/>
                      <w:spacing w:val="0"/>
                      <w:w w:val="100"/>
                      <w:position w:val="0"/>
                      <w:highlight w:val="none"/>
                      <w:lang w:eastAsia="zh-CN"/>
                    </w:rPr>
                    <w:t>（一）堆场的场坪、路面应当进行硬化处理，并保持路面整洁；</w:t>
                  </w:r>
                </w:p>
                <w:p w14:paraId="3D97DBF6">
                  <w:pPr>
                    <w:pStyle w:val="55"/>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lang w:eastAsia="zh-CN"/>
                    </w:rPr>
                  </w:pPr>
                  <w:r>
                    <w:rPr>
                      <w:rFonts w:hint="default" w:ascii="Times New Roman" w:hAnsi="Times New Roman" w:eastAsia="宋体" w:cs="Times New Roman"/>
                      <w:color w:val="auto"/>
                      <w:spacing w:val="0"/>
                      <w:w w:val="100"/>
                      <w:position w:val="0"/>
                      <w:highlight w:val="none"/>
                      <w:lang w:eastAsia="zh-CN"/>
                    </w:rPr>
                    <w:t>（二）堆场周边应当配备高于堆存物料的围挡、防风抑尘网等设施；</w:t>
                  </w:r>
                </w:p>
                <w:p w14:paraId="59D17A3B">
                  <w:pPr>
                    <w:pStyle w:val="55"/>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lang w:eastAsia="zh-CN"/>
                    </w:rPr>
                  </w:pPr>
                  <w:r>
                    <w:rPr>
                      <w:rFonts w:hint="default" w:ascii="Times New Roman" w:hAnsi="Times New Roman" w:eastAsia="宋体" w:cs="Times New Roman"/>
                      <w:color w:val="auto"/>
                      <w:spacing w:val="0"/>
                      <w:w w:val="100"/>
                      <w:position w:val="0"/>
                      <w:highlight w:val="none"/>
                      <w:lang w:eastAsia="zh-CN"/>
                    </w:rPr>
                    <w:t>（三）按照物料类别采取相应的覆盖、喷淋和围挡等防风抑尘措施。</w:t>
                  </w:r>
                </w:p>
                <w:p w14:paraId="497BEF0A">
                  <w:pPr>
                    <w:pStyle w:val="55"/>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lang w:eastAsia="zh-CN"/>
                    </w:rPr>
                  </w:pPr>
                  <w:r>
                    <w:rPr>
                      <w:rFonts w:hint="default" w:ascii="Times New Roman" w:hAnsi="Times New Roman" w:eastAsia="宋体" w:cs="Times New Roman"/>
                      <w:color w:val="auto"/>
                      <w:spacing w:val="0"/>
                      <w:w w:val="100"/>
                      <w:position w:val="0"/>
                      <w:highlight w:val="none"/>
                      <w:lang w:eastAsia="zh-CN"/>
                    </w:rPr>
                    <w:t>露天装卸物料应当采取密闭或者喷淋等抑尘措施；输送的物料应当在装料、卸料处配备吸尘、喷淋等防尘设施。</w:t>
                  </w:r>
                </w:p>
              </w:tc>
              <w:tc>
                <w:tcPr>
                  <w:tcW w:w="2032" w:type="dxa"/>
                  <w:tcBorders>
                    <w:top w:val="single" w:color="auto" w:sz="12" w:space="0"/>
                  </w:tcBorders>
                  <w:noWrap w:val="0"/>
                  <w:vAlign w:val="center"/>
                </w:tcPr>
                <w:p w14:paraId="64D6CDBD">
                  <w:pPr>
                    <w:pStyle w:val="55"/>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lang w:val="en-US" w:eastAsia="zh-CN"/>
                    </w:rPr>
                  </w:pPr>
                  <w:r>
                    <w:rPr>
                      <w:rFonts w:hint="default" w:ascii="Times New Roman" w:hAnsi="Times New Roman" w:eastAsia="宋体" w:cs="Times New Roman"/>
                      <w:color w:val="auto"/>
                      <w:spacing w:val="0"/>
                      <w:w w:val="100"/>
                      <w:position w:val="0"/>
                      <w:highlight w:val="none"/>
                      <w:lang w:eastAsia="zh-CN"/>
                    </w:rPr>
                    <w:t>本项目堆场无法实现密闭，采取了洒水降尘措施，</w:t>
                  </w:r>
                  <w:r>
                    <w:rPr>
                      <w:rFonts w:hint="default" w:ascii="Times New Roman" w:hAnsi="Times New Roman" w:eastAsia="宋体" w:cs="Times New Roman"/>
                      <w:color w:val="auto"/>
                      <w:spacing w:val="0"/>
                      <w:w w:val="100"/>
                      <w:position w:val="0"/>
                      <w:highlight w:val="none"/>
                      <w:lang w:val="en-US" w:eastAsia="zh-CN"/>
                    </w:rPr>
                    <w:t>运输车辆</w:t>
                  </w:r>
                  <w:r>
                    <w:rPr>
                      <w:rFonts w:hint="default" w:ascii="Times New Roman" w:hAnsi="Times New Roman" w:eastAsia="宋体" w:cs="Times New Roman"/>
                      <w:color w:val="auto"/>
                      <w:spacing w:val="0"/>
                      <w:w w:val="100"/>
                      <w:position w:val="0"/>
                      <w:highlight w:val="none"/>
                      <w:lang w:eastAsia="zh-CN"/>
                    </w:rPr>
                    <w:t>篷布进行封闭遮盖等措施</w:t>
                  </w:r>
                  <w:r>
                    <w:rPr>
                      <w:rFonts w:hint="default" w:ascii="Times New Roman" w:hAnsi="Times New Roman" w:eastAsia="宋体" w:cs="Times New Roman"/>
                      <w:color w:val="auto"/>
                      <w:spacing w:val="0"/>
                      <w:w w:val="100"/>
                      <w:position w:val="0"/>
                      <w:highlight w:val="none"/>
                      <w:lang w:val="en-US" w:eastAsia="zh-CN"/>
                    </w:rPr>
                    <w:t>降低扬尘；水稳站的</w:t>
                  </w:r>
                  <w:r>
                    <w:rPr>
                      <w:rFonts w:hint="default" w:ascii="Times New Roman" w:hAnsi="Times New Roman" w:eastAsia="宋体" w:cs="Times New Roman"/>
                      <w:color w:val="auto"/>
                      <w:spacing w:val="0"/>
                      <w:w w:val="100"/>
                      <w:position w:val="0"/>
                      <w:highlight w:val="none"/>
                      <w:lang w:eastAsia="zh-CN"/>
                    </w:rPr>
                    <w:t>水泥、石灰、</w:t>
                  </w:r>
                  <w:r>
                    <w:rPr>
                      <w:rFonts w:hint="default" w:ascii="Times New Roman" w:hAnsi="Times New Roman" w:eastAsia="宋体" w:cs="Times New Roman"/>
                      <w:color w:val="auto"/>
                      <w:spacing w:val="0"/>
                      <w:w w:val="100"/>
                      <w:position w:val="0"/>
                      <w:highlight w:val="none"/>
                      <w:lang w:val="en-US" w:eastAsia="zh-CN"/>
                    </w:rPr>
                    <w:t>粉煤灰等原辅料为密闭筒仓储存。</w:t>
                  </w:r>
                </w:p>
              </w:tc>
              <w:tc>
                <w:tcPr>
                  <w:tcW w:w="796" w:type="dxa"/>
                  <w:tcBorders>
                    <w:top w:val="single" w:color="auto" w:sz="12" w:space="0"/>
                  </w:tcBorders>
                  <w:noWrap w:val="0"/>
                  <w:vAlign w:val="center"/>
                </w:tcPr>
                <w:p w14:paraId="1CAA7BBE">
                  <w:pPr>
                    <w:pStyle w:val="55"/>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lang w:eastAsia="zh-CN"/>
                    </w:rPr>
                  </w:pPr>
                  <w:r>
                    <w:rPr>
                      <w:rFonts w:hint="default" w:ascii="Times New Roman" w:hAnsi="Times New Roman" w:eastAsia="宋体" w:cs="Times New Roman"/>
                      <w:color w:val="auto"/>
                      <w:spacing w:val="0"/>
                      <w:w w:val="100"/>
                      <w:position w:val="0"/>
                      <w:highlight w:val="none"/>
                      <w:lang w:eastAsia="zh-CN"/>
                    </w:rPr>
                    <w:t>符合</w:t>
                  </w:r>
                </w:p>
              </w:tc>
            </w:tr>
            <w:tr w14:paraId="1D1D6D6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 w:hRule="atLeast"/>
                <w:jc w:val="center"/>
              </w:trPr>
              <w:tc>
                <w:tcPr>
                  <w:tcW w:w="657" w:type="dxa"/>
                  <w:vMerge w:val="continue"/>
                  <w:tcBorders>
                    <w:bottom w:val="single" w:color="000000" w:sz="12" w:space="0"/>
                  </w:tcBorders>
                  <w:noWrap w:val="0"/>
                  <w:vAlign w:val="center"/>
                </w:tcPr>
                <w:p w14:paraId="5003FDB0">
                  <w:pPr>
                    <w:pStyle w:val="55"/>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lang w:eastAsia="zh-CN"/>
                    </w:rPr>
                  </w:pPr>
                </w:p>
              </w:tc>
              <w:tc>
                <w:tcPr>
                  <w:tcW w:w="4119" w:type="dxa"/>
                  <w:tcBorders>
                    <w:bottom w:val="single" w:color="000000" w:sz="12" w:space="0"/>
                  </w:tcBorders>
                  <w:noWrap w:val="0"/>
                  <w:vAlign w:val="center"/>
                </w:tcPr>
                <w:p w14:paraId="084806E0">
                  <w:pPr>
                    <w:pStyle w:val="55"/>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lang w:eastAsia="zh-CN"/>
                    </w:rPr>
                  </w:pPr>
                  <w:r>
                    <w:rPr>
                      <w:rFonts w:hint="default" w:ascii="Times New Roman" w:hAnsi="Times New Roman" w:eastAsia="宋体" w:cs="Times New Roman"/>
                      <w:color w:val="auto"/>
                      <w:spacing w:val="0"/>
                      <w:w w:val="100"/>
                      <w:position w:val="0"/>
                      <w:highlight w:val="none"/>
                      <w:lang w:eastAsia="zh-CN"/>
                    </w:rPr>
                    <w:t>第四十四条矿山开采产生的废石、废渣、泥土等应当堆放到专门存放地，并采取围挡、设置防尘网或者防尘布等防尘措施；施工便道应当硬化。</w:t>
                  </w:r>
                </w:p>
                <w:p w14:paraId="0C71DB78">
                  <w:pPr>
                    <w:pStyle w:val="55"/>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lang w:eastAsia="zh-CN"/>
                    </w:rPr>
                  </w:pPr>
                  <w:r>
                    <w:rPr>
                      <w:rFonts w:hint="default" w:ascii="Times New Roman" w:hAnsi="Times New Roman" w:eastAsia="宋体" w:cs="Times New Roman"/>
                      <w:color w:val="auto"/>
                      <w:spacing w:val="0"/>
                      <w:w w:val="100"/>
                      <w:position w:val="0"/>
                      <w:highlight w:val="none"/>
                      <w:lang w:eastAsia="zh-CN"/>
                    </w:rPr>
                    <w:t>在采石、采砂和其他矿产资源开采过程中，或者在停办、关闭矿山前，采矿权人应当整修被损坏的道路和露天采矿场的边坡、断面，恢复原有地貌，并按照规定处置矿山开采废弃物，防止扬尘污染。</w:t>
                  </w:r>
                </w:p>
              </w:tc>
              <w:tc>
                <w:tcPr>
                  <w:tcW w:w="2032" w:type="dxa"/>
                  <w:tcBorders>
                    <w:bottom w:val="single" w:color="000000" w:sz="12" w:space="0"/>
                  </w:tcBorders>
                  <w:noWrap w:val="0"/>
                  <w:vAlign w:val="center"/>
                </w:tcPr>
                <w:p w14:paraId="4A2FA0C4">
                  <w:pPr>
                    <w:pStyle w:val="55"/>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lang w:eastAsia="zh-CN"/>
                    </w:rPr>
                  </w:pPr>
                  <w:r>
                    <w:rPr>
                      <w:rFonts w:hint="default" w:ascii="Times New Roman" w:hAnsi="Times New Roman" w:eastAsia="宋体" w:cs="Times New Roman"/>
                      <w:color w:val="auto"/>
                      <w:spacing w:val="0"/>
                      <w:w w:val="100"/>
                      <w:position w:val="0"/>
                      <w:highlight w:val="none"/>
                      <w:lang w:eastAsia="zh-CN"/>
                    </w:rPr>
                    <w:t>覆盖防尘网并进行洒水降尘；采取边开采边恢复的方式，开采过程中整修被损坏的道路和露天采矿场的边坡、断面，服务期满后进行矿山恢复。</w:t>
                  </w:r>
                </w:p>
              </w:tc>
              <w:tc>
                <w:tcPr>
                  <w:tcW w:w="796" w:type="dxa"/>
                  <w:tcBorders>
                    <w:bottom w:val="single" w:color="000000" w:sz="12" w:space="0"/>
                  </w:tcBorders>
                  <w:noWrap w:val="0"/>
                  <w:vAlign w:val="center"/>
                </w:tcPr>
                <w:p w14:paraId="1047238D">
                  <w:pPr>
                    <w:pStyle w:val="55"/>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lang w:eastAsia="zh-CN"/>
                    </w:rPr>
                  </w:pPr>
                  <w:r>
                    <w:rPr>
                      <w:rFonts w:hint="default" w:ascii="Times New Roman" w:hAnsi="Times New Roman" w:eastAsia="宋体" w:cs="Times New Roman"/>
                      <w:color w:val="auto"/>
                      <w:spacing w:val="0"/>
                      <w:w w:val="100"/>
                      <w:position w:val="0"/>
                      <w:highlight w:val="none"/>
                      <w:lang w:eastAsia="zh-CN"/>
                    </w:rPr>
                    <w:t>符合</w:t>
                  </w:r>
                </w:p>
              </w:tc>
            </w:tr>
          </w:tbl>
          <w:p w14:paraId="58E184A2">
            <w:pPr>
              <w:keepNext w:val="0"/>
              <w:keepLines w:val="0"/>
              <w:pageBreakBefore w:val="0"/>
              <w:kinsoku/>
              <w:overflowPunct/>
              <w:topLinePunct w:val="0"/>
              <w:autoSpaceDE w:val="0"/>
              <w:autoSpaceDN w:val="0"/>
              <w:bidi w:val="0"/>
              <w:adjustRightInd w:val="0"/>
              <w:snapToGrid w:val="0"/>
              <w:spacing w:beforeAutospacing="0" w:afterAutospacing="0" w:line="360" w:lineRule="auto"/>
              <w:ind w:left="0" w:leftChars="0" w:right="0" w:firstLine="480" w:firstLineChars="200"/>
              <w:rPr>
                <w:rFonts w:hint="default" w:ascii="Times New Roman" w:hAnsi="Times New Roman" w:eastAsia="宋体" w:cs="Times New Roman"/>
                <w:bCs/>
                <w:color w:val="auto"/>
                <w:spacing w:val="0"/>
                <w:w w:val="100"/>
                <w:kern w:val="0"/>
                <w:position w:val="0"/>
                <w:sz w:val="24"/>
                <w:szCs w:val="24"/>
                <w:highlight w:val="none"/>
              </w:rPr>
            </w:pPr>
            <w:r>
              <w:rPr>
                <w:rFonts w:hint="default" w:ascii="Times New Roman" w:hAnsi="Times New Roman" w:eastAsia="宋体" w:cs="Times New Roman"/>
                <w:bCs/>
                <w:color w:val="auto"/>
                <w:spacing w:val="0"/>
                <w:w w:val="100"/>
                <w:kern w:val="0"/>
                <w:position w:val="0"/>
                <w:sz w:val="24"/>
                <w:szCs w:val="24"/>
                <w:highlight w:val="none"/>
              </w:rPr>
              <w:t>由上表可见，本项目的建设符合《新疆维吾尔自治区大气污染防治条例》的相关要求。</w:t>
            </w:r>
          </w:p>
          <w:p w14:paraId="5D281B75">
            <w:pPr>
              <w:keepNext w:val="0"/>
              <w:keepLines w:val="0"/>
              <w:pageBreakBefore w:val="0"/>
              <w:kinsoku/>
              <w:overflowPunct/>
              <w:topLinePunct w:val="0"/>
              <w:autoSpaceDE w:val="0"/>
              <w:autoSpaceDN w:val="0"/>
              <w:bidi w:val="0"/>
              <w:adjustRightInd w:val="0"/>
              <w:snapToGrid w:val="0"/>
              <w:spacing w:beforeAutospacing="0" w:afterAutospacing="0" w:line="360" w:lineRule="auto"/>
              <w:ind w:right="0"/>
              <w:rPr>
                <w:rFonts w:hint="default" w:ascii="Times New Roman" w:hAnsi="Times New Roman" w:eastAsia="宋体" w:cs="Times New Roman"/>
                <w:b/>
                <w:color w:val="auto"/>
                <w:spacing w:val="0"/>
                <w:w w:val="100"/>
                <w:kern w:val="0"/>
                <w:position w:val="0"/>
                <w:sz w:val="24"/>
                <w:szCs w:val="24"/>
                <w:highlight w:val="none"/>
              </w:rPr>
            </w:pPr>
            <w:r>
              <w:rPr>
                <w:rFonts w:hint="default" w:ascii="Times New Roman" w:hAnsi="Times New Roman" w:eastAsia="宋体" w:cs="Times New Roman"/>
                <w:b/>
                <w:color w:val="auto"/>
                <w:spacing w:val="0"/>
                <w:w w:val="100"/>
                <w:kern w:val="0"/>
                <w:position w:val="0"/>
                <w:sz w:val="24"/>
                <w:szCs w:val="24"/>
                <w:highlight w:val="none"/>
                <w:lang w:val="en-US" w:eastAsia="zh-CN"/>
              </w:rPr>
              <w:t>5.</w:t>
            </w:r>
            <w:r>
              <w:rPr>
                <w:rFonts w:hint="default" w:ascii="Times New Roman" w:hAnsi="Times New Roman" w:eastAsia="宋体" w:cs="Times New Roman"/>
                <w:b/>
                <w:color w:val="auto"/>
                <w:spacing w:val="0"/>
                <w:w w:val="100"/>
                <w:kern w:val="0"/>
                <w:position w:val="0"/>
                <w:sz w:val="24"/>
                <w:szCs w:val="24"/>
                <w:highlight w:val="none"/>
              </w:rPr>
              <w:t>与《矿山生态环境保护与恢复治理技术规范（试行）》（HJ651-2013）符合性分析</w:t>
            </w:r>
          </w:p>
          <w:p w14:paraId="703D1DFE">
            <w:pPr>
              <w:pStyle w:val="52"/>
              <w:keepNext w:val="0"/>
              <w:keepLines w:val="0"/>
              <w:pageBreakBefore w:val="0"/>
              <w:kinsoku/>
              <w:overflowPunct/>
              <w:topLinePunct w:val="0"/>
              <w:bidi w:val="0"/>
              <w:spacing w:beforeAutospacing="0" w:afterAutospacing="0"/>
              <w:ind w:left="0" w:leftChars="0" w:right="0" w:firstLine="42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表1-</w:t>
            </w:r>
            <w:r>
              <w:rPr>
                <w:rFonts w:hint="default" w:ascii="Times New Roman" w:hAnsi="Times New Roman" w:eastAsia="宋体" w:cs="Times New Roman"/>
                <w:color w:val="auto"/>
                <w:spacing w:val="0"/>
                <w:w w:val="100"/>
                <w:position w:val="0"/>
                <w:highlight w:val="none"/>
                <w:lang w:val="en-US" w:eastAsia="zh-CN"/>
              </w:rPr>
              <w:t>4</w:t>
            </w:r>
            <w:r>
              <w:rPr>
                <w:rFonts w:hint="default" w:ascii="Times New Roman" w:hAnsi="Times New Roman" w:eastAsia="宋体" w:cs="Times New Roman"/>
                <w:color w:val="auto"/>
                <w:spacing w:val="0"/>
                <w:w w:val="100"/>
                <w:position w:val="0"/>
                <w:highlight w:val="none"/>
              </w:rPr>
              <w:t xml:space="preserve">  《矿山生态环境保护与恢复治理技术规范（试行）》符合性</w:t>
            </w:r>
          </w:p>
          <w:tbl>
            <w:tblPr>
              <w:tblStyle w:val="38"/>
              <w:tblW w:w="495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57"/>
              <w:gridCol w:w="3260"/>
              <w:gridCol w:w="2465"/>
              <w:gridCol w:w="921"/>
            </w:tblGrid>
            <w:tr w14:paraId="2329E4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1" w:type="dxa"/>
                  <w:tcBorders>
                    <w:top w:val="single" w:color="auto" w:sz="12" w:space="0"/>
                    <w:bottom w:val="single" w:color="auto" w:sz="12" w:space="0"/>
                  </w:tcBorders>
                  <w:noWrap w:val="0"/>
                  <w:vAlign w:val="center"/>
                </w:tcPr>
                <w:p w14:paraId="7D77C86D">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b/>
                      <w:color w:val="auto"/>
                      <w:spacing w:val="0"/>
                      <w:w w:val="100"/>
                      <w:position w:val="0"/>
                      <w:highlight w:val="none"/>
                    </w:rPr>
                  </w:pPr>
                  <w:r>
                    <w:rPr>
                      <w:rFonts w:hint="default" w:ascii="Times New Roman" w:hAnsi="Times New Roman" w:eastAsia="宋体" w:cs="Times New Roman"/>
                      <w:b/>
                      <w:color w:val="auto"/>
                      <w:spacing w:val="0"/>
                      <w:w w:val="100"/>
                      <w:position w:val="0"/>
                      <w:highlight w:val="none"/>
                    </w:rPr>
                    <w:t>类别</w:t>
                  </w:r>
                </w:p>
              </w:tc>
              <w:tc>
                <w:tcPr>
                  <w:tcW w:w="3358" w:type="dxa"/>
                  <w:tcBorders>
                    <w:top w:val="single" w:color="auto" w:sz="12" w:space="0"/>
                    <w:bottom w:val="single" w:color="auto" w:sz="12" w:space="0"/>
                  </w:tcBorders>
                  <w:noWrap w:val="0"/>
                  <w:vAlign w:val="center"/>
                </w:tcPr>
                <w:p w14:paraId="7B9ED723">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b/>
                      <w:color w:val="auto"/>
                      <w:spacing w:val="0"/>
                      <w:w w:val="100"/>
                      <w:position w:val="0"/>
                      <w:highlight w:val="none"/>
                    </w:rPr>
                  </w:pPr>
                  <w:r>
                    <w:rPr>
                      <w:rFonts w:hint="default" w:ascii="Times New Roman" w:hAnsi="Times New Roman" w:eastAsia="宋体" w:cs="Times New Roman"/>
                      <w:b/>
                      <w:color w:val="auto"/>
                      <w:spacing w:val="0"/>
                      <w:w w:val="100"/>
                      <w:position w:val="0"/>
                      <w:highlight w:val="none"/>
                    </w:rPr>
                    <w:t>规范要求</w:t>
                  </w:r>
                </w:p>
              </w:tc>
              <w:tc>
                <w:tcPr>
                  <w:tcW w:w="2535" w:type="dxa"/>
                  <w:tcBorders>
                    <w:top w:val="single" w:color="auto" w:sz="12" w:space="0"/>
                    <w:bottom w:val="single" w:color="auto" w:sz="12" w:space="0"/>
                  </w:tcBorders>
                  <w:noWrap w:val="0"/>
                  <w:vAlign w:val="center"/>
                </w:tcPr>
                <w:p w14:paraId="6B58C42B">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b/>
                      <w:color w:val="auto"/>
                      <w:spacing w:val="0"/>
                      <w:w w:val="100"/>
                      <w:position w:val="0"/>
                      <w:highlight w:val="none"/>
                    </w:rPr>
                  </w:pPr>
                  <w:r>
                    <w:rPr>
                      <w:rFonts w:hint="default" w:ascii="Times New Roman" w:hAnsi="Times New Roman" w:eastAsia="宋体" w:cs="Times New Roman"/>
                      <w:b/>
                      <w:color w:val="auto"/>
                      <w:spacing w:val="0"/>
                      <w:w w:val="100"/>
                      <w:position w:val="0"/>
                      <w:highlight w:val="none"/>
                    </w:rPr>
                    <w:t>本项目情况</w:t>
                  </w:r>
                </w:p>
              </w:tc>
              <w:tc>
                <w:tcPr>
                  <w:tcW w:w="940" w:type="dxa"/>
                  <w:tcBorders>
                    <w:top w:val="single" w:color="auto" w:sz="12" w:space="0"/>
                    <w:bottom w:val="single" w:color="auto" w:sz="12" w:space="0"/>
                  </w:tcBorders>
                  <w:noWrap w:val="0"/>
                  <w:vAlign w:val="center"/>
                </w:tcPr>
                <w:p w14:paraId="4C1F66A3">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b/>
                      <w:bCs/>
                      <w:color w:val="auto"/>
                      <w:spacing w:val="0"/>
                      <w:w w:val="100"/>
                      <w:position w:val="0"/>
                      <w:highlight w:val="none"/>
                    </w:rPr>
                  </w:pPr>
                  <w:r>
                    <w:rPr>
                      <w:rFonts w:hint="default" w:ascii="Times New Roman" w:hAnsi="Times New Roman" w:eastAsia="宋体" w:cs="Times New Roman"/>
                      <w:b/>
                      <w:bCs/>
                      <w:color w:val="auto"/>
                      <w:spacing w:val="0"/>
                      <w:w w:val="100"/>
                      <w:position w:val="0"/>
                      <w:highlight w:val="none"/>
                    </w:rPr>
                    <w:t>符合性</w:t>
                  </w:r>
                </w:p>
              </w:tc>
            </w:tr>
            <w:tr w14:paraId="5D5122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1" w:type="dxa"/>
                  <w:tcBorders>
                    <w:top w:val="single" w:color="auto" w:sz="12" w:space="0"/>
                  </w:tcBorders>
                  <w:noWrap w:val="0"/>
                  <w:vAlign w:val="center"/>
                </w:tcPr>
                <w:p w14:paraId="48854FD6">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4</w:t>
                  </w:r>
                </w:p>
              </w:tc>
              <w:tc>
                <w:tcPr>
                  <w:tcW w:w="6833" w:type="dxa"/>
                  <w:gridSpan w:val="3"/>
                  <w:tcBorders>
                    <w:top w:val="single" w:color="auto" w:sz="12" w:space="0"/>
                    <w:bottom w:val="single" w:color="auto" w:sz="4" w:space="0"/>
                  </w:tcBorders>
                  <w:noWrap w:val="0"/>
                  <w:vAlign w:val="center"/>
                </w:tcPr>
                <w:p w14:paraId="25B39359">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矿山生态环境保护与恢复治理的一般要求</w:t>
                  </w:r>
                </w:p>
              </w:tc>
            </w:tr>
            <w:tr w14:paraId="1D7CAE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1" w:type="dxa"/>
                  <w:noWrap w:val="0"/>
                  <w:vAlign w:val="center"/>
                </w:tcPr>
                <w:p w14:paraId="731C40CB">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4.1</w:t>
                  </w:r>
                </w:p>
              </w:tc>
              <w:tc>
                <w:tcPr>
                  <w:tcW w:w="3358" w:type="dxa"/>
                  <w:tcBorders>
                    <w:top w:val="single" w:color="auto" w:sz="4" w:space="0"/>
                  </w:tcBorders>
                  <w:noWrap w:val="0"/>
                  <w:vAlign w:val="center"/>
                </w:tcPr>
                <w:p w14:paraId="577F952B">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禁止在依法划定的自然保护区、风景名胜区、森林公园、饮用水水源保护区、文物古迹所在地、地质遗迹保护区、基本农田保护区等重要生态保护地以及其他法律法规规定的禁采区域内采矿。禁止在重要道路、航道两侧及重要生态环境敏感目标可视范围内进行对景观破坏明显的露天开采。</w:t>
                  </w:r>
                </w:p>
              </w:tc>
              <w:tc>
                <w:tcPr>
                  <w:tcW w:w="2535" w:type="dxa"/>
                  <w:tcBorders>
                    <w:top w:val="single" w:color="auto" w:sz="4" w:space="0"/>
                  </w:tcBorders>
                  <w:noWrap w:val="0"/>
                  <w:vAlign w:val="center"/>
                </w:tcPr>
                <w:p w14:paraId="733C027A">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本项目不涉及4.1中所述各类重要生态保护地以及其他法律法规规定的禁采区域，不涉及重要道路、航道两侧及重要生态环境敏感目标</w:t>
                  </w:r>
                </w:p>
              </w:tc>
              <w:tc>
                <w:tcPr>
                  <w:tcW w:w="940" w:type="dxa"/>
                  <w:tcBorders>
                    <w:top w:val="single" w:color="auto" w:sz="4" w:space="0"/>
                  </w:tcBorders>
                  <w:noWrap w:val="0"/>
                  <w:vAlign w:val="center"/>
                </w:tcPr>
                <w:p w14:paraId="1C7B943A">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符合</w:t>
                  </w:r>
                </w:p>
              </w:tc>
            </w:tr>
            <w:tr w14:paraId="6C5E26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1" w:type="dxa"/>
                  <w:noWrap w:val="0"/>
                  <w:vAlign w:val="center"/>
                </w:tcPr>
                <w:p w14:paraId="55EC6D69">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4.2</w:t>
                  </w:r>
                </w:p>
              </w:tc>
              <w:tc>
                <w:tcPr>
                  <w:tcW w:w="3358" w:type="dxa"/>
                  <w:noWrap w:val="0"/>
                  <w:vAlign w:val="center"/>
                </w:tcPr>
                <w:p w14:paraId="0F981EED">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矿产资源开发活动应符合国家和区域主体功能区规划、生态功能区划、生态环境保护规划的要求，采取有效预防和保护措施，避免或减轻矿产资源开发活动造成的生态破坏和环境污染。</w:t>
                  </w:r>
                </w:p>
              </w:tc>
              <w:tc>
                <w:tcPr>
                  <w:tcW w:w="2535" w:type="dxa"/>
                  <w:noWrap w:val="0"/>
                  <w:vAlign w:val="center"/>
                </w:tcPr>
                <w:p w14:paraId="2443E750">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本项目开发活动符合国家和区域主体功能区规划、生态功能区划、生态环境保护规划的要求，采取了有效的预防和保护措施，能有效减轻开发活动造成的生态破坏和环境污染。</w:t>
                  </w:r>
                </w:p>
              </w:tc>
              <w:tc>
                <w:tcPr>
                  <w:tcW w:w="940" w:type="dxa"/>
                  <w:noWrap w:val="0"/>
                  <w:vAlign w:val="center"/>
                </w:tcPr>
                <w:p w14:paraId="00C27D95">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符合</w:t>
                  </w:r>
                </w:p>
              </w:tc>
            </w:tr>
            <w:tr w14:paraId="411B2B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1" w:type="dxa"/>
                  <w:noWrap w:val="0"/>
                  <w:vAlign w:val="center"/>
                </w:tcPr>
                <w:p w14:paraId="275BEE1A">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4.3</w:t>
                  </w:r>
                </w:p>
              </w:tc>
              <w:tc>
                <w:tcPr>
                  <w:tcW w:w="3358" w:type="dxa"/>
                  <w:noWrap w:val="0"/>
                  <w:vAlign w:val="center"/>
                </w:tcPr>
                <w:p w14:paraId="73750C28">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坚持“预防为主、防治结合、过程控制”的原则，将矿山生态环境保护与恢复治理贯穿矿产资源开采的全过程。根据矿山生态环境保护与恢复治理的重点任务，合理确定矿山生态保护与恢复治理分区，优化矿区生产与生活空间格局。采用新技术、新方法、新工艺提高矿山生态环境保护和恢复治理水平。</w:t>
                  </w:r>
                </w:p>
              </w:tc>
              <w:tc>
                <w:tcPr>
                  <w:tcW w:w="2535" w:type="dxa"/>
                  <w:noWrap w:val="0"/>
                  <w:vAlign w:val="center"/>
                </w:tcPr>
                <w:p w14:paraId="7AFCE036">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本项目采取边开采边恢复治理的方式。</w:t>
                  </w:r>
                </w:p>
              </w:tc>
              <w:tc>
                <w:tcPr>
                  <w:tcW w:w="940" w:type="dxa"/>
                  <w:noWrap w:val="0"/>
                  <w:vAlign w:val="center"/>
                </w:tcPr>
                <w:p w14:paraId="25A25B57">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符合</w:t>
                  </w:r>
                </w:p>
              </w:tc>
            </w:tr>
            <w:tr w14:paraId="552586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1" w:type="dxa"/>
                  <w:noWrap w:val="0"/>
                  <w:vAlign w:val="center"/>
                </w:tcPr>
                <w:p w14:paraId="63A6CAAF">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4.5</w:t>
                  </w:r>
                </w:p>
              </w:tc>
              <w:tc>
                <w:tcPr>
                  <w:tcW w:w="3358" w:type="dxa"/>
                  <w:noWrap w:val="0"/>
                  <w:vAlign w:val="center"/>
                </w:tcPr>
                <w:p w14:paraId="7C5B5B1C">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恢复治理后的各类场地应实现：安全稳定，对人类和动植物不造成威胁；对周边环境不产生污染；与周边自然环境和景观相协调；恢复土地基本功能，因地制宜实现土地可持续利用；区域整体生态功能得到保护和恢复。</w:t>
                  </w:r>
                </w:p>
              </w:tc>
              <w:tc>
                <w:tcPr>
                  <w:tcW w:w="2535" w:type="dxa"/>
                  <w:noWrap w:val="0"/>
                  <w:vAlign w:val="center"/>
                </w:tcPr>
                <w:p w14:paraId="1FD99805">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本项目闭矿后，将对各类场地进行恢复治理。</w:t>
                  </w:r>
                </w:p>
              </w:tc>
              <w:tc>
                <w:tcPr>
                  <w:tcW w:w="940" w:type="dxa"/>
                  <w:noWrap w:val="0"/>
                  <w:vAlign w:val="center"/>
                </w:tcPr>
                <w:p w14:paraId="419ACC45">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符合</w:t>
                  </w:r>
                </w:p>
              </w:tc>
            </w:tr>
            <w:tr w14:paraId="7C5D23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1" w:type="dxa"/>
                  <w:noWrap w:val="0"/>
                  <w:vAlign w:val="center"/>
                </w:tcPr>
                <w:p w14:paraId="7F637D74">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5</w:t>
                  </w:r>
                </w:p>
              </w:tc>
              <w:tc>
                <w:tcPr>
                  <w:tcW w:w="6833" w:type="dxa"/>
                  <w:gridSpan w:val="3"/>
                  <w:noWrap w:val="0"/>
                  <w:vAlign w:val="center"/>
                </w:tcPr>
                <w:p w14:paraId="6EB5153D">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矿山生态保护</w:t>
                  </w:r>
                </w:p>
              </w:tc>
            </w:tr>
            <w:tr w14:paraId="71552F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1" w:type="dxa"/>
                  <w:noWrap w:val="0"/>
                  <w:vAlign w:val="center"/>
                </w:tcPr>
                <w:p w14:paraId="35B5A699">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5.1</w:t>
                  </w:r>
                </w:p>
              </w:tc>
              <w:tc>
                <w:tcPr>
                  <w:tcW w:w="3358" w:type="dxa"/>
                  <w:noWrap w:val="0"/>
                  <w:vAlign w:val="center"/>
                </w:tcPr>
                <w:p w14:paraId="098C7637">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在国家和地方各级人民政府确定的重点（重要）生态功能区内建设矿产资源基地，应进行生态环境影响和经济损益评估，按评估结果及相关规定进行控制性开采，减少对生态空间的占用，不影响区域主导生态功能。在水资源短缺、环境容量小、生态系统脆弱、地震和地质灾害易发地区，要严格控制矿产资源开发。</w:t>
                  </w:r>
                </w:p>
              </w:tc>
              <w:tc>
                <w:tcPr>
                  <w:tcW w:w="2535" w:type="dxa"/>
                  <w:noWrap w:val="0"/>
                  <w:vAlign w:val="center"/>
                </w:tcPr>
                <w:p w14:paraId="70A5A522">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本项目建设地点不在重点（重要）生态功能区内。</w:t>
                  </w:r>
                </w:p>
              </w:tc>
              <w:tc>
                <w:tcPr>
                  <w:tcW w:w="940" w:type="dxa"/>
                  <w:noWrap w:val="0"/>
                  <w:vAlign w:val="center"/>
                </w:tcPr>
                <w:p w14:paraId="0DCC89E6">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符合</w:t>
                  </w:r>
                </w:p>
              </w:tc>
            </w:tr>
            <w:tr w14:paraId="41C385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1" w:type="dxa"/>
                  <w:noWrap w:val="0"/>
                  <w:vAlign w:val="center"/>
                </w:tcPr>
                <w:p w14:paraId="7F1E9235">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5.2</w:t>
                  </w:r>
                </w:p>
              </w:tc>
              <w:tc>
                <w:tcPr>
                  <w:tcW w:w="3358" w:type="dxa"/>
                  <w:noWrap w:val="0"/>
                  <w:vAlign w:val="center"/>
                </w:tcPr>
                <w:p w14:paraId="4B06CAE6">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矿山开采前应在矿区范围及各种采矿活动的可能影响区进行生物多样性现状调查，对于国家或地方保护动植物或生态系统，须采取就地保护或迁地保护等措施保护矿山生物多样性。</w:t>
                  </w:r>
                </w:p>
              </w:tc>
              <w:tc>
                <w:tcPr>
                  <w:tcW w:w="2535" w:type="dxa"/>
                  <w:noWrap w:val="0"/>
                  <w:vAlign w:val="center"/>
                </w:tcPr>
                <w:p w14:paraId="667DA8B7">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本项目所在地生物多样性低，基本为</w:t>
                  </w:r>
                  <w:r>
                    <w:rPr>
                      <w:rFonts w:hint="default" w:ascii="Times New Roman" w:hAnsi="Times New Roman" w:eastAsia="宋体" w:cs="Times New Roman"/>
                      <w:color w:val="auto"/>
                      <w:spacing w:val="0"/>
                      <w:w w:val="100"/>
                      <w:position w:val="0"/>
                      <w:highlight w:val="none"/>
                      <w:lang w:val="en-US" w:eastAsia="zh-CN"/>
                    </w:rPr>
                    <w:t>其他草地和林地</w:t>
                  </w:r>
                  <w:r>
                    <w:rPr>
                      <w:rFonts w:hint="default" w:ascii="Times New Roman" w:hAnsi="Times New Roman" w:eastAsia="宋体" w:cs="Times New Roman"/>
                      <w:color w:val="auto"/>
                      <w:spacing w:val="0"/>
                      <w:w w:val="100"/>
                      <w:position w:val="0"/>
                      <w:highlight w:val="none"/>
                    </w:rPr>
                    <w:t>，无国家或地方保护动植物或生态系统，闭矿后矿区生物多样性易于恢复。</w:t>
                  </w:r>
                </w:p>
              </w:tc>
              <w:tc>
                <w:tcPr>
                  <w:tcW w:w="940" w:type="dxa"/>
                  <w:noWrap w:val="0"/>
                  <w:vAlign w:val="center"/>
                </w:tcPr>
                <w:p w14:paraId="5D625FBE">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符合</w:t>
                  </w:r>
                </w:p>
              </w:tc>
            </w:tr>
            <w:tr w14:paraId="2C49CD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1" w:type="dxa"/>
                  <w:noWrap w:val="0"/>
                  <w:vAlign w:val="center"/>
                </w:tcPr>
                <w:p w14:paraId="23A0CB6C">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5.3</w:t>
                  </w:r>
                </w:p>
              </w:tc>
              <w:tc>
                <w:tcPr>
                  <w:tcW w:w="3358" w:type="dxa"/>
                  <w:noWrap w:val="0"/>
                  <w:vAlign w:val="center"/>
                </w:tcPr>
                <w:p w14:paraId="393ABD07">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高寒区露天采矿、设置排土场和尾矿库时，应将剥离的草皮层集中养护，满足恢复条件后及时移植，恢复植被；严格控制临时施工场地与施工道路面积和范围，减少对地表植被的破坏。</w:t>
                  </w:r>
                </w:p>
              </w:tc>
              <w:tc>
                <w:tcPr>
                  <w:tcW w:w="2535" w:type="dxa"/>
                  <w:noWrap w:val="0"/>
                  <w:vAlign w:val="center"/>
                </w:tcPr>
                <w:p w14:paraId="3A22AE1D">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本项目为露天采矿，设置</w:t>
                  </w:r>
                  <w:r>
                    <w:rPr>
                      <w:rFonts w:hint="default" w:ascii="Times New Roman" w:hAnsi="Times New Roman" w:eastAsia="宋体" w:cs="Times New Roman"/>
                      <w:color w:val="auto"/>
                      <w:spacing w:val="0"/>
                      <w:w w:val="100"/>
                      <w:position w:val="0"/>
                      <w:highlight w:val="none"/>
                      <w:lang w:eastAsia="zh-CN"/>
                    </w:rPr>
                    <w:t>表土临时堆放区</w:t>
                  </w:r>
                  <w:r>
                    <w:rPr>
                      <w:rFonts w:hint="default" w:ascii="Times New Roman" w:hAnsi="Times New Roman" w:eastAsia="宋体" w:cs="Times New Roman"/>
                      <w:color w:val="auto"/>
                      <w:spacing w:val="0"/>
                      <w:w w:val="100"/>
                      <w:position w:val="0"/>
                      <w:highlight w:val="none"/>
                    </w:rPr>
                    <w:t>，用于堆放表层剥离土壤，同时采取边开采边恢复的方式，减少地表破坏。</w:t>
                  </w:r>
                </w:p>
              </w:tc>
              <w:tc>
                <w:tcPr>
                  <w:tcW w:w="940" w:type="dxa"/>
                  <w:noWrap w:val="0"/>
                  <w:vAlign w:val="center"/>
                </w:tcPr>
                <w:p w14:paraId="2513C291">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符合</w:t>
                  </w:r>
                </w:p>
              </w:tc>
            </w:tr>
            <w:tr w14:paraId="1C7019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1" w:type="dxa"/>
                  <w:noWrap w:val="0"/>
                  <w:vAlign w:val="center"/>
                </w:tcPr>
                <w:p w14:paraId="48354615">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5.4</w:t>
                  </w:r>
                </w:p>
              </w:tc>
              <w:tc>
                <w:tcPr>
                  <w:tcW w:w="3358" w:type="dxa"/>
                  <w:noWrap w:val="0"/>
                  <w:vAlign w:val="center"/>
                </w:tcPr>
                <w:p w14:paraId="29E04971">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荒漠和风沙区矿产资源开发应避开易发生风蚀和生态退化地带，减少开采、排土和运输等活动对土壤结皮、砾幕及沙区植被的破坏和扰动；排土场、料场及尾矿库等场地应采取围挡和覆盖等防风蚀措施。</w:t>
                  </w:r>
                </w:p>
              </w:tc>
              <w:tc>
                <w:tcPr>
                  <w:tcW w:w="2535" w:type="dxa"/>
                  <w:noWrap w:val="0"/>
                  <w:vAlign w:val="center"/>
                </w:tcPr>
                <w:p w14:paraId="1D2E0707">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本项目所在地易发生风蚀和水土流失，应控制开采、排土和运输活动，堆场等场地应采取压实和覆盖等防风蚀措施。</w:t>
                  </w:r>
                </w:p>
              </w:tc>
              <w:tc>
                <w:tcPr>
                  <w:tcW w:w="940" w:type="dxa"/>
                  <w:noWrap w:val="0"/>
                  <w:vAlign w:val="center"/>
                </w:tcPr>
                <w:p w14:paraId="00FDC04D">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符合</w:t>
                  </w:r>
                </w:p>
              </w:tc>
            </w:tr>
            <w:tr w14:paraId="6A9A28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1" w:type="dxa"/>
                  <w:noWrap w:val="0"/>
                  <w:vAlign w:val="center"/>
                </w:tcPr>
                <w:p w14:paraId="6AC98D65">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5.7</w:t>
                  </w:r>
                </w:p>
              </w:tc>
              <w:tc>
                <w:tcPr>
                  <w:tcW w:w="3358" w:type="dxa"/>
                  <w:noWrap w:val="0"/>
                  <w:vAlign w:val="center"/>
                </w:tcPr>
                <w:p w14:paraId="71F13530">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采矿产生的固体废物，应在专用场所堆放，并采取措施防止二次污染；禁止向河流、湖泊、水库等水体及行洪渠道排放岩土、含油垃圾、泥浆、煤渣、煤研石和其他固体废物。</w:t>
                  </w:r>
                </w:p>
              </w:tc>
              <w:tc>
                <w:tcPr>
                  <w:tcW w:w="2535" w:type="dxa"/>
                  <w:noWrap w:val="0"/>
                  <w:vAlign w:val="center"/>
                </w:tcPr>
                <w:p w14:paraId="33A40C88">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lang w:val="en-US" w:eastAsia="zh-CN"/>
                    </w:rPr>
                    <w:t>本项目</w:t>
                  </w:r>
                  <w:r>
                    <w:rPr>
                      <w:rFonts w:hint="default" w:ascii="Times New Roman" w:hAnsi="Times New Roman" w:eastAsia="宋体" w:cs="Times New Roman"/>
                      <w:color w:val="auto"/>
                      <w:spacing w:val="0"/>
                      <w:w w:val="100"/>
                      <w:position w:val="0"/>
                      <w:highlight w:val="none"/>
                    </w:rPr>
                    <w:t>办公、生活区的生活垃圾委托环卫部门处置;本项目剥离表土拉运至表土堆场堆放，并进行防尘网苫盖，用于后期矿区回填;除尘设备收集的尘回用于生产;</w:t>
                  </w:r>
                  <w:r>
                    <w:rPr>
                      <w:rFonts w:hint="default" w:ascii="Times New Roman" w:hAnsi="Times New Roman" w:eastAsia="宋体" w:cs="Times New Roman"/>
                      <w:color w:val="auto"/>
                      <w:spacing w:val="0"/>
                      <w:w w:val="100"/>
                      <w:position w:val="0"/>
                      <w:highlight w:val="none"/>
                      <w:lang w:val="en-US" w:eastAsia="zh-CN"/>
                    </w:rPr>
                    <w:t>水稳站</w:t>
                  </w:r>
                  <w:r>
                    <w:rPr>
                      <w:rFonts w:hint="default" w:ascii="Times New Roman" w:hAnsi="Times New Roman" w:eastAsia="宋体" w:cs="Times New Roman"/>
                      <w:color w:val="auto"/>
                      <w:spacing w:val="0"/>
                      <w:w w:val="100"/>
                      <w:position w:val="0"/>
                      <w:highlight w:val="none"/>
                    </w:rPr>
                    <w:t>搅拌过程中产生的不合格品回用于生产;沉淀池污泥收集后掺入砂石料外售;废润滑油及油桶收集在危废</w:t>
                  </w:r>
                  <w:r>
                    <w:rPr>
                      <w:rFonts w:hint="default" w:ascii="Times New Roman" w:hAnsi="Times New Roman" w:eastAsia="宋体" w:cs="Times New Roman"/>
                      <w:color w:val="auto"/>
                      <w:spacing w:val="0"/>
                      <w:w w:val="100"/>
                      <w:position w:val="0"/>
                      <w:highlight w:val="none"/>
                      <w:lang w:val="en-US" w:eastAsia="zh-CN"/>
                    </w:rPr>
                    <w:t>贮存库</w:t>
                  </w:r>
                  <w:r>
                    <w:rPr>
                      <w:rFonts w:hint="default" w:ascii="Times New Roman" w:hAnsi="Times New Roman" w:eastAsia="宋体" w:cs="Times New Roman"/>
                      <w:color w:val="auto"/>
                      <w:spacing w:val="0"/>
                      <w:w w:val="100"/>
                      <w:position w:val="0"/>
                      <w:highlight w:val="none"/>
                    </w:rPr>
                    <w:t>，定期委托有资质的单位进行处置。</w:t>
                  </w:r>
                </w:p>
              </w:tc>
              <w:tc>
                <w:tcPr>
                  <w:tcW w:w="940" w:type="dxa"/>
                  <w:noWrap w:val="0"/>
                  <w:vAlign w:val="center"/>
                </w:tcPr>
                <w:p w14:paraId="5EEAC878">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符合</w:t>
                  </w:r>
                </w:p>
              </w:tc>
            </w:tr>
            <w:tr w14:paraId="768EB1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1" w:type="dxa"/>
                  <w:noWrap w:val="0"/>
                  <w:vAlign w:val="center"/>
                </w:tcPr>
                <w:p w14:paraId="2E5A456C">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5.8</w:t>
                  </w:r>
                </w:p>
              </w:tc>
              <w:tc>
                <w:tcPr>
                  <w:tcW w:w="3358" w:type="dxa"/>
                  <w:noWrap w:val="0"/>
                  <w:vAlign w:val="center"/>
                </w:tcPr>
                <w:p w14:paraId="6EBEDA27">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评估采矿活动对地表水和地下水的影响，避免破坏流域水平衡和污染水环境；采矿区与河道之间应保留环境安全距离，防止采矿对河流生物、河岸植被、河流水环境功能和防洪安全造成破坏性影响。</w:t>
                  </w:r>
                </w:p>
              </w:tc>
              <w:tc>
                <w:tcPr>
                  <w:tcW w:w="2535" w:type="dxa"/>
                  <w:noWrap w:val="0"/>
                  <w:vAlign w:val="center"/>
                </w:tcPr>
                <w:p w14:paraId="093E5F8B">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lang w:val="en-US"/>
                    </w:rPr>
                  </w:pPr>
                  <w:r>
                    <w:rPr>
                      <w:rFonts w:hint="default" w:ascii="Times New Roman" w:hAnsi="Times New Roman" w:eastAsia="宋体" w:cs="Times New Roman"/>
                      <w:color w:val="auto"/>
                      <w:spacing w:val="0"/>
                      <w:w w:val="100"/>
                      <w:position w:val="0"/>
                      <w:highlight w:val="none"/>
                      <w:lang w:val="en-US" w:eastAsia="zh-CN"/>
                    </w:rPr>
                    <w:t>项目运营期仅有洒水降尘的用水，生产废水为洗砂废水和清洗设备用水，洗砂废水和清洗设备用水排入沉淀池，回用于生产；生活污水排入化粪池，定期委托拉运；项目运营期</w:t>
                  </w:r>
                  <w:r>
                    <w:rPr>
                      <w:rFonts w:hint="default" w:ascii="Times New Roman" w:hAnsi="Times New Roman" w:eastAsia="宋体" w:cs="Times New Roman"/>
                      <w:color w:val="auto"/>
                      <w:spacing w:val="0"/>
                      <w:w w:val="100"/>
                      <w:position w:val="0"/>
                      <w:highlight w:val="none"/>
                    </w:rPr>
                    <w:t>对地表水和地下水的</w:t>
                  </w:r>
                  <w:r>
                    <w:rPr>
                      <w:rFonts w:hint="default" w:ascii="Times New Roman" w:hAnsi="Times New Roman" w:eastAsia="宋体" w:cs="Times New Roman"/>
                      <w:color w:val="auto"/>
                      <w:spacing w:val="0"/>
                      <w:w w:val="100"/>
                      <w:position w:val="0"/>
                      <w:highlight w:val="none"/>
                      <w:lang w:val="en-US" w:eastAsia="zh-CN"/>
                    </w:rPr>
                    <w:t>无</w:t>
                  </w:r>
                  <w:r>
                    <w:rPr>
                      <w:rFonts w:hint="default" w:ascii="Times New Roman" w:hAnsi="Times New Roman" w:eastAsia="宋体" w:cs="Times New Roman"/>
                      <w:color w:val="auto"/>
                      <w:spacing w:val="0"/>
                      <w:w w:val="100"/>
                      <w:position w:val="0"/>
                      <w:highlight w:val="none"/>
                    </w:rPr>
                    <w:t>影响</w:t>
                  </w:r>
                  <w:r>
                    <w:rPr>
                      <w:rFonts w:hint="default" w:ascii="Times New Roman" w:hAnsi="Times New Roman" w:eastAsia="宋体" w:cs="Times New Roman"/>
                      <w:color w:val="auto"/>
                      <w:spacing w:val="0"/>
                      <w:w w:val="100"/>
                      <w:position w:val="0"/>
                      <w:highlight w:val="none"/>
                      <w:lang w:eastAsia="zh-CN"/>
                    </w:rPr>
                    <w:t>，</w:t>
                  </w:r>
                  <w:r>
                    <w:rPr>
                      <w:rFonts w:hint="default" w:ascii="Times New Roman" w:hAnsi="Times New Roman" w:eastAsia="宋体" w:cs="Times New Roman"/>
                      <w:color w:val="auto"/>
                      <w:spacing w:val="0"/>
                      <w:w w:val="100"/>
                      <w:position w:val="0"/>
                      <w:highlight w:val="none"/>
                      <w:lang w:val="en-US" w:eastAsia="zh-CN"/>
                    </w:rPr>
                    <w:t>且项目区周边无地表水分布，因此，项目的建设不会对当地的地表水及地下水造成影响。</w:t>
                  </w:r>
                </w:p>
              </w:tc>
              <w:tc>
                <w:tcPr>
                  <w:tcW w:w="940" w:type="dxa"/>
                  <w:noWrap w:val="0"/>
                  <w:vAlign w:val="center"/>
                </w:tcPr>
                <w:p w14:paraId="210D1EAA">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符合</w:t>
                  </w:r>
                </w:p>
              </w:tc>
            </w:tr>
            <w:tr w14:paraId="0D9EEB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1" w:type="dxa"/>
                  <w:noWrap w:val="0"/>
                  <w:vAlign w:val="center"/>
                </w:tcPr>
                <w:p w14:paraId="1FDBD9E8">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5.9</w:t>
                  </w:r>
                </w:p>
              </w:tc>
              <w:tc>
                <w:tcPr>
                  <w:tcW w:w="3358" w:type="dxa"/>
                  <w:noWrap w:val="0"/>
                  <w:vAlign w:val="center"/>
                </w:tcPr>
                <w:p w14:paraId="37720675">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矿区专用道路选线应绕避环境敏感区和环境敏感点，防止对环境保护目标造成不利影响。</w:t>
                  </w:r>
                </w:p>
              </w:tc>
              <w:tc>
                <w:tcPr>
                  <w:tcW w:w="2535" w:type="dxa"/>
                  <w:noWrap w:val="0"/>
                  <w:vAlign w:val="center"/>
                </w:tcPr>
                <w:p w14:paraId="30E845FF">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本项目评价范围内无环境敏感区和环境敏感点，主要保护对象为施工人员，道路选线合理。</w:t>
                  </w:r>
                </w:p>
              </w:tc>
              <w:tc>
                <w:tcPr>
                  <w:tcW w:w="940" w:type="dxa"/>
                  <w:noWrap w:val="0"/>
                  <w:vAlign w:val="center"/>
                </w:tcPr>
                <w:p w14:paraId="4F921174">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符合</w:t>
                  </w:r>
                </w:p>
              </w:tc>
            </w:tr>
            <w:tr w14:paraId="751507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1" w:type="dxa"/>
                  <w:noWrap w:val="0"/>
                  <w:vAlign w:val="center"/>
                </w:tcPr>
                <w:p w14:paraId="1948A78E">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5.10</w:t>
                  </w:r>
                </w:p>
              </w:tc>
              <w:tc>
                <w:tcPr>
                  <w:tcW w:w="3358" w:type="dxa"/>
                  <w:noWrap w:val="0"/>
                  <w:vAlign w:val="center"/>
                </w:tcPr>
                <w:p w14:paraId="54EA0491">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排土场、采场、尾矿库、矿区专用道路等各类场地建设前，应视土壤类型对表土进行剥离。对矿区耕作土壤的剥离，应对耕作层和心土层单独剥离与回填。</w:t>
                  </w:r>
                </w:p>
              </w:tc>
              <w:tc>
                <w:tcPr>
                  <w:tcW w:w="2535" w:type="dxa"/>
                  <w:noWrap w:val="0"/>
                  <w:vAlign w:val="center"/>
                </w:tcPr>
                <w:p w14:paraId="7DC83F4B">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本项目表土进行剥离后，单独堆放，后期用于采矿场地、堆场等恢复，并进行植被恢复。</w:t>
                  </w:r>
                </w:p>
              </w:tc>
              <w:tc>
                <w:tcPr>
                  <w:tcW w:w="940" w:type="dxa"/>
                  <w:noWrap w:val="0"/>
                  <w:vAlign w:val="center"/>
                </w:tcPr>
                <w:p w14:paraId="09B8AAD8">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符合</w:t>
                  </w:r>
                </w:p>
              </w:tc>
            </w:tr>
            <w:tr w14:paraId="38D339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1" w:type="dxa"/>
                  <w:noWrap w:val="0"/>
                  <w:vAlign w:val="center"/>
                </w:tcPr>
                <w:p w14:paraId="51B3E8E0">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7</w:t>
                  </w:r>
                </w:p>
              </w:tc>
              <w:tc>
                <w:tcPr>
                  <w:tcW w:w="3358" w:type="dxa"/>
                  <w:noWrap w:val="0"/>
                  <w:vAlign w:val="center"/>
                </w:tcPr>
                <w:p w14:paraId="27A55ECC">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排土场生态恢复</w:t>
                  </w:r>
                </w:p>
              </w:tc>
              <w:tc>
                <w:tcPr>
                  <w:tcW w:w="2535" w:type="dxa"/>
                  <w:noWrap w:val="0"/>
                  <w:vAlign w:val="center"/>
                </w:tcPr>
                <w:p w14:paraId="3DED81A0">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项目闭矿后，采取土地复垦工作，进行生态修复。</w:t>
                  </w:r>
                </w:p>
              </w:tc>
              <w:tc>
                <w:tcPr>
                  <w:tcW w:w="940" w:type="dxa"/>
                  <w:noWrap w:val="0"/>
                  <w:vAlign w:val="center"/>
                </w:tcPr>
                <w:p w14:paraId="4551985E">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符合</w:t>
                  </w:r>
                </w:p>
              </w:tc>
            </w:tr>
            <w:tr w14:paraId="725C5F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1" w:type="dxa"/>
                  <w:noWrap w:val="0"/>
                  <w:vAlign w:val="center"/>
                </w:tcPr>
                <w:p w14:paraId="00071F28">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8</w:t>
                  </w:r>
                </w:p>
              </w:tc>
              <w:tc>
                <w:tcPr>
                  <w:tcW w:w="3358" w:type="dxa"/>
                  <w:noWrap w:val="0"/>
                  <w:vAlign w:val="center"/>
                </w:tcPr>
                <w:p w14:paraId="43B1F965">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露天采场生态修复</w:t>
                  </w:r>
                </w:p>
              </w:tc>
              <w:tc>
                <w:tcPr>
                  <w:tcW w:w="2535" w:type="dxa"/>
                  <w:noWrap w:val="0"/>
                  <w:vAlign w:val="center"/>
                </w:tcPr>
                <w:p w14:paraId="09197892">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本项目采取边开采边治理的方式，开采过程中同步进行采场生态修复，待闭矿后，进行土地复垦工作，进行植被恢复。</w:t>
                  </w:r>
                </w:p>
              </w:tc>
              <w:tc>
                <w:tcPr>
                  <w:tcW w:w="940" w:type="dxa"/>
                  <w:noWrap w:val="0"/>
                  <w:vAlign w:val="center"/>
                </w:tcPr>
                <w:p w14:paraId="51A2BB5C">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符合</w:t>
                  </w:r>
                </w:p>
              </w:tc>
            </w:tr>
            <w:tr w14:paraId="4CB260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1" w:type="dxa"/>
                  <w:noWrap w:val="0"/>
                  <w:vAlign w:val="center"/>
                </w:tcPr>
                <w:p w14:paraId="39DFC0CA">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10</w:t>
                  </w:r>
                </w:p>
              </w:tc>
              <w:tc>
                <w:tcPr>
                  <w:tcW w:w="6833" w:type="dxa"/>
                  <w:gridSpan w:val="3"/>
                  <w:noWrap w:val="0"/>
                  <w:vAlign w:val="center"/>
                </w:tcPr>
                <w:p w14:paraId="0CF00B34">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矿区专用道路生态恢复</w:t>
                  </w:r>
                </w:p>
              </w:tc>
            </w:tr>
            <w:tr w14:paraId="0796E9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1" w:type="dxa"/>
                  <w:noWrap w:val="0"/>
                  <w:vAlign w:val="center"/>
                </w:tcPr>
                <w:p w14:paraId="5597467D">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10.1</w:t>
                  </w:r>
                </w:p>
              </w:tc>
              <w:tc>
                <w:tcPr>
                  <w:tcW w:w="3358" w:type="dxa"/>
                  <w:noWrap w:val="0"/>
                  <w:vAlign w:val="center"/>
                </w:tcPr>
                <w:p w14:paraId="21F1985C">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矿区专用道路用地应严格控制占地面积和范围。开挖路基及取弃土工程，均应根据道路施工进度有计划地进行表土剥离并保存，必要时应设置截排水沟、挡土墙等相应保护措施。</w:t>
                  </w:r>
                </w:p>
              </w:tc>
              <w:tc>
                <w:tcPr>
                  <w:tcW w:w="2535" w:type="dxa"/>
                  <w:vMerge w:val="restart"/>
                  <w:noWrap w:val="0"/>
                  <w:vAlign w:val="center"/>
                </w:tcPr>
                <w:p w14:paraId="1791C33C">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采场联络道路</w:t>
                  </w:r>
                  <w:r>
                    <w:rPr>
                      <w:rFonts w:hint="default" w:ascii="Times New Roman" w:hAnsi="Times New Roman" w:eastAsia="宋体" w:cs="Times New Roman"/>
                      <w:color w:val="auto"/>
                      <w:spacing w:val="0"/>
                      <w:w w:val="100"/>
                      <w:position w:val="0"/>
                      <w:highlight w:val="none"/>
                      <w:lang w:eastAsia="zh-CN"/>
                    </w:rPr>
                    <w:t>新建</w:t>
                  </w:r>
                  <w:r>
                    <w:rPr>
                      <w:rFonts w:hint="default" w:ascii="Times New Roman" w:hAnsi="Times New Roman" w:eastAsia="宋体" w:cs="Times New Roman"/>
                      <w:color w:val="auto"/>
                      <w:spacing w:val="0"/>
                      <w:w w:val="100"/>
                      <w:position w:val="0"/>
                      <w:highlight w:val="none"/>
                    </w:rPr>
                    <w:t>完成</w:t>
                  </w:r>
                  <w:r>
                    <w:rPr>
                      <w:rFonts w:hint="default" w:ascii="Times New Roman" w:hAnsi="Times New Roman" w:eastAsia="宋体" w:cs="Times New Roman"/>
                      <w:color w:val="auto"/>
                      <w:spacing w:val="0"/>
                      <w:w w:val="100"/>
                      <w:position w:val="0"/>
                      <w:highlight w:val="none"/>
                      <w:lang w:val="en-US" w:eastAsia="zh-CN"/>
                    </w:rPr>
                    <w:t>后</w:t>
                  </w:r>
                  <w:r>
                    <w:rPr>
                      <w:rFonts w:hint="default" w:ascii="Times New Roman" w:hAnsi="Times New Roman" w:eastAsia="宋体" w:cs="Times New Roman"/>
                      <w:color w:val="auto"/>
                      <w:spacing w:val="0"/>
                      <w:w w:val="100"/>
                      <w:position w:val="0"/>
                      <w:highlight w:val="none"/>
                    </w:rPr>
                    <w:t>道路两旁进行绿化，并采取相应的生态恢复措施。</w:t>
                  </w:r>
                </w:p>
              </w:tc>
              <w:tc>
                <w:tcPr>
                  <w:tcW w:w="940" w:type="dxa"/>
                  <w:vMerge w:val="restart"/>
                  <w:noWrap w:val="0"/>
                  <w:vAlign w:val="center"/>
                </w:tcPr>
                <w:p w14:paraId="6CC0E03F">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符合</w:t>
                  </w:r>
                </w:p>
              </w:tc>
            </w:tr>
            <w:tr w14:paraId="1501D5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1" w:type="dxa"/>
                  <w:noWrap w:val="0"/>
                  <w:vAlign w:val="center"/>
                </w:tcPr>
                <w:p w14:paraId="2C673E86">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10.2</w:t>
                  </w:r>
                </w:p>
              </w:tc>
              <w:tc>
                <w:tcPr>
                  <w:tcW w:w="3358" w:type="dxa"/>
                  <w:noWrap w:val="0"/>
                  <w:vAlign w:val="center"/>
                </w:tcPr>
                <w:p w14:paraId="62A13083">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矿区专用道路取弃土工程结束后，取弃土场应及时回填、整平、压实，并利用堆存的表土进行植被和景观恢复。</w:t>
                  </w:r>
                </w:p>
              </w:tc>
              <w:tc>
                <w:tcPr>
                  <w:tcW w:w="2535" w:type="dxa"/>
                  <w:vMerge w:val="continue"/>
                  <w:noWrap w:val="0"/>
                  <w:vAlign w:val="center"/>
                </w:tcPr>
                <w:p w14:paraId="2CA69769">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p>
              </w:tc>
              <w:tc>
                <w:tcPr>
                  <w:tcW w:w="940" w:type="dxa"/>
                  <w:vMerge w:val="continue"/>
                  <w:noWrap w:val="0"/>
                  <w:vAlign w:val="center"/>
                </w:tcPr>
                <w:p w14:paraId="1D48C07F">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p>
              </w:tc>
            </w:tr>
            <w:tr w14:paraId="5CF0CC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1" w:type="dxa"/>
                  <w:noWrap w:val="0"/>
                  <w:vAlign w:val="center"/>
                </w:tcPr>
                <w:p w14:paraId="76F3C0A0">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10.3</w:t>
                  </w:r>
                </w:p>
              </w:tc>
              <w:tc>
                <w:tcPr>
                  <w:tcW w:w="3358" w:type="dxa"/>
                  <w:noWrap w:val="0"/>
                  <w:vAlign w:val="center"/>
                </w:tcPr>
                <w:p w14:paraId="47D6541D">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矿区专用道路使用期间，有条件的地区应对道路两侧进行绿化。道路绿化应以乡土树（草）种为主，选择适应性强、防尘效果好、护坡功能强的植物种。</w:t>
                  </w:r>
                </w:p>
              </w:tc>
              <w:tc>
                <w:tcPr>
                  <w:tcW w:w="2535" w:type="dxa"/>
                  <w:vMerge w:val="continue"/>
                  <w:noWrap w:val="0"/>
                  <w:vAlign w:val="center"/>
                </w:tcPr>
                <w:p w14:paraId="36C850D1">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p>
              </w:tc>
              <w:tc>
                <w:tcPr>
                  <w:tcW w:w="940" w:type="dxa"/>
                  <w:vMerge w:val="continue"/>
                  <w:noWrap w:val="0"/>
                  <w:vAlign w:val="center"/>
                </w:tcPr>
                <w:p w14:paraId="4EABE280">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p>
              </w:tc>
            </w:tr>
            <w:tr w14:paraId="42E13C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1" w:type="dxa"/>
                  <w:noWrap w:val="0"/>
                  <w:vAlign w:val="center"/>
                </w:tcPr>
                <w:p w14:paraId="7BCD96CD">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11</w:t>
                  </w:r>
                </w:p>
              </w:tc>
              <w:tc>
                <w:tcPr>
                  <w:tcW w:w="6833" w:type="dxa"/>
                  <w:gridSpan w:val="3"/>
                  <w:noWrap w:val="0"/>
                  <w:vAlign w:val="center"/>
                </w:tcPr>
                <w:p w14:paraId="63EAA267">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矿山工业场地生态恢复</w:t>
                  </w:r>
                </w:p>
              </w:tc>
            </w:tr>
            <w:tr w14:paraId="562C7E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1" w:type="dxa"/>
                  <w:noWrap w:val="0"/>
                  <w:vAlign w:val="center"/>
                </w:tcPr>
                <w:p w14:paraId="6BC15E6D">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11.1</w:t>
                  </w:r>
                </w:p>
              </w:tc>
              <w:tc>
                <w:tcPr>
                  <w:tcW w:w="3358" w:type="dxa"/>
                  <w:noWrap w:val="0"/>
                  <w:vAlign w:val="center"/>
                </w:tcPr>
                <w:p w14:paraId="7427DEE3">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矿山工业场地不再使用的厂房、堆料场、沉沙设施、垃圾池、管线等各项建（构）筑物和基础设施应全部拆除，并进行景观和植被恢复。转为商住等其他用途的，应开展污染场地调查、风险评估与修复治理。</w:t>
                  </w:r>
                </w:p>
              </w:tc>
              <w:tc>
                <w:tcPr>
                  <w:tcW w:w="2535" w:type="dxa"/>
                  <w:noWrap w:val="0"/>
                  <w:vAlign w:val="center"/>
                </w:tcPr>
                <w:p w14:paraId="75F9D8D4">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环评要求，矿区服务期满后，进行景观和植被恢复。</w:t>
                  </w:r>
                </w:p>
              </w:tc>
              <w:tc>
                <w:tcPr>
                  <w:tcW w:w="940" w:type="dxa"/>
                  <w:noWrap w:val="0"/>
                  <w:vAlign w:val="center"/>
                </w:tcPr>
                <w:p w14:paraId="2919C7F7">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符合</w:t>
                  </w:r>
                </w:p>
              </w:tc>
            </w:tr>
            <w:tr w14:paraId="3ECC99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1" w:type="dxa"/>
                  <w:noWrap w:val="0"/>
                  <w:vAlign w:val="center"/>
                </w:tcPr>
                <w:p w14:paraId="71211F9C">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12</w:t>
                  </w:r>
                </w:p>
              </w:tc>
              <w:tc>
                <w:tcPr>
                  <w:tcW w:w="3358" w:type="dxa"/>
                  <w:noWrap w:val="0"/>
                  <w:vAlign w:val="center"/>
                </w:tcPr>
                <w:p w14:paraId="5DF1AEC2">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矿山大气污染防治</w:t>
                  </w:r>
                </w:p>
              </w:tc>
              <w:tc>
                <w:tcPr>
                  <w:tcW w:w="2535" w:type="dxa"/>
                  <w:noWrap w:val="0"/>
                  <w:vAlign w:val="center"/>
                </w:tcPr>
                <w:p w14:paraId="712348B6">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大气污染物排放应满足《大气污染物综合排放标准》（GB16297-1996）中二级排放限值及无组织排放标准；确保空气质量不因本项目实施而降低，保持现有水平。</w:t>
                  </w:r>
                </w:p>
              </w:tc>
              <w:tc>
                <w:tcPr>
                  <w:tcW w:w="940" w:type="dxa"/>
                  <w:noWrap w:val="0"/>
                  <w:vAlign w:val="center"/>
                </w:tcPr>
                <w:p w14:paraId="5570503B">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符合</w:t>
                  </w:r>
                </w:p>
              </w:tc>
            </w:tr>
            <w:tr w14:paraId="49F76D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1" w:type="dxa"/>
                  <w:noWrap w:val="0"/>
                  <w:vAlign w:val="center"/>
                </w:tcPr>
                <w:p w14:paraId="13808CED">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13</w:t>
                  </w:r>
                </w:p>
              </w:tc>
              <w:tc>
                <w:tcPr>
                  <w:tcW w:w="3358" w:type="dxa"/>
                  <w:noWrap w:val="0"/>
                  <w:vAlign w:val="center"/>
                </w:tcPr>
                <w:p w14:paraId="6CC9CA47">
                  <w:pPr>
                    <w:pStyle w:val="53"/>
                    <w:keepNext w:val="0"/>
                    <w:keepLines w:val="0"/>
                    <w:pageBreakBefore w:val="0"/>
                    <w:kinsoku/>
                    <w:overflowPunct/>
                    <w:topLinePunct w:val="0"/>
                    <w:bidi w:val="0"/>
                    <w:spacing w:beforeAutospacing="0" w:afterAutospacing="0"/>
                    <w:ind w:left="0" w:leftChars="0" w:right="0"/>
                    <w:jc w:val="both"/>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矿山水污染防治措施</w:t>
                  </w:r>
                </w:p>
              </w:tc>
              <w:tc>
                <w:tcPr>
                  <w:tcW w:w="2535" w:type="dxa"/>
                  <w:noWrap w:val="0"/>
                  <w:vAlign w:val="center"/>
                </w:tcPr>
                <w:p w14:paraId="53B471F9">
                  <w:pPr>
                    <w:pStyle w:val="53"/>
                    <w:keepNext w:val="0"/>
                    <w:keepLines w:val="0"/>
                    <w:pageBreakBefore w:val="0"/>
                    <w:kinsoku/>
                    <w:overflowPunct/>
                    <w:topLinePunct w:val="0"/>
                    <w:bidi w:val="0"/>
                    <w:spacing w:beforeAutospacing="0" w:afterAutospacing="0"/>
                    <w:ind w:left="0" w:leftChars="0" w:right="0"/>
                    <w:jc w:val="center"/>
                    <w:rPr>
                      <w:rFonts w:hint="default" w:ascii="Times New Roman" w:hAnsi="Times New Roman" w:eastAsia="宋体" w:cs="Times New Roman"/>
                      <w:color w:val="auto"/>
                      <w:spacing w:val="0"/>
                      <w:w w:val="100"/>
                      <w:position w:val="0"/>
                      <w:highlight w:val="none"/>
                      <w:lang w:eastAsia="zh-CN"/>
                    </w:rPr>
                  </w:pPr>
                  <w:r>
                    <w:rPr>
                      <w:rFonts w:hint="default" w:ascii="Times New Roman" w:hAnsi="Times New Roman" w:eastAsia="宋体" w:cs="Times New Roman"/>
                      <w:color w:val="auto"/>
                      <w:spacing w:val="0"/>
                      <w:w w:val="100"/>
                      <w:position w:val="0"/>
                      <w:highlight w:val="none"/>
                      <w:lang w:val="en-US" w:eastAsia="zh-CN"/>
                    </w:rPr>
                    <w:t>/</w:t>
                  </w:r>
                </w:p>
              </w:tc>
              <w:tc>
                <w:tcPr>
                  <w:tcW w:w="940" w:type="dxa"/>
                  <w:noWrap w:val="0"/>
                  <w:vAlign w:val="center"/>
                </w:tcPr>
                <w:p w14:paraId="1B1C6E1A">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符合</w:t>
                  </w:r>
                </w:p>
              </w:tc>
            </w:tr>
          </w:tbl>
          <w:p w14:paraId="16F4126D">
            <w:pPr>
              <w:keepNext w:val="0"/>
              <w:keepLines w:val="0"/>
              <w:pageBreakBefore w:val="0"/>
              <w:kinsoku/>
              <w:overflowPunct/>
              <w:topLinePunct w:val="0"/>
              <w:autoSpaceDE w:val="0"/>
              <w:autoSpaceDN w:val="0"/>
              <w:bidi w:val="0"/>
              <w:adjustRightInd w:val="0"/>
              <w:snapToGrid w:val="0"/>
              <w:spacing w:beforeAutospacing="0" w:afterAutospacing="0" w:line="360" w:lineRule="auto"/>
              <w:ind w:left="0" w:leftChars="0" w:right="0" w:firstLine="480" w:firstLineChars="200"/>
              <w:rPr>
                <w:rFonts w:hint="default" w:ascii="Times New Roman" w:hAnsi="Times New Roman" w:eastAsia="宋体" w:cs="Times New Roman"/>
                <w:bCs/>
                <w:color w:val="auto"/>
                <w:spacing w:val="0"/>
                <w:w w:val="100"/>
                <w:kern w:val="0"/>
                <w:position w:val="0"/>
                <w:sz w:val="24"/>
                <w:szCs w:val="24"/>
                <w:highlight w:val="none"/>
              </w:rPr>
            </w:pPr>
            <w:r>
              <w:rPr>
                <w:rFonts w:hint="default" w:ascii="Times New Roman" w:hAnsi="Times New Roman" w:eastAsia="宋体" w:cs="Times New Roman"/>
                <w:bCs/>
                <w:color w:val="auto"/>
                <w:spacing w:val="0"/>
                <w:w w:val="100"/>
                <w:kern w:val="0"/>
                <w:position w:val="0"/>
                <w:sz w:val="24"/>
                <w:szCs w:val="24"/>
                <w:highlight w:val="none"/>
              </w:rPr>
              <w:t>综上，本项目各项措施均满足《矿山生态环境保护与恢复治理技术规范（试行）》（HJ651-2013）中的要求。</w:t>
            </w:r>
          </w:p>
          <w:p w14:paraId="69110F73">
            <w:pPr>
              <w:keepNext w:val="0"/>
              <w:keepLines w:val="0"/>
              <w:pageBreakBefore w:val="0"/>
              <w:kinsoku/>
              <w:overflowPunct/>
              <w:topLinePunct w:val="0"/>
              <w:autoSpaceDE w:val="0"/>
              <w:autoSpaceDN w:val="0"/>
              <w:bidi w:val="0"/>
              <w:adjustRightInd w:val="0"/>
              <w:snapToGrid w:val="0"/>
              <w:spacing w:beforeAutospacing="0" w:afterAutospacing="0" w:line="360" w:lineRule="auto"/>
              <w:ind w:left="0" w:leftChars="0" w:right="0" w:firstLine="0" w:firstLineChars="0"/>
              <w:rPr>
                <w:rFonts w:hint="default" w:ascii="Times New Roman" w:hAnsi="Times New Roman" w:eastAsia="宋体" w:cs="Times New Roman"/>
                <w:color w:val="auto"/>
                <w:spacing w:val="0"/>
                <w:kern w:val="0"/>
                <w:position w:val="0"/>
                <w:sz w:val="24"/>
                <w:szCs w:val="24"/>
                <w:highlight w:val="none"/>
              </w:rPr>
            </w:pPr>
            <w:r>
              <w:rPr>
                <w:rFonts w:hint="default" w:ascii="Times New Roman" w:hAnsi="Times New Roman" w:eastAsia="宋体" w:cs="Times New Roman"/>
                <w:b/>
                <w:bCs/>
                <w:color w:val="auto"/>
                <w:spacing w:val="0"/>
                <w:kern w:val="0"/>
                <w:position w:val="0"/>
                <w:sz w:val="24"/>
                <w:szCs w:val="24"/>
                <w:highlight w:val="none"/>
                <w:lang w:val="en-US" w:eastAsia="zh-CN"/>
              </w:rPr>
              <w:t>7.</w:t>
            </w:r>
            <w:r>
              <w:rPr>
                <w:rFonts w:hint="default" w:ascii="Times New Roman" w:hAnsi="Times New Roman" w:eastAsia="宋体" w:cs="Times New Roman"/>
                <w:b/>
                <w:bCs/>
                <w:color w:val="auto"/>
                <w:spacing w:val="0"/>
                <w:kern w:val="0"/>
                <w:position w:val="0"/>
                <w:sz w:val="24"/>
                <w:szCs w:val="24"/>
                <w:highlight w:val="none"/>
              </w:rPr>
              <w:t>与《砂石行业绿色矿山建设规范》（DZ/T0316-2018）符合性分析</w:t>
            </w:r>
          </w:p>
          <w:p w14:paraId="52AA080C">
            <w:pPr>
              <w:keepNext w:val="0"/>
              <w:keepLines w:val="0"/>
              <w:pageBreakBefore w:val="0"/>
              <w:kinsoku/>
              <w:overflowPunct/>
              <w:topLinePunct w:val="0"/>
              <w:bidi w:val="0"/>
              <w:spacing w:beforeAutospacing="0" w:afterAutospacing="0" w:line="360" w:lineRule="auto"/>
              <w:ind w:left="0" w:leftChars="0" w:right="0" w:firstLine="480" w:firstLineChars="200"/>
              <w:rPr>
                <w:rFonts w:hint="default" w:ascii="Times New Roman" w:hAnsi="Times New Roman" w:eastAsia="宋体" w:cs="Times New Roman"/>
                <w:b w:val="0"/>
                <w:bCs w:val="0"/>
                <w:color w:val="auto"/>
                <w:spacing w:val="0"/>
                <w:position w:val="0"/>
                <w:sz w:val="24"/>
                <w:szCs w:val="24"/>
                <w:highlight w:val="none"/>
                <w:vertAlign w:val="baseline"/>
              </w:rPr>
            </w:pPr>
            <w:r>
              <w:rPr>
                <w:rFonts w:hint="default" w:ascii="Times New Roman" w:hAnsi="Times New Roman" w:eastAsia="宋体" w:cs="Times New Roman"/>
                <w:b w:val="0"/>
                <w:bCs w:val="0"/>
                <w:color w:val="auto"/>
                <w:spacing w:val="0"/>
                <w:position w:val="0"/>
                <w:sz w:val="24"/>
                <w:szCs w:val="24"/>
                <w:highlight w:val="none"/>
                <w:vertAlign w:val="baseline"/>
                <w:lang w:val="en-US" w:eastAsia="zh-CN"/>
              </w:rPr>
              <w:t>根据</w:t>
            </w:r>
            <w:r>
              <w:rPr>
                <w:rFonts w:hint="default" w:ascii="Times New Roman" w:hAnsi="Times New Roman" w:eastAsia="宋体" w:cs="Times New Roman"/>
                <w:b w:val="0"/>
                <w:bCs w:val="0"/>
                <w:color w:val="auto"/>
                <w:spacing w:val="0"/>
                <w:kern w:val="0"/>
                <w:position w:val="0"/>
                <w:sz w:val="24"/>
                <w:szCs w:val="24"/>
                <w:highlight w:val="none"/>
              </w:rPr>
              <w:t>《砂石行业绿色矿山建设规范》（DZ/T0316-2018）</w:t>
            </w:r>
            <w:r>
              <w:rPr>
                <w:rFonts w:hint="default" w:ascii="Times New Roman" w:hAnsi="Times New Roman" w:eastAsia="宋体" w:cs="Times New Roman"/>
                <w:b w:val="0"/>
                <w:bCs w:val="0"/>
                <w:color w:val="auto"/>
                <w:spacing w:val="0"/>
                <w:kern w:val="0"/>
                <w:position w:val="0"/>
                <w:sz w:val="24"/>
                <w:szCs w:val="24"/>
                <w:highlight w:val="none"/>
                <w:lang w:val="en-US" w:eastAsia="zh-CN"/>
              </w:rPr>
              <w:t>的</w:t>
            </w:r>
            <w:r>
              <w:rPr>
                <w:rFonts w:hint="default" w:ascii="Times New Roman" w:hAnsi="Times New Roman" w:eastAsia="宋体" w:cs="Times New Roman"/>
                <w:b w:val="0"/>
                <w:bCs w:val="0"/>
                <w:color w:val="auto"/>
                <w:spacing w:val="0"/>
                <w:position w:val="0"/>
                <w:sz w:val="24"/>
                <w:szCs w:val="24"/>
                <w:highlight w:val="none"/>
                <w:vertAlign w:val="baseline"/>
              </w:rPr>
              <w:t>文件要求，“采用先进的工艺技术与装备，做到绿色开采，绿色生产，绿色存贮，绿色</w:t>
            </w:r>
            <w:r>
              <w:rPr>
                <w:rFonts w:hint="default" w:ascii="Times New Roman" w:hAnsi="Times New Roman" w:eastAsia="宋体" w:cs="Times New Roman"/>
                <w:b w:val="0"/>
                <w:bCs w:val="0"/>
                <w:color w:val="auto"/>
                <w:spacing w:val="0"/>
                <w:position w:val="0"/>
                <w:sz w:val="24"/>
                <w:szCs w:val="24"/>
                <w:highlight w:val="none"/>
                <w:vertAlign w:val="baseline"/>
                <w:lang w:val="en-US" w:eastAsia="zh-CN"/>
              </w:rPr>
              <w:t>运营</w:t>
            </w:r>
            <w:r>
              <w:rPr>
                <w:rFonts w:hint="default" w:ascii="Times New Roman" w:hAnsi="Times New Roman" w:eastAsia="宋体" w:cs="Times New Roman"/>
                <w:b w:val="0"/>
                <w:bCs w:val="0"/>
                <w:color w:val="auto"/>
                <w:spacing w:val="0"/>
                <w:position w:val="0"/>
                <w:sz w:val="24"/>
                <w:szCs w:val="24"/>
                <w:highlight w:val="none"/>
                <w:vertAlign w:val="baseline"/>
              </w:rPr>
              <w:t>。应贯彻“边开采，边恢复”的原则，及时治理恢复矿山地质环境，复垦矿山占用土地和损毁土地。治理率和复垦率应达到矿山地质环境保护与土地复垦方案的要求。恢复治理后的各类场地应与周边自然环境和景观相协调；恢复土地基本功能，因地制宜实现土地可持续利用，区域整体生态功能得到保护和恢复。”</w:t>
            </w:r>
          </w:p>
          <w:p w14:paraId="45937C93">
            <w:pPr>
              <w:pStyle w:val="3"/>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auto"/>
              <w:ind w:left="0" w:leftChars="0" w:right="0" w:firstLine="480" w:firstLineChars="200"/>
              <w:textAlignment w:val="auto"/>
              <w:rPr>
                <w:rFonts w:hint="default" w:ascii="Times New Roman" w:hAnsi="Times New Roman" w:eastAsia="宋体" w:cs="Times New Roman"/>
                <w:color w:val="auto"/>
                <w:spacing w:val="0"/>
                <w:position w:val="0"/>
                <w:sz w:val="24"/>
                <w:szCs w:val="24"/>
                <w:highlight w:val="none"/>
                <w:vertAlign w:val="baseline"/>
              </w:rPr>
            </w:pPr>
            <w:r>
              <w:rPr>
                <w:rFonts w:hint="default" w:ascii="Times New Roman" w:hAnsi="Times New Roman" w:eastAsia="宋体" w:cs="Times New Roman"/>
                <w:b w:val="0"/>
                <w:bCs w:val="0"/>
                <w:color w:val="auto"/>
                <w:spacing w:val="0"/>
                <w:position w:val="0"/>
                <w:sz w:val="24"/>
                <w:szCs w:val="24"/>
                <w:highlight w:val="none"/>
                <w:vertAlign w:val="baseline"/>
              </w:rPr>
              <w:t>本项目生产工艺与设备达到国内较为先进的水平，开采过程采取避免大风天气作业、洒水降尘、运输车辆按规定路线</w:t>
            </w:r>
            <w:r>
              <w:rPr>
                <w:rFonts w:hint="default" w:ascii="Times New Roman" w:hAnsi="Times New Roman" w:eastAsia="宋体" w:cs="Times New Roman"/>
                <w:color w:val="auto"/>
                <w:spacing w:val="0"/>
                <w:position w:val="0"/>
                <w:sz w:val="24"/>
                <w:szCs w:val="24"/>
                <w:highlight w:val="none"/>
                <w:vertAlign w:val="baseline"/>
              </w:rPr>
              <w:t>行驶措施；开采完成的区域，通过边坡、断面防护，播撒草籽</w:t>
            </w:r>
            <w:r>
              <w:rPr>
                <w:rFonts w:hint="default" w:ascii="Times New Roman" w:hAnsi="Times New Roman" w:eastAsia="宋体" w:cs="Times New Roman"/>
                <w:color w:val="auto"/>
                <w:spacing w:val="0"/>
                <w:position w:val="0"/>
                <w:sz w:val="24"/>
                <w:szCs w:val="24"/>
                <w:highlight w:val="none"/>
                <w:vertAlign w:val="baseline"/>
                <w:lang w:eastAsia="zh-CN"/>
              </w:rPr>
              <w:t>等</w:t>
            </w:r>
            <w:r>
              <w:rPr>
                <w:rFonts w:hint="default" w:ascii="Times New Roman" w:hAnsi="Times New Roman" w:eastAsia="宋体" w:cs="Times New Roman"/>
                <w:color w:val="auto"/>
                <w:spacing w:val="0"/>
                <w:position w:val="0"/>
                <w:sz w:val="24"/>
                <w:szCs w:val="24"/>
                <w:highlight w:val="none"/>
                <w:vertAlign w:val="baseline"/>
              </w:rPr>
              <w:t>耐旱植物的措施进行生态恢复，能够使场地与周边自然环境和景观相协调。因此</w:t>
            </w:r>
            <w:r>
              <w:rPr>
                <w:rFonts w:hint="default" w:ascii="Times New Roman" w:hAnsi="Times New Roman" w:eastAsia="宋体" w:cs="Times New Roman"/>
                <w:color w:val="auto"/>
                <w:spacing w:val="0"/>
                <w:position w:val="0"/>
                <w:sz w:val="24"/>
                <w:szCs w:val="24"/>
                <w:highlight w:val="none"/>
                <w:vertAlign w:val="baseline"/>
                <w:lang w:val="en-US" w:eastAsia="zh-CN"/>
              </w:rPr>
              <w:t>本项目</w:t>
            </w:r>
            <w:r>
              <w:rPr>
                <w:rFonts w:hint="default" w:ascii="Times New Roman" w:hAnsi="Times New Roman" w:eastAsia="宋体" w:cs="Times New Roman"/>
                <w:color w:val="auto"/>
                <w:spacing w:val="0"/>
                <w:position w:val="0"/>
                <w:sz w:val="24"/>
                <w:szCs w:val="24"/>
                <w:highlight w:val="none"/>
                <w:vertAlign w:val="baseline"/>
              </w:rPr>
              <w:t>符合文件要求。</w:t>
            </w:r>
          </w:p>
          <w:p w14:paraId="33AB45EE">
            <w:pPr>
              <w:pStyle w:val="3"/>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auto"/>
              <w:ind w:left="0" w:leftChars="0" w:right="0" w:firstLine="0" w:firstLineChars="0"/>
              <w:textAlignment w:val="auto"/>
              <w:rPr>
                <w:rFonts w:hint="default" w:ascii="Times New Roman" w:hAnsi="Times New Roman" w:eastAsia="宋体" w:cs="Times New Roman"/>
                <w:b/>
                <w:bCs/>
                <w:color w:val="auto"/>
                <w:spacing w:val="0"/>
                <w:position w:val="0"/>
                <w:sz w:val="24"/>
                <w:szCs w:val="24"/>
                <w:highlight w:val="none"/>
                <w:vertAlign w:val="baseline"/>
              </w:rPr>
            </w:pPr>
            <w:r>
              <w:rPr>
                <w:rFonts w:hint="default" w:ascii="Times New Roman" w:hAnsi="Times New Roman" w:eastAsia="宋体" w:cs="Times New Roman"/>
                <w:b/>
                <w:bCs/>
                <w:color w:val="auto"/>
                <w:spacing w:val="0"/>
                <w:position w:val="0"/>
                <w:sz w:val="24"/>
                <w:szCs w:val="24"/>
                <w:highlight w:val="none"/>
                <w:vertAlign w:val="baseline"/>
                <w:lang w:val="en-US" w:eastAsia="zh-CN"/>
              </w:rPr>
              <w:t>8.</w:t>
            </w:r>
            <w:r>
              <w:rPr>
                <w:rFonts w:hint="default" w:ascii="Times New Roman" w:hAnsi="Times New Roman" w:eastAsia="宋体" w:cs="Times New Roman"/>
                <w:b/>
                <w:bCs/>
                <w:color w:val="auto"/>
                <w:spacing w:val="0"/>
                <w:position w:val="0"/>
                <w:sz w:val="24"/>
                <w:szCs w:val="24"/>
                <w:highlight w:val="none"/>
                <w:vertAlign w:val="baseline"/>
              </w:rPr>
              <w:t>与《工业料堆场扬尘整治规范》（DB65/T4061-2017）符合性分析</w:t>
            </w:r>
          </w:p>
          <w:p w14:paraId="451893A3">
            <w:pPr>
              <w:pStyle w:val="3"/>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auto"/>
              <w:ind w:left="0" w:leftChars="0" w:right="0" w:firstLine="480" w:firstLineChars="200"/>
              <w:jc w:val="both"/>
              <w:textAlignment w:val="auto"/>
              <w:rPr>
                <w:rFonts w:hint="default" w:ascii="Times New Roman" w:hAnsi="Times New Roman" w:eastAsia="宋体" w:cs="Times New Roman"/>
                <w:color w:val="auto"/>
                <w:spacing w:val="0"/>
                <w:position w:val="0"/>
                <w:sz w:val="24"/>
                <w:szCs w:val="24"/>
                <w:highlight w:val="none"/>
                <w:vertAlign w:val="baseline"/>
                <w:lang w:eastAsia="zh-CN"/>
              </w:rPr>
            </w:pPr>
            <w:r>
              <w:rPr>
                <w:rFonts w:hint="default" w:ascii="Times New Roman" w:hAnsi="Times New Roman" w:eastAsia="宋体" w:cs="Times New Roman"/>
                <w:b w:val="0"/>
                <w:bCs w:val="0"/>
                <w:color w:val="auto"/>
                <w:spacing w:val="0"/>
                <w:position w:val="0"/>
                <w:sz w:val="24"/>
                <w:szCs w:val="24"/>
                <w:highlight w:val="none"/>
                <w:vertAlign w:val="baseline"/>
                <w:lang w:val="en-US" w:eastAsia="zh-CN"/>
              </w:rPr>
              <w:t>根据</w:t>
            </w:r>
            <w:r>
              <w:rPr>
                <w:rFonts w:hint="default" w:ascii="Times New Roman" w:hAnsi="Times New Roman" w:eastAsia="宋体" w:cs="Times New Roman"/>
                <w:b w:val="0"/>
                <w:bCs w:val="0"/>
                <w:color w:val="auto"/>
                <w:spacing w:val="0"/>
                <w:position w:val="0"/>
                <w:sz w:val="24"/>
                <w:szCs w:val="24"/>
                <w:highlight w:val="none"/>
                <w:vertAlign w:val="baseline"/>
              </w:rPr>
              <w:t>《工业料堆场扬尘整治规范》（DB65/T4061-2017）</w:t>
            </w:r>
            <w:r>
              <w:rPr>
                <w:rFonts w:hint="default" w:ascii="Times New Roman" w:hAnsi="Times New Roman" w:eastAsia="宋体" w:cs="Times New Roman"/>
                <w:b w:val="0"/>
                <w:bCs w:val="0"/>
                <w:color w:val="auto"/>
                <w:spacing w:val="0"/>
                <w:position w:val="0"/>
                <w:sz w:val="24"/>
                <w:szCs w:val="24"/>
                <w:highlight w:val="none"/>
                <w:vertAlign w:val="baseline"/>
                <w:lang w:val="en-US" w:eastAsia="zh-CN"/>
              </w:rPr>
              <w:t>的</w:t>
            </w:r>
            <w:r>
              <w:rPr>
                <w:rFonts w:hint="default" w:ascii="Times New Roman" w:hAnsi="Times New Roman" w:eastAsia="宋体" w:cs="Times New Roman"/>
                <w:b w:val="0"/>
                <w:bCs w:val="0"/>
                <w:color w:val="auto"/>
                <w:spacing w:val="0"/>
                <w:position w:val="0"/>
                <w:sz w:val="24"/>
                <w:szCs w:val="24"/>
                <w:highlight w:val="none"/>
                <w:vertAlign w:val="baseline"/>
              </w:rPr>
              <w:t>文件</w:t>
            </w:r>
            <w:r>
              <w:rPr>
                <w:rFonts w:hint="default" w:ascii="Times New Roman" w:hAnsi="Times New Roman" w:eastAsia="宋体" w:cs="Times New Roman"/>
                <w:b w:val="0"/>
                <w:bCs w:val="0"/>
                <w:color w:val="auto"/>
                <w:spacing w:val="0"/>
                <w:position w:val="0"/>
                <w:sz w:val="24"/>
                <w:szCs w:val="24"/>
                <w:highlight w:val="none"/>
                <w:vertAlign w:val="baseline"/>
                <w:lang w:val="en-US" w:eastAsia="zh-CN"/>
              </w:rPr>
              <w:t>要求</w:t>
            </w:r>
            <w:r>
              <w:rPr>
                <w:rFonts w:hint="default" w:ascii="Times New Roman" w:hAnsi="Times New Roman" w:eastAsia="宋体" w:cs="Times New Roman"/>
                <w:b w:val="0"/>
                <w:bCs w:val="0"/>
                <w:color w:val="auto"/>
                <w:spacing w:val="0"/>
                <w:position w:val="0"/>
                <w:sz w:val="24"/>
                <w:szCs w:val="24"/>
                <w:highlight w:val="none"/>
                <w:vertAlign w:val="baseline"/>
              </w:rPr>
              <w:t>：</w:t>
            </w:r>
            <w:r>
              <w:rPr>
                <w:rFonts w:hint="default" w:ascii="Times New Roman" w:hAnsi="Times New Roman" w:eastAsia="宋体" w:cs="Times New Roman"/>
                <w:b w:val="0"/>
                <w:bCs w:val="0"/>
                <w:color w:val="auto"/>
                <w:spacing w:val="0"/>
                <w:position w:val="0"/>
                <w:sz w:val="24"/>
                <w:szCs w:val="24"/>
                <w:highlight w:val="none"/>
                <w:vertAlign w:val="baseline"/>
                <w:lang w:eastAsia="zh-CN"/>
              </w:rPr>
              <w:t>“</w:t>
            </w:r>
            <w:r>
              <w:rPr>
                <w:rFonts w:hint="default" w:ascii="Times New Roman" w:hAnsi="Times New Roman" w:eastAsia="宋体" w:cs="Times New Roman"/>
                <w:b w:val="0"/>
                <w:bCs w:val="0"/>
                <w:color w:val="auto"/>
                <w:spacing w:val="0"/>
                <w:position w:val="0"/>
                <w:sz w:val="24"/>
                <w:szCs w:val="24"/>
                <w:highlight w:val="none"/>
                <w:vertAlign w:val="baseline"/>
              </w:rPr>
              <w:t>5.7工业料堆场内应采用连续输送设备将物料送往用户，避免二次中</w:t>
            </w:r>
            <w:r>
              <w:rPr>
                <w:rFonts w:hint="default" w:ascii="Times New Roman" w:hAnsi="Times New Roman" w:eastAsia="宋体" w:cs="Times New Roman"/>
                <w:color w:val="auto"/>
                <w:spacing w:val="0"/>
                <w:position w:val="0"/>
                <w:sz w:val="24"/>
                <w:szCs w:val="24"/>
                <w:highlight w:val="none"/>
                <w:vertAlign w:val="baseline"/>
              </w:rPr>
              <w:t>转倒运。5.8对工业料堆场内装卸、运输等作业过程中，易产生扬尘污染的物料必须采取封闭、遮盖、洒水降尘措施，密闭输送物料必须在装料、卸料处配备吸尘、喷淋防尘措施。</w:t>
            </w:r>
            <w:r>
              <w:rPr>
                <w:rFonts w:hint="default" w:ascii="Times New Roman" w:hAnsi="Times New Roman" w:eastAsia="宋体" w:cs="Times New Roman"/>
                <w:color w:val="auto"/>
                <w:spacing w:val="0"/>
                <w:position w:val="0"/>
                <w:sz w:val="24"/>
                <w:szCs w:val="24"/>
                <w:highlight w:val="none"/>
                <w:vertAlign w:val="baseline"/>
                <w:lang w:eastAsia="zh-CN"/>
              </w:rPr>
              <w:t>”</w:t>
            </w:r>
          </w:p>
          <w:p w14:paraId="0EBE3D93">
            <w:pPr>
              <w:pStyle w:val="3"/>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auto"/>
              <w:ind w:left="0" w:leftChars="0" w:right="0" w:firstLine="480" w:firstLineChars="200"/>
              <w:jc w:val="both"/>
              <w:textAlignment w:val="auto"/>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position w:val="0"/>
                <w:sz w:val="24"/>
                <w:szCs w:val="24"/>
                <w:highlight w:val="none"/>
                <w:vertAlign w:val="baseline"/>
              </w:rPr>
              <w:t>本项目开采过程采取避免大风天气作业、洒水降尘、运输车辆按规定路线行驶措施，办公、生活区的生活垃圾委托环卫部门处置;本项目剥离表土拉运至表土堆场堆放，并进行防尘网苫盖，用于后期矿区回填;除尘设备收集的尘回用于生产;搅拌过程中产生的不合格品回用于生产;沉淀池污泥收集后掺入砂石料外售。符合文件要求。</w:t>
            </w:r>
          </w:p>
          <w:p w14:paraId="6D1E6607">
            <w:pPr>
              <w:numPr>
                <w:ilvl w:val="0"/>
                <w:numId w:val="0"/>
              </w:numPr>
              <w:spacing w:line="360" w:lineRule="auto"/>
              <w:jc w:val="left"/>
              <w:rPr>
                <w:rFonts w:hint="default" w:ascii="Times New Roman" w:hAnsi="Times New Roman" w:eastAsia="宋体" w:cs="Times New Roman"/>
                <w:b/>
                <w:bCs/>
                <w:color w:val="auto"/>
                <w:spacing w:val="0"/>
                <w:kern w:val="0"/>
                <w:sz w:val="24"/>
                <w:szCs w:val="24"/>
                <w:highlight w:val="none"/>
                <w:lang w:val="en-US" w:eastAsia="zh-CN"/>
              </w:rPr>
            </w:pPr>
            <w:r>
              <w:rPr>
                <w:rFonts w:hint="default" w:ascii="Times New Roman" w:hAnsi="Times New Roman" w:eastAsia="宋体" w:cs="Times New Roman"/>
                <w:b/>
                <w:bCs/>
                <w:color w:val="auto"/>
                <w:spacing w:val="0"/>
                <w:w w:val="100"/>
                <w:position w:val="0"/>
                <w:sz w:val="24"/>
                <w:szCs w:val="24"/>
                <w:highlight w:val="none"/>
                <w:lang w:val="en-US" w:eastAsia="zh-CN"/>
              </w:rPr>
              <w:t>9.</w:t>
            </w:r>
            <w:r>
              <w:rPr>
                <w:rFonts w:hint="default" w:ascii="Times New Roman" w:hAnsi="Times New Roman" w:eastAsia="宋体" w:cs="Times New Roman"/>
                <w:b/>
                <w:bCs/>
                <w:color w:val="auto"/>
                <w:spacing w:val="0"/>
                <w:kern w:val="0"/>
                <w:sz w:val="24"/>
                <w:szCs w:val="24"/>
                <w:highlight w:val="none"/>
                <w:lang w:val="en-US" w:eastAsia="zh-CN"/>
              </w:rPr>
              <w:t>与《空气质量持续改善行动计划》(国发[2023]24 号)的符合性分析</w:t>
            </w:r>
          </w:p>
          <w:p w14:paraId="79641AC5">
            <w:pPr>
              <w:autoSpaceDE w:val="0"/>
              <w:autoSpaceDN w:val="0"/>
              <w:adjustRightInd w:val="0"/>
              <w:snapToGrid w:val="0"/>
              <w:spacing w:line="360" w:lineRule="auto"/>
              <w:ind w:firstLine="480" w:firstLineChars="200"/>
              <w:rPr>
                <w:rFonts w:hint="default" w:ascii="Times New Roman" w:hAnsi="Times New Roman" w:eastAsia="宋体" w:cs="Times New Roman"/>
                <w:color w:val="auto"/>
                <w:spacing w:val="0"/>
                <w:kern w:val="0"/>
                <w:sz w:val="24"/>
                <w:szCs w:val="24"/>
                <w:highlight w:val="none"/>
                <w:lang w:val="en-US" w:eastAsia="zh-CN"/>
              </w:rPr>
            </w:pPr>
            <w:r>
              <w:rPr>
                <w:rFonts w:hint="default" w:ascii="Times New Roman" w:hAnsi="Times New Roman" w:eastAsia="宋体" w:cs="Times New Roman"/>
                <w:color w:val="auto"/>
                <w:spacing w:val="0"/>
                <w:kern w:val="0"/>
                <w:sz w:val="24"/>
                <w:szCs w:val="24"/>
                <w:highlight w:val="none"/>
                <w:lang w:val="en-US" w:eastAsia="zh-CN"/>
              </w:rPr>
              <w:t>根据《空气质量持续改善行动计划》（国发[2023]24号）中的相关内容“（一）指导思想。以习近平新时代中国特色社会主义思想为指导,全面贯彻党的二十大精神，深入贯彻习近平生态文明思想，落实全国生态环境保护大会部署，坚持稳中求进工作总基调，协同推进降碳减污、扩绿，改善空气质量为核心，以减少重污染天气和解决人民群众身边的突出大气环境问题为重点，以降低细颗粒物（PM</w:t>
            </w:r>
            <w:r>
              <w:rPr>
                <w:rFonts w:hint="default" w:ascii="Times New Roman" w:hAnsi="Times New Roman" w:eastAsia="宋体" w:cs="Times New Roman"/>
                <w:color w:val="auto"/>
                <w:spacing w:val="0"/>
                <w:kern w:val="0"/>
                <w:sz w:val="24"/>
                <w:szCs w:val="24"/>
                <w:highlight w:val="none"/>
                <w:vertAlign w:val="subscript"/>
                <w:lang w:val="en-US" w:eastAsia="zh-CN"/>
              </w:rPr>
              <w:t>2.5</w:t>
            </w:r>
            <w:r>
              <w:rPr>
                <w:rFonts w:hint="default" w:ascii="Times New Roman" w:hAnsi="Times New Roman" w:eastAsia="宋体" w:cs="Times New Roman"/>
                <w:color w:val="auto"/>
                <w:spacing w:val="0"/>
                <w:kern w:val="0"/>
                <w:sz w:val="24"/>
                <w:szCs w:val="24"/>
                <w:highlight w:val="none"/>
                <w:lang w:val="en-US" w:eastAsia="zh-CN"/>
              </w:rPr>
              <w:t>）浓度为主线，大力推动氮氧化物和挥发性有机物（VOCs）减排；开展区域协同治理，突出精准、科学、依法治污，完善大气环境管理体系提升污染防治能力;远近结合研究谋划大气污染防治路径，扎实推进产业、能源、交通绿色低碳转型，强化面源污染治理，加强源头防控加快形成绿色低碳生产生活方式，实现环境效益、经济效益和社会效益多赢”。</w:t>
            </w:r>
          </w:p>
          <w:p w14:paraId="281C5DF1">
            <w:pPr>
              <w:keepNext w:val="0"/>
              <w:keepLines w:val="0"/>
              <w:pageBreakBefore w:val="0"/>
              <w:kinsoku/>
              <w:overflowPunct/>
              <w:topLinePunct w:val="0"/>
              <w:autoSpaceDE w:val="0"/>
              <w:autoSpaceDN w:val="0"/>
              <w:bidi w:val="0"/>
              <w:adjustRightInd w:val="0"/>
              <w:snapToGrid w:val="0"/>
              <w:spacing w:beforeAutospacing="0" w:afterAutospacing="0" w:line="360" w:lineRule="auto"/>
              <w:ind w:right="0" w:firstLine="480" w:firstLineChars="200"/>
              <w:rPr>
                <w:rFonts w:hint="default" w:ascii="Times New Roman" w:hAnsi="Times New Roman" w:eastAsia="宋体" w:cs="Times New Roman"/>
                <w:b/>
                <w:bCs/>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kern w:val="0"/>
                <w:sz w:val="24"/>
                <w:szCs w:val="24"/>
                <w:highlight w:val="none"/>
                <w:lang w:val="en-US" w:eastAsia="zh-CN"/>
              </w:rPr>
              <w:t>本项目产生的废气主要为颗粒物，水稳料搅拌设备搅拌过程中产生的颗粒物经布袋除尘器处理后通过不低于15m高排气筒排放(DA001);项目区筛分工序产生的颗粒物经布袋除尘器处理后通过不低于15m高排气筒排放(DA002);项目区破碎工序产生的颗粒物经布袋除尘器处理后通过不低于15m高排气筒排放(DA003)。因此，项目的建设符合《空气质量持续改善行动计划》（国发[2023]24号）。</w:t>
            </w:r>
          </w:p>
          <w:p w14:paraId="2F420EE3">
            <w:pPr>
              <w:numPr>
                <w:ilvl w:val="0"/>
                <w:numId w:val="0"/>
              </w:numPr>
              <w:spacing w:line="360" w:lineRule="auto"/>
              <w:jc w:val="left"/>
              <w:rPr>
                <w:rFonts w:hint="default" w:ascii="Times New Roman" w:hAnsi="Times New Roman" w:eastAsia="宋体" w:cs="Times New Roman"/>
                <w:b/>
                <w:bCs/>
                <w:color w:val="auto"/>
                <w:spacing w:val="0"/>
                <w:kern w:val="0"/>
                <w:sz w:val="24"/>
                <w:szCs w:val="24"/>
                <w:highlight w:val="none"/>
                <w:lang w:val="en-US" w:eastAsia="zh-CN"/>
              </w:rPr>
            </w:pPr>
            <w:r>
              <w:rPr>
                <w:rFonts w:hint="default" w:ascii="Times New Roman" w:hAnsi="Times New Roman" w:eastAsia="宋体" w:cs="Times New Roman"/>
                <w:b/>
                <w:bCs/>
                <w:color w:val="auto"/>
                <w:spacing w:val="0"/>
                <w:w w:val="100"/>
                <w:position w:val="0"/>
                <w:sz w:val="24"/>
                <w:szCs w:val="24"/>
                <w:highlight w:val="none"/>
                <w:lang w:val="en-US" w:eastAsia="zh-CN"/>
              </w:rPr>
              <w:t>10.</w:t>
            </w:r>
            <w:r>
              <w:rPr>
                <w:rFonts w:hint="default" w:ascii="Times New Roman" w:hAnsi="Times New Roman" w:eastAsia="宋体" w:cs="Times New Roman"/>
                <w:b/>
                <w:bCs/>
                <w:color w:val="auto"/>
                <w:spacing w:val="0"/>
                <w:kern w:val="0"/>
                <w:sz w:val="24"/>
                <w:szCs w:val="24"/>
                <w:highlight w:val="none"/>
                <w:lang w:val="en-US" w:eastAsia="zh-CN"/>
              </w:rPr>
              <w:t>与《关于推进机制砂石行业高质量发展的若干意见》（工信部联原〔2019〕239号）的符合性分析</w:t>
            </w:r>
          </w:p>
          <w:p w14:paraId="0F835527">
            <w:pPr>
              <w:keepNext w:val="0"/>
              <w:keepLines w:val="0"/>
              <w:pageBreakBefore w:val="0"/>
              <w:kinsoku/>
              <w:overflowPunct/>
              <w:topLinePunct w:val="0"/>
              <w:autoSpaceDE w:val="0"/>
              <w:autoSpaceDN w:val="0"/>
              <w:bidi w:val="0"/>
              <w:adjustRightInd w:val="0"/>
              <w:snapToGrid w:val="0"/>
              <w:spacing w:beforeAutospacing="0" w:afterAutospacing="0" w:line="360" w:lineRule="auto"/>
              <w:ind w:left="0" w:leftChars="0" w:right="0" w:firstLine="480" w:firstLineChars="200"/>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kern w:val="0"/>
                <w:sz w:val="24"/>
                <w:szCs w:val="24"/>
                <w:highlight w:val="none"/>
                <w:lang w:val="en-US" w:eastAsia="zh-CN"/>
              </w:rPr>
              <w:t>根据《关于推进机制砂石行业高质量发展的若干意见》(工信部联原〔2019〕239号)的相关内容：“机制砂石企业要坚持绿色低碳循环发展，按照相关规范要求建设绿色矿山。生产线配套建设抑尘收尘、水处理和降噪等污染防治以及水土保持设施，对设备、产品采取棚化密封或其他有效覆盖措施，推进清洁生产，严控无组织排放，满足达标排放等环保要求。对工艺废水、细粉和沉淀泥浆等加强回收再利用”，“对正在开采的矿山，坚持“边开采、边治理”原则，切实履行矿山地质环境保护与土地复垦责任义务”。</w:t>
            </w:r>
          </w:p>
          <w:p w14:paraId="31C6CD98">
            <w:pPr>
              <w:keepNext w:val="0"/>
              <w:keepLines w:val="0"/>
              <w:pageBreakBefore w:val="0"/>
              <w:kinsoku/>
              <w:overflowPunct/>
              <w:topLinePunct w:val="0"/>
              <w:autoSpaceDE w:val="0"/>
              <w:autoSpaceDN w:val="0"/>
              <w:bidi w:val="0"/>
              <w:adjustRightInd w:val="0"/>
              <w:snapToGrid w:val="0"/>
              <w:spacing w:beforeAutospacing="0" w:afterAutospacing="0" w:line="360" w:lineRule="auto"/>
              <w:ind w:left="0" w:leftChars="0" w:right="0" w:firstLine="480" w:firstLineChars="200"/>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w w:val="100"/>
                <w:position w:val="0"/>
                <w:sz w:val="24"/>
                <w:szCs w:val="24"/>
                <w:highlight w:val="none"/>
                <w:lang w:val="en-US" w:eastAsia="zh-CN"/>
              </w:rPr>
              <w:t>本项目对生产过程中产生的颗粒物采取洒水降尘、围挡等方式处理。项目区筛分工序产生的颗粒物经布袋除尘器处理后通过不低于15m高排气筒排放(DA002)；项目区破碎工序产生的颗粒物经布袋除尘器处理后通过不低于15m高排气筒排放(DA003)。开采方式为边开采边治理，闭矿后，对采坑进行回填，并做好土地复垦。因此，本项目的建设符合《关于推进机制砂石行业高质量发展的若干意见》（工信部联原〔2019〕239号）的相关要求。</w:t>
            </w:r>
          </w:p>
          <w:p w14:paraId="791FF2B2">
            <w:pPr>
              <w:numPr>
                <w:ilvl w:val="0"/>
                <w:numId w:val="0"/>
              </w:numPr>
              <w:spacing w:line="360" w:lineRule="auto"/>
              <w:jc w:val="left"/>
              <w:rPr>
                <w:rFonts w:hint="default" w:ascii="Times New Roman" w:hAnsi="Times New Roman" w:eastAsia="宋体" w:cs="Times New Roman"/>
                <w:b/>
                <w:bCs/>
                <w:color w:val="auto"/>
                <w:spacing w:val="0"/>
                <w:kern w:val="0"/>
                <w:sz w:val="24"/>
                <w:szCs w:val="24"/>
                <w:highlight w:val="none"/>
                <w:lang w:val="en-US" w:eastAsia="zh-CN"/>
              </w:rPr>
            </w:pPr>
            <w:r>
              <w:rPr>
                <w:rFonts w:hint="default" w:ascii="Times New Roman" w:hAnsi="Times New Roman" w:eastAsia="宋体" w:cs="Times New Roman"/>
                <w:b/>
                <w:bCs/>
                <w:color w:val="auto"/>
                <w:spacing w:val="0"/>
                <w:w w:val="100"/>
                <w:position w:val="0"/>
                <w:sz w:val="24"/>
                <w:szCs w:val="24"/>
                <w:highlight w:val="none"/>
                <w:lang w:val="en-US" w:eastAsia="zh-CN"/>
              </w:rPr>
              <w:t>11.</w:t>
            </w:r>
            <w:r>
              <w:rPr>
                <w:rFonts w:hint="default" w:ascii="Times New Roman" w:hAnsi="Times New Roman" w:eastAsia="宋体" w:cs="Times New Roman"/>
                <w:b/>
                <w:bCs/>
                <w:color w:val="auto"/>
                <w:spacing w:val="0"/>
                <w:kern w:val="0"/>
                <w:sz w:val="24"/>
                <w:szCs w:val="24"/>
                <w:highlight w:val="none"/>
                <w:lang w:val="en-US" w:eastAsia="zh-CN"/>
              </w:rPr>
              <w:t>与</w:t>
            </w:r>
            <w:r>
              <w:rPr>
                <w:rFonts w:hint="default" w:ascii="Times New Roman" w:hAnsi="Times New Roman" w:eastAsia="宋体" w:cs="Times New Roman"/>
                <w:b/>
                <w:bCs/>
                <w:caps w:val="0"/>
                <w:color w:val="auto"/>
                <w:spacing w:val="0"/>
                <w:kern w:val="0"/>
                <w:sz w:val="24"/>
                <w:szCs w:val="24"/>
                <w:highlight w:val="none"/>
                <w:lang w:val="en-US" w:eastAsia="zh-CN" w:bidi="ar-SA"/>
              </w:rPr>
              <w:t>《新疆维吾尔自治区矿产资源总体规划（2021-2025 年）》</w:t>
            </w:r>
            <w:r>
              <w:rPr>
                <w:rFonts w:hint="default" w:ascii="Times New Roman" w:hAnsi="Times New Roman" w:eastAsia="宋体" w:cs="Times New Roman"/>
                <w:b/>
                <w:bCs/>
                <w:color w:val="auto"/>
                <w:spacing w:val="0"/>
                <w:kern w:val="0"/>
                <w:sz w:val="24"/>
                <w:szCs w:val="24"/>
                <w:highlight w:val="none"/>
                <w:lang w:val="en-US" w:eastAsia="zh-CN"/>
              </w:rPr>
              <w:t>的符合性分析</w:t>
            </w:r>
          </w:p>
          <w:p w14:paraId="23F0B41B">
            <w:pPr>
              <w:keepNext w:val="0"/>
              <w:keepLines w:val="0"/>
              <w:pageBreakBefore w:val="0"/>
              <w:kinsoku/>
              <w:overflowPunct/>
              <w:topLinePunct w:val="0"/>
              <w:autoSpaceDE w:val="0"/>
              <w:autoSpaceDN w:val="0"/>
              <w:bidi w:val="0"/>
              <w:adjustRightInd w:val="0"/>
              <w:snapToGrid w:val="0"/>
              <w:spacing w:beforeAutospacing="0" w:afterAutospacing="0" w:line="360" w:lineRule="auto"/>
              <w:ind w:left="0" w:leftChars="0" w:right="0" w:firstLine="480" w:firstLineChars="200"/>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kern w:val="0"/>
                <w:sz w:val="24"/>
                <w:szCs w:val="24"/>
                <w:highlight w:val="none"/>
                <w:lang w:val="en-US" w:eastAsia="zh-CN"/>
              </w:rPr>
              <w:t>根据《新疆维吾尔自治区矿产资源总体规划（2021-2025 年）》的相关内容：“禁止开采砷和放射性等有毒有害物质超过规定标准的煤炭项目，砂铁、汞、可耕地砖瓦用粘土等矿产。除和田地区外其他地区禁止新设砂金开采项目，严格砂金开发项目环境影响评价。坚持“谁开发、谁保护，谁破坏、谁治理”的原则，按照“边开采、边治理”要求，督促采矿权人采取消除地质灾害隐患、土地复垦、恢复植被等措施，切实履行矿山生态修复责任。加大矿山“三废”治理与环境监测。减少矿山开采、储存、装卸、洗选、运输等环节的污染物排放。”</w:t>
            </w:r>
          </w:p>
          <w:p w14:paraId="044A74A8">
            <w:pPr>
              <w:pStyle w:val="3"/>
              <w:keepNext w:val="0"/>
              <w:keepLines w:val="0"/>
              <w:pageBreakBefore w:val="0"/>
              <w:widowControl/>
              <w:kinsoku/>
              <w:wordWrap/>
              <w:overflowPunct/>
              <w:topLinePunct w:val="0"/>
              <w:autoSpaceDE/>
              <w:autoSpaceDN/>
              <w:bidi w:val="0"/>
              <w:adjustRightInd/>
              <w:snapToGrid w:val="0"/>
              <w:spacing w:before="0" w:after="0" w:line="360" w:lineRule="auto"/>
              <w:ind w:right="113" w:firstLine="480" w:firstLineChars="200"/>
              <w:textAlignment w:val="auto"/>
              <w:rPr>
                <w:rFonts w:hint="default" w:ascii="Times New Roman" w:hAnsi="Times New Roman" w:eastAsia="宋体" w:cs="Times New Roman"/>
                <w:color w:val="auto"/>
                <w:spacing w:val="0"/>
                <w:kern w:val="0"/>
                <w:sz w:val="24"/>
                <w:szCs w:val="24"/>
                <w:highlight w:val="none"/>
                <w:lang w:val="en-US" w:eastAsia="zh-CN" w:bidi="ar-SA"/>
              </w:rPr>
            </w:pPr>
            <w:r>
              <w:rPr>
                <w:rFonts w:hint="default" w:ascii="Times New Roman" w:hAnsi="Times New Roman" w:eastAsia="宋体" w:cs="Times New Roman"/>
                <w:color w:val="auto"/>
                <w:spacing w:val="0"/>
                <w:kern w:val="0"/>
                <w:sz w:val="24"/>
                <w:szCs w:val="24"/>
                <w:highlight w:val="none"/>
                <w:lang w:val="en-US" w:eastAsia="zh-CN" w:bidi="ar-SA"/>
              </w:rPr>
              <w:t>本项目不属于砷和放射性等有毒有害物质超过规定标准的煤炭项目，砂铁、汞、可耕地砖瓦用粘土等矿产开采项目。本项目落实“</w:t>
            </w:r>
            <w:r>
              <w:rPr>
                <w:rFonts w:hint="default" w:ascii="Times New Roman" w:hAnsi="Times New Roman" w:eastAsia="宋体" w:cs="Times New Roman"/>
                <w:color w:val="auto"/>
                <w:spacing w:val="0"/>
                <w:kern w:val="0"/>
                <w:sz w:val="24"/>
                <w:szCs w:val="24"/>
                <w:highlight w:val="none"/>
                <w:lang w:val="en-US" w:eastAsia="zh-CN"/>
              </w:rPr>
              <w:t>边开采、边治理</w:t>
            </w:r>
            <w:r>
              <w:rPr>
                <w:rFonts w:hint="default" w:ascii="Times New Roman" w:hAnsi="Times New Roman" w:eastAsia="宋体" w:cs="Times New Roman"/>
                <w:color w:val="auto"/>
                <w:spacing w:val="0"/>
                <w:kern w:val="0"/>
                <w:sz w:val="24"/>
                <w:szCs w:val="24"/>
                <w:highlight w:val="none"/>
                <w:lang w:val="en-US" w:eastAsia="zh-CN" w:bidi="ar-SA"/>
              </w:rPr>
              <w:t>”要求，</w:t>
            </w:r>
            <w:r>
              <w:rPr>
                <w:rFonts w:hint="default" w:ascii="Times New Roman" w:hAnsi="Times New Roman" w:eastAsia="宋体" w:cs="Times New Roman"/>
                <w:color w:val="auto"/>
                <w:spacing w:val="0"/>
                <w:kern w:val="0"/>
                <w:sz w:val="24"/>
                <w:szCs w:val="24"/>
                <w:highlight w:val="none"/>
                <w:lang w:val="en-US" w:eastAsia="zh-CN"/>
              </w:rPr>
              <w:t>服务期满后的各种临时建筑均进行拆除，并进行场地平整</w:t>
            </w:r>
            <w:r>
              <w:rPr>
                <w:rFonts w:hint="default" w:ascii="Times New Roman" w:hAnsi="Times New Roman" w:eastAsia="宋体" w:cs="Times New Roman"/>
                <w:color w:val="auto"/>
                <w:spacing w:val="0"/>
                <w:kern w:val="0"/>
                <w:sz w:val="24"/>
                <w:szCs w:val="24"/>
                <w:highlight w:val="none"/>
                <w:lang w:val="en-US" w:eastAsia="zh-CN" w:bidi="ar-SA"/>
              </w:rPr>
              <w:t>和</w:t>
            </w:r>
            <w:r>
              <w:rPr>
                <w:rFonts w:hint="default" w:ascii="Times New Roman" w:hAnsi="Times New Roman" w:eastAsia="宋体" w:cs="Times New Roman"/>
                <w:color w:val="auto"/>
                <w:spacing w:val="0"/>
                <w:kern w:val="0"/>
                <w:sz w:val="24"/>
                <w:szCs w:val="24"/>
                <w:highlight w:val="none"/>
                <w:lang w:val="en-US" w:eastAsia="zh-CN"/>
              </w:rPr>
              <w:t>土地复垦、恢复植被等措施，废水、废气、固废经各项措施处理后能达标排放，因此与《新疆维吾尔自治区矿产资源总体规划（2021-2025 年）》相符。</w:t>
            </w:r>
          </w:p>
          <w:p w14:paraId="441E7194">
            <w:pPr>
              <w:keepNext w:val="0"/>
              <w:keepLines w:val="0"/>
              <w:pageBreakBefore w:val="0"/>
              <w:kinsoku/>
              <w:overflowPunct/>
              <w:topLinePunct w:val="0"/>
              <w:autoSpaceDE w:val="0"/>
              <w:autoSpaceDN w:val="0"/>
              <w:bidi w:val="0"/>
              <w:adjustRightInd w:val="0"/>
              <w:snapToGrid w:val="0"/>
              <w:spacing w:beforeAutospacing="0" w:afterAutospacing="0" w:line="360" w:lineRule="auto"/>
              <w:ind w:right="0"/>
              <w:rPr>
                <w:rFonts w:hint="default" w:ascii="Times New Roman" w:hAnsi="Times New Roman" w:eastAsia="宋体" w:cs="Times New Roman"/>
                <w:b/>
                <w:bCs/>
                <w:color w:val="auto"/>
                <w:spacing w:val="0"/>
                <w:kern w:val="0"/>
                <w:sz w:val="24"/>
                <w:szCs w:val="24"/>
                <w:highlight w:val="none"/>
                <w:lang w:val="en-US" w:eastAsia="zh-CN" w:bidi="ar-SA"/>
              </w:rPr>
            </w:pPr>
            <w:r>
              <w:rPr>
                <w:rFonts w:hint="default" w:ascii="Times New Roman" w:hAnsi="Times New Roman" w:eastAsia="宋体" w:cs="Times New Roman"/>
                <w:b/>
                <w:bCs/>
                <w:color w:val="auto"/>
                <w:spacing w:val="0"/>
                <w:kern w:val="0"/>
                <w:sz w:val="24"/>
                <w:szCs w:val="24"/>
                <w:highlight w:val="none"/>
                <w:lang w:val="en-US" w:eastAsia="zh-CN" w:bidi="ar-SA"/>
              </w:rPr>
              <w:t>12.项目与《工业料堆场扬尘整治规范》（DB65T 4061-2017）的符合性分析</w:t>
            </w:r>
          </w:p>
          <w:p w14:paraId="5C2AFB00">
            <w:pPr>
              <w:keepNext w:val="0"/>
              <w:keepLines w:val="0"/>
              <w:pageBreakBefore w:val="0"/>
              <w:kinsoku/>
              <w:overflowPunct/>
              <w:topLinePunct w:val="0"/>
              <w:autoSpaceDE w:val="0"/>
              <w:autoSpaceDN w:val="0"/>
              <w:bidi w:val="0"/>
              <w:adjustRightInd w:val="0"/>
              <w:snapToGrid w:val="0"/>
              <w:spacing w:beforeAutospacing="0" w:afterAutospacing="0" w:line="360" w:lineRule="auto"/>
              <w:ind w:right="0" w:firstLine="480" w:firstLineChars="200"/>
              <w:rPr>
                <w:rFonts w:hint="default" w:ascii="Times New Roman" w:hAnsi="Times New Roman" w:eastAsia="宋体" w:cs="Times New Roman"/>
                <w:color w:val="auto"/>
                <w:spacing w:val="0"/>
                <w:kern w:val="0"/>
                <w:sz w:val="24"/>
                <w:szCs w:val="18"/>
                <w:highlight w:val="none"/>
                <w:lang w:val="en-US" w:eastAsia="zh-CN" w:bidi="ar-SA"/>
              </w:rPr>
            </w:pPr>
            <w:r>
              <w:rPr>
                <w:rFonts w:hint="default" w:ascii="Times New Roman" w:hAnsi="Times New Roman" w:eastAsia="宋体" w:cs="Times New Roman"/>
                <w:color w:val="auto"/>
                <w:spacing w:val="0"/>
                <w:kern w:val="0"/>
                <w:sz w:val="24"/>
                <w:szCs w:val="24"/>
                <w:highlight w:val="none"/>
                <w:lang w:val="en-US" w:eastAsia="zh-CN" w:bidi="ar-SA"/>
              </w:rPr>
              <w:t>根据《工业料</w:t>
            </w:r>
            <w:r>
              <w:rPr>
                <w:rFonts w:hint="default" w:ascii="Times New Roman" w:hAnsi="Times New Roman" w:eastAsia="宋体" w:cs="Times New Roman"/>
                <w:color w:val="auto"/>
                <w:spacing w:val="0"/>
                <w:kern w:val="0"/>
                <w:sz w:val="24"/>
                <w:szCs w:val="18"/>
                <w:highlight w:val="none"/>
                <w:lang w:val="en-US" w:eastAsia="zh-CN" w:bidi="ar-SA"/>
              </w:rPr>
              <w:t>堆场扬尘整治规范》（DB65/T4061-2017）要求，各企业应建立工业料堆场扬尘污染控制管理制度和工业料堆场作业相关操作规程，落实专人负责本单位的工业料堆场扬尘污染控制工作。选择工业料堆场位置应结合当地的自然环境、气象条件及水文地质条件。工业料堆场应布置在厂区的最小风频方向上，其长边应平行于厂区的主导风向。工业料堆场内应采用连续输送设备将物料送往用户，避免二次中转倒运。对工业料堆场内装卸、运输等作业过程中，易产生扬尘污染的物料必须采取封闭、遮盖、洒水降尘措施，密闭输送物料必须在装料、卸料处配备吸尘、喷淋防尘措施。露天工业料堆场存放袋装、桶装及箱装件物品时，应加盖蓬布遮护。工业料堆场需设置料区和道路界限的标识线，对散落地面的物料等进行及时清理和清洗，保持道路干净、整洁，必须落实专人进行保洁工作，保持环境整洁。</w:t>
            </w:r>
          </w:p>
          <w:p w14:paraId="640D7BD5">
            <w:pPr>
              <w:keepNext w:val="0"/>
              <w:keepLines w:val="0"/>
              <w:pageBreakBefore w:val="0"/>
              <w:kinsoku/>
              <w:overflowPunct/>
              <w:topLinePunct w:val="0"/>
              <w:autoSpaceDE w:val="0"/>
              <w:autoSpaceDN w:val="0"/>
              <w:bidi w:val="0"/>
              <w:adjustRightInd w:val="0"/>
              <w:snapToGrid w:val="0"/>
              <w:spacing w:beforeAutospacing="0" w:afterAutospacing="0" w:line="360" w:lineRule="auto"/>
              <w:ind w:right="0" w:firstLine="480" w:firstLineChars="200"/>
              <w:rPr>
                <w:rFonts w:hint="default" w:ascii="Times New Roman" w:hAnsi="Times New Roman" w:eastAsia="宋体" w:cs="Times New Roman"/>
                <w:color w:val="auto"/>
                <w:spacing w:val="0"/>
                <w:kern w:val="0"/>
                <w:sz w:val="24"/>
                <w:szCs w:val="18"/>
                <w:highlight w:val="none"/>
                <w:lang w:val="en-US" w:eastAsia="zh-CN" w:bidi="ar-SA"/>
              </w:rPr>
            </w:pPr>
            <w:r>
              <w:rPr>
                <w:rFonts w:hint="default" w:ascii="Times New Roman" w:hAnsi="Times New Roman" w:eastAsia="宋体" w:cs="Times New Roman"/>
                <w:color w:val="auto"/>
                <w:spacing w:val="0"/>
                <w:kern w:val="0"/>
                <w:sz w:val="24"/>
                <w:szCs w:val="18"/>
                <w:highlight w:val="none"/>
                <w:lang w:val="en-US" w:eastAsia="zh-CN" w:bidi="ar-SA"/>
              </w:rPr>
              <w:t>本项目为</w:t>
            </w:r>
            <w:r>
              <w:rPr>
                <w:rFonts w:hint="default" w:ascii="Times New Roman" w:hAnsi="Times New Roman" w:eastAsia="宋体" w:cs="Times New Roman"/>
                <w:color w:val="auto"/>
                <w:spacing w:val="0"/>
                <w:w w:val="100"/>
                <w:position w:val="0"/>
                <w:sz w:val="24"/>
                <w:szCs w:val="24"/>
                <w:highlight w:val="none"/>
                <w:lang w:val="en-US" w:eastAsia="zh-CN"/>
              </w:rPr>
              <w:t>非金属矿采选业</w:t>
            </w:r>
            <w:r>
              <w:rPr>
                <w:rFonts w:hint="default" w:ascii="Times New Roman" w:hAnsi="Times New Roman" w:eastAsia="宋体" w:cs="Times New Roman"/>
                <w:color w:val="auto"/>
                <w:spacing w:val="0"/>
                <w:kern w:val="0"/>
                <w:sz w:val="24"/>
                <w:szCs w:val="18"/>
                <w:highlight w:val="none"/>
                <w:lang w:val="en-US" w:eastAsia="zh-CN" w:bidi="ar-SA"/>
              </w:rPr>
              <w:t>项目，属于一般控制区为</w:t>
            </w:r>
            <w:r>
              <w:rPr>
                <w:rFonts w:hint="default" w:ascii="Times New Roman" w:hAnsi="Times New Roman" w:eastAsia="宋体" w:cs="Times New Roman"/>
                <w:color w:val="auto"/>
                <w:sz w:val="24"/>
                <w:szCs w:val="24"/>
                <w:highlight w:val="none"/>
              </w:rPr>
              <w:t>Ⅱ类料堆场</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pacing w:val="0"/>
                <w:kern w:val="0"/>
                <w:sz w:val="24"/>
                <w:szCs w:val="18"/>
                <w:highlight w:val="none"/>
                <w:lang w:val="en-US" w:eastAsia="zh-CN" w:bidi="ar-SA"/>
              </w:rPr>
              <w:t>在原料矿开采、堆放及车辆运输时易产生扬尘。环评要求建设单位原辅材料进行以密目网覆盖，禁止露天存放；运土车辆要采用加装密闭盖子的渣土车，避免运输过程中遗漏。在采取上述措施的前提下，运营期产生的扬尘对周围环境的影响可降至最低，不会对周围环境造成明显影响，符合《工业料堆场扬尘整治规范》（DB65/T4061-2017）的相关要求。</w:t>
            </w:r>
          </w:p>
          <w:p w14:paraId="1527276E">
            <w:pPr>
              <w:keepNext w:val="0"/>
              <w:keepLines w:val="0"/>
              <w:pageBreakBefore w:val="0"/>
              <w:kinsoku/>
              <w:overflowPunct/>
              <w:topLinePunct w:val="0"/>
              <w:autoSpaceDE w:val="0"/>
              <w:autoSpaceDN w:val="0"/>
              <w:bidi w:val="0"/>
              <w:adjustRightInd w:val="0"/>
              <w:snapToGrid w:val="0"/>
              <w:spacing w:beforeAutospacing="0" w:afterAutospacing="0" w:line="360" w:lineRule="auto"/>
              <w:ind w:right="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color w:val="auto"/>
                <w:spacing w:val="0"/>
                <w:kern w:val="0"/>
                <w:sz w:val="24"/>
                <w:szCs w:val="24"/>
                <w:highlight w:val="none"/>
                <w:lang w:val="en-US" w:eastAsia="zh-CN" w:bidi="ar-SA"/>
              </w:rPr>
              <w:t>1</w:t>
            </w:r>
            <w:r>
              <w:rPr>
                <w:rFonts w:hint="eastAsia" w:ascii="Times New Roman" w:hAnsi="Times New Roman" w:eastAsia="宋体" w:cs="Times New Roman"/>
                <w:b/>
                <w:bCs/>
                <w:color w:val="auto"/>
                <w:spacing w:val="0"/>
                <w:kern w:val="0"/>
                <w:sz w:val="24"/>
                <w:szCs w:val="24"/>
                <w:highlight w:val="none"/>
                <w:lang w:val="en-US" w:eastAsia="zh-CN" w:bidi="ar-SA"/>
              </w:rPr>
              <w:t>3</w:t>
            </w:r>
            <w:r>
              <w:rPr>
                <w:rFonts w:hint="default" w:ascii="Times New Roman" w:hAnsi="Times New Roman" w:eastAsia="宋体" w:cs="Times New Roman"/>
                <w:b/>
                <w:bCs/>
                <w:color w:val="auto"/>
                <w:spacing w:val="0"/>
                <w:kern w:val="0"/>
                <w:sz w:val="24"/>
                <w:szCs w:val="24"/>
                <w:highlight w:val="none"/>
                <w:lang w:val="en-US" w:eastAsia="zh-CN" w:bidi="ar-SA"/>
              </w:rPr>
              <w:t>.项目与《新疆维吾尔自治区重点行业生态环境准入条件(2024年)》的符合性分析</w:t>
            </w:r>
          </w:p>
          <w:tbl>
            <w:tblPr>
              <w:tblStyle w:val="39"/>
              <w:tblW w:w="7143" w:type="dxa"/>
              <w:tblInd w:w="1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02"/>
              <w:gridCol w:w="2741"/>
              <w:gridCol w:w="900"/>
            </w:tblGrid>
            <w:tr w14:paraId="379DF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3502" w:type="dxa"/>
                  <w:tcBorders>
                    <w:top w:val="single" w:color="auto" w:sz="12" w:space="0"/>
                    <w:left w:val="nil"/>
                    <w:bottom w:val="single" w:color="auto" w:sz="12" w:space="0"/>
                  </w:tcBorders>
                  <w:vAlign w:val="center"/>
                </w:tcPr>
                <w:p w14:paraId="5451C3EF">
                  <w:pPr>
                    <w:keepNext w:val="0"/>
                    <w:keepLines w:val="0"/>
                    <w:widowControl/>
                    <w:suppressLineNumbers w:val="0"/>
                    <w:spacing w:line="240" w:lineRule="auto"/>
                    <w:jc w:val="center"/>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b/>
                      <w:bCs/>
                      <w:kern w:val="0"/>
                      <w:sz w:val="21"/>
                      <w:szCs w:val="21"/>
                      <w:lang w:val="en-US" w:eastAsia="zh-CN" w:bidi="ar"/>
                    </w:rPr>
                    <w:t>政策原文</w:t>
                  </w:r>
                </w:p>
              </w:tc>
              <w:tc>
                <w:tcPr>
                  <w:tcW w:w="2741" w:type="dxa"/>
                  <w:tcBorders>
                    <w:top w:val="single" w:color="auto" w:sz="12" w:space="0"/>
                    <w:bottom w:val="single" w:color="auto" w:sz="12" w:space="0"/>
                  </w:tcBorders>
                  <w:vAlign w:val="center"/>
                </w:tcPr>
                <w:p w14:paraId="6F4096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t>本项目情况</w:t>
                  </w:r>
                </w:p>
              </w:tc>
              <w:tc>
                <w:tcPr>
                  <w:tcW w:w="900" w:type="dxa"/>
                  <w:tcBorders>
                    <w:top w:val="single" w:color="auto" w:sz="12" w:space="0"/>
                    <w:bottom w:val="single" w:color="auto" w:sz="12" w:space="0"/>
                    <w:right w:val="nil"/>
                  </w:tcBorders>
                  <w:vAlign w:val="center"/>
                </w:tcPr>
                <w:p w14:paraId="108EC2CC">
                  <w:pPr>
                    <w:keepNext w:val="0"/>
                    <w:keepLines w:val="0"/>
                    <w:widowControl/>
                    <w:suppressLineNumbers w:val="0"/>
                    <w:spacing w:line="240" w:lineRule="auto"/>
                    <w:jc w:val="center"/>
                    <w:rPr>
                      <w:rFonts w:hint="eastAsia" w:ascii="宋体" w:hAnsi="宋体" w:eastAsia="宋体" w:cs="宋体"/>
                      <w:b/>
                      <w:bCs/>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b/>
                      <w:bCs/>
                      <w:kern w:val="0"/>
                      <w:sz w:val="21"/>
                      <w:szCs w:val="21"/>
                      <w:lang w:val="en-US" w:eastAsia="zh-CN" w:bidi="ar"/>
                    </w:rPr>
                    <w:t>符合性判定</w:t>
                  </w:r>
                </w:p>
              </w:tc>
            </w:tr>
            <w:tr w14:paraId="3B7D7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9" w:hRule="atLeast"/>
              </w:trPr>
              <w:tc>
                <w:tcPr>
                  <w:tcW w:w="3502" w:type="dxa"/>
                  <w:tcBorders>
                    <w:top w:val="single" w:color="auto" w:sz="12" w:space="0"/>
                    <w:left w:val="nil"/>
                  </w:tcBorders>
                  <w:vAlign w:val="center"/>
                </w:tcPr>
                <w:p w14:paraId="3E9F02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禁止在重要工业区、大型水利工程设施、城镇市政工程设施所在区域，军事管理区、机场、国防工程设施圈定的区域，高速公路、国道、省道等重要交通干线两侧用地外缘200米范围内（确有必要可根据实际情况论证），铁路线路两侧路堤坡脚、路堑坡顶、铁路桥梁外侧起各1000米范围内及在铁路隧道上方中心线两侧各1000米范围内建设非金属矿采矿项目</w:t>
                  </w:r>
                </w:p>
              </w:tc>
              <w:tc>
                <w:tcPr>
                  <w:tcW w:w="2741" w:type="dxa"/>
                  <w:tcBorders>
                    <w:top w:val="single" w:color="auto" w:sz="12" w:space="0"/>
                  </w:tcBorders>
                  <w:vAlign w:val="center"/>
                </w:tcPr>
                <w:p w14:paraId="1458D0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本项目周边无重要工业区、大型水利工程设施、城镇市镇工程设施，无军事管理区、机场、国防工程设施圈定的区域，周边无铁路，本项目北侧为</w:t>
                  </w: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京新</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高速，距离为250m大于200m，符合准入条件</w:t>
                  </w:r>
                </w:p>
              </w:tc>
              <w:tc>
                <w:tcPr>
                  <w:tcW w:w="900" w:type="dxa"/>
                  <w:tcBorders>
                    <w:top w:val="single" w:color="auto" w:sz="12" w:space="0"/>
                    <w:right w:val="nil"/>
                  </w:tcBorders>
                  <w:vAlign w:val="center"/>
                </w:tcPr>
                <w:p w14:paraId="4D84A7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符合</w:t>
                  </w:r>
                </w:p>
              </w:tc>
            </w:tr>
            <w:tr w14:paraId="34D27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7" w:hRule="atLeast"/>
              </w:trPr>
              <w:tc>
                <w:tcPr>
                  <w:tcW w:w="3502" w:type="dxa"/>
                  <w:tcBorders>
                    <w:left w:val="nil"/>
                  </w:tcBorders>
                  <w:vAlign w:val="center"/>
                </w:tcPr>
                <w:p w14:paraId="4E1901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矿石开采须采用湿式凿岩作业方式。矿石转运、破碎、筛分等粉尘产生工序，须配备抑尘、除尘设施，除尘效率不低于99%。矿石、废石堆场须采用洒水抑尘、设置围挡等无组织粉尘防治措施。大气污染物排放须满足《大气污染物综合排放标准》（GB16297）要求，有行业排放标准的执行行业标准</w:t>
                  </w: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w:t>
                  </w:r>
                </w:p>
              </w:tc>
              <w:tc>
                <w:tcPr>
                  <w:tcW w:w="2741" w:type="dxa"/>
                  <w:vAlign w:val="center"/>
                </w:tcPr>
                <w:p w14:paraId="12A0DA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本项目对生产过程中产生的颗粒物采取洒水降尘、围挡等方式处理。项目区筛分工序产生的颗粒物经布袋除尘器处理后通过不低于15m高排气筒排放(DA002)；项目区破碎工序产生的颗粒物经除尘效率不低于99%的布袋除尘器处理后通过不低于15m高排气筒排放(DA003)，厂界无组织颗粒物浓度≤1.0mg/m³；</w:t>
                  </w:r>
                </w:p>
              </w:tc>
              <w:tc>
                <w:tcPr>
                  <w:tcW w:w="900" w:type="dxa"/>
                  <w:tcBorders>
                    <w:right w:val="nil"/>
                  </w:tcBorders>
                  <w:vAlign w:val="center"/>
                </w:tcPr>
                <w:p w14:paraId="478FD6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符合</w:t>
                  </w:r>
                </w:p>
              </w:tc>
            </w:tr>
            <w:tr w14:paraId="7FEDE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7" w:hRule="atLeast"/>
              </w:trPr>
              <w:tc>
                <w:tcPr>
                  <w:tcW w:w="3502" w:type="dxa"/>
                  <w:tcBorders>
                    <w:left w:val="nil"/>
                  </w:tcBorders>
                  <w:vAlign w:val="center"/>
                </w:tcPr>
                <w:p w14:paraId="4C0960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噪声排放执行《工业企业厂界环境噪声排放标准》(GB12348)</w:t>
                  </w:r>
                </w:p>
              </w:tc>
              <w:tc>
                <w:tcPr>
                  <w:tcW w:w="2741" w:type="dxa"/>
                  <w:vAlign w:val="center"/>
                </w:tcPr>
                <w:p w14:paraId="6E13F2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生产设备选用低噪设备，厂区设置隔声围挡，夜间22:00至次日6:00停止生产作业，保障沿线噪声达标（昼间≤60dB、夜间≤50dB）；</w:t>
                  </w:r>
                </w:p>
              </w:tc>
              <w:tc>
                <w:tcPr>
                  <w:tcW w:w="900" w:type="dxa"/>
                  <w:tcBorders>
                    <w:right w:val="nil"/>
                  </w:tcBorders>
                  <w:vAlign w:val="center"/>
                </w:tcPr>
                <w:p w14:paraId="1CC406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p>
              </w:tc>
            </w:tr>
            <w:tr w14:paraId="1543F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3" w:hRule="atLeast"/>
              </w:trPr>
              <w:tc>
                <w:tcPr>
                  <w:tcW w:w="3502" w:type="dxa"/>
                  <w:tcBorders>
                    <w:left w:val="nil"/>
                  </w:tcBorders>
                  <w:vAlign w:val="center"/>
                </w:tcPr>
                <w:p w14:paraId="20AD3B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严禁未经处理的采矿废水直接排放，禁止利用渗井、渗坑、裂隙和溶洞等排放废水。鼓励将矿坑水优先作为生产用水和辅助水源利用。在干旱缺水地区，鼓励将外排矿坑水处理达标后用于农林灌溉，生活污水处理达标后尽量综合利用，边远矿区的生活污水排放和综合利用可参照《农村生活污水处理排放标准》（DB65/4275）要求管控</w:t>
                  </w:r>
                </w:p>
              </w:tc>
              <w:tc>
                <w:tcPr>
                  <w:tcW w:w="2741" w:type="dxa"/>
                  <w:vAlign w:val="center"/>
                </w:tcPr>
                <w:p w14:paraId="293703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本项目废水为洗砂废水和生活污水，洗砂废水排入沉淀池后循环使用不外排，生活污水排入化粪池后委托拉运，不外排。</w:t>
                  </w:r>
                </w:p>
              </w:tc>
              <w:tc>
                <w:tcPr>
                  <w:tcW w:w="900" w:type="dxa"/>
                  <w:tcBorders>
                    <w:right w:val="nil"/>
                  </w:tcBorders>
                  <w:vAlign w:val="center"/>
                </w:tcPr>
                <w:p w14:paraId="57FE53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符合</w:t>
                  </w:r>
                </w:p>
              </w:tc>
            </w:tr>
            <w:tr w14:paraId="0C7A0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502" w:type="dxa"/>
                  <w:tcBorders>
                    <w:left w:val="nil"/>
                  </w:tcBorders>
                  <w:vAlign w:val="center"/>
                </w:tcPr>
                <w:p w14:paraId="279411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应对采矿废石等固体废物采取回填、筑路、制作建筑材料等方式资源综合利用，提高综合利用率。无法利用的必须使用专用场所堆放，并采取有效措施防止二次环境污染及诱发次生地质灾害，固体废物处置率100%。废石堆场按《一般工业固体废物贮存和填埋污染控制标准》(GB18599)要求建设。生活垃圾实现100%无害化处置</w:t>
                  </w:r>
                </w:p>
              </w:tc>
              <w:tc>
                <w:tcPr>
                  <w:tcW w:w="2741" w:type="dxa"/>
                  <w:vAlign w:val="center"/>
                </w:tcPr>
                <w:p w14:paraId="0A2EEE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办公、生活区的生活垃圾委托环卫部门处置；本项目剥离表土拉运至表土堆场堆放，并进行防尘网苫盖，用于后期矿区回填；除尘设备收集的尘回用于生产；搅拌过程中产生的不合格品回用于生产；沉淀池污泥收集后掺入砂石料外售；废润滑油及油桶收集在危废贮存库，定期委托有资质的单位进行处置；</w:t>
                  </w:r>
                </w:p>
              </w:tc>
              <w:tc>
                <w:tcPr>
                  <w:tcW w:w="900" w:type="dxa"/>
                  <w:tcBorders>
                    <w:right w:val="nil"/>
                  </w:tcBorders>
                  <w:vAlign w:val="center"/>
                </w:tcPr>
                <w:p w14:paraId="59F85B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符合</w:t>
                  </w:r>
                </w:p>
              </w:tc>
            </w:tr>
            <w:tr w14:paraId="444C7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3" w:hRule="atLeast"/>
              </w:trPr>
              <w:tc>
                <w:tcPr>
                  <w:tcW w:w="3502" w:type="dxa"/>
                  <w:tcBorders>
                    <w:left w:val="nil"/>
                  </w:tcBorders>
                  <w:vAlign w:val="center"/>
                </w:tcPr>
                <w:p w14:paraId="07BADE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新建、改（扩）建矿山应在矿山开采前完成《矿山生态环境保护与恢复治理方案》编制工作。位于荒漠和风沙区的矿产资源开发应尽可能避开易发生风蚀和生态退化地带；排土场、料场等场地应采取围挡和覆盖等防风蚀措施。水蚀敏感区矿产资源开发应科学设置露天采场、排土场及料场，并采取边坡防护、工程拦挡等水土保持措施。矿山生产过程中应采取复垦措施，对露天坑、废石场等永久性坡面进行稳定化处理，防止水土流失和滑坡。历史遗留矿山开采破坏土地复垦率达到45%以上，新建矿山应做到边开采、边复垦，破坏土地复垦率达到85%以上</w:t>
                  </w:r>
                </w:p>
              </w:tc>
              <w:tc>
                <w:tcPr>
                  <w:tcW w:w="2741" w:type="dxa"/>
                  <w:vAlign w:val="center"/>
                </w:tcPr>
                <w:p w14:paraId="5593C3B6">
                  <w:pPr>
                    <w:keepNext w:val="0"/>
                    <w:keepLines w:val="0"/>
                    <w:widowControl/>
                    <w:suppressLineNumbers w:val="0"/>
                    <w:spacing w:line="240" w:lineRule="auto"/>
                    <w:jc w:val="left"/>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项目开工开采前，已委托具备资质单位编制完成《矿山生态环境保护与恢复治理方案》；本项目地处荒漠风沙区域，矿区开采范围、加工区、堆场均布置在地形稳定、风蚀风险较低区域，不占用生态脆弱退化带；矿区料场、临时堆土场、排土场篷布遮盖，同步开启喷淋抑尘设备，有效抑制场地风蚀、起沙扬尘；项目为新建砂场矿山，严格执行边开采、边治理、边复垦原则，对开采过程中临时破坏、占用的土地及时开展平整、覆土、植被恢复、场地修复工作。</w:t>
                  </w:r>
                </w:p>
              </w:tc>
              <w:tc>
                <w:tcPr>
                  <w:tcW w:w="900" w:type="dxa"/>
                  <w:tcBorders>
                    <w:right w:val="nil"/>
                  </w:tcBorders>
                  <w:vAlign w:val="center"/>
                </w:tcPr>
                <w:p w14:paraId="4E6450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符合</w:t>
                  </w:r>
                </w:p>
              </w:tc>
            </w:tr>
          </w:tbl>
          <w:p w14:paraId="3C9B3EF5">
            <w:pPr>
              <w:keepNext w:val="0"/>
              <w:keepLines w:val="0"/>
              <w:pageBreakBefore w:val="0"/>
              <w:kinsoku/>
              <w:overflowPunct/>
              <w:topLinePunct w:val="0"/>
              <w:autoSpaceDE w:val="0"/>
              <w:autoSpaceDN w:val="0"/>
              <w:bidi w:val="0"/>
              <w:adjustRightInd w:val="0"/>
              <w:snapToGrid w:val="0"/>
              <w:spacing w:beforeAutospacing="0" w:afterAutospacing="0" w:line="360" w:lineRule="auto"/>
              <w:ind w:right="0" w:firstLine="480" w:firstLineChars="200"/>
              <w:rPr>
                <w:rFonts w:hint="default" w:ascii="Times New Roman" w:hAnsi="Times New Roman" w:eastAsia="宋体" w:cs="Times New Roman"/>
                <w:color w:val="auto"/>
                <w:spacing w:val="0"/>
                <w:kern w:val="0"/>
                <w:sz w:val="24"/>
                <w:szCs w:val="18"/>
                <w:highlight w:val="none"/>
                <w:lang w:val="en-US" w:eastAsia="zh-CN" w:bidi="ar-SA"/>
              </w:rPr>
            </w:pPr>
          </w:p>
          <w:p w14:paraId="17913ADF">
            <w:pPr>
              <w:pStyle w:val="3"/>
              <w:spacing w:line="360" w:lineRule="auto"/>
              <w:ind w:left="0" w:leftChars="0" w:firstLine="0" w:firstLineChars="0"/>
              <w:rPr>
                <w:rFonts w:hint="default" w:ascii="Times New Roman" w:hAnsi="Times New Roman" w:eastAsia="宋体" w:cs="Times New Roman"/>
                <w:color w:val="auto"/>
                <w:spacing w:val="0"/>
                <w:highlight w:val="none"/>
                <w:lang w:val="en-US" w:eastAsia="zh-CN"/>
              </w:rPr>
            </w:pPr>
          </w:p>
        </w:tc>
      </w:tr>
    </w:tbl>
    <w:p w14:paraId="36B994C6">
      <w:pPr>
        <w:keepNext w:val="0"/>
        <w:keepLines w:val="0"/>
        <w:pageBreakBefore w:val="0"/>
        <w:kinsoku/>
        <w:overflowPunct/>
        <w:topLinePunct w:val="0"/>
        <w:bidi w:val="0"/>
        <w:spacing w:beforeAutospacing="0" w:afterAutospacing="0" w:line="360" w:lineRule="auto"/>
        <w:ind w:left="0" w:leftChars="0" w:right="0"/>
        <w:outlineLvl w:val="0"/>
        <w:rPr>
          <w:rFonts w:hint="default" w:ascii="Times New Roman" w:hAnsi="Times New Roman" w:eastAsia="宋体" w:cs="Times New Roman"/>
          <w:color w:val="auto"/>
          <w:spacing w:val="0"/>
          <w:w w:val="100"/>
          <w:position w:val="0"/>
          <w:sz w:val="30"/>
          <w:highlight w:val="none"/>
        </w:rPr>
        <w:sectPr>
          <w:footerReference r:id="rId7"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7E71AC05">
      <w:pPr>
        <w:pStyle w:val="34"/>
        <w:keepNext w:val="0"/>
        <w:keepLines w:val="0"/>
        <w:pageBreakBefore w:val="0"/>
        <w:kinsoku/>
        <w:overflowPunct/>
        <w:topLinePunct w:val="0"/>
        <w:bidi w:val="0"/>
        <w:spacing w:before="0" w:beforeAutospacing="0" w:after="0" w:afterAutospacing="0"/>
        <w:ind w:left="0" w:leftChars="0" w:right="0"/>
        <w:jc w:val="center"/>
        <w:outlineLvl w:val="0"/>
        <w:rPr>
          <w:rFonts w:hint="default" w:ascii="Times New Roman" w:hAnsi="Times New Roman" w:eastAsia="宋体" w:cs="Times New Roman"/>
          <w:b/>
          <w:bCs/>
          <w:snapToGrid w:val="0"/>
          <w:color w:val="auto"/>
          <w:spacing w:val="0"/>
          <w:w w:val="100"/>
          <w:position w:val="0"/>
          <w:sz w:val="30"/>
          <w:szCs w:val="30"/>
          <w:highlight w:val="none"/>
        </w:rPr>
      </w:pPr>
      <w:r>
        <w:rPr>
          <w:rFonts w:hint="default" w:ascii="Times New Roman" w:hAnsi="Times New Roman" w:eastAsia="宋体" w:cs="Times New Roman"/>
          <w:b/>
          <w:bCs/>
          <w:snapToGrid w:val="0"/>
          <w:color w:val="auto"/>
          <w:spacing w:val="0"/>
          <w:w w:val="100"/>
          <w:position w:val="0"/>
          <w:sz w:val="30"/>
          <w:szCs w:val="30"/>
          <w:highlight w:val="none"/>
        </w:rPr>
        <w:t>二、建设内容</w:t>
      </w:r>
    </w:p>
    <w:tbl>
      <w:tblPr>
        <w:tblStyle w:val="38"/>
        <w:tblW w:w="495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79"/>
        <w:gridCol w:w="8391"/>
      </w:tblGrid>
      <w:tr w14:paraId="48022B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3" w:type="dxa"/>
            <w:noWrap w:val="0"/>
            <w:vAlign w:val="center"/>
          </w:tcPr>
          <w:p w14:paraId="4BD811BA">
            <w:pPr>
              <w:keepNext w:val="0"/>
              <w:keepLines w:val="0"/>
              <w:pageBreakBefore w:val="0"/>
              <w:kinsoku/>
              <w:overflowPunct/>
              <w:topLinePunct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kern w:val="0"/>
                <w:position w:val="0"/>
                <w:szCs w:val="21"/>
                <w:highlight w:val="none"/>
              </w:rPr>
            </w:pPr>
            <w:r>
              <w:rPr>
                <w:rFonts w:hint="default" w:ascii="Times New Roman" w:hAnsi="Times New Roman" w:eastAsia="宋体" w:cs="Times New Roman"/>
                <w:color w:val="auto"/>
                <w:spacing w:val="0"/>
                <w:w w:val="100"/>
                <w:kern w:val="0"/>
                <w:position w:val="0"/>
                <w:sz w:val="24"/>
                <w:szCs w:val="24"/>
                <w:highlight w:val="none"/>
              </w:rPr>
              <w:t>地理位置</w:t>
            </w:r>
          </w:p>
        </w:tc>
        <w:tc>
          <w:tcPr>
            <w:tcW w:w="9019" w:type="dxa"/>
            <w:noWrap w:val="0"/>
            <w:vAlign w:val="center"/>
          </w:tcPr>
          <w:p w14:paraId="3A35F5C3">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firstLine="480" w:firstLineChars="200"/>
              <w:jc w:val="left"/>
              <w:textAlignment w:val="auto"/>
              <w:rPr>
                <w:rFonts w:hint="default" w:ascii="Times New Roman" w:hAnsi="Times New Roman" w:eastAsia="宋体" w:cs="Times New Roman"/>
                <w:color w:val="auto"/>
                <w:spacing w:val="0"/>
                <w:w w:val="100"/>
                <w:kern w:val="2"/>
                <w:position w:val="0"/>
                <w:sz w:val="24"/>
                <w:szCs w:val="24"/>
                <w:highlight w:val="none"/>
                <w:lang w:val="en-US" w:eastAsia="zh-CN" w:bidi="ar-SA"/>
              </w:rPr>
            </w:pPr>
            <w:r>
              <w:rPr>
                <w:rFonts w:hint="default" w:ascii="Times New Roman" w:hAnsi="Times New Roman" w:eastAsia="宋体" w:cs="Times New Roman"/>
                <w:color w:val="auto"/>
                <w:spacing w:val="0"/>
                <w:w w:val="100"/>
                <w:kern w:val="2"/>
                <w:position w:val="0"/>
                <w:sz w:val="24"/>
                <w:szCs w:val="24"/>
                <w:highlight w:val="none"/>
                <w:lang w:val="en-US" w:eastAsia="zh-CN" w:bidi="ar-SA"/>
              </w:rPr>
              <w:t>本项目位于</w:t>
            </w:r>
            <w:r>
              <w:rPr>
                <w:rFonts w:hint="default" w:ascii="Times New Roman" w:hAnsi="Times New Roman" w:eastAsia="宋体" w:cs="Times New Roman"/>
                <w:color w:val="auto"/>
                <w:spacing w:val="0"/>
                <w:w w:val="100"/>
                <w:position w:val="0"/>
                <w:sz w:val="24"/>
                <w:szCs w:val="24"/>
                <w:highlight w:val="none"/>
                <w:lang w:val="en-US" w:eastAsia="zh-CN"/>
              </w:rPr>
              <w:t>新疆维吾尔自治区昌吉回族自治州吉木萨尔县273°方向，直距约14千米，属吉木萨尔县管辖</w:t>
            </w:r>
            <w:r>
              <w:rPr>
                <w:rFonts w:hint="default" w:ascii="Times New Roman" w:hAnsi="Times New Roman" w:eastAsia="宋体" w:cs="Times New Roman"/>
                <w:color w:val="auto"/>
                <w:spacing w:val="0"/>
                <w:w w:val="100"/>
                <w:kern w:val="2"/>
                <w:position w:val="0"/>
                <w:sz w:val="24"/>
                <w:szCs w:val="24"/>
                <w:highlight w:val="none"/>
                <w:lang w:val="en-US" w:eastAsia="zh-CN" w:bidi="ar-SA"/>
              </w:rPr>
              <w:t>。</w:t>
            </w:r>
          </w:p>
          <w:p w14:paraId="76AC1A97">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firstLine="480" w:firstLineChars="200"/>
              <w:jc w:val="both"/>
              <w:textAlignment w:val="auto"/>
              <w:rPr>
                <w:rFonts w:hint="default" w:ascii="Times New Roman" w:hAnsi="Times New Roman" w:eastAsia="宋体" w:cs="Times New Roman"/>
                <w:color w:val="auto"/>
                <w:spacing w:val="0"/>
                <w:w w:val="100"/>
                <w:kern w:val="2"/>
                <w:position w:val="0"/>
                <w:sz w:val="24"/>
                <w:szCs w:val="24"/>
                <w:highlight w:val="none"/>
                <w:lang w:val="en-US" w:eastAsia="zh-CN" w:bidi="ar-SA"/>
              </w:rPr>
            </w:pPr>
            <w:r>
              <w:rPr>
                <w:rFonts w:hint="default" w:ascii="Times New Roman" w:hAnsi="Times New Roman" w:eastAsia="宋体" w:cs="Times New Roman"/>
                <w:color w:val="auto"/>
                <w:spacing w:val="0"/>
                <w:w w:val="100"/>
                <w:kern w:val="2"/>
                <w:position w:val="0"/>
                <w:sz w:val="24"/>
                <w:szCs w:val="24"/>
                <w:highlight w:val="none"/>
                <w:lang w:val="en-US" w:eastAsia="zh-CN" w:bidi="ar-SA"/>
              </w:rPr>
              <w:t>矿区中心地理坐标为：东经89°00'04.284"；北纬44°00'30.160"，面积为0.5207平方千米。开采标高为676～636米，开采深度为自地表以下20米，矿区范围由5个拐点组成，</w:t>
            </w:r>
          </w:p>
          <w:p w14:paraId="5B7E2D6E">
            <w:pPr>
              <w:keepNext w:val="0"/>
              <w:keepLines w:val="0"/>
              <w:pageBreakBefore w:val="0"/>
              <w:kinsoku/>
              <w:overflowPunct/>
              <w:topLinePunct w:val="0"/>
              <w:bidi w:val="0"/>
              <w:adjustRightInd w:val="0"/>
              <w:snapToGrid w:val="0"/>
              <w:spacing w:beforeAutospacing="0" w:afterAutospacing="0"/>
              <w:ind w:left="0" w:leftChars="0" w:right="0"/>
              <w:jc w:val="center"/>
              <w:rPr>
                <w:rFonts w:hint="default" w:ascii="Times New Roman" w:hAnsi="Times New Roman" w:eastAsia="宋体" w:cs="Times New Roman"/>
                <w:b/>
                <w:bCs/>
                <w:color w:val="auto"/>
                <w:spacing w:val="0"/>
                <w:w w:val="100"/>
                <w:position w:val="0"/>
                <w:szCs w:val="21"/>
                <w:highlight w:val="none"/>
              </w:rPr>
            </w:pPr>
            <w:r>
              <w:rPr>
                <w:rFonts w:hint="default" w:ascii="Times New Roman" w:hAnsi="Times New Roman" w:eastAsia="宋体" w:cs="Times New Roman"/>
                <w:b/>
                <w:bCs/>
                <w:color w:val="auto"/>
                <w:spacing w:val="0"/>
                <w:w w:val="100"/>
                <w:position w:val="0"/>
                <w:szCs w:val="21"/>
                <w:highlight w:val="none"/>
                <w:lang w:val="en-US" w:eastAsia="zh-CN"/>
              </w:rPr>
              <w:t xml:space="preserve">表2-1    </w:t>
            </w:r>
            <w:r>
              <w:rPr>
                <w:rFonts w:hint="default" w:ascii="Times New Roman" w:hAnsi="Times New Roman" w:eastAsia="宋体" w:cs="Times New Roman"/>
                <w:b/>
                <w:bCs/>
                <w:color w:val="auto"/>
                <w:spacing w:val="0"/>
                <w:w w:val="100"/>
                <w:position w:val="0"/>
                <w:szCs w:val="21"/>
                <w:highlight w:val="none"/>
              </w:rPr>
              <w:t>矿区范围拐点坐标表</w:t>
            </w:r>
          </w:p>
          <w:tbl>
            <w:tblPr>
              <w:tblStyle w:val="38"/>
              <w:tblW w:w="4949"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992"/>
              <w:gridCol w:w="1374"/>
              <w:gridCol w:w="1605"/>
              <w:gridCol w:w="2012"/>
              <w:gridCol w:w="2110"/>
            </w:tblGrid>
            <w:tr w14:paraId="20A1794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31" w:type="dxa"/>
                  <w:vMerge w:val="restart"/>
                  <w:noWrap w:val="0"/>
                  <w:vAlign w:val="center"/>
                </w:tcPr>
                <w:p w14:paraId="68B6E64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b/>
                      <w:bCs/>
                      <w:i w:val="0"/>
                      <w:iC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bCs/>
                      <w:i w:val="0"/>
                      <w:iCs w:val="0"/>
                      <w:color w:val="auto"/>
                      <w:spacing w:val="0"/>
                      <w:w w:val="100"/>
                      <w:kern w:val="0"/>
                      <w:position w:val="0"/>
                      <w:sz w:val="21"/>
                      <w:szCs w:val="21"/>
                      <w:highlight w:val="none"/>
                      <w:u w:val="none"/>
                      <w:lang w:val="en-US" w:eastAsia="zh-CN" w:bidi="ar"/>
                    </w:rPr>
                    <w:t>拐点</w:t>
                  </w:r>
                </w:p>
                <w:p w14:paraId="34C75C4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b/>
                      <w:bCs/>
                      <w:i w:val="0"/>
                      <w:iC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bCs/>
                      <w:i w:val="0"/>
                      <w:iCs w:val="0"/>
                      <w:color w:val="auto"/>
                      <w:spacing w:val="0"/>
                      <w:w w:val="100"/>
                      <w:kern w:val="0"/>
                      <w:position w:val="0"/>
                      <w:sz w:val="21"/>
                      <w:szCs w:val="21"/>
                      <w:highlight w:val="none"/>
                      <w:u w:val="none"/>
                      <w:lang w:val="en-US" w:eastAsia="zh-CN" w:bidi="ar"/>
                    </w:rPr>
                    <w:t>编号</w:t>
                  </w:r>
                </w:p>
              </w:tc>
              <w:tc>
                <w:tcPr>
                  <w:tcW w:w="2797" w:type="dxa"/>
                  <w:gridSpan w:val="2"/>
                  <w:noWrap w:val="0"/>
                  <w:vAlign w:val="center"/>
                </w:tcPr>
                <w:p w14:paraId="7EA7613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b/>
                      <w:bCs/>
                      <w:i w:val="0"/>
                      <w:iC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bCs/>
                      <w:i w:val="0"/>
                      <w:iCs w:val="0"/>
                      <w:color w:val="auto"/>
                      <w:spacing w:val="0"/>
                      <w:w w:val="100"/>
                      <w:kern w:val="0"/>
                      <w:position w:val="0"/>
                      <w:sz w:val="21"/>
                      <w:szCs w:val="21"/>
                      <w:highlight w:val="none"/>
                      <w:u w:val="none"/>
                      <w:lang w:val="en-US" w:eastAsia="zh-CN" w:bidi="ar"/>
                    </w:rPr>
                    <w:t>直角坐标（</w:t>
                  </w:r>
                  <w:r>
                    <w:rPr>
                      <w:rFonts w:hint="default" w:ascii="Times New Roman" w:hAnsi="Times New Roman" w:eastAsia="宋体" w:cs="Times New Roman"/>
                      <w:color w:val="auto"/>
                      <w:spacing w:val="0"/>
                      <w:w w:val="100"/>
                      <w:kern w:val="2"/>
                      <w:position w:val="0"/>
                      <w:sz w:val="21"/>
                      <w:szCs w:val="21"/>
                      <w:highlight w:val="none"/>
                      <w:lang w:val="en-US" w:eastAsia="zh-CN" w:bidi="ar-SA"/>
                    </w:rPr>
                    <w:t>CGCS2000）</w:t>
                  </w:r>
                </w:p>
              </w:tc>
              <w:tc>
                <w:tcPr>
                  <w:tcW w:w="3871" w:type="dxa"/>
                  <w:gridSpan w:val="2"/>
                  <w:noWrap w:val="0"/>
                  <w:vAlign w:val="center"/>
                </w:tcPr>
                <w:p w14:paraId="430D86C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b/>
                      <w:bCs/>
                      <w:i w:val="0"/>
                      <w:iC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bCs/>
                      <w:i w:val="0"/>
                      <w:iCs w:val="0"/>
                      <w:color w:val="auto"/>
                      <w:spacing w:val="0"/>
                      <w:w w:val="100"/>
                      <w:kern w:val="0"/>
                      <w:position w:val="0"/>
                      <w:sz w:val="21"/>
                      <w:szCs w:val="21"/>
                      <w:highlight w:val="none"/>
                      <w:u w:val="none"/>
                      <w:lang w:val="en-US" w:eastAsia="zh-CN" w:bidi="ar"/>
                    </w:rPr>
                    <w:t>地理坐标（</w:t>
                  </w:r>
                  <w:r>
                    <w:rPr>
                      <w:rFonts w:hint="default" w:ascii="Times New Roman" w:hAnsi="Times New Roman" w:eastAsia="宋体" w:cs="Times New Roman"/>
                      <w:color w:val="auto"/>
                      <w:spacing w:val="0"/>
                      <w:w w:val="100"/>
                      <w:kern w:val="2"/>
                      <w:position w:val="0"/>
                      <w:sz w:val="21"/>
                      <w:szCs w:val="21"/>
                      <w:highlight w:val="none"/>
                      <w:lang w:val="en-US" w:eastAsia="zh-CN" w:bidi="ar-SA"/>
                    </w:rPr>
                    <w:t>CGCS2000）</w:t>
                  </w:r>
                </w:p>
              </w:tc>
            </w:tr>
            <w:tr w14:paraId="04B34E7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31" w:type="dxa"/>
                  <w:vMerge w:val="continue"/>
                  <w:tcBorders>
                    <w:bottom w:val="single" w:color="000000" w:sz="12" w:space="0"/>
                  </w:tcBorders>
                  <w:noWrap w:val="0"/>
                  <w:vAlign w:val="center"/>
                </w:tcPr>
                <w:p w14:paraId="5D55186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b/>
                      <w:bCs/>
                      <w:i w:val="0"/>
                      <w:iCs w:val="0"/>
                      <w:color w:val="auto"/>
                      <w:spacing w:val="0"/>
                      <w:w w:val="100"/>
                      <w:kern w:val="0"/>
                      <w:position w:val="0"/>
                      <w:sz w:val="21"/>
                      <w:szCs w:val="21"/>
                      <w:highlight w:val="none"/>
                      <w:u w:val="none"/>
                      <w:lang w:val="en-US" w:eastAsia="zh-CN" w:bidi="ar"/>
                    </w:rPr>
                  </w:pPr>
                </w:p>
              </w:tc>
              <w:tc>
                <w:tcPr>
                  <w:tcW w:w="1290" w:type="dxa"/>
                  <w:tcBorders>
                    <w:bottom w:val="single" w:color="000000" w:sz="12" w:space="0"/>
                  </w:tcBorders>
                  <w:noWrap w:val="0"/>
                  <w:vAlign w:val="center"/>
                </w:tcPr>
                <w:p w14:paraId="3916073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b/>
                      <w:bCs/>
                      <w:i w:val="0"/>
                      <w:iC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bCs/>
                      <w:i w:val="0"/>
                      <w:iCs w:val="0"/>
                      <w:color w:val="auto"/>
                      <w:spacing w:val="0"/>
                      <w:w w:val="100"/>
                      <w:kern w:val="0"/>
                      <w:position w:val="0"/>
                      <w:sz w:val="21"/>
                      <w:szCs w:val="21"/>
                      <w:highlight w:val="none"/>
                      <w:u w:val="none"/>
                      <w:lang w:val="en-US" w:eastAsia="zh-CN" w:bidi="ar"/>
                    </w:rPr>
                    <w:t>X</w:t>
                  </w:r>
                </w:p>
              </w:tc>
              <w:tc>
                <w:tcPr>
                  <w:tcW w:w="1507" w:type="dxa"/>
                  <w:tcBorders>
                    <w:bottom w:val="single" w:color="000000" w:sz="12" w:space="0"/>
                  </w:tcBorders>
                  <w:noWrap w:val="0"/>
                  <w:vAlign w:val="center"/>
                </w:tcPr>
                <w:p w14:paraId="7562DC4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b/>
                      <w:bCs/>
                      <w:i w:val="0"/>
                      <w:iC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bCs/>
                      <w:i w:val="0"/>
                      <w:iCs w:val="0"/>
                      <w:color w:val="auto"/>
                      <w:spacing w:val="0"/>
                      <w:w w:val="100"/>
                      <w:kern w:val="0"/>
                      <w:position w:val="0"/>
                      <w:sz w:val="21"/>
                      <w:szCs w:val="21"/>
                      <w:highlight w:val="none"/>
                      <w:u w:val="none"/>
                      <w:lang w:val="en-US" w:eastAsia="zh-CN" w:bidi="ar"/>
                    </w:rPr>
                    <w:t>Y</w:t>
                  </w:r>
                </w:p>
              </w:tc>
              <w:tc>
                <w:tcPr>
                  <w:tcW w:w="1889" w:type="dxa"/>
                  <w:tcBorders>
                    <w:bottom w:val="single" w:color="000000" w:sz="12" w:space="0"/>
                  </w:tcBorders>
                  <w:noWrap w:val="0"/>
                  <w:vAlign w:val="center"/>
                </w:tcPr>
                <w:p w14:paraId="0CB8949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b/>
                      <w:bCs/>
                      <w:i w:val="0"/>
                      <w:iC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bCs/>
                      <w:i w:val="0"/>
                      <w:iCs w:val="0"/>
                      <w:color w:val="auto"/>
                      <w:spacing w:val="0"/>
                      <w:w w:val="100"/>
                      <w:kern w:val="0"/>
                      <w:position w:val="0"/>
                      <w:sz w:val="21"/>
                      <w:szCs w:val="21"/>
                      <w:highlight w:val="none"/>
                      <w:u w:val="none"/>
                      <w:lang w:val="en-US" w:eastAsia="zh-CN" w:bidi="ar"/>
                    </w:rPr>
                    <w:t>东经</w:t>
                  </w:r>
                </w:p>
              </w:tc>
              <w:tc>
                <w:tcPr>
                  <w:tcW w:w="1982" w:type="dxa"/>
                  <w:tcBorders>
                    <w:bottom w:val="single" w:color="000000" w:sz="12" w:space="0"/>
                  </w:tcBorders>
                  <w:noWrap w:val="0"/>
                  <w:vAlign w:val="center"/>
                </w:tcPr>
                <w:p w14:paraId="50E89C9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b/>
                      <w:bCs/>
                      <w:i w:val="0"/>
                      <w:iC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b/>
                      <w:bCs/>
                      <w:i w:val="0"/>
                      <w:iCs w:val="0"/>
                      <w:color w:val="auto"/>
                      <w:spacing w:val="0"/>
                      <w:w w:val="100"/>
                      <w:kern w:val="0"/>
                      <w:position w:val="0"/>
                      <w:sz w:val="21"/>
                      <w:szCs w:val="21"/>
                      <w:highlight w:val="none"/>
                      <w:u w:val="none"/>
                      <w:lang w:val="en-US" w:eastAsia="zh-CN" w:bidi="ar"/>
                    </w:rPr>
                    <w:t>北纬</w:t>
                  </w:r>
                </w:p>
              </w:tc>
            </w:tr>
            <w:tr w14:paraId="4122AB2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31" w:type="dxa"/>
                  <w:tcBorders>
                    <w:top w:val="single" w:color="000000" w:sz="12" w:space="0"/>
                    <w:tl2br w:val="nil"/>
                    <w:tr2bl w:val="nil"/>
                  </w:tcBorders>
                  <w:noWrap w:val="0"/>
                  <w:vAlign w:val="center"/>
                </w:tcPr>
                <w:p w14:paraId="64D46C2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t>S1</w:t>
                  </w:r>
                </w:p>
              </w:tc>
              <w:tc>
                <w:tcPr>
                  <w:tcW w:w="1290" w:type="dxa"/>
                  <w:tcBorders>
                    <w:top w:val="single" w:color="000000" w:sz="12" w:space="0"/>
                    <w:tl2br w:val="nil"/>
                    <w:tr2bl w:val="nil"/>
                  </w:tcBorders>
                  <w:noWrap w:val="0"/>
                  <w:vAlign w:val="center"/>
                </w:tcPr>
                <w:p w14:paraId="5C7CF26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t>30419396.21</w:t>
                  </w:r>
                </w:p>
              </w:tc>
              <w:tc>
                <w:tcPr>
                  <w:tcW w:w="1507" w:type="dxa"/>
                  <w:tcBorders>
                    <w:top w:val="single" w:color="000000" w:sz="12" w:space="0"/>
                    <w:tl2br w:val="nil"/>
                    <w:tr2bl w:val="nil"/>
                  </w:tcBorders>
                  <w:noWrap w:val="0"/>
                  <w:vAlign w:val="center"/>
                </w:tcPr>
                <w:p w14:paraId="1B2422D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t>4875531.75</w:t>
                  </w:r>
                </w:p>
              </w:tc>
              <w:tc>
                <w:tcPr>
                  <w:tcW w:w="1889" w:type="dxa"/>
                  <w:tcBorders>
                    <w:top w:val="single" w:color="000000" w:sz="12" w:space="0"/>
                    <w:tl2br w:val="nil"/>
                    <w:tr2bl w:val="nil"/>
                  </w:tcBorders>
                  <w:noWrap w:val="0"/>
                  <w:vAlign w:val="center"/>
                </w:tcPr>
                <w:p w14:paraId="03D0BFB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t>88°59'41.5”</w:t>
                  </w:r>
                </w:p>
              </w:tc>
              <w:tc>
                <w:tcPr>
                  <w:tcW w:w="1982" w:type="dxa"/>
                  <w:tcBorders>
                    <w:top w:val="single" w:color="000000" w:sz="12" w:space="0"/>
                    <w:tl2br w:val="nil"/>
                    <w:tr2bl w:val="nil"/>
                  </w:tcBorders>
                  <w:noWrap w:val="0"/>
                  <w:vAlign w:val="center"/>
                </w:tcPr>
                <w:p w14:paraId="2E889A5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t>44°00'39.4″</w:t>
                  </w:r>
                </w:p>
              </w:tc>
            </w:tr>
            <w:tr w14:paraId="7606F4D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31" w:type="dxa"/>
                  <w:tcBorders>
                    <w:tl2br w:val="nil"/>
                    <w:tr2bl w:val="nil"/>
                  </w:tcBorders>
                  <w:noWrap w:val="0"/>
                  <w:vAlign w:val="center"/>
                </w:tcPr>
                <w:p w14:paraId="00CC9AC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t>S2</w:t>
                  </w:r>
                </w:p>
              </w:tc>
              <w:tc>
                <w:tcPr>
                  <w:tcW w:w="1290" w:type="dxa"/>
                  <w:tcBorders>
                    <w:tl2br w:val="nil"/>
                    <w:tr2bl w:val="nil"/>
                  </w:tcBorders>
                  <w:noWrap w:val="0"/>
                  <w:vAlign w:val="center"/>
                </w:tcPr>
                <w:p w14:paraId="40237B9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t>30419471.68</w:t>
                  </w:r>
                </w:p>
              </w:tc>
              <w:tc>
                <w:tcPr>
                  <w:tcW w:w="1507" w:type="dxa"/>
                  <w:tcBorders>
                    <w:tl2br w:val="nil"/>
                    <w:tr2bl w:val="nil"/>
                  </w:tcBorders>
                  <w:noWrap w:val="0"/>
                  <w:vAlign w:val="center"/>
                </w:tcPr>
                <w:p w14:paraId="623FF0E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t>4875554.95</w:t>
                  </w:r>
                </w:p>
              </w:tc>
              <w:tc>
                <w:tcPr>
                  <w:tcW w:w="1889" w:type="dxa"/>
                  <w:tcBorders>
                    <w:tl2br w:val="nil"/>
                    <w:tr2bl w:val="nil"/>
                  </w:tcBorders>
                  <w:noWrap w:val="0"/>
                  <w:vAlign w:val="center"/>
                </w:tcPr>
                <w:p w14:paraId="260A518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t>88°59'44.9”</w:t>
                  </w:r>
                </w:p>
              </w:tc>
              <w:tc>
                <w:tcPr>
                  <w:tcW w:w="1982" w:type="dxa"/>
                  <w:tcBorders>
                    <w:tl2br w:val="nil"/>
                    <w:tr2bl w:val="nil"/>
                  </w:tcBorders>
                  <w:noWrap w:val="0"/>
                  <w:vAlign w:val="center"/>
                </w:tcPr>
                <w:p w14:paraId="2CAA7D1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t>44°00'40.2"</w:t>
                  </w:r>
                </w:p>
              </w:tc>
            </w:tr>
            <w:tr w14:paraId="33E1556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31" w:type="dxa"/>
                  <w:tcBorders>
                    <w:tl2br w:val="nil"/>
                    <w:tr2bl w:val="nil"/>
                  </w:tcBorders>
                  <w:noWrap w:val="0"/>
                  <w:vAlign w:val="center"/>
                </w:tcPr>
                <w:p w14:paraId="2322668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t>S3</w:t>
                  </w:r>
                </w:p>
              </w:tc>
              <w:tc>
                <w:tcPr>
                  <w:tcW w:w="1290" w:type="dxa"/>
                  <w:tcBorders>
                    <w:tl2br w:val="nil"/>
                    <w:tr2bl w:val="nil"/>
                  </w:tcBorders>
                  <w:noWrap w:val="0"/>
                  <w:vAlign w:val="center"/>
                </w:tcPr>
                <w:p w14:paraId="3489561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t>30420232.57</w:t>
                  </w:r>
                </w:p>
              </w:tc>
              <w:tc>
                <w:tcPr>
                  <w:tcW w:w="1507" w:type="dxa"/>
                  <w:tcBorders>
                    <w:tl2br w:val="nil"/>
                    <w:tr2bl w:val="nil"/>
                  </w:tcBorders>
                  <w:noWrap w:val="0"/>
                  <w:vAlign w:val="center"/>
                </w:tcPr>
                <w:p w14:paraId="473F93E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t>4874935.78</w:t>
                  </w:r>
                </w:p>
              </w:tc>
              <w:tc>
                <w:tcPr>
                  <w:tcW w:w="1889" w:type="dxa"/>
                  <w:tcBorders>
                    <w:tl2br w:val="nil"/>
                    <w:tr2bl w:val="nil"/>
                  </w:tcBorders>
                  <w:noWrap w:val="0"/>
                  <w:vAlign w:val="center"/>
                </w:tcPr>
                <w:p w14:paraId="3FE3297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t>89°00'19.4″</w:t>
                  </w:r>
                </w:p>
              </w:tc>
              <w:tc>
                <w:tcPr>
                  <w:tcW w:w="1982" w:type="dxa"/>
                  <w:tcBorders>
                    <w:tl2br w:val="nil"/>
                    <w:tr2bl w:val="nil"/>
                  </w:tcBorders>
                  <w:noWrap w:val="0"/>
                  <w:vAlign w:val="center"/>
                </w:tcPr>
                <w:p w14:paraId="22CD404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t>44°00'20.4"</w:t>
                  </w:r>
                </w:p>
              </w:tc>
            </w:tr>
            <w:tr w14:paraId="6FE5D65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31" w:type="dxa"/>
                  <w:tcBorders>
                    <w:tl2br w:val="nil"/>
                    <w:tr2bl w:val="nil"/>
                  </w:tcBorders>
                  <w:noWrap w:val="0"/>
                  <w:vAlign w:val="center"/>
                </w:tcPr>
                <w:p w14:paraId="2A0A271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t>S4</w:t>
                  </w:r>
                </w:p>
              </w:tc>
              <w:tc>
                <w:tcPr>
                  <w:tcW w:w="1290" w:type="dxa"/>
                  <w:tcBorders>
                    <w:tl2br w:val="nil"/>
                    <w:tr2bl w:val="nil"/>
                  </w:tcBorders>
                  <w:noWrap w:val="0"/>
                  <w:vAlign w:val="center"/>
                </w:tcPr>
                <w:p w14:paraId="54200E3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t>30420060.41</w:t>
                  </w:r>
                </w:p>
              </w:tc>
              <w:tc>
                <w:tcPr>
                  <w:tcW w:w="1507" w:type="dxa"/>
                  <w:tcBorders>
                    <w:tl2br w:val="nil"/>
                    <w:tr2bl w:val="nil"/>
                  </w:tcBorders>
                  <w:noWrap w:val="0"/>
                  <w:vAlign w:val="center"/>
                </w:tcPr>
                <w:p w14:paraId="3DD206D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t>4874559.79</w:t>
                  </w:r>
                </w:p>
              </w:tc>
              <w:tc>
                <w:tcPr>
                  <w:tcW w:w="1889" w:type="dxa"/>
                  <w:tcBorders>
                    <w:tl2br w:val="nil"/>
                    <w:tr2bl w:val="nil"/>
                  </w:tcBorders>
                  <w:noWrap w:val="0"/>
                  <w:vAlign w:val="center"/>
                </w:tcPr>
                <w:p w14:paraId="6055642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t>89°00'11.8”</w:t>
                  </w:r>
                </w:p>
              </w:tc>
              <w:tc>
                <w:tcPr>
                  <w:tcW w:w="1982" w:type="dxa"/>
                  <w:tcBorders>
                    <w:tl2br w:val="nil"/>
                    <w:tr2bl w:val="nil"/>
                  </w:tcBorders>
                  <w:noWrap w:val="0"/>
                  <w:vAlign w:val="center"/>
                </w:tcPr>
                <w:p w14:paraId="7D95507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t>44°00'08.2"</w:t>
                  </w:r>
                </w:p>
              </w:tc>
            </w:tr>
            <w:tr w14:paraId="1A7ED30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931" w:type="dxa"/>
                  <w:tcBorders>
                    <w:tl2br w:val="nil"/>
                    <w:tr2bl w:val="nil"/>
                  </w:tcBorders>
                  <w:noWrap w:val="0"/>
                  <w:vAlign w:val="center"/>
                </w:tcPr>
                <w:p w14:paraId="6EF27D2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t>S5</w:t>
                  </w:r>
                </w:p>
              </w:tc>
              <w:tc>
                <w:tcPr>
                  <w:tcW w:w="1290" w:type="dxa"/>
                  <w:tcBorders>
                    <w:tl2br w:val="nil"/>
                    <w:tr2bl w:val="nil"/>
                  </w:tcBorders>
                  <w:noWrap w:val="0"/>
                  <w:vAlign w:val="center"/>
                </w:tcPr>
                <w:p w14:paraId="3EC268D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t>30419121.17</w:t>
                  </w:r>
                </w:p>
              </w:tc>
              <w:tc>
                <w:tcPr>
                  <w:tcW w:w="1507" w:type="dxa"/>
                  <w:tcBorders>
                    <w:tl2br w:val="nil"/>
                    <w:tr2bl w:val="nil"/>
                  </w:tcBorders>
                  <w:noWrap w:val="0"/>
                  <w:vAlign w:val="center"/>
                </w:tcPr>
                <w:p w14:paraId="4FB68D4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t>4875091.23</w:t>
                  </w:r>
                </w:p>
              </w:tc>
              <w:tc>
                <w:tcPr>
                  <w:tcW w:w="1889" w:type="dxa"/>
                  <w:tcBorders>
                    <w:tl2br w:val="nil"/>
                    <w:tr2bl w:val="nil"/>
                  </w:tcBorders>
                  <w:noWrap w:val="0"/>
                  <w:vAlign w:val="center"/>
                </w:tcPr>
                <w:p w14:paraId="1325FCC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t>88°59'29.4"</w:t>
                  </w:r>
                </w:p>
              </w:tc>
              <w:tc>
                <w:tcPr>
                  <w:tcW w:w="1982" w:type="dxa"/>
                  <w:tcBorders>
                    <w:tl2br w:val="nil"/>
                    <w:tr2bl w:val="nil"/>
                  </w:tcBorders>
                  <w:noWrap w:val="0"/>
                  <w:vAlign w:val="center"/>
                </w:tcPr>
                <w:p w14:paraId="3197C3A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pPr>
                  <w:r>
                    <w:rPr>
                      <w:rFonts w:hint="default" w:ascii="Times New Roman" w:hAnsi="Times New Roman" w:eastAsia="宋体" w:cs="Times New Roman"/>
                      <w:i w:val="0"/>
                      <w:iCs w:val="0"/>
                      <w:color w:val="auto"/>
                      <w:spacing w:val="0"/>
                      <w:w w:val="100"/>
                      <w:kern w:val="0"/>
                      <w:position w:val="0"/>
                      <w:sz w:val="21"/>
                      <w:szCs w:val="21"/>
                      <w:highlight w:val="none"/>
                      <w:u w:val="none"/>
                      <w:lang w:val="en-US" w:eastAsia="zh-CN" w:bidi="ar"/>
                    </w:rPr>
                    <w:t>44°00'25.0"</w:t>
                  </w:r>
                </w:p>
              </w:tc>
            </w:tr>
          </w:tbl>
          <w:p w14:paraId="7FC50F60">
            <w:pPr>
              <w:pStyle w:val="18"/>
              <w:keepNext w:val="0"/>
              <w:keepLines w:val="0"/>
              <w:pageBreakBefore w:val="0"/>
              <w:kinsoku/>
              <w:overflowPunct/>
              <w:topLinePunct w:val="0"/>
              <w:bidi w:val="0"/>
              <w:spacing w:beforeAutospacing="0" w:after="0" w:afterAutospacing="0"/>
              <w:ind w:left="0" w:leftChars="0" w:right="0"/>
              <w:rPr>
                <w:rFonts w:hint="default" w:ascii="Times New Roman" w:hAnsi="Times New Roman" w:eastAsia="宋体" w:cs="Times New Roman"/>
                <w:color w:val="auto"/>
                <w:spacing w:val="0"/>
                <w:w w:val="100"/>
                <w:position w:val="0"/>
                <w:highlight w:val="none"/>
                <w:lang w:val="en-US" w:eastAsia="zh-CN"/>
              </w:rPr>
            </w:pPr>
          </w:p>
        </w:tc>
      </w:tr>
      <w:tr w14:paraId="3FC9CD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3" w:type="dxa"/>
            <w:noWrap w:val="0"/>
            <w:vAlign w:val="center"/>
          </w:tcPr>
          <w:p w14:paraId="27A2222F">
            <w:pPr>
              <w:keepNext w:val="0"/>
              <w:keepLines w:val="0"/>
              <w:pageBreakBefore w:val="0"/>
              <w:kinsoku/>
              <w:overflowPunct/>
              <w:topLinePunct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kern w:val="0"/>
                <w:position w:val="0"/>
                <w:szCs w:val="21"/>
                <w:highlight w:val="none"/>
              </w:rPr>
            </w:pPr>
            <w:r>
              <w:rPr>
                <w:rFonts w:hint="default" w:ascii="Times New Roman" w:hAnsi="Times New Roman" w:eastAsia="宋体" w:cs="Times New Roman"/>
                <w:color w:val="auto"/>
                <w:spacing w:val="0"/>
                <w:w w:val="100"/>
                <w:kern w:val="0"/>
                <w:position w:val="0"/>
                <w:sz w:val="24"/>
                <w:szCs w:val="24"/>
                <w:highlight w:val="none"/>
              </w:rPr>
              <w:t>项目组成及规模</w:t>
            </w:r>
          </w:p>
        </w:tc>
        <w:tc>
          <w:tcPr>
            <w:tcW w:w="9019" w:type="dxa"/>
            <w:shd w:val="clear" w:color="auto" w:fill="auto"/>
            <w:noWrap w:val="0"/>
            <w:vAlign w:val="center"/>
          </w:tcPr>
          <w:p w14:paraId="3441BF4D">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jc w:val="left"/>
              <w:textAlignment w:val="auto"/>
              <w:rPr>
                <w:rFonts w:hint="default" w:ascii="Times New Roman" w:hAnsi="Times New Roman" w:eastAsia="宋体" w:cs="Times New Roman"/>
                <w:b/>
                <w:bCs/>
                <w:color w:val="auto"/>
                <w:spacing w:val="0"/>
                <w:w w:val="100"/>
                <w:kern w:val="2"/>
                <w:position w:val="0"/>
                <w:sz w:val="24"/>
                <w:szCs w:val="24"/>
                <w:highlight w:val="none"/>
                <w:lang w:val="en-US" w:eastAsia="zh-CN" w:bidi="ar-SA"/>
              </w:rPr>
            </w:pPr>
            <w:r>
              <w:rPr>
                <w:rFonts w:hint="default" w:ascii="Times New Roman" w:hAnsi="Times New Roman" w:eastAsia="宋体" w:cs="Times New Roman"/>
                <w:b/>
                <w:bCs/>
                <w:color w:val="auto"/>
                <w:spacing w:val="0"/>
                <w:w w:val="100"/>
                <w:kern w:val="2"/>
                <w:position w:val="0"/>
                <w:sz w:val="24"/>
                <w:szCs w:val="24"/>
                <w:highlight w:val="none"/>
                <w:lang w:val="en-US" w:eastAsia="zh-CN" w:bidi="ar-SA"/>
              </w:rPr>
              <w:t>1.项目概况</w:t>
            </w:r>
          </w:p>
          <w:p w14:paraId="6731E5F1">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firstLine="482" w:firstLineChars="200"/>
              <w:jc w:val="left"/>
              <w:textAlignment w:val="auto"/>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b/>
                <w:bCs/>
                <w:color w:val="auto"/>
                <w:spacing w:val="0"/>
                <w:w w:val="100"/>
                <w:kern w:val="2"/>
                <w:position w:val="0"/>
                <w:sz w:val="24"/>
                <w:szCs w:val="24"/>
                <w:highlight w:val="none"/>
                <w:lang w:val="en-US" w:eastAsia="zh-CN" w:bidi="ar-SA"/>
              </w:rPr>
              <w:t>项目名称：</w:t>
            </w:r>
            <w:r>
              <w:rPr>
                <w:rFonts w:hint="default" w:ascii="Times New Roman" w:hAnsi="Times New Roman" w:eastAsia="宋体" w:cs="Times New Roman"/>
                <w:color w:val="auto"/>
                <w:spacing w:val="0"/>
                <w:w w:val="100"/>
                <w:position w:val="0"/>
                <w:sz w:val="24"/>
                <w:szCs w:val="24"/>
                <w:highlight w:val="none"/>
                <w:lang w:val="en-US" w:eastAsia="zh-CN"/>
              </w:rPr>
              <w:t>吉木萨尔县庆阳湖乡1号建筑用砂矿项目</w:t>
            </w:r>
          </w:p>
          <w:p w14:paraId="50338794">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firstLine="482" w:firstLineChars="200"/>
              <w:jc w:val="left"/>
              <w:textAlignment w:val="auto"/>
              <w:rPr>
                <w:rFonts w:hint="default" w:ascii="Times New Roman" w:hAnsi="Times New Roman" w:eastAsia="宋体" w:cs="Times New Roman"/>
                <w:color w:val="auto"/>
                <w:spacing w:val="0"/>
                <w:w w:val="100"/>
                <w:kern w:val="2"/>
                <w:position w:val="0"/>
                <w:sz w:val="24"/>
                <w:szCs w:val="24"/>
                <w:highlight w:val="none"/>
                <w:lang w:val="en-US" w:eastAsia="zh-CN" w:bidi="ar-SA"/>
              </w:rPr>
            </w:pPr>
            <w:r>
              <w:rPr>
                <w:rFonts w:hint="default" w:ascii="Times New Roman" w:hAnsi="Times New Roman" w:eastAsia="宋体" w:cs="Times New Roman"/>
                <w:b/>
                <w:bCs/>
                <w:color w:val="auto"/>
                <w:spacing w:val="0"/>
                <w:w w:val="100"/>
                <w:kern w:val="2"/>
                <w:position w:val="0"/>
                <w:sz w:val="24"/>
                <w:szCs w:val="24"/>
                <w:highlight w:val="none"/>
                <w:lang w:val="en-US" w:eastAsia="zh-CN" w:bidi="ar-SA"/>
              </w:rPr>
              <w:t>项目建设地点</w:t>
            </w:r>
            <w:r>
              <w:rPr>
                <w:rFonts w:hint="default" w:ascii="Times New Roman" w:hAnsi="Times New Roman" w:eastAsia="宋体" w:cs="Times New Roman"/>
                <w:color w:val="auto"/>
                <w:spacing w:val="0"/>
                <w:w w:val="100"/>
                <w:kern w:val="2"/>
                <w:position w:val="0"/>
                <w:sz w:val="24"/>
                <w:szCs w:val="24"/>
                <w:highlight w:val="none"/>
                <w:lang w:val="en-US" w:eastAsia="zh-CN" w:bidi="ar-SA"/>
              </w:rPr>
              <w:t>：</w:t>
            </w:r>
            <w:r>
              <w:rPr>
                <w:rFonts w:hint="default" w:ascii="Times New Roman" w:hAnsi="Times New Roman" w:eastAsia="宋体" w:cs="Times New Roman"/>
                <w:color w:val="auto"/>
                <w:spacing w:val="0"/>
                <w:w w:val="100"/>
                <w:position w:val="0"/>
                <w:sz w:val="24"/>
                <w:szCs w:val="24"/>
                <w:highlight w:val="none"/>
                <w:lang w:val="en-US" w:eastAsia="zh-CN"/>
              </w:rPr>
              <w:t>新疆维吾尔自治区昌吉回族自治州吉木萨尔县庆阳湖乡</w:t>
            </w:r>
            <w:r>
              <w:rPr>
                <w:rFonts w:hint="default" w:ascii="Times New Roman" w:hAnsi="Times New Roman" w:eastAsia="宋体" w:cs="Times New Roman"/>
                <w:color w:val="auto"/>
                <w:spacing w:val="0"/>
                <w:w w:val="100"/>
                <w:kern w:val="2"/>
                <w:position w:val="0"/>
                <w:sz w:val="24"/>
                <w:szCs w:val="24"/>
                <w:highlight w:val="none"/>
                <w:lang w:val="en-US" w:eastAsia="zh-CN" w:bidi="ar-SA"/>
              </w:rPr>
              <w:t>，项目区四周均为空地，项目周边关系图详见附图。</w:t>
            </w:r>
          </w:p>
          <w:p w14:paraId="6306A95E">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leftChars="0" w:right="0" w:firstLine="482" w:firstLineChars="200"/>
              <w:jc w:val="left"/>
              <w:textAlignment w:val="auto"/>
              <w:rPr>
                <w:rFonts w:hint="default" w:ascii="Times New Roman" w:hAnsi="Times New Roman" w:eastAsia="宋体" w:cs="Times New Roman"/>
                <w:color w:val="auto"/>
                <w:spacing w:val="0"/>
                <w:w w:val="100"/>
                <w:position w:val="0"/>
                <w:sz w:val="24"/>
                <w:highlight w:val="none"/>
                <w:lang w:val="en-US" w:eastAsia="zh-CN"/>
              </w:rPr>
            </w:pPr>
            <w:r>
              <w:rPr>
                <w:rFonts w:hint="default" w:ascii="Times New Roman" w:hAnsi="Times New Roman" w:eastAsia="宋体" w:cs="Times New Roman"/>
                <w:b/>
                <w:bCs/>
                <w:i w:val="0"/>
                <w:iCs w:val="0"/>
                <w:color w:val="auto"/>
                <w:spacing w:val="0"/>
                <w:w w:val="100"/>
                <w:kern w:val="0"/>
                <w:position w:val="0"/>
                <w:sz w:val="24"/>
                <w:szCs w:val="24"/>
                <w:highlight w:val="none"/>
                <w:lang w:val="en-US" w:eastAsia="zh-CN" w:bidi="ar"/>
              </w:rPr>
              <w:t>项目建设内容及规模为：</w:t>
            </w:r>
            <w:r>
              <w:rPr>
                <w:rFonts w:hint="default" w:ascii="Times New Roman" w:hAnsi="Times New Roman" w:eastAsia="宋体" w:cs="Times New Roman"/>
                <w:i w:val="0"/>
                <w:iCs w:val="0"/>
                <w:color w:val="auto"/>
                <w:spacing w:val="0"/>
                <w:w w:val="100"/>
                <w:kern w:val="0"/>
                <w:position w:val="0"/>
                <w:sz w:val="24"/>
                <w:szCs w:val="24"/>
                <w:highlight w:val="none"/>
                <w:lang w:val="en-US" w:eastAsia="zh-CN" w:bidi="ar"/>
              </w:rPr>
              <w:t>新建建筑用砂矿一座，年产70万立方米；购置卵式破碎机系统、筛分系统、除尘设施、水稳拌合站一座、地磅等设备，原矿石堆场、成品堆场各一处，配套临时用房、蓄水池、供配电等附属设施。</w:t>
            </w:r>
            <w:r>
              <w:rPr>
                <w:rFonts w:hint="default" w:ascii="Times New Roman" w:hAnsi="Times New Roman" w:eastAsia="宋体" w:cs="Times New Roman"/>
                <w:color w:val="auto"/>
                <w:spacing w:val="0"/>
                <w:w w:val="100"/>
                <w:position w:val="0"/>
                <w:sz w:val="24"/>
                <w:highlight w:val="none"/>
                <w:lang w:val="en-US" w:eastAsia="zh-CN"/>
              </w:rPr>
              <w:t>项目组成详见表2-2。</w:t>
            </w:r>
          </w:p>
          <w:p w14:paraId="1252BCA8">
            <w:pPr>
              <w:pStyle w:val="52"/>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lang w:val="en-US" w:eastAsia="zh-CN"/>
              </w:rPr>
            </w:pPr>
            <w:r>
              <w:rPr>
                <w:rFonts w:hint="default" w:ascii="Times New Roman" w:hAnsi="Times New Roman" w:eastAsia="宋体" w:cs="Times New Roman"/>
                <w:color w:val="auto"/>
                <w:spacing w:val="0"/>
                <w:w w:val="100"/>
                <w:position w:val="0"/>
                <w:highlight w:val="none"/>
                <w:lang w:val="en-US" w:eastAsia="zh-CN"/>
              </w:rPr>
              <w:t>表2-2 项目工程组成一览表</w:t>
            </w:r>
          </w:p>
          <w:tbl>
            <w:tblPr>
              <w:tblStyle w:val="38"/>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501"/>
              <w:gridCol w:w="1519"/>
              <w:gridCol w:w="5586"/>
              <w:gridCol w:w="569"/>
            </w:tblGrid>
            <w:tr w14:paraId="13C3B42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01" w:type="dxa"/>
                  <w:tcBorders>
                    <w:bottom w:val="single" w:color="000000" w:sz="12" w:space="0"/>
                    <w:right w:val="single" w:color="auto" w:sz="4" w:space="0"/>
                  </w:tcBorders>
                  <w:noWrap w:val="0"/>
                  <w:vAlign w:val="center"/>
                </w:tcPr>
                <w:p w14:paraId="0FD55BE8">
                  <w:pPr>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b/>
                      <w:bCs/>
                      <w:color w:val="auto"/>
                      <w:spacing w:val="0"/>
                      <w:w w:val="100"/>
                      <w:kern w:val="21"/>
                      <w:position w:val="0"/>
                      <w:sz w:val="21"/>
                      <w:szCs w:val="21"/>
                      <w:highlight w:val="none"/>
                    </w:rPr>
                  </w:pPr>
                  <w:r>
                    <w:rPr>
                      <w:rFonts w:hint="default" w:ascii="Times New Roman" w:hAnsi="Times New Roman" w:eastAsia="宋体" w:cs="Times New Roman"/>
                      <w:b/>
                      <w:bCs/>
                      <w:color w:val="auto"/>
                      <w:spacing w:val="0"/>
                      <w:w w:val="100"/>
                      <w:kern w:val="21"/>
                      <w:position w:val="0"/>
                      <w:sz w:val="21"/>
                      <w:szCs w:val="21"/>
                      <w:highlight w:val="none"/>
                    </w:rPr>
                    <w:t>工程类别</w:t>
                  </w:r>
                </w:p>
              </w:tc>
              <w:tc>
                <w:tcPr>
                  <w:tcW w:w="1519" w:type="dxa"/>
                  <w:tcBorders>
                    <w:left w:val="single" w:color="auto" w:sz="4" w:space="0"/>
                    <w:bottom w:val="single" w:color="000000" w:sz="12" w:space="0"/>
                    <w:right w:val="single" w:color="auto" w:sz="4" w:space="0"/>
                  </w:tcBorders>
                  <w:noWrap w:val="0"/>
                  <w:vAlign w:val="center"/>
                </w:tcPr>
                <w:p w14:paraId="663FFC10">
                  <w:pPr>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b/>
                      <w:bCs/>
                      <w:color w:val="auto"/>
                      <w:spacing w:val="0"/>
                      <w:w w:val="100"/>
                      <w:kern w:val="21"/>
                      <w:position w:val="0"/>
                      <w:sz w:val="21"/>
                      <w:szCs w:val="21"/>
                      <w:highlight w:val="none"/>
                    </w:rPr>
                  </w:pPr>
                  <w:r>
                    <w:rPr>
                      <w:rFonts w:hint="default" w:ascii="Times New Roman" w:hAnsi="Times New Roman" w:eastAsia="宋体" w:cs="Times New Roman"/>
                      <w:b/>
                      <w:bCs/>
                      <w:color w:val="auto"/>
                      <w:spacing w:val="0"/>
                      <w:w w:val="100"/>
                      <w:kern w:val="21"/>
                      <w:position w:val="0"/>
                      <w:sz w:val="21"/>
                      <w:szCs w:val="21"/>
                      <w:highlight w:val="none"/>
                    </w:rPr>
                    <w:t>工程名称</w:t>
                  </w:r>
                </w:p>
              </w:tc>
              <w:tc>
                <w:tcPr>
                  <w:tcW w:w="5586" w:type="dxa"/>
                  <w:tcBorders>
                    <w:left w:val="single" w:color="auto" w:sz="4" w:space="0"/>
                    <w:bottom w:val="single" w:color="000000" w:sz="12" w:space="0"/>
                    <w:right w:val="nil"/>
                  </w:tcBorders>
                  <w:noWrap w:val="0"/>
                  <w:vAlign w:val="center"/>
                </w:tcPr>
                <w:p w14:paraId="21B503B7">
                  <w:pPr>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b/>
                      <w:bCs/>
                      <w:color w:val="auto"/>
                      <w:spacing w:val="0"/>
                      <w:w w:val="100"/>
                      <w:kern w:val="21"/>
                      <w:position w:val="0"/>
                      <w:sz w:val="21"/>
                      <w:szCs w:val="21"/>
                      <w:highlight w:val="none"/>
                    </w:rPr>
                  </w:pPr>
                  <w:r>
                    <w:rPr>
                      <w:rFonts w:hint="default" w:ascii="Times New Roman" w:hAnsi="Times New Roman" w:eastAsia="宋体" w:cs="Times New Roman"/>
                      <w:b/>
                      <w:bCs/>
                      <w:color w:val="auto"/>
                      <w:spacing w:val="0"/>
                      <w:w w:val="100"/>
                      <w:kern w:val="21"/>
                      <w:position w:val="0"/>
                      <w:sz w:val="21"/>
                      <w:szCs w:val="21"/>
                      <w:highlight w:val="none"/>
                    </w:rPr>
                    <w:t>工程规模与内容</w:t>
                  </w:r>
                </w:p>
              </w:tc>
              <w:tc>
                <w:tcPr>
                  <w:tcW w:w="569" w:type="dxa"/>
                  <w:tcBorders>
                    <w:left w:val="single" w:color="auto" w:sz="4" w:space="0"/>
                    <w:bottom w:val="single" w:color="000000" w:sz="12" w:space="0"/>
                    <w:right w:val="nil"/>
                  </w:tcBorders>
                  <w:noWrap w:val="0"/>
                  <w:vAlign w:val="center"/>
                </w:tcPr>
                <w:p w14:paraId="1F1F62A3">
                  <w:pPr>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b/>
                      <w:bCs/>
                      <w:color w:val="auto"/>
                      <w:spacing w:val="0"/>
                      <w:w w:val="100"/>
                      <w:kern w:val="21"/>
                      <w:position w:val="0"/>
                      <w:sz w:val="21"/>
                      <w:szCs w:val="21"/>
                      <w:highlight w:val="none"/>
                      <w:lang w:val="en-US" w:eastAsia="zh-CN"/>
                    </w:rPr>
                  </w:pPr>
                  <w:r>
                    <w:rPr>
                      <w:rFonts w:hint="default" w:ascii="Times New Roman" w:hAnsi="Times New Roman" w:eastAsia="宋体" w:cs="Times New Roman"/>
                      <w:b/>
                      <w:bCs/>
                      <w:color w:val="auto"/>
                      <w:spacing w:val="0"/>
                      <w:w w:val="100"/>
                      <w:kern w:val="21"/>
                      <w:position w:val="0"/>
                      <w:sz w:val="21"/>
                      <w:szCs w:val="21"/>
                      <w:highlight w:val="none"/>
                      <w:lang w:val="en-US" w:eastAsia="zh-CN"/>
                    </w:rPr>
                    <w:t>备注</w:t>
                  </w:r>
                </w:p>
              </w:tc>
            </w:tr>
            <w:tr w14:paraId="2A212D3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73" w:hRule="atLeast"/>
                <w:jc w:val="center"/>
              </w:trPr>
              <w:tc>
                <w:tcPr>
                  <w:tcW w:w="501" w:type="dxa"/>
                  <w:vMerge w:val="restart"/>
                  <w:tcBorders>
                    <w:right w:val="single" w:color="auto" w:sz="4" w:space="0"/>
                  </w:tcBorders>
                  <w:noWrap w:val="0"/>
                  <w:vAlign w:val="center"/>
                </w:tcPr>
                <w:p w14:paraId="252AE323">
                  <w:pPr>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color w:val="auto"/>
                      <w:spacing w:val="0"/>
                      <w:w w:val="100"/>
                      <w:kern w:val="21"/>
                      <w:position w:val="0"/>
                      <w:sz w:val="21"/>
                      <w:szCs w:val="21"/>
                      <w:highlight w:val="none"/>
                    </w:rPr>
                  </w:pPr>
                  <w:r>
                    <w:rPr>
                      <w:rFonts w:hint="default" w:ascii="Times New Roman" w:hAnsi="Times New Roman" w:eastAsia="宋体" w:cs="Times New Roman"/>
                      <w:color w:val="auto"/>
                      <w:spacing w:val="0"/>
                      <w:w w:val="100"/>
                      <w:kern w:val="21"/>
                      <w:position w:val="0"/>
                      <w:sz w:val="21"/>
                      <w:szCs w:val="21"/>
                      <w:highlight w:val="none"/>
                      <w:lang w:val="en-US" w:eastAsia="zh-CN"/>
                    </w:rPr>
                    <w:t>主体工程</w:t>
                  </w:r>
                </w:p>
              </w:tc>
              <w:tc>
                <w:tcPr>
                  <w:tcW w:w="1519" w:type="dxa"/>
                  <w:tcBorders>
                    <w:left w:val="single" w:color="auto" w:sz="4" w:space="0"/>
                    <w:right w:val="single" w:color="auto" w:sz="4" w:space="0"/>
                  </w:tcBorders>
                  <w:noWrap w:val="0"/>
                  <w:vAlign w:val="center"/>
                </w:tcPr>
                <w:p w14:paraId="3DD0819B">
                  <w:pPr>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color w:val="auto"/>
                      <w:spacing w:val="0"/>
                      <w:w w:val="100"/>
                      <w:kern w:val="21"/>
                      <w:position w:val="0"/>
                      <w:sz w:val="21"/>
                      <w:szCs w:val="21"/>
                      <w:highlight w:val="none"/>
                      <w:lang w:val="en-US" w:eastAsia="zh-CN"/>
                    </w:rPr>
                  </w:pPr>
                  <w:r>
                    <w:rPr>
                      <w:rFonts w:hint="default" w:ascii="Times New Roman" w:hAnsi="Times New Roman" w:eastAsia="宋体" w:cs="Times New Roman"/>
                      <w:color w:val="auto"/>
                      <w:spacing w:val="0"/>
                      <w:w w:val="100"/>
                      <w:kern w:val="21"/>
                      <w:position w:val="0"/>
                      <w:sz w:val="21"/>
                      <w:szCs w:val="21"/>
                      <w:highlight w:val="none"/>
                      <w:lang w:val="en-US" w:eastAsia="zh-CN"/>
                    </w:rPr>
                    <w:t>开采区</w:t>
                  </w:r>
                </w:p>
              </w:tc>
              <w:tc>
                <w:tcPr>
                  <w:tcW w:w="5586" w:type="dxa"/>
                  <w:tcBorders>
                    <w:top w:val="single" w:color="auto" w:sz="4" w:space="0"/>
                    <w:left w:val="single" w:color="auto" w:sz="4" w:space="0"/>
                    <w:bottom w:val="single" w:color="auto" w:sz="4" w:space="0"/>
                    <w:right w:val="nil"/>
                  </w:tcBorders>
                  <w:noWrap w:val="0"/>
                  <w:vAlign w:val="center"/>
                </w:tcPr>
                <w:p w14:paraId="52A69148">
                  <w:pPr>
                    <w:pStyle w:val="57"/>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b w:val="0"/>
                      <w:bCs w:val="0"/>
                      <w:color w:val="auto"/>
                      <w:spacing w:val="0"/>
                      <w:w w:val="100"/>
                      <w:kern w:val="21"/>
                      <w:position w:val="0"/>
                      <w:sz w:val="21"/>
                      <w:szCs w:val="21"/>
                      <w:highlight w:val="none"/>
                      <w:lang w:val="en-US" w:eastAsia="zh-CN" w:bidi="zh-CN"/>
                    </w:rPr>
                  </w:pPr>
                  <w:r>
                    <w:rPr>
                      <w:rFonts w:hint="default" w:ascii="Times New Roman" w:hAnsi="Times New Roman" w:eastAsia="宋体" w:cs="Times New Roman"/>
                      <w:b w:val="0"/>
                      <w:bCs w:val="0"/>
                      <w:color w:val="auto"/>
                      <w:spacing w:val="0"/>
                      <w:w w:val="100"/>
                      <w:kern w:val="21"/>
                      <w:position w:val="0"/>
                      <w:sz w:val="21"/>
                      <w:szCs w:val="21"/>
                      <w:highlight w:val="none"/>
                      <w:lang w:val="en-US" w:eastAsia="zh-CN" w:bidi="zh-CN"/>
                    </w:rPr>
                    <w:t>开采面积为</w:t>
                  </w:r>
                  <w:r>
                    <w:rPr>
                      <w:rFonts w:hint="default" w:ascii="Times New Roman" w:hAnsi="Times New Roman" w:eastAsia="宋体" w:cs="Times New Roman"/>
                      <w:color w:val="000000"/>
                      <w:szCs w:val="28"/>
                      <w:highlight w:val="none"/>
                      <w:lang w:val="en-US" w:eastAsia="zh-CN"/>
                    </w:rPr>
                    <w:t>520700</w:t>
                  </w:r>
                  <w:r>
                    <w:rPr>
                      <w:rFonts w:hint="eastAsia" w:ascii="Times New Roman" w:hAnsi="Times New Roman" w:eastAsia="宋体" w:cs="Times New Roman"/>
                      <w:color w:val="000000"/>
                      <w:szCs w:val="28"/>
                      <w:highlight w:val="none"/>
                      <w:lang w:val="en-US" w:eastAsia="zh-CN"/>
                    </w:rPr>
                    <w:t>m</w:t>
                  </w:r>
                  <w:r>
                    <w:rPr>
                      <w:rFonts w:hint="eastAsia" w:ascii="Times New Roman" w:hAnsi="Times New Roman" w:eastAsia="宋体" w:cs="Times New Roman"/>
                      <w:color w:val="000000"/>
                      <w:szCs w:val="28"/>
                      <w:highlight w:val="none"/>
                      <w:vertAlign w:val="superscript"/>
                      <w:lang w:val="en-US" w:eastAsia="zh-CN"/>
                    </w:rPr>
                    <w:t>2</w:t>
                  </w:r>
                  <w:r>
                    <w:rPr>
                      <w:rFonts w:hint="default" w:ascii="Times New Roman" w:hAnsi="Times New Roman" w:eastAsia="宋体" w:cs="Times New Roman"/>
                      <w:color w:val="000000"/>
                      <w:szCs w:val="28"/>
                      <w:highlight w:val="none"/>
                      <w:lang w:eastAsia="zh-CN"/>
                    </w:rPr>
                    <w:t>，</w:t>
                  </w:r>
                  <w:r>
                    <w:rPr>
                      <w:rFonts w:hint="default" w:ascii="Times New Roman" w:hAnsi="Times New Roman" w:eastAsia="宋体" w:cs="Times New Roman"/>
                      <w:b w:val="0"/>
                      <w:bCs w:val="0"/>
                      <w:color w:val="auto"/>
                      <w:spacing w:val="0"/>
                      <w:w w:val="100"/>
                      <w:kern w:val="21"/>
                      <w:position w:val="0"/>
                      <w:sz w:val="21"/>
                      <w:szCs w:val="21"/>
                      <w:highlight w:val="none"/>
                      <w:lang w:val="en-US" w:eastAsia="zh-CN" w:bidi="zh-CN"/>
                    </w:rPr>
                    <w:t>开采标高为676～636</w:t>
                  </w:r>
                  <w:r>
                    <w:rPr>
                      <w:rFonts w:hint="eastAsia" w:eastAsia="宋体" w:cs="Times New Roman"/>
                      <w:b w:val="0"/>
                      <w:bCs w:val="0"/>
                      <w:color w:val="auto"/>
                      <w:spacing w:val="0"/>
                      <w:w w:val="100"/>
                      <w:kern w:val="21"/>
                      <w:position w:val="0"/>
                      <w:sz w:val="21"/>
                      <w:szCs w:val="21"/>
                      <w:highlight w:val="none"/>
                      <w:lang w:val="en-US" w:eastAsia="zh-CN" w:bidi="zh-CN"/>
                    </w:rPr>
                    <w:t>m</w:t>
                  </w:r>
                  <w:r>
                    <w:rPr>
                      <w:rFonts w:hint="default" w:ascii="Times New Roman" w:hAnsi="Times New Roman" w:eastAsia="宋体" w:cs="Times New Roman"/>
                      <w:b w:val="0"/>
                      <w:bCs w:val="0"/>
                      <w:color w:val="auto"/>
                      <w:spacing w:val="0"/>
                      <w:w w:val="100"/>
                      <w:kern w:val="21"/>
                      <w:position w:val="0"/>
                      <w:sz w:val="21"/>
                      <w:szCs w:val="21"/>
                      <w:highlight w:val="none"/>
                      <w:lang w:val="en-US" w:eastAsia="zh-CN" w:bidi="zh-CN"/>
                    </w:rPr>
                    <w:t>，开采深度为自地表以下20</w:t>
                  </w:r>
                  <w:r>
                    <w:rPr>
                      <w:rFonts w:hint="eastAsia" w:eastAsia="宋体" w:cs="Times New Roman"/>
                      <w:b w:val="0"/>
                      <w:bCs w:val="0"/>
                      <w:color w:val="auto"/>
                      <w:spacing w:val="0"/>
                      <w:w w:val="100"/>
                      <w:kern w:val="21"/>
                      <w:position w:val="0"/>
                      <w:sz w:val="21"/>
                      <w:szCs w:val="21"/>
                      <w:highlight w:val="none"/>
                      <w:lang w:val="en-US" w:eastAsia="zh-CN" w:bidi="zh-CN"/>
                    </w:rPr>
                    <w:t>m</w:t>
                  </w:r>
                </w:p>
              </w:tc>
              <w:tc>
                <w:tcPr>
                  <w:tcW w:w="569" w:type="dxa"/>
                  <w:vMerge w:val="restart"/>
                  <w:tcBorders>
                    <w:top w:val="single" w:color="auto" w:sz="4" w:space="0"/>
                    <w:left w:val="single" w:color="auto" w:sz="4" w:space="0"/>
                    <w:right w:val="nil"/>
                  </w:tcBorders>
                  <w:noWrap w:val="0"/>
                  <w:vAlign w:val="center"/>
                </w:tcPr>
                <w:p w14:paraId="4B0216AA">
                  <w:pPr>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b w:val="0"/>
                      <w:bCs w:val="0"/>
                      <w:color w:val="auto"/>
                      <w:spacing w:val="0"/>
                      <w:w w:val="100"/>
                      <w:kern w:val="21"/>
                      <w:position w:val="0"/>
                      <w:sz w:val="21"/>
                      <w:szCs w:val="21"/>
                      <w:highlight w:val="none"/>
                      <w:lang w:val="en-US" w:eastAsia="zh-CN"/>
                    </w:rPr>
                  </w:pPr>
                  <w:r>
                    <w:rPr>
                      <w:rFonts w:hint="default" w:ascii="Times New Roman" w:hAnsi="Times New Roman" w:eastAsia="宋体" w:cs="Times New Roman"/>
                      <w:color w:val="auto"/>
                      <w:spacing w:val="0"/>
                      <w:w w:val="100"/>
                      <w:kern w:val="21"/>
                      <w:position w:val="0"/>
                      <w:sz w:val="21"/>
                      <w:szCs w:val="21"/>
                      <w:highlight w:val="none"/>
                      <w:lang w:val="en-US" w:eastAsia="zh-CN"/>
                    </w:rPr>
                    <w:t>新建</w:t>
                  </w:r>
                </w:p>
              </w:tc>
            </w:tr>
            <w:tr w14:paraId="71B2586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73" w:hRule="atLeast"/>
                <w:jc w:val="center"/>
              </w:trPr>
              <w:tc>
                <w:tcPr>
                  <w:tcW w:w="501" w:type="dxa"/>
                  <w:vMerge w:val="continue"/>
                  <w:tcBorders>
                    <w:right w:val="single" w:color="auto" w:sz="4" w:space="0"/>
                  </w:tcBorders>
                  <w:noWrap w:val="0"/>
                  <w:vAlign w:val="center"/>
                </w:tcPr>
                <w:p w14:paraId="4E559BC6">
                  <w:pPr>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color w:val="auto"/>
                      <w:spacing w:val="0"/>
                      <w:w w:val="100"/>
                      <w:kern w:val="21"/>
                      <w:position w:val="0"/>
                      <w:sz w:val="21"/>
                      <w:szCs w:val="21"/>
                      <w:highlight w:val="none"/>
                      <w:lang w:val="en-US" w:eastAsia="zh-CN"/>
                    </w:rPr>
                  </w:pPr>
                </w:p>
              </w:tc>
              <w:tc>
                <w:tcPr>
                  <w:tcW w:w="1519" w:type="dxa"/>
                  <w:tcBorders>
                    <w:left w:val="single" w:color="auto" w:sz="4" w:space="0"/>
                    <w:right w:val="single" w:color="auto" w:sz="4" w:space="0"/>
                  </w:tcBorders>
                  <w:noWrap w:val="0"/>
                  <w:vAlign w:val="center"/>
                </w:tcPr>
                <w:p w14:paraId="0C89DB12">
                  <w:pPr>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color w:val="auto"/>
                      <w:spacing w:val="0"/>
                      <w:w w:val="100"/>
                      <w:kern w:val="21"/>
                      <w:position w:val="0"/>
                      <w:sz w:val="21"/>
                      <w:szCs w:val="21"/>
                      <w:highlight w:val="none"/>
                      <w:lang w:val="en-US" w:eastAsia="zh-CN"/>
                    </w:rPr>
                  </w:pPr>
                  <w:r>
                    <w:rPr>
                      <w:rFonts w:hint="eastAsia" w:ascii="Times New Roman" w:hAnsi="Times New Roman" w:eastAsia="宋体" w:cs="Times New Roman"/>
                      <w:color w:val="auto"/>
                      <w:spacing w:val="0"/>
                      <w:w w:val="100"/>
                      <w:kern w:val="21"/>
                      <w:position w:val="0"/>
                      <w:sz w:val="21"/>
                      <w:szCs w:val="21"/>
                      <w:highlight w:val="none"/>
                      <w:lang w:val="en-US" w:eastAsia="zh-CN"/>
                    </w:rPr>
                    <w:t>工业广场</w:t>
                  </w:r>
                </w:p>
              </w:tc>
              <w:tc>
                <w:tcPr>
                  <w:tcW w:w="5586" w:type="dxa"/>
                  <w:tcBorders>
                    <w:top w:val="single" w:color="auto" w:sz="4" w:space="0"/>
                    <w:left w:val="single" w:color="auto" w:sz="4" w:space="0"/>
                    <w:bottom w:val="single" w:color="auto" w:sz="4" w:space="0"/>
                    <w:right w:val="nil"/>
                  </w:tcBorders>
                  <w:noWrap w:val="0"/>
                  <w:vAlign w:val="center"/>
                </w:tcPr>
                <w:p w14:paraId="2F0E9B59">
                  <w:pPr>
                    <w:pStyle w:val="57"/>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b w:val="0"/>
                      <w:bCs w:val="0"/>
                      <w:color w:val="auto"/>
                      <w:spacing w:val="0"/>
                      <w:w w:val="100"/>
                      <w:kern w:val="21"/>
                      <w:position w:val="0"/>
                      <w:sz w:val="21"/>
                      <w:szCs w:val="21"/>
                      <w:highlight w:val="none"/>
                      <w:lang w:val="en-US" w:eastAsia="zh-CN" w:bidi="zh-CN"/>
                    </w:rPr>
                  </w:pPr>
                  <w:r>
                    <w:rPr>
                      <w:rFonts w:hint="default" w:ascii="Times New Roman" w:hAnsi="Times New Roman" w:cs="Times New Roman"/>
                      <w:i w:val="0"/>
                      <w:iCs w:val="0"/>
                      <w:color w:val="000000" w:themeColor="text1"/>
                      <w:sz w:val="21"/>
                      <w:szCs w:val="21"/>
                      <w:lang w:eastAsia="zh-CN"/>
                      <w14:textFill>
                        <w14:solidFill>
                          <w14:schemeClr w14:val="tx1"/>
                        </w14:solidFill>
                      </w14:textFill>
                    </w:rPr>
                    <w:t>位于项目区</w:t>
                  </w:r>
                  <w:r>
                    <w:rPr>
                      <w:rFonts w:hint="default" w:ascii="Times New Roman" w:hAnsi="Times New Roman" w:cs="Times New Roman"/>
                      <w:i w:val="0"/>
                      <w:iCs w:val="0"/>
                      <w:color w:val="000000" w:themeColor="text1"/>
                      <w:sz w:val="21"/>
                      <w:szCs w:val="21"/>
                      <w:lang w:val="en-US" w:eastAsia="zh-CN"/>
                      <w14:textFill>
                        <w14:solidFill>
                          <w14:schemeClr w14:val="tx1"/>
                        </w14:solidFill>
                      </w14:textFill>
                    </w:rPr>
                    <w:t>中部</w:t>
                  </w:r>
                  <w:r>
                    <w:rPr>
                      <w:rFonts w:hint="default" w:ascii="Times New Roman" w:hAnsi="Times New Roman" w:cs="Times New Roman"/>
                      <w:i w:val="0"/>
                      <w:iCs w:val="0"/>
                      <w:color w:val="000000" w:themeColor="text1"/>
                      <w:sz w:val="21"/>
                      <w:szCs w:val="21"/>
                      <w:lang w:eastAsia="zh-CN"/>
                      <w14:textFill>
                        <w14:solidFill>
                          <w14:schemeClr w14:val="tx1"/>
                        </w14:solidFill>
                      </w14:textFill>
                    </w:rPr>
                    <w:t>，</w:t>
                  </w:r>
                  <w:r>
                    <w:rPr>
                      <w:rFonts w:hint="default" w:ascii="Times New Roman" w:hAnsi="Times New Roman" w:cs="Times New Roman"/>
                      <w:i w:val="0"/>
                      <w:iCs w:val="0"/>
                      <w:color w:val="000000" w:themeColor="text1"/>
                      <w:sz w:val="21"/>
                      <w:szCs w:val="21"/>
                      <w:lang w:val="en-US" w:eastAsia="zh-CN"/>
                      <w14:textFill>
                        <w14:solidFill>
                          <w14:schemeClr w14:val="tx1"/>
                        </w14:solidFill>
                      </w14:textFill>
                    </w:rPr>
                    <w:t>包括砂石料开采设备、洗砂生产线</w:t>
                  </w:r>
                  <w:r>
                    <w:rPr>
                      <w:rFonts w:hint="default" w:ascii="Times New Roman" w:hAnsi="Times New Roman" w:eastAsia="宋体" w:cs="Times New Roman"/>
                      <w:color w:val="000000"/>
                      <w:szCs w:val="28"/>
                      <w:highlight w:val="none"/>
                      <w:lang w:val="en-US" w:eastAsia="zh-CN"/>
                    </w:rPr>
                    <w:t>购置卵式破碎机系统、筛分系统</w:t>
                  </w:r>
                  <w:r>
                    <w:rPr>
                      <w:rFonts w:hint="eastAsia" w:ascii="Times New Roman" w:hAnsi="Times New Roman" w:eastAsia="宋体" w:cs="Times New Roman"/>
                      <w:color w:val="000000"/>
                      <w:szCs w:val="28"/>
                      <w:highlight w:val="none"/>
                      <w:lang w:val="en-US" w:eastAsia="zh-CN"/>
                    </w:rPr>
                    <w:t>。占地面积为22666.67m</w:t>
                  </w:r>
                  <w:r>
                    <w:rPr>
                      <w:rFonts w:hint="eastAsia" w:ascii="Times New Roman" w:hAnsi="Times New Roman" w:eastAsia="宋体" w:cs="Times New Roman"/>
                      <w:color w:val="000000"/>
                      <w:szCs w:val="28"/>
                      <w:highlight w:val="none"/>
                      <w:vertAlign w:val="superscript"/>
                      <w:lang w:val="en-US" w:eastAsia="zh-CN"/>
                    </w:rPr>
                    <w:t>2</w:t>
                  </w:r>
                </w:p>
              </w:tc>
              <w:tc>
                <w:tcPr>
                  <w:tcW w:w="569" w:type="dxa"/>
                  <w:vMerge w:val="continue"/>
                  <w:tcBorders>
                    <w:left w:val="single" w:color="auto" w:sz="4" w:space="0"/>
                    <w:right w:val="nil"/>
                  </w:tcBorders>
                  <w:noWrap w:val="0"/>
                  <w:vAlign w:val="center"/>
                </w:tcPr>
                <w:p w14:paraId="34573499">
                  <w:pPr>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color w:val="auto"/>
                      <w:spacing w:val="0"/>
                      <w:w w:val="100"/>
                      <w:kern w:val="21"/>
                      <w:position w:val="0"/>
                      <w:sz w:val="21"/>
                      <w:szCs w:val="21"/>
                      <w:highlight w:val="none"/>
                      <w:lang w:val="en-US" w:eastAsia="zh-CN"/>
                    </w:rPr>
                  </w:pPr>
                </w:p>
              </w:tc>
            </w:tr>
            <w:tr w14:paraId="435EB5E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73" w:hRule="atLeast"/>
                <w:jc w:val="center"/>
              </w:trPr>
              <w:tc>
                <w:tcPr>
                  <w:tcW w:w="501" w:type="dxa"/>
                  <w:vMerge w:val="continue"/>
                  <w:tcBorders>
                    <w:right w:val="single" w:color="auto" w:sz="4" w:space="0"/>
                  </w:tcBorders>
                  <w:noWrap w:val="0"/>
                  <w:vAlign w:val="center"/>
                </w:tcPr>
                <w:p w14:paraId="57E3A830">
                  <w:pPr>
                    <w:pStyle w:val="57"/>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highlight w:val="none"/>
                    </w:rPr>
                  </w:pPr>
                </w:p>
              </w:tc>
              <w:tc>
                <w:tcPr>
                  <w:tcW w:w="1519" w:type="dxa"/>
                  <w:tcBorders>
                    <w:left w:val="single" w:color="auto" w:sz="4" w:space="0"/>
                    <w:right w:val="single" w:color="auto" w:sz="4" w:space="0"/>
                  </w:tcBorders>
                  <w:noWrap w:val="0"/>
                  <w:vAlign w:val="center"/>
                </w:tcPr>
                <w:p w14:paraId="766BC34D">
                  <w:pPr>
                    <w:pStyle w:val="57"/>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b w:val="0"/>
                      <w:bCs w:val="0"/>
                      <w:color w:val="auto"/>
                      <w:spacing w:val="0"/>
                      <w:w w:val="100"/>
                      <w:kern w:val="21"/>
                      <w:position w:val="0"/>
                      <w:sz w:val="21"/>
                      <w:szCs w:val="21"/>
                      <w:highlight w:val="none"/>
                      <w:lang w:val="en-US" w:eastAsia="zh-CN" w:bidi="zh-CN"/>
                    </w:rPr>
                  </w:pPr>
                  <w:r>
                    <w:rPr>
                      <w:rFonts w:hint="default" w:ascii="Times New Roman" w:hAnsi="Times New Roman" w:eastAsia="宋体" w:cs="Times New Roman"/>
                      <w:b w:val="0"/>
                      <w:bCs w:val="0"/>
                      <w:color w:val="auto"/>
                      <w:spacing w:val="0"/>
                      <w:w w:val="100"/>
                      <w:kern w:val="21"/>
                      <w:position w:val="0"/>
                      <w:sz w:val="21"/>
                      <w:szCs w:val="21"/>
                      <w:highlight w:val="none"/>
                      <w:lang w:val="en-US" w:eastAsia="zh-CN" w:bidi="zh-CN"/>
                    </w:rPr>
                    <w:t>水稳料生产车间</w:t>
                  </w:r>
                </w:p>
              </w:tc>
              <w:tc>
                <w:tcPr>
                  <w:tcW w:w="5586" w:type="dxa"/>
                  <w:tcBorders>
                    <w:top w:val="single" w:color="auto" w:sz="4" w:space="0"/>
                    <w:left w:val="single" w:color="auto" w:sz="4" w:space="0"/>
                    <w:bottom w:val="single" w:color="auto" w:sz="4" w:space="0"/>
                    <w:right w:val="nil"/>
                  </w:tcBorders>
                  <w:noWrap w:val="0"/>
                  <w:vAlign w:val="center"/>
                </w:tcPr>
                <w:p w14:paraId="1D6F1FA3">
                  <w:pPr>
                    <w:pStyle w:val="57"/>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b w:val="0"/>
                      <w:bCs w:val="0"/>
                      <w:color w:val="auto"/>
                      <w:spacing w:val="0"/>
                      <w:w w:val="100"/>
                      <w:kern w:val="21"/>
                      <w:position w:val="0"/>
                      <w:sz w:val="21"/>
                      <w:szCs w:val="21"/>
                      <w:highlight w:val="none"/>
                      <w:lang w:val="en-US" w:eastAsia="zh-CN" w:bidi="zh-CN"/>
                    </w:rPr>
                  </w:pPr>
                  <w:r>
                    <w:rPr>
                      <w:rFonts w:hint="default" w:ascii="Times New Roman" w:hAnsi="Times New Roman" w:eastAsia="宋体" w:cs="Times New Roman"/>
                      <w:b w:val="0"/>
                      <w:bCs w:val="0"/>
                      <w:color w:val="auto"/>
                      <w:spacing w:val="0"/>
                      <w:w w:val="100"/>
                      <w:kern w:val="21"/>
                      <w:position w:val="0"/>
                      <w:sz w:val="21"/>
                      <w:szCs w:val="21"/>
                      <w:highlight w:val="none"/>
                      <w:lang w:val="en-US" w:eastAsia="zh-CN" w:bidi="zh-CN"/>
                    </w:rPr>
                    <w:t>密闭搅拌楼，内设1条水稳料生产线，配置1套搅拌设备</w:t>
                  </w:r>
                </w:p>
              </w:tc>
              <w:tc>
                <w:tcPr>
                  <w:tcW w:w="569" w:type="dxa"/>
                  <w:vMerge w:val="continue"/>
                  <w:tcBorders>
                    <w:left w:val="single" w:color="auto" w:sz="4" w:space="0"/>
                    <w:bottom w:val="single" w:color="auto" w:sz="4" w:space="0"/>
                    <w:right w:val="nil"/>
                  </w:tcBorders>
                  <w:noWrap w:val="0"/>
                  <w:vAlign w:val="center"/>
                </w:tcPr>
                <w:p w14:paraId="1AA961F6">
                  <w:pPr>
                    <w:pStyle w:val="57"/>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color w:val="auto"/>
                      <w:spacing w:val="0"/>
                      <w:w w:val="100"/>
                      <w:kern w:val="21"/>
                      <w:position w:val="0"/>
                      <w:sz w:val="21"/>
                      <w:szCs w:val="21"/>
                      <w:highlight w:val="none"/>
                      <w:lang w:val="en-US" w:eastAsia="zh-CN"/>
                    </w:rPr>
                  </w:pPr>
                </w:p>
              </w:tc>
            </w:tr>
            <w:tr w14:paraId="69C10B7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53" w:hRule="atLeast"/>
                <w:jc w:val="center"/>
              </w:trPr>
              <w:tc>
                <w:tcPr>
                  <w:tcW w:w="501" w:type="dxa"/>
                  <w:vMerge w:val="restart"/>
                  <w:tcBorders>
                    <w:right w:val="single" w:color="auto" w:sz="4" w:space="0"/>
                  </w:tcBorders>
                  <w:noWrap w:val="0"/>
                  <w:vAlign w:val="center"/>
                </w:tcPr>
                <w:p w14:paraId="653CF529">
                  <w:pPr>
                    <w:pStyle w:val="57"/>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储运工程</w:t>
                  </w:r>
                </w:p>
              </w:tc>
              <w:tc>
                <w:tcPr>
                  <w:tcW w:w="1519" w:type="dxa"/>
                  <w:tcBorders>
                    <w:left w:val="single" w:color="auto" w:sz="4" w:space="0"/>
                    <w:right w:val="single" w:color="auto" w:sz="4" w:space="0"/>
                  </w:tcBorders>
                  <w:noWrap w:val="0"/>
                  <w:vAlign w:val="center"/>
                </w:tcPr>
                <w:p w14:paraId="179BA1AA">
                  <w:pPr>
                    <w:pStyle w:val="17"/>
                    <w:spacing w:after="0"/>
                    <w:ind w:left="0" w:leftChars="0"/>
                    <w:jc w:val="center"/>
                    <w:rPr>
                      <w:rFonts w:hint="default" w:ascii="Times New Roman" w:hAnsi="Times New Roman" w:eastAsia="宋体" w:cs="Times New Roman"/>
                      <w:b w:val="0"/>
                      <w:bCs w:val="0"/>
                      <w:color w:val="auto"/>
                      <w:spacing w:val="0"/>
                      <w:w w:val="100"/>
                      <w:kern w:val="21"/>
                      <w:position w:val="0"/>
                      <w:sz w:val="21"/>
                      <w:szCs w:val="21"/>
                      <w:highlight w:val="none"/>
                      <w:lang w:val="en-US" w:eastAsia="zh-CN" w:bidi="zh-CN"/>
                    </w:rPr>
                  </w:pPr>
                  <w:r>
                    <w:rPr>
                      <w:rFonts w:hint="default" w:ascii="Times New Roman" w:hAnsi="Times New Roman" w:eastAsia="宋体" w:cs="Times New Roman"/>
                      <w:color w:val="auto"/>
                      <w:sz w:val="21"/>
                      <w:szCs w:val="21"/>
                      <w:highlight w:val="none"/>
                      <w:lang w:val="en-US" w:eastAsia="zh-CN"/>
                    </w:rPr>
                    <w:t>石料输送</w:t>
                  </w:r>
                </w:p>
              </w:tc>
              <w:tc>
                <w:tcPr>
                  <w:tcW w:w="5586" w:type="dxa"/>
                  <w:tcBorders>
                    <w:top w:val="single" w:color="auto" w:sz="4" w:space="0"/>
                    <w:left w:val="single" w:color="auto" w:sz="4" w:space="0"/>
                    <w:right w:val="nil"/>
                  </w:tcBorders>
                  <w:noWrap w:val="0"/>
                  <w:vAlign w:val="center"/>
                </w:tcPr>
                <w:p w14:paraId="68D8342C">
                  <w:pPr>
                    <w:pStyle w:val="17"/>
                    <w:spacing w:after="0"/>
                    <w:ind w:left="0" w:leftChars="0"/>
                    <w:jc w:val="center"/>
                    <w:rPr>
                      <w:rFonts w:hint="default" w:ascii="Times New Roman" w:hAnsi="Times New Roman" w:eastAsia="宋体" w:cs="Times New Roman"/>
                      <w:b w:val="0"/>
                      <w:bCs w:val="0"/>
                      <w:color w:val="auto"/>
                      <w:spacing w:val="0"/>
                      <w:w w:val="100"/>
                      <w:kern w:val="21"/>
                      <w:position w:val="0"/>
                      <w:sz w:val="21"/>
                      <w:szCs w:val="21"/>
                      <w:highlight w:val="none"/>
                      <w:lang w:val="en-US" w:eastAsia="zh-CN" w:bidi="zh-CN"/>
                    </w:rPr>
                  </w:pPr>
                  <w:r>
                    <w:rPr>
                      <w:rFonts w:hint="default" w:ascii="Times New Roman" w:hAnsi="Times New Roman" w:eastAsia="宋体" w:cs="Times New Roman"/>
                      <w:color w:val="auto"/>
                      <w:sz w:val="21"/>
                      <w:szCs w:val="21"/>
                      <w:highlight w:val="none"/>
                      <w:lang w:val="en-US" w:eastAsia="zh-CN"/>
                    </w:rPr>
                    <w:t>企业冷料输送为全密闭皮带式输送</w:t>
                  </w:r>
                </w:p>
              </w:tc>
              <w:tc>
                <w:tcPr>
                  <w:tcW w:w="569" w:type="dxa"/>
                  <w:tcBorders>
                    <w:left w:val="single" w:color="auto" w:sz="4" w:space="0"/>
                    <w:right w:val="nil"/>
                  </w:tcBorders>
                  <w:noWrap w:val="0"/>
                  <w:vAlign w:val="center"/>
                </w:tcPr>
                <w:p w14:paraId="1BFE4402">
                  <w:pPr>
                    <w:pStyle w:val="57"/>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color w:val="auto"/>
                      <w:spacing w:val="0"/>
                      <w:w w:val="100"/>
                      <w:kern w:val="21"/>
                      <w:position w:val="0"/>
                      <w:sz w:val="21"/>
                      <w:szCs w:val="21"/>
                      <w:highlight w:val="none"/>
                      <w:lang w:val="en-US" w:eastAsia="zh-CN"/>
                    </w:rPr>
                  </w:pPr>
                  <w:r>
                    <w:rPr>
                      <w:rFonts w:hint="default" w:ascii="Times New Roman" w:hAnsi="Times New Roman" w:eastAsia="宋体" w:cs="Times New Roman"/>
                      <w:color w:val="auto"/>
                      <w:spacing w:val="0"/>
                      <w:w w:val="100"/>
                      <w:kern w:val="21"/>
                      <w:position w:val="0"/>
                      <w:sz w:val="21"/>
                      <w:szCs w:val="21"/>
                      <w:highlight w:val="none"/>
                      <w:lang w:val="en-US" w:eastAsia="zh-CN"/>
                    </w:rPr>
                    <w:t>新建</w:t>
                  </w:r>
                </w:p>
              </w:tc>
            </w:tr>
            <w:tr w14:paraId="784D52C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53" w:hRule="atLeast"/>
                <w:jc w:val="center"/>
              </w:trPr>
              <w:tc>
                <w:tcPr>
                  <w:tcW w:w="501" w:type="dxa"/>
                  <w:vMerge w:val="continue"/>
                  <w:tcBorders>
                    <w:right w:val="single" w:color="auto" w:sz="4" w:space="0"/>
                  </w:tcBorders>
                  <w:noWrap w:val="0"/>
                  <w:vAlign w:val="center"/>
                </w:tcPr>
                <w:p w14:paraId="5F87E725">
                  <w:pPr>
                    <w:pStyle w:val="57"/>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highlight w:val="none"/>
                    </w:rPr>
                  </w:pPr>
                </w:p>
              </w:tc>
              <w:tc>
                <w:tcPr>
                  <w:tcW w:w="1519" w:type="dxa"/>
                  <w:tcBorders>
                    <w:left w:val="single" w:color="auto" w:sz="4" w:space="0"/>
                    <w:right w:val="single" w:color="auto" w:sz="4" w:space="0"/>
                  </w:tcBorders>
                  <w:noWrap w:val="0"/>
                  <w:vAlign w:val="center"/>
                </w:tcPr>
                <w:p w14:paraId="4C61CAE5">
                  <w:pPr>
                    <w:pStyle w:val="57"/>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b w:val="0"/>
                      <w:bCs w:val="0"/>
                      <w:color w:val="auto"/>
                      <w:spacing w:val="0"/>
                      <w:w w:val="100"/>
                      <w:kern w:val="21"/>
                      <w:position w:val="0"/>
                      <w:sz w:val="21"/>
                      <w:szCs w:val="21"/>
                      <w:highlight w:val="none"/>
                      <w:lang w:val="en-US" w:eastAsia="zh-CN" w:bidi="zh-CN"/>
                    </w:rPr>
                  </w:pPr>
                  <w:r>
                    <w:rPr>
                      <w:rFonts w:hint="default" w:ascii="Times New Roman" w:hAnsi="Times New Roman" w:eastAsia="宋体" w:cs="Times New Roman"/>
                      <w:color w:val="auto"/>
                      <w:spacing w:val="0"/>
                      <w:w w:val="100"/>
                      <w:kern w:val="21"/>
                      <w:position w:val="0"/>
                      <w:sz w:val="21"/>
                      <w:szCs w:val="21"/>
                      <w:highlight w:val="none"/>
                      <w:lang w:val="en-US" w:eastAsia="zh-CN"/>
                    </w:rPr>
                    <w:t>矿区道路</w:t>
                  </w:r>
                </w:p>
              </w:tc>
              <w:tc>
                <w:tcPr>
                  <w:tcW w:w="5586" w:type="dxa"/>
                  <w:tcBorders>
                    <w:left w:val="single" w:color="auto" w:sz="4" w:space="0"/>
                    <w:right w:val="nil"/>
                  </w:tcBorders>
                  <w:noWrap w:val="0"/>
                  <w:vAlign w:val="center"/>
                </w:tcPr>
                <w:p w14:paraId="49C6E3E6">
                  <w:pPr>
                    <w:pStyle w:val="57"/>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b w:val="0"/>
                      <w:bCs w:val="0"/>
                      <w:color w:val="auto"/>
                      <w:spacing w:val="0"/>
                      <w:w w:val="100"/>
                      <w:kern w:val="21"/>
                      <w:position w:val="0"/>
                      <w:sz w:val="21"/>
                      <w:szCs w:val="21"/>
                      <w:highlight w:val="none"/>
                      <w:lang w:val="en-US" w:eastAsia="zh-CN" w:bidi="zh-CN"/>
                    </w:rPr>
                  </w:pPr>
                  <w:r>
                    <w:rPr>
                      <w:rFonts w:hint="default" w:ascii="Times New Roman" w:hAnsi="Times New Roman" w:eastAsia="宋体" w:cs="Times New Roman"/>
                      <w:color w:val="000000"/>
                      <w:highlight w:val="none"/>
                    </w:rPr>
                    <w:t>道路起点为矿区</w:t>
                  </w:r>
                  <w:r>
                    <w:rPr>
                      <w:rFonts w:hint="default" w:ascii="Times New Roman" w:hAnsi="Times New Roman" w:eastAsia="宋体" w:cs="Times New Roman"/>
                      <w:color w:val="000000"/>
                      <w:highlight w:val="none"/>
                      <w:lang w:eastAsia="zh-CN"/>
                    </w:rPr>
                    <w:t>北</w:t>
                  </w:r>
                  <w:r>
                    <w:rPr>
                      <w:rFonts w:hint="default" w:ascii="Times New Roman" w:hAnsi="Times New Roman" w:eastAsia="宋体" w:cs="Times New Roman"/>
                      <w:color w:val="000000"/>
                      <w:highlight w:val="none"/>
                    </w:rPr>
                    <w:t>部</w:t>
                  </w:r>
                  <w:r>
                    <w:rPr>
                      <w:rFonts w:hint="default" w:ascii="Times New Roman" w:hAnsi="Times New Roman" w:eastAsia="宋体" w:cs="Times New Roman"/>
                      <w:color w:val="000000"/>
                      <w:highlight w:val="none"/>
                      <w:lang w:val="en-US" w:eastAsia="zh-CN"/>
                    </w:rPr>
                    <w:t>670</w:t>
                  </w:r>
                  <w:r>
                    <w:rPr>
                      <w:rFonts w:hint="default" w:ascii="Times New Roman" w:hAnsi="Times New Roman" w:eastAsia="宋体" w:cs="Times New Roman"/>
                      <w:color w:val="000000"/>
                      <w:highlight w:val="none"/>
                    </w:rPr>
                    <w:t>m，终点为矿山各开采平台并连接各地面设施，最终至矿区最高标高</w:t>
                  </w:r>
                  <w:r>
                    <w:rPr>
                      <w:rFonts w:hint="default" w:ascii="Times New Roman" w:hAnsi="Times New Roman" w:eastAsia="宋体" w:cs="Times New Roman"/>
                      <w:color w:val="000000"/>
                      <w:highlight w:val="none"/>
                      <w:lang w:eastAsia="zh-CN"/>
                    </w:rPr>
                    <w:t>676</w:t>
                  </w:r>
                  <w:r>
                    <w:rPr>
                      <w:rFonts w:hint="default" w:ascii="Times New Roman" w:hAnsi="Times New Roman" w:eastAsia="宋体" w:cs="Times New Roman"/>
                      <w:color w:val="000000"/>
                      <w:highlight w:val="none"/>
                    </w:rPr>
                    <w:t>m。方案设计矿区道路全长约420m</w:t>
                  </w:r>
                  <w:r>
                    <w:rPr>
                      <w:rFonts w:hint="default" w:ascii="Times New Roman" w:hAnsi="Times New Roman" w:eastAsia="宋体" w:cs="Times New Roman"/>
                      <w:color w:val="000000"/>
                      <w:highlight w:val="none"/>
                      <w:lang w:eastAsia="zh-CN"/>
                    </w:rPr>
                    <w:t>；</w:t>
                  </w:r>
                  <w:r>
                    <w:rPr>
                      <w:rFonts w:hint="default" w:ascii="Times New Roman" w:hAnsi="Times New Roman" w:eastAsia="宋体" w:cs="Times New Roman"/>
                      <w:color w:val="000000"/>
                      <w:highlight w:val="none"/>
                    </w:rPr>
                    <w:t>路面宽度为5.0m</w:t>
                  </w:r>
                </w:p>
              </w:tc>
              <w:tc>
                <w:tcPr>
                  <w:tcW w:w="569" w:type="dxa"/>
                  <w:tcBorders>
                    <w:left w:val="single" w:color="auto" w:sz="4" w:space="0"/>
                    <w:right w:val="nil"/>
                  </w:tcBorders>
                  <w:noWrap w:val="0"/>
                  <w:vAlign w:val="center"/>
                </w:tcPr>
                <w:p w14:paraId="24451678">
                  <w:pPr>
                    <w:pStyle w:val="57"/>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b w:val="0"/>
                      <w:bCs w:val="0"/>
                      <w:color w:val="auto"/>
                      <w:spacing w:val="0"/>
                      <w:w w:val="100"/>
                      <w:kern w:val="21"/>
                      <w:position w:val="0"/>
                      <w:sz w:val="21"/>
                      <w:szCs w:val="21"/>
                      <w:highlight w:val="none"/>
                      <w:lang w:val="en-US" w:eastAsia="zh-CN" w:bidi="zh-CN"/>
                    </w:rPr>
                  </w:pPr>
                  <w:r>
                    <w:rPr>
                      <w:rFonts w:hint="default" w:ascii="Times New Roman" w:hAnsi="Times New Roman" w:eastAsia="宋体" w:cs="Times New Roman"/>
                      <w:color w:val="auto"/>
                      <w:spacing w:val="0"/>
                      <w:w w:val="100"/>
                      <w:kern w:val="21"/>
                      <w:position w:val="0"/>
                      <w:sz w:val="21"/>
                      <w:szCs w:val="21"/>
                      <w:highlight w:val="none"/>
                      <w:lang w:val="en-US" w:eastAsia="zh-CN"/>
                    </w:rPr>
                    <w:t>新建</w:t>
                  </w:r>
                </w:p>
              </w:tc>
            </w:tr>
            <w:tr w14:paraId="05463BC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53" w:hRule="atLeast"/>
                <w:jc w:val="center"/>
              </w:trPr>
              <w:tc>
                <w:tcPr>
                  <w:tcW w:w="501" w:type="dxa"/>
                  <w:vMerge w:val="continue"/>
                  <w:tcBorders>
                    <w:right w:val="single" w:color="auto" w:sz="4" w:space="0"/>
                  </w:tcBorders>
                  <w:noWrap w:val="0"/>
                  <w:vAlign w:val="center"/>
                </w:tcPr>
                <w:p w14:paraId="4D02EB23">
                  <w:pPr>
                    <w:pStyle w:val="57"/>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b w:val="0"/>
                      <w:bCs w:val="0"/>
                      <w:color w:val="auto"/>
                      <w:spacing w:val="0"/>
                      <w:w w:val="100"/>
                      <w:kern w:val="21"/>
                      <w:position w:val="0"/>
                      <w:sz w:val="21"/>
                      <w:szCs w:val="21"/>
                      <w:highlight w:val="none"/>
                      <w:lang w:val="en-US" w:eastAsia="zh-CN" w:bidi="zh-CN"/>
                    </w:rPr>
                  </w:pPr>
                </w:p>
              </w:tc>
              <w:tc>
                <w:tcPr>
                  <w:tcW w:w="1519" w:type="dxa"/>
                  <w:tcBorders>
                    <w:left w:val="single" w:color="auto" w:sz="4" w:space="0"/>
                    <w:right w:val="single" w:color="auto" w:sz="4" w:space="0"/>
                  </w:tcBorders>
                  <w:noWrap w:val="0"/>
                  <w:vAlign w:val="center"/>
                </w:tcPr>
                <w:p w14:paraId="7D3034F7">
                  <w:pPr>
                    <w:pStyle w:val="57"/>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spacing w:val="0"/>
                      <w:w w:val="100"/>
                      <w:kern w:val="21"/>
                      <w:position w:val="0"/>
                      <w:sz w:val="21"/>
                      <w:szCs w:val="21"/>
                      <w:highlight w:val="none"/>
                      <w:lang w:val="en-US" w:eastAsia="zh-CN" w:bidi="zh-CN"/>
                    </w:rPr>
                  </w:pPr>
                  <w:r>
                    <w:rPr>
                      <w:rFonts w:hint="default" w:ascii="Times New Roman" w:hAnsi="Times New Roman" w:eastAsia="宋体" w:cs="Times New Roman"/>
                      <w:color w:val="auto"/>
                      <w:spacing w:val="0"/>
                      <w:sz w:val="21"/>
                      <w:szCs w:val="21"/>
                      <w:highlight w:val="none"/>
                      <w:lang w:val="en-US" w:eastAsia="zh-CN"/>
                    </w:rPr>
                    <w:t>成</w:t>
                  </w:r>
                  <w:r>
                    <w:rPr>
                      <w:rFonts w:hint="eastAsia" w:eastAsia="宋体" w:cs="Times New Roman"/>
                      <w:color w:val="auto"/>
                      <w:spacing w:val="0"/>
                      <w:sz w:val="21"/>
                      <w:szCs w:val="21"/>
                      <w:highlight w:val="none"/>
                      <w:lang w:val="en-US" w:eastAsia="zh-CN"/>
                    </w:rPr>
                    <w:t>品</w:t>
                  </w:r>
                  <w:r>
                    <w:rPr>
                      <w:rFonts w:hint="default" w:ascii="Times New Roman" w:hAnsi="Times New Roman" w:eastAsia="宋体" w:cs="Times New Roman"/>
                      <w:color w:val="auto"/>
                      <w:spacing w:val="0"/>
                      <w:sz w:val="21"/>
                      <w:szCs w:val="21"/>
                      <w:highlight w:val="none"/>
                      <w:lang w:val="en-US" w:eastAsia="zh-CN"/>
                    </w:rPr>
                    <w:t>堆场</w:t>
                  </w:r>
                </w:p>
              </w:tc>
              <w:tc>
                <w:tcPr>
                  <w:tcW w:w="5586" w:type="dxa"/>
                  <w:tcBorders>
                    <w:left w:val="single" w:color="auto" w:sz="4" w:space="0"/>
                    <w:right w:val="nil"/>
                  </w:tcBorders>
                  <w:noWrap w:val="0"/>
                  <w:vAlign w:val="center"/>
                </w:tcPr>
                <w:p w14:paraId="415A0AA1">
                  <w:pPr>
                    <w:pStyle w:val="57"/>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rightChars="0"/>
                    <w:jc w:val="center"/>
                    <w:textAlignment w:val="auto"/>
                    <w:rPr>
                      <w:rFonts w:hint="default" w:ascii="Times New Roman" w:hAnsi="Times New Roman" w:eastAsia="宋体" w:cs="Times New Roman"/>
                      <w:b w:val="0"/>
                      <w:bCs w:val="0"/>
                      <w:color w:val="auto"/>
                      <w:spacing w:val="0"/>
                      <w:w w:val="100"/>
                      <w:kern w:val="21"/>
                      <w:position w:val="0"/>
                      <w:sz w:val="21"/>
                      <w:szCs w:val="21"/>
                      <w:highlight w:val="none"/>
                      <w:lang w:val="en-US" w:eastAsia="zh-CN" w:bidi="zh-CN"/>
                    </w:rPr>
                  </w:pPr>
                  <w:r>
                    <w:rPr>
                      <w:rFonts w:hint="default" w:ascii="Times New Roman" w:hAnsi="Times New Roman" w:eastAsia="宋体" w:cs="Times New Roman"/>
                      <w:color w:val="auto"/>
                      <w:spacing w:val="0"/>
                      <w:sz w:val="21"/>
                      <w:szCs w:val="21"/>
                      <w:highlight w:val="none"/>
                      <w:lang w:val="en-US" w:eastAsia="zh-CN"/>
                    </w:rPr>
                    <w:t>开采后的砂石料经过破碎筛分后通过密闭廊道输送至成品堆场，面积为5000m</w:t>
                  </w:r>
                  <w:r>
                    <w:rPr>
                      <w:rFonts w:hint="default" w:ascii="Times New Roman" w:hAnsi="Times New Roman" w:eastAsia="宋体" w:cs="Times New Roman"/>
                      <w:color w:val="auto"/>
                      <w:spacing w:val="0"/>
                      <w:sz w:val="21"/>
                      <w:szCs w:val="21"/>
                      <w:highlight w:val="none"/>
                      <w:vertAlign w:val="superscript"/>
                      <w:lang w:val="en-US" w:eastAsia="zh-CN"/>
                    </w:rPr>
                    <w:t>2</w:t>
                  </w:r>
                </w:p>
              </w:tc>
              <w:tc>
                <w:tcPr>
                  <w:tcW w:w="569" w:type="dxa"/>
                  <w:tcBorders>
                    <w:left w:val="single" w:color="auto" w:sz="4" w:space="0"/>
                    <w:right w:val="nil"/>
                  </w:tcBorders>
                  <w:noWrap w:val="0"/>
                  <w:vAlign w:val="center"/>
                </w:tcPr>
                <w:p w14:paraId="07851350">
                  <w:pPr>
                    <w:pStyle w:val="57"/>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b w:val="0"/>
                      <w:bCs w:val="0"/>
                      <w:color w:val="auto"/>
                      <w:spacing w:val="0"/>
                      <w:w w:val="100"/>
                      <w:kern w:val="21"/>
                      <w:position w:val="0"/>
                      <w:sz w:val="21"/>
                      <w:szCs w:val="21"/>
                      <w:highlight w:val="none"/>
                      <w:lang w:val="en-US" w:eastAsia="zh-CN" w:bidi="zh-CN"/>
                    </w:rPr>
                  </w:pPr>
                  <w:r>
                    <w:rPr>
                      <w:rFonts w:hint="default" w:ascii="Times New Roman" w:hAnsi="Times New Roman" w:eastAsia="宋体" w:cs="Times New Roman"/>
                      <w:color w:val="auto"/>
                      <w:spacing w:val="0"/>
                      <w:w w:val="100"/>
                      <w:kern w:val="21"/>
                      <w:position w:val="0"/>
                      <w:sz w:val="21"/>
                      <w:szCs w:val="21"/>
                      <w:highlight w:val="none"/>
                      <w:lang w:val="en-US" w:eastAsia="zh-CN"/>
                    </w:rPr>
                    <w:t>新建</w:t>
                  </w:r>
                </w:p>
              </w:tc>
            </w:tr>
            <w:tr w14:paraId="1107484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53" w:hRule="atLeast"/>
                <w:jc w:val="center"/>
              </w:trPr>
              <w:tc>
                <w:tcPr>
                  <w:tcW w:w="501" w:type="dxa"/>
                  <w:vMerge w:val="continue"/>
                  <w:tcBorders>
                    <w:right w:val="single" w:color="auto" w:sz="4" w:space="0"/>
                  </w:tcBorders>
                  <w:noWrap w:val="0"/>
                  <w:vAlign w:val="center"/>
                </w:tcPr>
                <w:p w14:paraId="4ABF67DF">
                  <w:pPr>
                    <w:pStyle w:val="57"/>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b w:val="0"/>
                      <w:bCs w:val="0"/>
                      <w:color w:val="auto"/>
                      <w:spacing w:val="0"/>
                      <w:w w:val="100"/>
                      <w:kern w:val="21"/>
                      <w:position w:val="0"/>
                      <w:sz w:val="21"/>
                      <w:szCs w:val="21"/>
                      <w:highlight w:val="none"/>
                      <w:lang w:val="en-US" w:eastAsia="zh-CN" w:bidi="zh-CN"/>
                    </w:rPr>
                  </w:pPr>
                </w:p>
              </w:tc>
              <w:tc>
                <w:tcPr>
                  <w:tcW w:w="1519" w:type="dxa"/>
                  <w:tcBorders>
                    <w:left w:val="single" w:color="auto" w:sz="4" w:space="0"/>
                    <w:right w:val="single" w:color="auto" w:sz="4" w:space="0"/>
                  </w:tcBorders>
                  <w:noWrap w:val="0"/>
                  <w:vAlign w:val="center"/>
                </w:tcPr>
                <w:p w14:paraId="134ED959">
                  <w:pPr>
                    <w:pStyle w:val="57"/>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right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eastAsia="宋体" w:cs="Times New Roman"/>
                      <w:color w:val="auto"/>
                      <w:spacing w:val="0"/>
                      <w:sz w:val="21"/>
                      <w:szCs w:val="21"/>
                      <w:highlight w:val="none"/>
                      <w:lang w:val="en-US" w:eastAsia="zh-CN"/>
                    </w:rPr>
                    <w:t>筒仓</w:t>
                  </w:r>
                </w:p>
              </w:tc>
              <w:tc>
                <w:tcPr>
                  <w:tcW w:w="5586" w:type="dxa"/>
                  <w:tcBorders>
                    <w:left w:val="single" w:color="auto" w:sz="4" w:space="0"/>
                    <w:right w:val="nil"/>
                  </w:tcBorders>
                  <w:noWrap w:val="0"/>
                  <w:vAlign w:val="center"/>
                </w:tcPr>
                <w:p w14:paraId="28CD1524">
                  <w:pPr>
                    <w:pStyle w:val="57"/>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right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eastAsia="宋体" w:cs="Times New Roman"/>
                      <w:color w:val="auto"/>
                      <w:spacing w:val="0"/>
                      <w:sz w:val="21"/>
                      <w:szCs w:val="21"/>
                      <w:highlight w:val="none"/>
                      <w:lang w:val="en-US" w:eastAsia="zh-CN"/>
                    </w:rPr>
                    <w:t>本项目共设置5个筒仓，1个粉煤灰筒仓，1个外加剂筒仓，3个水泥筒仓。</w:t>
                  </w:r>
                </w:p>
              </w:tc>
              <w:tc>
                <w:tcPr>
                  <w:tcW w:w="569" w:type="dxa"/>
                  <w:tcBorders>
                    <w:left w:val="single" w:color="auto" w:sz="4" w:space="0"/>
                    <w:right w:val="nil"/>
                  </w:tcBorders>
                  <w:noWrap w:val="0"/>
                  <w:vAlign w:val="center"/>
                </w:tcPr>
                <w:p w14:paraId="2FE07165">
                  <w:pPr>
                    <w:pStyle w:val="57"/>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color w:val="auto"/>
                      <w:spacing w:val="0"/>
                      <w:w w:val="100"/>
                      <w:kern w:val="21"/>
                      <w:position w:val="0"/>
                      <w:sz w:val="21"/>
                      <w:szCs w:val="21"/>
                      <w:highlight w:val="none"/>
                      <w:lang w:val="en-US" w:eastAsia="zh-CN"/>
                    </w:rPr>
                  </w:pPr>
                  <w:r>
                    <w:rPr>
                      <w:rFonts w:hint="eastAsia" w:eastAsia="宋体" w:cs="Times New Roman"/>
                      <w:color w:val="auto"/>
                      <w:spacing w:val="0"/>
                      <w:w w:val="100"/>
                      <w:kern w:val="21"/>
                      <w:position w:val="0"/>
                      <w:sz w:val="21"/>
                      <w:szCs w:val="21"/>
                      <w:highlight w:val="none"/>
                      <w:lang w:val="en-US" w:eastAsia="zh-CN"/>
                    </w:rPr>
                    <w:t>新建</w:t>
                  </w:r>
                </w:p>
              </w:tc>
            </w:tr>
            <w:tr w14:paraId="1E00AC3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501" w:type="dxa"/>
                  <w:vMerge w:val="restart"/>
                  <w:tcBorders>
                    <w:right w:val="single" w:color="auto" w:sz="4" w:space="0"/>
                  </w:tcBorders>
                  <w:noWrap w:val="0"/>
                  <w:vAlign w:val="center"/>
                </w:tcPr>
                <w:p w14:paraId="7911DB41">
                  <w:pPr>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color w:val="auto"/>
                      <w:spacing w:val="0"/>
                      <w:w w:val="100"/>
                      <w:kern w:val="21"/>
                      <w:position w:val="0"/>
                      <w:sz w:val="21"/>
                      <w:szCs w:val="21"/>
                      <w:highlight w:val="none"/>
                    </w:rPr>
                  </w:pPr>
                  <w:r>
                    <w:rPr>
                      <w:rFonts w:hint="default" w:ascii="Times New Roman" w:hAnsi="Times New Roman" w:eastAsia="宋体" w:cs="Times New Roman"/>
                      <w:color w:val="auto"/>
                      <w:spacing w:val="0"/>
                      <w:w w:val="100"/>
                      <w:kern w:val="21"/>
                      <w:position w:val="0"/>
                      <w:sz w:val="21"/>
                      <w:szCs w:val="21"/>
                      <w:highlight w:val="none"/>
                      <w:lang w:eastAsia="en-US"/>
                    </w:rPr>
                    <w:t>公用工程</w:t>
                  </w:r>
                </w:p>
              </w:tc>
              <w:tc>
                <w:tcPr>
                  <w:tcW w:w="1519" w:type="dxa"/>
                  <w:tcBorders>
                    <w:left w:val="single" w:color="auto" w:sz="4" w:space="0"/>
                    <w:right w:val="single" w:color="auto" w:sz="4" w:space="0"/>
                  </w:tcBorders>
                  <w:shd w:val="clear" w:color="auto" w:fill="auto"/>
                  <w:noWrap w:val="0"/>
                  <w:vAlign w:val="center"/>
                </w:tcPr>
                <w:p w14:paraId="75975203">
                  <w:pPr>
                    <w:pStyle w:val="57"/>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right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办公室食堂及员工宿舍</w:t>
                  </w:r>
                </w:p>
              </w:tc>
              <w:tc>
                <w:tcPr>
                  <w:tcW w:w="5586" w:type="dxa"/>
                  <w:tcBorders>
                    <w:top w:val="single" w:color="auto" w:sz="4" w:space="0"/>
                    <w:left w:val="single" w:color="auto" w:sz="4" w:space="0"/>
                    <w:right w:val="nil"/>
                  </w:tcBorders>
                  <w:shd w:val="clear" w:color="auto" w:fill="auto"/>
                  <w:noWrap w:val="0"/>
                  <w:vAlign w:val="center"/>
                </w:tcPr>
                <w:p w14:paraId="689ABF92">
                  <w:pPr>
                    <w:pStyle w:val="57"/>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rightChars="0"/>
                    <w:jc w:val="center"/>
                    <w:textAlignment w:val="auto"/>
                    <w:rPr>
                      <w:rFonts w:hint="default" w:ascii="Times New Roman" w:hAnsi="Times New Roman" w:eastAsia="宋体" w:cs="Times New Roman"/>
                      <w:color w:val="auto"/>
                      <w:spacing w:val="0"/>
                      <w:kern w:val="2"/>
                      <w:sz w:val="21"/>
                      <w:szCs w:val="21"/>
                      <w:highlight w:val="none"/>
                      <w:lang w:val="en-US" w:eastAsia="zh-CN" w:bidi="zh-CN"/>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位于项目区北侧，包含食堂、宿舍、办公室。</w:t>
                  </w:r>
                </w:p>
              </w:tc>
              <w:tc>
                <w:tcPr>
                  <w:tcW w:w="569" w:type="dxa"/>
                  <w:tcBorders>
                    <w:top w:val="single" w:color="auto" w:sz="4" w:space="0"/>
                    <w:left w:val="single" w:color="auto" w:sz="4" w:space="0"/>
                    <w:right w:val="nil"/>
                  </w:tcBorders>
                  <w:noWrap w:val="0"/>
                  <w:vAlign w:val="center"/>
                </w:tcPr>
                <w:p w14:paraId="10C709FD">
                  <w:pPr>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b w:val="0"/>
                      <w:bCs w:val="0"/>
                      <w:color w:val="auto"/>
                      <w:spacing w:val="0"/>
                      <w:w w:val="100"/>
                      <w:kern w:val="21"/>
                      <w:position w:val="0"/>
                      <w:sz w:val="21"/>
                      <w:szCs w:val="21"/>
                      <w:highlight w:val="none"/>
                      <w:lang w:val="en-US" w:eastAsia="zh-CN"/>
                    </w:rPr>
                  </w:pPr>
                  <w:r>
                    <w:rPr>
                      <w:rFonts w:hint="default" w:ascii="Times New Roman" w:hAnsi="Times New Roman" w:eastAsia="宋体" w:cs="Times New Roman"/>
                      <w:color w:val="auto"/>
                      <w:spacing w:val="0"/>
                      <w:w w:val="100"/>
                      <w:kern w:val="21"/>
                      <w:position w:val="0"/>
                      <w:sz w:val="21"/>
                      <w:szCs w:val="21"/>
                      <w:highlight w:val="none"/>
                      <w:lang w:val="en-US" w:eastAsia="zh-CN"/>
                    </w:rPr>
                    <w:t>新建</w:t>
                  </w:r>
                </w:p>
              </w:tc>
            </w:tr>
            <w:tr w14:paraId="0CB104A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00" w:hRule="atLeast"/>
                <w:jc w:val="center"/>
              </w:trPr>
              <w:tc>
                <w:tcPr>
                  <w:tcW w:w="501" w:type="dxa"/>
                  <w:vMerge w:val="continue"/>
                  <w:tcBorders>
                    <w:right w:val="single" w:color="auto" w:sz="4" w:space="0"/>
                  </w:tcBorders>
                  <w:noWrap w:val="0"/>
                  <w:vAlign w:val="center"/>
                </w:tcPr>
                <w:p w14:paraId="59E1E082">
                  <w:pPr>
                    <w:pStyle w:val="57"/>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rightChars="0"/>
                    <w:jc w:val="center"/>
                    <w:textAlignment w:val="auto"/>
                    <w:rPr>
                      <w:rFonts w:hint="default" w:ascii="Times New Roman" w:hAnsi="Times New Roman" w:eastAsia="宋体" w:cs="Times New Roman"/>
                      <w:highlight w:val="none"/>
                    </w:rPr>
                  </w:pPr>
                </w:p>
              </w:tc>
              <w:tc>
                <w:tcPr>
                  <w:tcW w:w="1519" w:type="dxa"/>
                  <w:tcBorders>
                    <w:left w:val="single" w:color="auto" w:sz="4" w:space="0"/>
                    <w:right w:val="single" w:color="auto" w:sz="4" w:space="0"/>
                  </w:tcBorders>
                  <w:shd w:val="clear" w:color="auto" w:fill="auto"/>
                  <w:noWrap w:val="0"/>
                  <w:vAlign w:val="center"/>
                </w:tcPr>
                <w:p w14:paraId="0AB014C8">
                  <w:pPr>
                    <w:pStyle w:val="57"/>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right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沉淀池</w:t>
                  </w:r>
                </w:p>
              </w:tc>
              <w:tc>
                <w:tcPr>
                  <w:tcW w:w="5586" w:type="dxa"/>
                  <w:tcBorders>
                    <w:top w:val="single" w:color="auto" w:sz="4" w:space="0"/>
                    <w:left w:val="single" w:color="auto" w:sz="4" w:space="0"/>
                    <w:bottom w:val="single" w:color="auto" w:sz="4" w:space="0"/>
                    <w:right w:val="nil"/>
                  </w:tcBorders>
                  <w:shd w:val="clear" w:color="auto" w:fill="auto"/>
                  <w:noWrap w:val="0"/>
                  <w:vAlign w:val="center"/>
                </w:tcPr>
                <w:p w14:paraId="1E020997">
                  <w:pPr>
                    <w:pStyle w:val="57"/>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right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便于生产废水的循环使用，容积为100m</w:t>
                  </w:r>
                  <w:r>
                    <w:rPr>
                      <w:rFonts w:hint="default" w:ascii="Times New Roman" w:hAnsi="Times New Roman" w:eastAsia="宋体" w:cs="Times New Roman"/>
                      <w:color w:val="auto"/>
                      <w:spacing w:val="0"/>
                      <w:sz w:val="21"/>
                      <w:szCs w:val="21"/>
                      <w:highlight w:val="none"/>
                      <w:vertAlign w:val="superscript"/>
                      <w:lang w:val="en-US" w:eastAsia="zh-CN"/>
                    </w:rPr>
                    <w:t>3</w:t>
                  </w:r>
                </w:p>
              </w:tc>
              <w:tc>
                <w:tcPr>
                  <w:tcW w:w="569" w:type="dxa"/>
                  <w:tcBorders>
                    <w:left w:val="single" w:color="auto" w:sz="4" w:space="0"/>
                    <w:right w:val="nil"/>
                  </w:tcBorders>
                  <w:noWrap w:val="0"/>
                  <w:vAlign w:val="center"/>
                </w:tcPr>
                <w:p w14:paraId="5A646805">
                  <w:pPr>
                    <w:pStyle w:val="57"/>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right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w w:val="100"/>
                      <w:kern w:val="21"/>
                      <w:position w:val="0"/>
                      <w:sz w:val="21"/>
                      <w:szCs w:val="21"/>
                      <w:highlight w:val="none"/>
                      <w:lang w:val="en-US" w:eastAsia="zh-CN"/>
                    </w:rPr>
                    <w:t>新建</w:t>
                  </w:r>
                </w:p>
              </w:tc>
            </w:tr>
            <w:tr w14:paraId="56E5F73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01" w:type="dxa"/>
                  <w:vMerge w:val="continue"/>
                  <w:tcBorders>
                    <w:right w:val="single" w:color="auto" w:sz="4" w:space="0"/>
                  </w:tcBorders>
                  <w:noWrap w:val="0"/>
                  <w:vAlign w:val="center"/>
                </w:tcPr>
                <w:p w14:paraId="3D6544E3">
                  <w:pPr>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color w:val="auto"/>
                      <w:spacing w:val="0"/>
                      <w:w w:val="100"/>
                      <w:kern w:val="21"/>
                      <w:position w:val="0"/>
                      <w:sz w:val="21"/>
                      <w:szCs w:val="21"/>
                      <w:highlight w:val="none"/>
                    </w:rPr>
                  </w:pPr>
                </w:p>
              </w:tc>
              <w:tc>
                <w:tcPr>
                  <w:tcW w:w="1519" w:type="dxa"/>
                  <w:tcBorders>
                    <w:top w:val="single" w:color="auto" w:sz="4" w:space="0"/>
                    <w:left w:val="single" w:color="auto" w:sz="4" w:space="0"/>
                    <w:bottom w:val="single" w:color="auto" w:sz="4" w:space="0"/>
                    <w:right w:val="single" w:color="auto" w:sz="4" w:space="0"/>
                  </w:tcBorders>
                  <w:noWrap w:val="0"/>
                  <w:vAlign w:val="center"/>
                </w:tcPr>
                <w:p w14:paraId="3B33BD4F">
                  <w:pPr>
                    <w:pStyle w:val="57"/>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rightChars="0"/>
                    <w:jc w:val="center"/>
                    <w:textAlignment w:val="auto"/>
                    <w:rPr>
                      <w:rFonts w:hint="default" w:ascii="Times New Roman" w:hAnsi="Times New Roman" w:eastAsia="宋体" w:cs="Times New Roman"/>
                      <w:color w:val="auto"/>
                      <w:spacing w:val="0"/>
                      <w:w w:val="100"/>
                      <w:kern w:val="21"/>
                      <w:position w:val="0"/>
                      <w:sz w:val="21"/>
                      <w:szCs w:val="21"/>
                      <w:highlight w:val="none"/>
                      <w:lang w:val="en-US" w:eastAsia="zh-CN" w:bidi="ar-SA"/>
                    </w:rPr>
                  </w:pPr>
                  <w:r>
                    <w:rPr>
                      <w:rFonts w:hint="default" w:ascii="Times New Roman" w:hAnsi="Times New Roman" w:eastAsia="宋体" w:cs="Times New Roman"/>
                      <w:color w:val="auto"/>
                      <w:spacing w:val="0"/>
                      <w:w w:val="100"/>
                      <w:kern w:val="21"/>
                      <w:position w:val="0"/>
                      <w:sz w:val="21"/>
                      <w:szCs w:val="21"/>
                      <w:highlight w:val="none"/>
                    </w:rPr>
                    <w:t>给排水</w:t>
                  </w:r>
                </w:p>
              </w:tc>
              <w:tc>
                <w:tcPr>
                  <w:tcW w:w="5586" w:type="dxa"/>
                  <w:tcBorders>
                    <w:top w:val="single" w:color="auto" w:sz="4" w:space="0"/>
                    <w:left w:val="single" w:color="auto" w:sz="4" w:space="0"/>
                    <w:bottom w:val="single" w:color="auto" w:sz="4" w:space="0"/>
                    <w:right w:val="nil"/>
                  </w:tcBorders>
                  <w:noWrap w:val="0"/>
                  <w:vAlign w:val="center"/>
                </w:tcPr>
                <w:p w14:paraId="352BB0D5">
                  <w:pPr>
                    <w:pStyle w:val="57"/>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rightChars="0"/>
                    <w:jc w:val="center"/>
                    <w:textAlignment w:val="auto"/>
                    <w:rPr>
                      <w:rFonts w:hint="default" w:ascii="Times New Roman" w:hAnsi="Times New Roman" w:eastAsia="宋体" w:cs="Times New Roman"/>
                      <w:color w:val="auto"/>
                      <w:spacing w:val="0"/>
                      <w:w w:val="100"/>
                      <w:kern w:val="21"/>
                      <w:position w:val="0"/>
                      <w:sz w:val="21"/>
                      <w:szCs w:val="21"/>
                      <w:highlight w:val="none"/>
                      <w:lang w:val="en-US" w:eastAsia="zh-CN"/>
                    </w:rPr>
                  </w:pPr>
                  <w:r>
                    <w:rPr>
                      <w:rFonts w:hint="default" w:ascii="Times New Roman" w:hAnsi="Times New Roman" w:eastAsia="宋体" w:cs="Times New Roman"/>
                      <w:color w:val="auto"/>
                      <w:spacing w:val="0"/>
                      <w:w w:val="100"/>
                      <w:kern w:val="21"/>
                      <w:position w:val="0"/>
                      <w:sz w:val="21"/>
                      <w:szCs w:val="21"/>
                      <w:highlight w:val="none"/>
                      <w:lang w:val="en-US" w:eastAsia="zh-CN"/>
                    </w:rPr>
                    <w:t>生产用水水源为吉木萨尔县水溪沟水库</w:t>
                  </w:r>
                  <w:r>
                    <w:rPr>
                      <w:rFonts w:hint="eastAsia" w:eastAsia="宋体" w:cs="Times New Roman"/>
                      <w:color w:val="auto"/>
                      <w:spacing w:val="0"/>
                      <w:w w:val="100"/>
                      <w:kern w:val="21"/>
                      <w:position w:val="0"/>
                      <w:sz w:val="21"/>
                      <w:szCs w:val="21"/>
                      <w:highlight w:val="none"/>
                      <w:lang w:val="en-US" w:eastAsia="zh-CN"/>
                    </w:rPr>
                    <w:t>，通过项目区西侧双河干渠引入项目区周围后拉运</w:t>
                  </w:r>
                  <w:r>
                    <w:rPr>
                      <w:rFonts w:hint="default" w:ascii="Times New Roman" w:hAnsi="Times New Roman" w:eastAsia="宋体" w:cs="Times New Roman"/>
                      <w:color w:val="auto"/>
                      <w:spacing w:val="0"/>
                      <w:w w:val="100"/>
                      <w:kern w:val="21"/>
                      <w:position w:val="0"/>
                      <w:sz w:val="21"/>
                      <w:szCs w:val="21"/>
                      <w:highlight w:val="none"/>
                      <w:lang w:val="en-US" w:eastAsia="zh-CN"/>
                    </w:rPr>
                    <w:t>，生活用水从附近村庄拉运。</w:t>
                  </w:r>
                </w:p>
              </w:tc>
              <w:tc>
                <w:tcPr>
                  <w:tcW w:w="569" w:type="dxa"/>
                  <w:tcBorders>
                    <w:top w:val="single" w:color="auto" w:sz="4" w:space="0"/>
                    <w:left w:val="single" w:color="auto" w:sz="4" w:space="0"/>
                    <w:bottom w:val="single" w:color="auto" w:sz="4" w:space="0"/>
                    <w:right w:val="nil"/>
                  </w:tcBorders>
                  <w:noWrap w:val="0"/>
                  <w:vAlign w:val="center"/>
                </w:tcPr>
                <w:p w14:paraId="19A6BB3A">
                  <w:pPr>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color w:val="auto"/>
                      <w:spacing w:val="0"/>
                      <w:w w:val="100"/>
                      <w:kern w:val="21"/>
                      <w:position w:val="0"/>
                      <w:sz w:val="21"/>
                      <w:szCs w:val="21"/>
                      <w:highlight w:val="none"/>
                      <w:lang w:val="en-US" w:eastAsia="zh-CN"/>
                    </w:rPr>
                  </w:pPr>
                  <w:r>
                    <w:rPr>
                      <w:rFonts w:hint="default" w:ascii="Times New Roman" w:hAnsi="Times New Roman" w:eastAsia="宋体" w:cs="Times New Roman"/>
                      <w:color w:val="auto"/>
                      <w:spacing w:val="0"/>
                      <w:w w:val="100"/>
                      <w:kern w:val="21"/>
                      <w:position w:val="0"/>
                      <w:sz w:val="21"/>
                      <w:szCs w:val="21"/>
                      <w:highlight w:val="none"/>
                      <w:lang w:val="en-US" w:eastAsia="zh-CN"/>
                    </w:rPr>
                    <w:t>新建</w:t>
                  </w:r>
                </w:p>
              </w:tc>
            </w:tr>
            <w:tr w14:paraId="53BD70D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01" w:type="dxa"/>
                  <w:vMerge w:val="continue"/>
                  <w:tcBorders>
                    <w:right w:val="single" w:color="auto" w:sz="4" w:space="0"/>
                  </w:tcBorders>
                  <w:noWrap w:val="0"/>
                  <w:vAlign w:val="center"/>
                </w:tcPr>
                <w:p w14:paraId="01131B22">
                  <w:pPr>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color w:val="auto"/>
                      <w:spacing w:val="0"/>
                      <w:w w:val="100"/>
                      <w:kern w:val="21"/>
                      <w:position w:val="0"/>
                      <w:sz w:val="21"/>
                      <w:szCs w:val="21"/>
                      <w:highlight w:val="none"/>
                    </w:rPr>
                  </w:pPr>
                </w:p>
              </w:tc>
              <w:tc>
                <w:tcPr>
                  <w:tcW w:w="1519" w:type="dxa"/>
                  <w:tcBorders>
                    <w:top w:val="single" w:color="auto" w:sz="4" w:space="0"/>
                    <w:left w:val="single" w:color="auto" w:sz="4" w:space="0"/>
                    <w:bottom w:val="single" w:color="auto" w:sz="4" w:space="0"/>
                    <w:right w:val="single" w:color="auto" w:sz="4" w:space="0"/>
                  </w:tcBorders>
                  <w:noWrap w:val="0"/>
                  <w:vAlign w:val="center"/>
                </w:tcPr>
                <w:p w14:paraId="65D3CC69">
                  <w:pPr>
                    <w:pStyle w:val="57"/>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rightChars="0"/>
                    <w:jc w:val="center"/>
                    <w:textAlignment w:val="auto"/>
                    <w:rPr>
                      <w:rFonts w:hint="default" w:ascii="Times New Roman" w:hAnsi="Times New Roman" w:eastAsia="宋体" w:cs="Times New Roman"/>
                      <w:color w:val="auto"/>
                      <w:spacing w:val="0"/>
                      <w:w w:val="100"/>
                      <w:kern w:val="21"/>
                      <w:position w:val="0"/>
                      <w:sz w:val="21"/>
                      <w:szCs w:val="21"/>
                      <w:highlight w:val="none"/>
                    </w:rPr>
                  </w:pPr>
                  <w:r>
                    <w:rPr>
                      <w:rFonts w:hint="default" w:ascii="Times New Roman" w:hAnsi="Times New Roman" w:eastAsia="宋体" w:cs="Times New Roman"/>
                      <w:color w:val="auto"/>
                      <w:spacing w:val="0"/>
                      <w:w w:val="100"/>
                      <w:kern w:val="21"/>
                      <w:position w:val="0"/>
                      <w:sz w:val="21"/>
                      <w:szCs w:val="21"/>
                      <w:highlight w:val="none"/>
                    </w:rPr>
                    <w:t>供电</w:t>
                  </w:r>
                </w:p>
              </w:tc>
              <w:tc>
                <w:tcPr>
                  <w:tcW w:w="5586" w:type="dxa"/>
                  <w:tcBorders>
                    <w:top w:val="single" w:color="auto" w:sz="4" w:space="0"/>
                    <w:left w:val="single" w:color="auto" w:sz="4" w:space="0"/>
                    <w:bottom w:val="single" w:color="auto" w:sz="4" w:space="0"/>
                    <w:right w:val="nil"/>
                  </w:tcBorders>
                  <w:noWrap w:val="0"/>
                  <w:vAlign w:val="center"/>
                </w:tcPr>
                <w:p w14:paraId="3EF4E162">
                  <w:pPr>
                    <w:pStyle w:val="57"/>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right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由国家电网供电管网供给，矿区周边已有电力线路，矿场的生产、生活用电方便。</w:t>
                  </w:r>
                </w:p>
              </w:tc>
              <w:tc>
                <w:tcPr>
                  <w:tcW w:w="569" w:type="dxa"/>
                  <w:tcBorders>
                    <w:top w:val="single" w:color="auto" w:sz="4" w:space="0"/>
                    <w:left w:val="single" w:color="auto" w:sz="4" w:space="0"/>
                    <w:bottom w:val="single" w:color="auto" w:sz="4" w:space="0"/>
                    <w:right w:val="nil"/>
                  </w:tcBorders>
                  <w:noWrap w:val="0"/>
                  <w:vAlign w:val="center"/>
                </w:tcPr>
                <w:p w14:paraId="5B519775">
                  <w:pPr>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color w:val="auto"/>
                      <w:spacing w:val="0"/>
                      <w:w w:val="100"/>
                      <w:kern w:val="21"/>
                      <w:position w:val="0"/>
                      <w:sz w:val="21"/>
                      <w:szCs w:val="21"/>
                      <w:highlight w:val="none"/>
                      <w:lang w:val="en-US" w:eastAsia="zh-CN"/>
                    </w:rPr>
                  </w:pPr>
                  <w:r>
                    <w:rPr>
                      <w:rFonts w:hint="default" w:ascii="Times New Roman" w:hAnsi="Times New Roman" w:eastAsia="宋体" w:cs="Times New Roman"/>
                      <w:color w:val="auto"/>
                      <w:spacing w:val="0"/>
                      <w:w w:val="100"/>
                      <w:kern w:val="21"/>
                      <w:position w:val="0"/>
                      <w:sz w:val="21"/>
                      <w:szCs w:val="21"/>
                      <w:highlight w:val="none"/>
                      <w:lang w:val="en-US" w:eastAsia="zh-CN"/>
                    </w:rPr>
                    <w:t>依托</w:t>
                  </w:r>
                </w:p>
              </w:tc>
            </w:tr>
            <w:tr w14:paraId="7DD8561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01" w:type="dxa"/>
                  <w:vMerge w:val="continue"/>
                  <w:tcBorders>
                    <w:right w:val="single" w:color="auto" w:sz="4" w:space="0"/>
                  </w:tcBorders>
                  <w:noWrap w:val="0"/>
                  <w:vAlign w:val="center"/>
                </w:tcPr>
                <w:p w14:paraId="66698B9E">
                  <w:pPr>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color w:val="auto"/>
                      <w:spacing w:val="0"/>
                      <w:w w:val="100"/>
                      <w:kern w:val="21"/>
                      <w:position w:val="0"/>
                      <w:sz w:val="21"/>
                      <w:szCs w:val="21"/>
                      <w:highlight w:val="none"/>
                    </w:rPr>
                  </w:pPr>
                </w:p>
              </w:tc>
              <w:tc>
                <w:tcPr>
                  <w:tcW w:w="1519" w:type="dxa"/>
                  <w:tcBorders>
                    <w:top w:val="single" w:color="auto" w:sz="4" w:space="0"/>
                    <w:left w:val="single" w:color="auto" w:sz="4" w:space="0"/>
                    <w:bottom w:val="single" w:color="auto" w:sz="4" w:space="0"/>
                    <w:right w:val="single" w:color="auto" w:sz="4" w:space="0"/>
                  </w:tcBorders>
                  <w:noWrap w:val="0"/>
                  <w:vAlign w:val="center"/>
                </w:tcPr>
                <w:p w14:paraId="66958BD9">
                  <w:pPr>
                    <w:pStyle w:val="57"/>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Times New Roman" w:hAnsi="Times New Roman" w:eastAsia="宋体" w:cs="Times New Roman"/>
                      <w:color w:val="auto"/>
                      <w:spacing w:val="0"/>
                      <w:w w:val="100"/>
                      <w:kern w:val="21"/>
                      <w:position w:val="0"/>
                      <w:sz w:val="21"/>
                      <w:szCs w:val="21"/>
                      <w:highlight w:val="none"/>
                      <w:lang w:val="en-US" w:eastAsia="zh-CN"/>
                    </w:rPr>
                  </w:pPr>
                  <w:r>
                    <w:rPr>
                      <w:rFonts w:hint="eastAsia" w:eastAsia="宋体" w:cs="Times New Roman"/>
                      <w:color w:val="auto"/>
                      <w:spacing w:val="0"/>
                      <w:w w:val="100"/>
                      <w:kern w:val="21"/>
                      <w:position w:val="0"/>
                      <w:sz w:val="21"/>
                      <w:szCs w:val="21"/>
                      <w:highlight w:val="none"/>
                      <w:lang w:val="en-US" w:eastAsia="zh-CN"/>
                    </w:rPr>
                    <w:t>供暖</w:t>
                  </w:r>
                </w:p>
              </w:tc>
              <w:tc>
                <w:tcPr>
                  <w:tcW w:w="5586" w:type="dxa"/>
                  <w:tcBorders>
                    <w:top w:val="single" w:color="auto" w:sz="4" w:space="0"/>
                    <w:left w:val="single" w:color="auto" w:sz="4" w:space="0"/>
                    <w:bottom w:val="single" w:color="auto" w:sz="4" w:space="0"/>
                    <w:right w:val="nil"/>
                  </w:tcBorders>
                  <w:noWrap w:val="0"/>
                  <w:vAlign w:val="center"/>
                </w:tcPr>
                <w:p w14:paraId="5519A1ED">
                  <w:pPr>
                    <w:pStyle w:val="57"/>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right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eastAsia="宋体" w:cs="Times New Roman"/>
                      <w:color w:val="auto"/>
                      <w:spacing w:val="0"/>
                      <w:sz w:val="21"/>
                      <w:szCs w:val="21"/>
                      <w:highlight w:val="none"/>
                      <w:lang w:val="en-US" w:eastAsia="zh-CN"/>
                    </w:rPr>
                    <w:t>本项目冬季不生产，值班人员采用电采暖。</w:t>
                  </w:r>
                </w:p>
              </w:tc>
              <w:tc>
                <w:tcPr>
                  <w:tcW w:w="569" w:type="dxa"/>
                  <w:tcBorders>
                    <w:top w:val="single" w:color="auto" w:sz="4" w:space="0"/>
                    <w:left w:val="single" w:color="auto" w:sz="4" w:space="0"/>
                    <w:bottom w:val="single" w:color="auto" w:sz="4" w:space="0"/>
                    <w:right w:val="nil"/>
                  </w:tcBorders>
                  <w:noWrap w:val="0"/>
                  <w:vAlign w:val="center"/>
                </w:tcPr>
                <w:p w14:paraId="02CB76BD">
                  <w:pPr>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color w:val="auto"/>
                      <w:spacing w:val="0"/>
                      <w:w w:val="100"/>
                      <w:kern w:val="21"/>
                      <w:position w:val="0"/>
                      <w:sz w:val="21"/>
                      <w:szCs w:val="21"/>
                      <w:highlight w:val="none"/>
                      <w:lang w:val="en-US" w:eastAsia="zh-CN"/>
                    </w:rPr>
                  </w:pPr>
                  <w:r>
                    <w:rPr>
                      <w:rFonts w:hint="eastAsia" w:ascii="Times New Roman" w:hAnsi="Times New Roman" w:eastAsia="宋体" w:cs="Times New Roman"/>
                      <w:color w:val="auto"/>
                      <w:spacing w:val="0"/>
                      <w:w w:val="100"/>
                      <w:kern w:val="21"/>
                      <w:position w:val="0"/>
                      <w:sz w:val="21"/>
                      <w:szCs w:val="21"/>
                      <w:highlight w:val="none"/>
                      <w:lang w:val="en-US" w:eastAsia="zh-CN"/>
                    </w:rPr>
                    <w:t>/</w:t>
                  </w:r>
                </w:p>
              </w:tc>
            </w:tr>
            <w:tr w14:paraId="69383B3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01" w:type="dxa"/>
                  <w:vMerge w:val="restart"/>
                  <w:tcBorders>
                    <w:bottom w:val="single" w:color="auto" w:sz="4" w:space="0"/>
                    <w:right w:val="single" w:color="auto" w:sz="4" w:space="0"/>
                  </w:tcBorders>
                  <w:noWrap w:val="0"/>
                  <w:vAlign w:val="center"/>
                </w:tcPr>
                <w:p w14:paraId="35D7CA5E">
                  <w:pPr>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color w:val="auto"/>
                      <w:spacing w:val="0"/>
                      <w:w w:val="100"/>
                      <w:kern w:val="21"/>
                      <w:position w:val="0"/>
                      <w:sz w:val="21"/>
                      <w:szCs w:val="21"/>
                      <w:highlight w:val="none"/>
                    </w:rPr>
                  </w:pPr>
                  <w:r>
                    <w:rPr>
                      <w:rFonts w:hint="default" w:ascii="Times New Roman" w:hAnsi="Times New Roman" w:eastAsia="宋体" w:cs="Times New Roman"/>
                      <w:color w:val="auto"/>
                      <w:spacing w:val="0"/>
                      <w:w w:val="100"/>
                      <w:kern w:val="21"/>
                      <w:position w:val="0"/>
                      <w:sz w:val="21"/>
                      <w:szCs w:val="21"/>
                      <w:highlight w:val="none"/>
                      <w:lang w:eastAsia="en-US"/>
                    </w:rPr>
                    <w:t>环保工程</w:t>
                  </w:r>
                </w:p>
              </w:tc>
              <w:tc>
                <w:tcPr>
                  <w:tcW w:w="1519" w:type="dxa"/>
                  <w:tcBorders>
                    <w:top w:val="single" w:color="auto" w:sz="4" w:space="0"/>
                    <w:left w:val="single" w:color="auto" w:sz="4" w:space="0"/>
                    <w:right w:val="single" w:color="auto" w:sz="4" w:space="0"/>
                  </w:tcBorders>
                  <w:noWrap w:val="0"/>
                  <w:vAlign w:val="center"/>
                </w:tcPr>
                <w:p w14:paraId="2064ABBD">
                  <w:pPr>
                    <w:pStyle w:val="57"/>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rightChars="0"/>
                    <w:jc w:val="center"/>
                    <w:textAlignment w:val="auto"/>
                    <w:rPr>
                      <w:rFonts w:hint="default" w:ascii="Times New Roman" w:hAnsi="Times New Roman" w:eastAsia="宋体" w:cs="Times New Roman"/>
                      <w:color w:val="auto"/>
                      <w:spacing w:val="0"/>
                      <w:w w:val="100"/>
                      <w:kern w:val="21"/>
                      <w:position w:val="0"/>
                      <w:sz w:val="21"/>
                      <w:szCs w:val="21"/>
                      <w:highlight w:val="none"/>
                      <w:lang w:val="en-US" w:eastAsia="zh-CN" w:bidi="ar-SA"/>
                    </w:rPr>
                  </w:pPr>
                  <w:r>
                    <w:rPr>
                      <w:rFonts w:hint="default" w:ascii="Times New Roman" w:hAnsi="Times New Roman" w:eastAsia="宋体" w:cs="Times New Roman"/>
                      <w:color w:val="auto"/>
                      <w:spacing w:val="0"/>
                      <w:w w:val="100"/>
                      <w:kern w:val="21"/>
                      <w:position w:val="0"/>
                      <w:sz w:val="21"/>
                      <w:szCs w:val="21"/>
                      <w:highlight w:val="none"/>
                    </w:rPr>
                    <w:t>废气</w:t>
                  </w:r>
                </w:p>
              </w:tc>
              <w:tc>
                <w:tcPr>
                  <w:tcW w:w="5586" w:type="dxa"/>
                  <w:tcBorders>
                    <w:top w:val="single" w:color="auto" w:sz="4" w:space="0"/>
                    <w:left w:val="single" w:color="auto" w:sz="4" w:space="0"/>
                    <w:bottom w:val="single" w:color="auto" w:sz="4" w:space="0"/>
                    <w:right w:val="nil"/>
                  </w:tcBorders>
                  <w:noWrap w:val="0"/>
                  <w:vAlign w:val="center"/>
                </w:tcPr>
                <w:p w14:paraId="2B2774E3">
                  <w:pPr>
                    <w:pStyle w:val="57"/>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color w:val="auto"/>
                      <w:spacing w:val="0"/>
                      <w:w w:val="100"/>
                      <w:kern w:val="21"/>
                      <w:position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水稳料搅拌设备搅拌过程中产生的颗粒物经布袋除尘器</w:t>
                  </w:r>
                  <w:r>
                    <w:rPr>
                      <w:rFonts w:hint="default" w:ascii="Times New Roman" w:hAnsi="Times New Roman" w:eastAsia="宋体" w:cs="Times New Roman"/>
                      <w:color w:val="auto"/>
                      <w:kern w:val="0"/>
                      <w:sz w:val="21"/>
                      <w:szCs w:val="21"/>
                      <w:highlight w:val="none"/>
                      <w:lang w:val="en-US" w:eastAsia="zh-CN" w:bidi="ar"/>
                    </w:rPr>
                    <w:t>处理后通过不低于15m高排气筒排放</w:t>
                  </w:r>
                  <w:r>
                    <w:rPr>
                      <w:rFonts w:hint="default" w:ascii="Times New Roman" w:hAnsi="Times New Roman" w:eastAsia="宋体" w:cs="Times New Roman"/>
                      <w:color w:val="auto"/>
                      <w:spacing w:val="0"/>
                      <w:w w:val="100"/>
                      <w:position w:val="0"/>
                      <w:sz w:val="21"/>
                      <w:szCs w:val="21"/>
                      <w:highlight w:val="none"/>
                      <w:lang w:eastAsia="zh-CN"/>
                    </w:rPr>
                    <w:t>（</w:t>
                  </w:r>
                  <w:r>
                    <w:rPr>
                      <w:rFonts w:hint="default" w:ascii="Times New Roman" w:hAnsi="Times New Roman" w:eastAsia="宋体" w:cs="Times New Roman"/>
                      <w:color w:val="auto"/>
                      <w:spacing w:val="0"/>
                      <w:w w:val="100"/>
                      <w:position w:val="0"/>
                      <w:sz w:val="21"/>
                      <w:szCs w:val="21"/>
                      <w:highlight w:val="none"/>
                      <w:lang w:val="en-US" w:eastAsia="zh-CN"/>
                    </w:rPr>
                    <w:t>DA001</w:t>
                  </w:r>
                  <w:r>
                    <w:rPr>
                      <w:rFonts w:hint="default" w:ascii="Times New Roman" w:hAnsi="Times New Roman" w:eastAsia="宋体" w:cs="Times New Roman"/>
                      <w:color w:val="auto"/>
                      <w:spacing w:val="0"/>
                      <w:w w:val="100"/>
                      <w:position w:val="0"/>
                      <w:sz w:val="21"/>
                      <w:szCs w:val="21"/>
                      <w:highlight w:val="none"/>
                      <w:lang w:eastAsia="zh-CN"/>
                    </w:rPr>
                    <w:t>）；</w:t>
                  </w:r>
                  <w:r>
                    <w:rPr>
                      <w:rFonts w:hint="default" w:ascii="Times New Roman" w:hAnsi="Times New Roman" w:eastAsia="宋体" w:cs="Times New Roman"/>
                      <w:color w:val="auto"/>
                      <w:spacing w:val="0"/>
                      <w:w w:val="100"/>
                      <w:position w:val="0"/>
                      <w:sz w:val="21"/>
                      <w:szCs w:val="21"/>
                      <w:highlight w:val="none"/>
                      <w:lang w:val="en-US" w:eastAsia="zh-CN"/>
                    </w:rPr>
                    <w:t>项目区筛分工序产生的颗粒物</w:t>
                  </w:r>
                  <w:r>
                    <w:rPr>
                      <w:rFonts w:hint="default" w:ascii="Times New Roman" w:hAnsi="Times New Roman" w:eastAsia="宋体" w:cs="Times New Roman"/>
                      <w:color w:val="auto"/>
                      <w:sz w:val="21"/>
                      <w:szCs w:val="21"/>
                      <w:highlight w:val="none"/>
                      <w:lang w:val="en-US" w:eastAsia="zh-CN"/>
                    </w:rPr>
                    <w:t>经布袋除尘器</w:t>
                  </w:r>
                  <w:r>
                    <w:rPr>
                      <w:rFonts w:hint="default" w:ascii="Times New Roman" w:hAnsi="Times New Roman" w:eastAsia="宋体" w:cs="Times New Roman"/>
                      <w:color w:val="auto"/>
                      <w:kern w:val="0"/>
                      <w:sz w:val="21"/>
                      <w:szCs w:val="21"/>
                      <w:highlight w:val="none"/>
                      <w:lang w:val="en-US" w:eastAsia="zh-CN" w:bidi="ar"/>
                    </w:rPr>
                    <w:t>处理后通过不低于15m高排气筒排放</w:t>
                  </w:r>
                  <w:r>
                    <w:rPr>
                      <w:rFonts w:hint="default" w:ascii="Times New Roman" w:hAnsi="Times New Roman" w:eastAsia="宋体" w:cs="Times New Roman"/>
                      <w:color w:val="auto"/>
                      <w:spacing w:val="0"/>
                      <w:w w:val="100"/>
                      <w:position w:val="0"/>
                      <w:sz w:val="21"/>
                      <w:szCs w:val="21"/>
                      <w:highlight w:val="none"/>
                      <w:lang w:eastAsia="zh-CN"/>
                    </w:rPr>
                    <w:t>（</w:t>
                  </w:r>
                  <w:r>
                    <w:rPr>
                      <w:rFonts w:hint="default" w:ascii="Times New Roman" w:hAnsi="Times New Roman" w:eastAsia="宋体" w:cs="Times New Roman"/>
                      <w:color w:val="auto"/>
                      <w:spacing w:val="0"/>
                      <w:w w:val="100"/>
                      <w:position w:val="0"/>
                      <w:sz w:val="21"/>
                      <w:szCs w:val="21"/>
                      <w:highlight w:val="none"/>
                      <w:lang w:val="en-US" w:eastAsia="zh-CN"/>
                    </w:rPr>
                    <w:t>DA002</w:t>
                  </w:r>
                  <w:r>
                    <w:rPr>
                      <w:rFonts w:hint="default" w:ascii="Times New Roman" w:hAnsi="Times New Roman" w:eastAsia="宋体" w:cs="Times New Roman"/>
                      <w:color w:val="auto"/>
                      <w:spacing w:val="0"/>
                      <w:w w:val="100"/>
                      <w:position w:val="0"/>
                      <w:sz w:val="21"/>
                      <w:szCs w:val="21"/>
                      <w:highlight w:val="none"/>
                      <w:lang w:eastAsia="zh-CN"/>
                    </w:rPr>
                    <w:t>）；</w:t>
                  </w:r>
                  <w:r>
                    <w:rPr>
                      <w:rFonts w:hint="default" w:ascii="Times New Roman" w:hAnsi="Times New Roman" w:eastAsia="宋体" w:cs="Times New Roman"/>
                      <w:color w:val="auto"/>
                      <w:spacing w:val="0"/>
                      <w:w w:val="100"/>
                      <w:position w:val="0"/>
                      <w:sz w:val="21"/>
                      <w:szCs w:val="21"/>
                      <w:highlight w:val="none"/>
                      <w:lang w:val="en-US" w:eastAsia="zh-CN"/>
                    </w:rPr>
                    <w:t>项目区破碎工序产生的颗粒物</w:t>
                  </w:r>
                  <w:r>
                    <w:rPr>
                      <w:rFonts w:hint="default" w:ascii="Times New Roman" w:hAnsi="Times New Roman" w:eastAsia="宋体" w:cs="Times New Roman"/>
                      <w:color w:val="auto"/>
                      <w:sz w:val="21"/>
                      <w:szCs w:val="21"/>
                      <w:highlight w:val="none"/>
                      <w:lang w:val="en-US" w:eastAsia="zh-CN"/>
                    </w:rPr>
                    <w:t>经布袋除尘器</w:t>
                  </w:r>
                  <w:r>
                    <w:rPr>
                      <w:rFonts w:hint="default" w:ascii="Times New Roman" w:hAnsi="Times New Roman" w:eastAsia="宋体" w:cs="Times New Roman"/>
                      <w:color w:val="auto"/>
                      <w:kern w:val="0"/>
                      <w:sz w:val="21"/>
                      <w:szCs w:val="21"/>
                      <w:highlight w:val="none"/>
                      <w:lang w:val="en-US" w:eastAsia="zh-CN" w:bidi="ar"/>
                    </w:rPr>
                    <w:t>处理后通过不低于15m高排气筒排放</w:t>
                  </w:r>
                  <w:r>
                    <w:rPr>
                      <w:rFonts w:hint="default" w:ascii="Times New Roman" w:hAnsi="Times New Roman" w:eastAsia="宋体" w:cs="Times New Roman"/>
                      <w:color w:val="auto"/>
                      <w:spacing w:val="0"/>
                      <w:w w:val="100"/>
                      <w:position w:val="0"/>
                      <w:sz w:val="21"/>
                      <w:szCs w:val="21"/>
                      <w:highlight w:val="none"/>
                      <w:lang w:eastAsia="zh-CN"/>
                    </w:rPr>
                    <w:t>（</w:t>
                  </w:r>
                  <w:r>
                    <w:rPr>
                      <w:rFonts w:hint="default" w:ascii="Times New Roman" w:hAnsi="Times New Roman" w:eastAsia="宋体" w:cs="Times New Roman"/>
                      <w:color w:val="auto"/>
                      <w:spacing w:val="0"/>
                      <w:w w:val="100"/>
                      <w:position w:val="0"/>
                      <w:sz w:val="21"/>
                      <w:szCs w:val="21"/>
                      <w:highlight w:val="none"/>
                      <w:lang w:val="en-US" w:eastAsia="zh-CN"/>
                    </w:rPr>
                    <w:t>DA003</w:t>
                  </w:r>
                  <w:r>
                    <w:rPr>
                      <w:rFonts w:hint="default" w:ascii="Times New Roman" w:hAnsi="Times New Roman" w:eastAsia="宋体" w:cs="Times New Roman"/>
                      <w:color w:val="auto"/>
                      <w:spacing w:val="0"/>
                      <w:w w:val="100"/>
                      <w:position w:val="0"/>
                      <w:sz w:val="21"/>
                      <w:szCs w:val="21"/>
                      <w:highlight w:val="none"/>
                      <w:lang w:eastAsia="zh-CN"/>
                    </w:rPr>
                    <w:t>）；</w:t>
                  </w:r>
                  <w:r>
                    <w:rPr>
                      <w:rFonts w:hint="default" w:ascii="Times New Roman" w:hAnsi="Times New Roman" w:eastAsia="宋体" w:cs="Times New Roman"/>
                      <w:color w:val="auto"/>
                      <w:spacing w:val="0"/>
                      <w:w w:val="100"/>
                      <w:position w:val="0"/>
                      <w:sz w:val="21"/>
                      <w:szCs w:val="21"/>
                      <w:highlight w:val="none"/>
                      <w:lang w:val="en-US" w:eastAsia="zh-CN"/>
                    </w:rPr>
                    <w:t>密闭输送带运输物料；</w:t>
                  </w:r>
                  <w:r>
                    <w:rPr>
                      <w:rFonts w:hint="default" w:ascii="Times New Roman" w:hAnsi="Times New Roman" w:eastAsia="宋体" w:cs="Times New Roman"/>
                      <w:color w:val="auto"/>
                      <w:spacing w:val="0"/>
                      <w:sz w:val="21"/>
                      <w:szCs w:val="21"/>
                      <w:highlight w:val="none"/>
                    </w:rPr>
                    <w:t>矿区开采粉尘采用洒水抑尘；运输道路定期洒水降尘</w:t>
                  </w:r>
                  <w:r>
                    <w:rPr>
                      <w:rFonts w:hint="default" w:ascii="Times New Roman" w:hAnsi="Times New Roman" w:eastAsia="宋体" w:cs="Times New Roman"/>
                      <w:color w:val="auto"/>
                      <w:spacing w:val="0"/>
                      <w:sz w:val="21"/>
                      <w:szCs w:val="21"/>
                      <w:highlight w:val="none"/>
                      <w:lang w:eastAsia="zh-CN"/>
                    </w:rPr>
                    <w:t>。</w:t>
                  </w:r>
                </w:p>
              </w:tc>
              <w:tc>
                <w:tcPr>
                  <w:tcW w:w="569" w:type="dxa"/>
                  <w:tcBorders>
                    <w:top w:val="single" w:color="auto" w:sz="4" w:space="0"/>
                    <w:left w:val="single" w:color="auto" w:sz="4" w:space="0"/>
                    <w:bottom w:val="single" w:color="auto" w:sz="4" w:space="0"/>
                    <w:right w:val="nil"/>
                  </w:tcBorders>
                  <w:noWrap w:val="0"/>
                  <w:vAlign w:val="center"/>
                </w:tcPr>
                <w:p w14:paraId="61355BD0">
                  <w:pPr>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color w:val="auto"/>
                      <w:spacing w:val="0"/>
                      <w:w w:val="100"/>
                      <w:kern w:val="21"/>
                      <w:position w:val="0"/>
                      <w:sz w:val="21"/>
                      <w:szCs w:val="21"/>
                      <w:highlight w:val="none"/>
                      <w:lang w:val="en-US" w:eastAsia="zh-CN" w:bidi="ar-SA"/>
                    </w:rPr>
                  </w:pPr>
                  <w:r>
                    <w:rPr>
                      <w:rFonts w:hint="default" w:ascii="Times New Roman" w:hAnsi="Times New Roman" w:eastAsia="宋体" w:cs="Times New Roman"/>
                      <w:color w:val="auto"/>
                      <w:spacing w:val="0"/>
                      <w:w w:val="100"/>
                      <w:kern w:val="21"/>
                      <w:position w:val="0"/>
                      <w:sz w:val="21"/>
                      <w:szCs w:val="21"/>
                      <w:highlight w:val="none"/>
                      <w:lang w:val="en-US" w:eastAsia="zh-CN"/>
                    </w:rPr>
                    <w:t>新建</w:t>
                  </w:r>
                </w:p>
              </w:tc>
            </w:tr>
            <w:tr w14:paraId="6748AB0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01" w:type="dxa"/>
                  <w:vMerge w:val="continue"/>
                  <w:tcBorders>
                    <w:top w:val="single" w:color="auto" w:sz="4" w:space="0"/>
                    <w:bottom w:val="single" w:color="auto" w:sz="4" w:space="0"/>
                    <w:right w:val="single" w:color="auto" w:sz="4" w:space="0"/>
                  </w:tcBorders>
                  <w:noWrap w:val="0"/>
                  <w:vAlign w:val="center"/>
                </w:tcPr>
                <w:p w14:paraId="4B5B297B">
                  <w:pPr>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color w:val="auto"/>
                      <w:spacing w:val="0"/>
                      <w:w w:val="100"/>
                      <w:kern w:val="21"/>
                      <w:position w:val="0"/>
                      <w:sz w:val="21"/>
                      <w:szCs w:val="21"/>
                      <w:highlight w:val="none"/>
                    </w:rPr>
                  </w:pPr>
                </w:p>
              </w:tc>
              <w:tc>
                <w:tcPr>
                  <w:tcW w:w="1519" w:type="dxa"/>
                  <w:tcBorders>
                    <w:top w:val="single" w:color="auto" w:sz="4" w:space="0"/>
                    <w:left w:val="single" w:color="auto" w:sz="4" w:space="0"/>
                    <w:bottom w:val="single" w:color="auto" w:sz="4" w:space="0"/>
                    <w:right w:val="single" w:color="auto" w:sz="4" w:space="0"/>
                  </w:tcBorders>
                  <w:noWrap w:val="0"/>
                  <w:vAlign w:val="center"/>
                </w:tcPr>
                <w:p w14:paraId="068104E2">
                  <w:pPr>
                    <w:pStyle w:val="57"/>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rightChars="0"/>
                    <w:jc w:val="center"/>
                    <w:textAlignment w:val="auto"/>
                    <w:rPr>
                      <w:rFonts w:hint="default" w:ascii="Times New Roman" w:hAnsi="Times New Roman" w:eastAsia="宋体" w:cs="Times New Roman"/>
                      <w:color w:val="auto"/>
                      <w:spacing w:val="0"/>
                      <w:w w:val="100"/>
                      <w:kern w:val="21"/>
                      <w:position w:val="0"/>
                      <w:sz w:val="21"/>
                      <w:szCs w:val="21"/>
                      <w:highlight w:val="none"/>
                      <w:lang w:val="en-US" w:eastAsia="zh-CN"/>
                    </w:rPr>
                  </w:pPr>
                  <w:r>
                    <w:rPr>
                      <w:rFonts w:hint="default" w:ascii="Times New Roman" w:hAnsi="Times New Roman" w:eastAsia="宋体" w:cs="Times New Roman"/>
                      <w:color w:val="auto"/>
                      <w:spacing w:val="0"/>
                      <w:w w:val="100"/>
                      <w:kern w:val="21"/>
                      <w:position w:val="0"/>
                      <w:sz w:val="21"/>
                      <w:szCs w:val="21"/>
                      <w:highlight w:val="none"/>
                    </w:rPr>
                    <w:t>噪声</w:t>
                  </w:r>
                </w:p>
              </w:tc>
              <w:tc>
                <w:tcPr>
                  <w:tcW w:w="5586" w:type="dxa"/>
                  <w:tcBorders>
                    <w:top w:val="single" w:color="auto" w:sz="4" w:space="0"/>
                    <w:left w:val="single" w:color="auto" w:sz="4" w:space="0"/>
                    <w:bottom w:val="single" w:color="auto" w:sz="4" w:space="0"/>
                    <w:right w:val="nil"/>
                  </w:tcBorders>
                  <w:noWrap w:val="0"/>
                  <w:vAlign w:val="center"/>
                </w:tcPr>
                <w:p w14:paraId="4D4E5DCB">
                  <w:pPr>
                    <w:pStyle w:val="57"/>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color w:val="auto"/>
                      <w:spacing w:val="0"/>
                      <w:w w:val="100"/>
                      <w:kern w:val="21"/>
                      <w:position w:val="0"/>
                      <w:sz w:val="21"/>
                      <w:szCs w:val="21"/>
                      <w:highlight w:val="none"/>
                      <w:lang w:val="en-US" w:eastAsia="zh-CN" w:bidi="zh-CN"/>
                    </w:rPr>
                  </w:pPr>
                  <w:r>
                    <w:rPr>
                      <w:rFonts w:hint="default" w:ascii="Times New Roman" w:hAnsi="Times New Roman" w:eastAsia="宋体" w:cs="Times New Roman"/>
                      <w:color w:val="auto"/>
                      <w:spacing w:val="0"/>
                      <w:w w:val="100"/>
                      <w:kern w:val="21"/>
                      <w:position w:val="0"/>
                      <w:sz w:val="21"/>
                      <w:szCs w:val="21"/>
                      <w:highlight w:val="none"/>
                      <w:lang w:val="zh-CN" w:eastAsia="zh-CN" w:bidi="zh-CN"/>
                    </w:rPr>
                    <w:t>选用低噪声设备、采取隔声减震措施、运输车辆限速行驶。</w:t>
                  </w:r>
                </w:p>
              </w:tc>
              <w:tc>
                <w:tcPr>
                  <w:tcW w:w="569" w:type="dxa"/>
                  <w:tcBorders>
                    <w:top w:val="single" w:color="auto" w:sz="4" w:space="0"/>
                    <w:left w:val="single" w:color="auto" w:sz="4" w:space="0"/>
                    <w:bottom w:val="single" w:color="auto" w:sz="4" w:space="0"/>
                    <w:right w:val="nil"/>
                  </w:tcBorders>
                  <w:noWrap w:val="0"/>
                  <w:vAlign w:val="center"/>
                </w:tcPr>
                <w:p w14:paraId="27D2F7A4">
                  <w:pPr>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color w:val="auto"/>
                      <w:spacing w:val="0"/>
                      <w:w w:val="100"/>
                      <w:kern w:val="21"/>
                      <w:position w:val="0"/>
                      <w:sz w:val="21"/>
                      <w:szCs w:val="21"/>
                      <w:highlight w:val="none"/>
                      <w:lang w:val="en-US" w:eastAsia="zh-CN" w:bidi="ar-SA"/>
                    </w:rPr>
                  </w:pPr>
                  <w:r>
                    <w:rPr>
                      <w:rFonts w:hint="default" w:ascii="Times New Roman" w:hAnsi="Times New Roman" w:eastAsia="宋体" w:cs="Times New Roman"/>
                      <w:color w:val="auto"/>
                      <w:spacing w:val="0"/>
                      <w:w w:val="100"/>
                      <w:kern w:val="21"/>
                      <w:position w:val="0"/>
                      <w:sz w:val="21"/>
                      <w:szCs w:val="21"/>
                      <w:highlight w:val="none"/>
                      <w:lang w:val="en-US" w:eastAsia="zh-CN"/>
                    </w:rPr>
                    <w:t>/</w:t>
                  </w:r>
                </w:p>
              </w:tc>
            </w:tr>
            <w:tr w14:paraId="72F7880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501" w:type="dxa"/>
                  <w:vMerge w:val="continue"/>
                  <w:tcBorders>
                    <w:top w:val="single" w:color="auto" w:sz="4" w:space="0"/>
                    <w:bottom w:val="single" w:color="auto" w:sz="4" w:space="0"/>
                    <w:right w:val="single" w:color="auto" w:sz="4" w:space="0"/>
                  </w:tcBorders>
                  <w:noWrap w:val="0"/>
                  <w:vAlign w:val="center"/>
                </w:tcPr>
                <w:p w14:paraId="4A136089">
                  <w:pPr>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color w:val="auto"/>
                      <w:spacing w:val="0"/>
                      <w:w w:val="100"/>
                      <w:kern w:val="21"/>
                      <w:position w:val="0"/>
                      <w:sz w:val="21"/>
                      <w:szCs w:val="21"/>
                      <w:highlight w:val="none"/>
                    </w:rPr>
                  </w:pPr>
                </w:p>
              </w:tc>
              <w:tc>
                <w:tcPr>
                  <w:tcW w:w="1519" w:type="dxa"/>
                  <w:tcBorders>
                    <w:top w:val="single" w:color="auto" w:sz="4" w:space="0"/>
                    <w:left w:val="single" w:color="auto" w:sz="4" w:space="0"/>
                    <w:right w:val="single" w:color="auto" w:sz="4" w:space="0"/>
                  </w:tcBorders>
                  <w:noWrap w:val="0"/>
                  <w:vAlign w:val="center"/>
                </w:tcPr>
                <w:p w14:paraId="17000D5A">
                  <w:pPr>
                    <w:pStyle w:val="53"/>
                    <w:keepNext w:val="0"/>
                    <w:keepLines w:val="0"/>
                    <w:pageBreakBefore w:val="0"/>
                    <w:kinsoku/>
                    <w:wordWrap w:val="0"/>
                    <w:overflowPunct/>
                    <w:topLinePunct w:val="0"/>
                    <w:autoSpaceDE/>
                    <w:autoSpaceDN/>
                    <w:bidi w:val="0"/>
                    <w:adjustRightInd/>
                    <w:snapToGrid/>
                    <w:spacing w:beforeAutospacing="0" w:afterAutospacing="0"/>
                    <w:ind w:left="0" w:leftChars="0" w:right="0"/>
                    <w:textAlignment w:val="auto"/>
                    <w:rPr>
                      <w:rFonts w:hint="default" w:ascii="Times New Roman" w:hAnsi="Times New Roman" w:eastAsia="宋体" w:cs="Times New Roman"/>
                      <w:color w:val="auto"/>
                      <w:spacing w:val="0"/>
                      <w:w w:val="100"/>
                      <w:kern w:val="21"/>
                      <w:position w:val="0"/>
                      <w:sz w:val="21"/>
                      <w:szCs w:val="21"/>
                      <w:highlight w:val="none"/>
                      <w:lang w:val="en-US" w:eastAsia="zh-CN" w:bidi="ar-SA"/>
                    </w:rPr>
                  </w:pPr>
                  <w:r>
                    <w:rPr>
                      <w:rFonts w:hint="default" w:ascii="Times New Roman" w:hAnsi="Times New Roman" w:eastAsia="宋体" w:cs="Times New Roman"/>
                      <w:color w:val="auto"/>
                      <w:spacing w:val="0"/>
                      <w:w w:val="100"/>
                      <w:kern w:val="21"/>
                      <w:position w:val="0"/>
                      <w:sz w:val="21"/>
                      <w:szCs w:val="21"/>
                      <w:highlight w:val="none"/>
                    </w:rPr>
                    <w:t>废水</w:t>
                  </w:r>
                </w:p>
              </w:tc>
              <w:tc>
                <w:tcPr>
                  <w:tcW w:w="5586" w:type="dxa"/>
                  <w:tcBorders>
                    <w:top w:val="single" w:color="auto" w:sz="4" w:space="0"/>
                    <w:left w:val="single" w:color="auto" w:sz="4" w:space="0"/>
                    <w:right w:val="nil"/>
                  </w:tcBorders>
                  <w:noWrap w:val="0"/>
                  <w:vAlign w:val="center"/>
                </w:tcPr>
                <w:p w14:paraId="7AF15AA3">
                  <w:pPr>
                    <w:pStyle w:val="53"/>
                    <w:keepNext w:val="0"/>
                    <w:keepLines w:val="0"/>
                    <w:pageBreakBefore w:val="0"/>
                    <w:kinsoku/>
                    <w:wordWrap w:val="0"/>
                    <w:overflowPunct/>
                    <w:topLinePunct w:val="0"/>
                    <w:autoSpaceDE/>
                    <w:autoSpaceDN/>
                    <w:bidi w:val="0"/>
                    <w:adjustRightInd/>
                    <w:snapToGrid/>
                    <w:spacing w:beforeAutospacing="0" w:afterAutospacing="0"/>
                    <w:ind w:left="0" w:leftChars="0" w:right="0"/>
                    <w:textAlignment w:val="auto"/>
                    <w:rPr>
                      <w:rFonts w:hint="default" w:ascii="Times New Roman" w:hAnsi="Times New Roman" w:eastAsia="宋体" w:cs="Times New Roman"/>
                      <w:color w:val="auto"/>
                      <w:spacing w:val="0"/>
                      <w:w w:val="100"/>
                      <w:kern w:val="21"/>
                      <w:position w:val="0"/>
                      <w:sz w:val="21"/>
                      <w:szCs w:val="21"/>
                      <w:highlight w:val="none"/>
                      <w:lang w:val="en-US" w:eastAsia="zh-CN" w:bidi="zh-CN"/>
                    </w:rPr>
                  </w:pPr>
                  <w:r>
                    <w:rPr>
                      <w:rFonts w:hint="default" w:ascii="Times New Roman" w:hAnsi="Times New Roman" w:eastAsia="宋体" w:cs="Times New Roman"/>
                      <w:b w:val="0"/>
                      <w:bCs w:val="0"/>
                      <w:color w:val="auto"/>
                      <w:sz w:val="21"/>
                      <w:szCs w:val="21"/>
                      <w:highlight w:val="none"/>
                      <w:vertAlign w:val="baseline"/>
                      <w:lang w:val="en-US" w:eastAsia="zh-CN"/>
                    </w:rPr>
                    <w:t>项目生活污水排入化粪池定期委托拉运；场区设置沉淀池（100m</w:t>
                  </w:r>
                  <w:r>
                    <w:rPr>
                      <w:rFonts w:hint="default" w:ascii="Times New Roman" w:hAnsi="Times New Roman" w:eastAsia="宋体" w:cs="Times New Roman"/>
                      <w:b w:val="0"/>
                      <w:bCs w:val="0"/>
                      <w:color w:val="auto"/>
                      <w:sz w:val="21"/>
                      <w:szCs w:val="21"/>
                      <w:highlight w:val="none"/>
                      <w:vertAlign w:val="superscript"/>
                      <w:lang w:val="en-US" w:eastAsia="zh-CN"/>
                    </w:rPr>
                    <w:t>3</w:t>
                  </w:r>
                  <w:r>
                    <w:rPr>
                      <w:rFonts w:hint="default" w:ascii="Times New Roman" w:hAnsi="Times New Roman" w:eastAsia="宋体" w:cs="Times New Roman"/>
                      <w:b w:val="0"/>
                      <w:bCs w:val="0"/>
                      <w:color w:val="auto"/>
                      <w:sz w:val="21"/>
                      <w:szCs w:val="21"/>
                      <w:highlight w:val="none"/>
                      <w:vertAlign w:val="baseline"/>
                      <w:lang w:val="en-US" w:eastAsia="zh-CN"/>
                    </w:rPr>
                    <w:t>）、洗砂废水和清洗设备用水经沉淀池处理后循环利用，不外排</w:t>
                  </w:r>
                </w:p>
              </w:tc>
              <w:tc>
                <w:tcPr>
                  <w:tcW w:w="569" w:type="dxa"/>
                  <w:tcBorders>
                    <w:top w:val="single" w:color="auto" w:sz="4" w:space="0"/>
                    <w:left w:val="single" w:color="auto" w:sz="4" w:space="0"/>
                    <w:bottom w:val="single" w:color="auto" w:sz="4" w:space="0"/>
                    <w:right w:val="nil"/>
                  </w:tcBorders>
                  <w:noWrap w:val="0"/>
                  <w:vAlign w:val="center"/>
                </w:tcPr>
                <w:p w14:paraId="2E869E78">
                  <w:pPr>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color w:val="auto"/>
                      <w:spacing w:val="0"/>
                      <w:w w:val="100"/>
                      <w:kern w:val="21"/>
                      <w:position w:val="0"/>
                      <w:sz w:val="21"/>
                      <w:szCs w:val="21"/>
                      <w:highlight w:val="none"/>
                      <w:lang w:val="en-US" w:eastAsia="zh-CN"/>
                    </w:rPr>
                  </w:pPr>
                  <w:r>
                    <w:rPr>
                      <w:rFonts w:hint="default" w:ascii="Times New Roman" w:hAnsi="Times New Roman" w:eastAsia="宋体" w:cs="Times New Roman"/>
                      <w:color w:val="auto"/>
                      <w:spacing w:val="0"/>
                      <w:w w:val="100"/>
                      <w:kern w:val="21"/>
                      <w:position w:val="0"/>
                      <w:sz w:val="21"/>
                      <w:szCs w:val="21"/>
                      <w:highlight w:val="none"/>
                      <w:lang w:val="en-US" w:eastAsia="zh-CN"/>
                    </w:rPr>
                    <w:t>新建</w:t>
                  </w:r>
                </w:p>
              </w:tc>
            </w:tr>
            <w:tr w14:paraId="734033B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01" w:type="dxa"/>
                  <w:vMerge w:val="continue"/>
                  <w:tcBorders>
                    <w:top w:val="single" w:color="auto" w:sz="4" w:space="0"/>
                    <w:bottom w:val="single" w:color="auto" w:sz="4" w:space="0"/>
                    <w:right w:val="single" w:color="auto" w:sz="4" w:space="0"/>
                  </w:tcBorders>
                  <w:noWrap w:val="0"/>
                  <w:vAlign w:val="center"/>
                </w:tcPr>
                <w:p w14:paraId="61E3A47A">
                  <w:pPr>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color w:val="auto"/>
                      <w:spacing w:val="0"/>
                      <w:w w:val="100"/>
                      <w:kern w:val="21"/>
                      <w:position w:val="0"/>
                      <w:sz w:val="21"/>
                      <w:szCs w:val="21"/>
                      <w:highlight w:val="none"/>
                    </w:rPr>
                  </w:pPr>
                </w:p>
              </w:tc>
              <w:tc>
                <w:tcPr>
                  <w:tcW w:w="1519" w:type="dxa"/>
                  <w:vMerge w:val="restart"/>
                  <w:tcBorders>
                    <w:left w:val="single" w:color="auto" w:sz="4" w:space="0"/>
                    <w:right w:val="single" w:color="auto" w:sz="4" w:space="0"/>
                  </w:tcBorders>
                  <w:noWrap w:val="0"/>
                  <w:vAlign w:val="center"/>
                </w:tcPr>
                <w:p w14:paraId="7F8205BC">
                  <w:pPr>
                    <w:pStyle w:val="53"/>
                    <w:keepNext w:val="0"/>
                    <w:keepLines w:val="0"/>
                    <w:pageBreakBefore w:val="0"/>
                    <w:kinsoku/>
                    <w:wordWrap w:val="0"/>
                    <w:overflowPunct/>
                    <w:topLinePunct w:val="0"/>
                    <w:autoSpaceDE/>
                    <w:autoSpaceDN/>
                    <w:bidi w:val="0"/>
                    <w:adjustRightInd/>
                    <w:snapToGrid/>
                    <w:spacing w:beforeAutospacing="0" w:afterAutospacing="0"/>
                    <w:ind w:left="0" w:leftChars="0" w:right="0"/>
                    <w:textAlignment w:val="auto"/>
                    <w:rPr>
                      <w:rFonts w:hint="default" w:ascii="Times New Roman" w:hAnsi="Times New Roman" w:eastAsia="宋体" w:cs="Times New Roman"/>
                      <w:color w:val="auto"/>
                      <w:spacing w:val="0"/>
                      <w:w w:val="100"/>
                      <w:kern w:val="21"/>
                      <w:position w:val="0"/>
                      <w:sz w:val="21"/>
                      <w:szCs w:val="21"/>
                      <w:highlight w:val="none"/>
                    </w:rPr>
                  </w:pPr>
                  <w:r>
                    <w:rPr>
                      <w:rFonts w:hint="default" w:ascii="Times New Roman" w:hAnsi="Times New Roman" w:eastAsia="宋体" w:cs="Times New Roman"/>
                      <w:color w:val="auto"/>
                      <w:spacing w:val="0"/>
                      <w:w w:val="100"/>
                      <w:kern w:val="21"/>
                      <w:position w:val="0"/>
                      <w:sz w:val="21"/>
                      <w:szCs w:val="21"/>
                      <w:highlight w:val="none"/>
                    </w:rPr>
                    <w:t>固体废物</w:t>
                  </w:r>
                </w:p>
              </w:tc>
              <w:tc>
                <w:tcPr>
                  <w:tcW w:w="5586" w:type="dxa"/>
                  <w:vMerge w:val="restart"/>
                  <w:tcBorders>
                    <w:top w:val="single" w:color="auto" w:sz="4" w:space="0"/>
                    <w:left w:val="single" w:color="auto" w:sz="4" w:space="0"/>
                    <w:right w:val="nil"/>
                  </w:tcBorders>
                  <w:noWrap w:val="0"/>
                  <w:vAlign w:val="center"/>
                </w:tcPr>
                <w:p w14:paraId="606C3564">
                  <w:pPr>
                    <w:pStyle w:val="53"/>
                    <w:keepNext w:val="0"/>
                    <w:keepLines w:val="0"/>
                    <w:pageBreakBefore w:val="0"/>
                    <w:kinsoku/>
                    <w:wordWrap w:val="0"/>
                    <w:overflowPunct/>
                    <w:topLinePunct w:val="0"/>
                    <w:autoSpaceDE/>
                    <w:autoSpaceDN/>
                    <w:bidi w:val="0"/>
                    <w:adjustRightInd/>
                    <w:snapToGrid/>
                    <w:spacing w:beforeAutospacing="0" w:afterAutospacing="0"/>
                    <w:ind w:left="0" w:leftChars="0" w:right="0"/>
                    <w:textAlignment w:val="auto"/>
                    <w:rPr>
                      <w:rFonts w:hint="default" w:ascii="Times New Roman" w:hAnsi="Times New Roman" w:eastAsia="宋体" w:cs="Times New Roman"/>
                      <w:color w:val="auto"/>
                      <w:spacing w:val="0"/>
                      <w:w w:val="100"/>
                      <w:kern w:val="21"/>
                      <w:position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办公、生活区的生活垃圾委托环卫部门处置；</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本项目剥离表土拉运至表土堆场堆放，并进行防尘网苫盖，用于后期矿区回填；除尘设备收集的尘回用于生产；搅拌过程中产生的不合格品回用于生产；</w:t>
                  </w:r>
                  <w:r>
                    <w:rPr>
                      <w:rFonts w:hint="default" w:ascii="Times New Roman" w:hAnsi="Times New Roman" w:eastAsia="宋体" w:cs="Times New Roman"/>
                      <w:color w:val="auto"/>
                      <w:spacing w:val="0"/>
                      <w:w w:val="100"/>
                      <w:kern w:val="21"/>
                      <w:position w:val="0"/>
                      <w:sz w:val="21"/>
                      <w:szCs w:val="21"/>
                      <w:highlight w:val="none"/>
                      <w:lang w:val="en-US" w:eastAsia="zh-CN"/>
                    </w:rPr>
                    <w:t>沉淀池污泥收集后掺入砂石料外售；废润滑油及油桶收集在危废贮存库，定期委托有资质的单位进行处置；</w:t>
                  </w:r>
                </w:p>
              </w:tc>
              <w:tc>
                <w:tcPr>
                  <w:tcW w:w="569" w:type="dxa"/>
                  <w:tcBorders>
                    <w:top w:val="single" w:color="auto" w:sz="4" w:space="0"/>
                    <w:left w:val="single" w:color="auto" w:sz="4" w:space="0"/>
                    <w:right w:val="nil"/>
                  </w:tcBorders>
                  <w:noWrap w:val="0"/>
                  <w:vAlign w:val="center"/>
                </w:tcPr>
                <w:p w14:paraId="7D9737EE">
                  <w:pPr>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color w:val="auto"/>
                      <w:spacing w:val="0"/>
                      <w:w w:val="100"/>
                      <w:kern w:val="21"/>
                      <w:position w:val="0"/>
                      <w:sz w:val="21"/>
                      <w:szCs w:val="21"/>
                      <w:highlight w:val="none"/>
                      <w:lang w:val="en-US" w:eastAsia="zh-CN" w:bidi="ar-SA"/>
                    </w:rPr>
                  </w:pPr>
                  <w:r>
                    <w:rPr>
                      <w:rFonts w:hint="default" w:ascii="Times New Roman" w:hAnsi="Times New Roman" w:eastAsia="宋体" w:cs="Times New Roman"/>
                      <w:color w:val="auto"/>
                      <w:spacing w:val="0"/>
                      <w:w w:val="100"/>
                      <w:kern w:val="21"/>
                      <w:position w:val="0"/>
                      <w:sz w:val="21"/>
                      <w:szCs w:val="21"/>
                      <w:highlight w:val="none"/>
                      <w:lang w:val="en-US" w:eastAsia="zh-CN"/>
                    </w:rPr>
                    <w:t>/</w:t>
                  </w:r>
                </w:p>
              </w:tc>
            </w:tr>
            <w:tr w14:paraId="55B6043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01" w:type="dxa"/>
                  <w:vMerge w:val="continue"/>
                  <w:tcBorders>
                    <w:top w:val="single" w:color="auto" w:sz="4" w:space="0"/>
                    <w:bottom w:val="single" w:color="auto" w:sz="4" w:space="0"/>
                    <w:right w:val="single" w:color="auto" w:sz="4" w:space="0"/>
                  </w:tcBorders>
                  <w:noWrap w:val="0"/>
                  <w:vAlign w:val="center"/>
                </w:tcPr>
                <w:p w14:paraId="7D648B1C">
                  <w:pPr>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color w:val="auto"/>
                      <w:spacing w:val="0"/>
                      <w:w w:val="100"/>
                      <w:kern w:val="21"/>
                      <w:position w:val="0"/>
                      <w:sz w:val="21"/>
                      <w:szCs w:val="21"/>
                      <w:highlight w:val="none"/>
                    </w:rPr>
                  </w:pPr>
                </w:p>
              </w:tc>
              <w:tc>
                <w:tcPr>
                  <w:tcW w:w="1519" w:type="dxa"/>
                  <w:vMerge w:val="continue"/>
                  <w:tcBorders>
                    <w:left w:val="single" w:color="auto" w:sz="4" w:space="0"/>
                    <w:right w:val="single" w:color="auto" w:sz="4" w:space="0"/>
                  </w:tcBorders>
                  <w:noWrap w:val="0"/>
                  <w:vAlign w:val="center"/>
                </w:tcPr>
                <w:p w14:paraId="15564B95">
                  <w:pPr>
                    <w:pStyle w:val="53"/>
                    <w:keepNext w:val="0"/>
                    <w:keepLines w:val="0"/>
                    <w:pageBreakBefore w:val="0"/>
                    <w:kinsoku/>
                    <w:wordWrap w:val="0"/>
                    <w:overflowPunct/>
                    <w:topLinePunct w:val="0"/>
                    <w:autoSpaceDE/>
                    <w:autoSpaceDN/>
                    <w:bidi w:val="0"/>
                    <w:adjustRightInd/>
                    <w:snapToGrid/>
                    <w:spacing w:beforeAutospacing="0" w:afterAutospacing="0"/>
                    <w:ind w:left="0" w:leftChars="0" w:right="0"/>
                    <w:textAlignment w:val="auto"/>
                    <w:rPr>
                      <w:rFonts w:hint="default" w:ascii="Times New Roman" w:hAnsi="Times New Roman" w:eastAsia="宋体" w:cs="Times New Roman"/>
                      <w:color w:val="auto"/>
                      <w:spacing w:val="0"/>
                      <w:w w:val="100"/>
                      <w:kern w:val="21"/>
                      <w:position w:val="0"/>
                      <w:sz w:val="21"/>
                      <w:szCs w:val="21"/>
                      <w:highlight w:val="none"/>
                    </w:rPr>
                  </w:pPr>
                </w:p>
              </w:tc>
              <w:tc>
                <w:tcPr>
                  <w:tcW w:w="5586" w:type="dxa"/>
                  <w:vMerge w:val="continue"/>
                  <w:tcBorders>
                    <w:left w:val="single" w:color="auto" w:sz="4" w:space="0"/>
                    <w:bottom w:val="single" w:color="auto" w:sz="4" w:space="0"/>
                    <w:right w:val="nil"/>
                  </w:tcBorders>
                  <w:noWrap w:val="0"/>
                  <w:vAlign w:val="center"/>
                </w:tcPr>
                <w:p w14:paraId="50CDC3EF">
                  <w:pPr>
                    <w:pStyle w:val="53"/>
                    <w:keepNext w:val="0"/>
                    <w:keepLines w:val="0"/>
                    <w:pageBreakBefore w:val="0"/>
                    <w:kinsoku/>
                    <w:wordWrap w:val="0"/>
                    <w:overflowPunct/>
                    <w:topLinePunct w:val="0"/>
                    <w:autoSpaceDE/>
                    <w:autoSpaceDN/>
                    <w:bidi w:val="0"/>
                    <w:adjustRightInd/>
                    <w:snapToGrid/>
                    <w:spacing w:beforeAutospacing="0" w:afterAutospacing="0"/>
                    <w:ind w:left="0" w:leftChars="0" w:right="0"/>
                    <w:textAlignment w:val="auto"/>
                    <w:rPr>
                      <w:rFonts w:hint="default" w:ascii="Times New Roman" w:hAnsi="Times New Roman" w:eastAsia="宋体" w:cs="Times New Roman"/>
                      <w:color w:val="auto"/>
                      <w:spacing w:val="0"/>
                      <w:w w:val="100"/>
                      <w:kern w:val="21"/>
                      <w:position w:val="0"/>
                      <w:sz w:val="21"/>
                      <w:szCs w:val="21"/>
                      <w:highlight w:val="none"/>
                      <w:lang w:val="en-US" w:eastAsia="zh-CN"/>
                    </w:rPr>
                  </w:pPr>
                </w:p>
              </w:tc>
              <w:tc>
                <w:tcPr>
                  <w:tcW w:w="569" w:type="dxa"/>
                  <w:tcBorders>
                    <w:left w:val="single" w:color="auto" w:sz="4" w:space="0"/>
                    <w:right w:val="nil"/>
                  </w:tcBorders>
                  <w:noWrap w:val="0"/>
                  <w:vAlign w:val="center"/>
                </w:tcPr>
                <w:p w14:paraId="2193F2BF">
                  <w:pPr>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color w:val="auto"/>
                      <w:spacing w:val="0"/>
                      <w:w w:val="100"/>
                      <w:kern w:val="21"/>
                      <w:position w:val="0"/>
                      <w:sz w:val="21"/>
                      <w:szCs w:val="21"/>
                      <w:highlight w:val="none"/>
                      <w:lang w:val="en-US" w:eastAsia="zh-CN"/>
                    </w:rPr>
                  </w:pPr>
                  <w:r>
                    <w:rPr>
                      <w:rFonts w:hint="default" w:ascii="Times New Roman" w:hAnsi="Times New Roman" w:eastAsia="宋体" w:cs="Times New Roman"/>
                      <w:color w:val="auto"/>
                      <w:spacing w:val="0"/>
                      <w:w w:val="100"/>
                      <w:kern w:val="21"/>
                      <w:position w:val="0"/>
                      <w:sz w:val="21"/>
                      <w:szCs w:val="21"/>
                      <w:highlight w:val="none"/>
                      <w:lang w:val="en-US" w:eastAsia="zh-CN"/>
                    </w:rPr>
                    <w:t>/</w:t>
                  </w:r>
                </w:p>
              </w:tc>
            </w:tr>
            <w:tr w14:paraId="536A618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01" w:type="dxa"/>
                  <w:vMerge w:val="continue"/>
                  <w:tcBorders>
                    <w:top w:val="single" w:color="auto" w:sz="4" w:space="0"/>
                    <w:bottom w:val="single" w:color="000000" w:sz="12" w:space="0"/>
                    <w:right w:val="single" w:color="auto" w:sz="4" w:space="0"/>
                  </w:tcBorders>
                  <w:noWrap w:val="0"/>
                  <w:vAlign w:val="center"/>
                </w:tcPr>
                <w:p w14:paraId="6051CC55">
                  <w:pPr>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color w:val="auto"/>
                      <w:spacing w:val="0"/>
                      <w:w w:val="100"/>
                      <w:kern w:val="21"/>
                      <w:position w:val="0"/>
                      <w:sz w:val="21"/>
                      <w:szCs w:val="21"/>
                      <w:highlight w:val="none"/>
                    </w:rPr>
                  </w:pPr>
                </w:p>
              </w:tc>
              <w:tc>
                <w:tcPr>
                  <w:tcW w:w="1519" w:type="dxa"/>
                  <w:tcBorders>
                    <w:left w:val="single" w:color="auto" w:sz="4" w:space="0"/>
                    <w:bottom w:val="single" w:color="000000" w:sz="12" w:space="0"/>
                    <w:right w:val="single" w:color="auto" w:sz="4" w:space="0"/>
                  </w:tcBorders>
                  <w:noWrap w:val="0"/>
                  <w:vAlign w:val="center"/>
                </w:tcPr>
                <w:p w14:paraId="3FEF7913">
                  <w:pPr>
                    <w:pStyle w:val="53"/>
                    <w:keepNext w:val="0"/>
                    <w:keepLines w:val="0"/>
                    <w:pageBreakBefore w:val="0"/>
                    <w:kinsoku/>
                    <w:wordWrap w:val="0"/>
                    <w:overflowPunct/>
                    <w:topLinePunct w:val="0"/>
                    <w:autoSpaceDE/>
                    <w:autoSpaceDN/>
                    <w:bidi w:val="0"/>
                    <w:adjustRightInd/>
                    <w:snapToGrid/>
                    <w:spacing w:beforeAutospacing="0" w:afterAutospacing="0"/>
                    <w:ind w:left="0" w:leftChars="0" w:right="0"/>
                    <w:textAlignment w:val="auto"/>
                    <w:rPr>
                      <w:rFonts w:hint="default" w:ascii="Times New Roman" w:hAnsi="Times New Roman" w:eastAsia="宋体" w:cs="Times New Roman"/>
                      <w:color w:val="auto"/>
                      <w:spacing w:val="0"/>
                      <w:w w:val="100"/>
                      <w:kern w:val="21"/>
                      <w:position w:val="0"/>
                      <w:sz w:val="21"/>
                      <w:szCs w:val="21"/>
                      <w:highlight w:val="none"/>
                    </w:rPr>
                  </w:pPr>
                  <w:r>
                    <w:rPr>
                      <w:rFonts w:hint="default" w:ascii="Times New Roman" w:hAnsi="Times New Roman" w:eastAsia="宋体" w:cs="Times New Roman"/>
                      <w:color w:val="auto"/>
                      <w:spacing w:val="0"/>
                      <w:w w:val="100"/>
                      <w:kern w:val="21"/>
                      <w:position w:val="0"/>
                      <w:sz w:val="21"/>
                      <w:szCs w:val="21"/>
                      <w:highlight w:val="none"/>
                    </w:rPr>
                    <w:t>生态恢复</w:t>
                  </w:r>
                </w:p>
              </w:tc>
              <w:tc>
                <w:tcPr>
                  <w:tcW w:w="5586" w:type="dxa"/>
                  <w:tcBorders>
                    <w:top w:val="single" w:color="auto" w:sz="4" w:space="0"/>
                    <w:left w:val="single" w:color="auto" w:sz="4" w:space="0"/>
                    <w:bottom w:val="single" w:color="000000" w:sz="12" w:space="0"/>
                    <w:right w:val="nil"/>
                  </w:tcBorders>
                  <w:noWrap w:val="0"/>
                  <w:vAlign w:val="center"/>
                </w:tcPr>
                <w:p w14:paraId="161D3D08">
                  <w:pPr>
                    <w:pStyle w:val="53"/>
                    <w:keepNext w:val="0"/>
                    <w:keepLines w:val="0"/>
                    <w:pageBreakBefore w:val="0"/>
                    <w:kinsoku/>
                    <w:wordWrap w:val="0"/>
                    <w:overflowPunct/>
                    <w:topLinePunct w:val="0"/>
                    <w:autoSpaceDE/>
                    <w:autoSpaceDN/>
                    <w:bidi w:val="0"/>
                    <w:adjustRightInd/>
                    <w:snapToGrid/>
                    <w:spacing w:beforeAutospacing="0" w:afterAutospacing="0"/>
                    <w:ind w:left="0" w:leftChars="0" w:right="0"/>
                    <w:textAlignment w:val="auto"/>
                    <w:rPr>
                      <w:rFonts w:hint="default" w:ascii="Times New Roman" w:hAnsi="Times New Roman" w:eastAsia="宋体" w:cs="Times New Roman"/>
                      <w:color w:val="auto"/>
                      <w:spacing w:val="0"/>
                      <w:w w:val="100"/>
                      <w:kern w:val="21"/>
                      <w:position w:val="0"/>
                      <w:sz w:val="21"/>
                      <w:szCs w:val="21"/>
                      <w:highlight w:val="none"/>
                      <w:lang w:val="en-US" w:eastAsia="zh-CN"/>
                    </w:rPr>
                  </w:pPr>
                  <w:r>
                    <w:rPr>
                      <w:rFonts w:hint="default" w:ascii="Times New Roman" w:hAnsi="Times New Roman" w:eastAsia="宋体" w:cs="Times New Roman"/>
                      <w:color w:val="auto"/>
                      <w:spacing w:val="0"/>
                      <w:w w:val="100"/>
                      <w:kern w:val="21"/>
                      <w:position w:val="0"/>
                      <w:sz w:val="21"/>
                      <w:szCs w:val="21"/>
                      <w:highlight w:val="none"/>
                    </w:rPr>
                    <w:t>严格控制占地面积和范围、对受破坏的地表及时进行平整，进行生态恢复。</w:t>
                  </w:r>
                </w:p>
              </w:tc>
              <w:tc>
                <w:tcPr>
                  <w:tcW w:w="569" w:type="dxa"/>
                  <w:tcBorders>
                    <w:left w:val="single" w:color="auto" w:sz="4" w:space="0"/>
                    <w:bottom w:val="single" w:color="000000" w:sz="12" w:space="0"/>
                    <w:right w:val="nil"/>
                  </w:tcBorders>
                  <w:noWrap w:val="0"/>
                  <w:vAlign w:val="center"/>
                </w:tcPr>
                <w:p w14:paraId="2A247FFC">
                  <w:pPr>
                    <w:keepNext w:val="0"/>
                    <w:keepLines w:val="0"/>
                    <w:pageBreakBefore w:val="0"/>
                    <w:kinsoku/>
                    <w:wordWrap w:val="0"/>
                    <w:overflowPunct/>
                    <w:topLinePunct w:val="0"/>
                    <w:autoSpaceDE/>
                    <w:autoSpaceDN/>
                    <w:bidi w:val="0"/>
                    <w:adjustRightInd/>
                    <w:snapToGrid/>
                    <w:spacing w:beforeAutospacing="0" w:afterAutospacing="0" w:line="240" w:lineRule="auto"/>
                    <w:ind w:left="0" w:leftChars="0" w:right="0"/>
                    <w:jc w:val="center"/>
                    <w:textAlignment w:val="auto"/>
                    <w:rPr>
                      <w:rFonts w:hint="default" w:ascii="Times New Roman" w:hAnsi="Times New Roman" w:eastAsia="宋体" w:cs="Times New Roman"/>
                      <w:color w:val="auto"/>
                      <w:spacing w:val="0"/>
                      <w:w w:val="100"/>
                      <w:kern w:val="21"/>
                      <w:position w:val="0"/>
                      <w:sz w:val="21"/>
                      <w:szCs w:val="21"/>
                      <w:highlight w:val="none"/>
                      <w:lang w:val="en-US" w:eastAsia="zh-CN"/>
                    </w:rPr>
                  </w:pPr>
                  <w:r>
                    <w:rPr>
                      <w:rFonts w:hint="default" w:ascii="Times New Roman" w:hAnsi="Times New Roman" w:eastAsia="宋体" w:cs="Times New Roman"/>
                      <w:color w:val="auto"/>
                      <w:spacing w:val="0"/>
                      <w:w w:val="100"/>
                      <w:kern w:val="21"/>
                      <w:position w:val="0"/>
                      <w:sz w:val="21"/>
                      <w:szCs w:val="21"/>
                      <w:highlight w:val="none"/>
                      <w:lang w:val="en-US" w:eastAsia="zh-CN"/>
                    </w:rPr>
                    <w:t>/</w:t>
                  </w:r>
                </w:p>
              </w:tc>
            </w:tr>
          </w:tbl>
          <w:p w14:paraId="0E259D83">
            <w:pPr>
              <w:keepNext w:val="0"/>
              <w:keepLines w:val="0"/>
              <w:pageBreakBefore w:val="0"/>
              <w:numPr>
                <w:ilvl w:val="0"/>
                <w:numId w:val="0"/>
              </w:numPr>
              <w:kinsoku/>
              <w:overflowPunct/>
              <w:topLinePunct w:val="0"/>
              <w:bidi w:val="0"/>
              <w:adjustRightInd w:val="0"/>
              <w:snapToGrid w:val="0"/>
              <w:spacing w:beforeAutospacing="0" w:afterAutospacing="0" w:line="360" w:lineRule="auto"/>
              <w:ind w:left="0" w:leftChars="0" w:right="0"/>
              <w:rPr>
                <w:rFonts w:hint="default" w:ascii="Times New Roman" w:hAnsi="Times New Roman" w:eastAsia="宋体" w:cs="Times New Roman"/>
                <w:b/>
                <w:bCs w:val="0"/>
                <w:color w:val="auto"/>
                <w:spacing w:val="0"/>
                <w:w w:val="100"/>
                <w:position w:val="0"/>
                <w:sz w:val="24"/>
                <w:highlight w:val="none"/>
              </w:rPr>
            </w:pPr>
            <w:r>
              <w:rPr>
                <w:rFonts w:hint="default" w:ascii="Times New Roman" w:hAnsi="Times New Roman" w:eastAsia="宋体" w:cs="Times New Roman"/>
                <w:b/>
                <w:bCs w:val="0"/>
                <w:color w:val="auto"/>
                <w:spacing w:val="0"/>
                <w:w w:val="100"/>
                <w:position w:val="0"/>
                <w:sz w:val="24"/>
                <w:highlight w:val="none"/>
                <w:lang w:val="en-US" w:eastAsia="zh-CN"/>
              </w:rPr>
              <w:t>2.</w:t>
            </w:r>
            <w:r>
              <w:rPr>
                <w:rFonts w:hint="default" w:ascii="Times New Roman" w:hAnsi="Times New Roman" w:eastAsia="宋体" w:cs="Times New Roman"/>
                <w:b/>
                <w:bCs w:val="0"/>
                <w:color w:val="auto"/>
                <w:spacing w:val="0"/>
                <w:w w:val="100"/>
                <w:position w:val="0"/>
                <w:sz w:val="24"/>
                <w:highlight w:val="none"/>
              </w:rPr>
              <w:t>主要生产设备</w:t>
            </w:r>
          </w:p>
          <w:p w14:paraId="1AB0532A">
            <w:pPr>
              <w:keepNext w:val="0"/>
              <w:keepLines w:val="0"/>
              <w:pageBreakBefore w:val="0"/>
              <w:kinsoku/>
              <w:overflowPunct/>
              <w:topLinePunct w:val="0"/>
              <w:bidi w:val="0"/>
              <w:adjustRightInd w:val="0"/>
              <w:snapToGrid w:val="0"/>
              <w:spacing w:beforeAutospacing="0" w:afterAutospacing="0" w:line="360" w:lineRule="auto"/>
              <w:ind w:left="0" w:leftChars="0" w:right="0" w:firstLine="480" w:firstLineChars="200"/>
              <w:rPr>
                <w:rFonts w:hint="default" w:ascii="Times New Roman" w:hAnsi="Times New Roman" w:eastAsia="宋体" w:cs="Times New Roman"/>
                <w:bCs/>
                <w:color w:val="auto"/>
                <w:spacing w:val="0"/>
                <w:w w:val="100"/>
                <w:position w:val="0"/>
                <w:sz w:val="24"/>
                <w:highlight w:val="none"/>
                <w:lang w:eastAsia="zh-CN"/>
              </w:rPr>
            </w:pPr>
            <w:r>
              <w:rPr>
                <w:rFonts w:hint="default" w:ascii="Times New Roman" w:hAnsi="Times New Roman" w:eastAsia="宋体" w:cs="Times New Roman"/>
                <w:bCs/>
                <w:color w:val="auto"/>
                <w:spacing w:val="0"/>
                <w:w w:val="100"/>
                <w:position w:val="0"/>
                <w:sz w:val="24"/>
                <w:highlight w:val="none"/>
              </w:rPr>
              <w:t>本项目主要生产设备情况见表2-</w:t>
            </w:r>
            <w:r>
              <w:rPr>
                <w:rFonts w:hint="default" w:ascii="Times New Roman" w:hAnsi="Times New Roman" w:eastAsia="宋体" w:cs="Times New Roman"/>
                <w:bCs/>
                <w:color w:val="auto"/>
                <w:spacing w:val="0"/>
                <w:w w:val="100"/>
                <w:position w:val="0"/>
                <w:sz w:val="24"/>
                <w:highlight w:val="none"/>
                <w:lang w:val="en-US" w:eastAsia="zh-CN"/>
              </w:rPr>
              <w:t>3和2-4</w:t>
            </w:r>
            <w:r>
              <w:rPr>
                <w:rFonts w:hint="default" w:ascii="Times New Roman" w:hAnsi="Times New Roman" w:eastAsia="宋体" w:cs="Times New Roman"/>
                <w:bCs/>
                <w:color w:val="auto"/>
                <w:spacing w:val="0"/>
                <w:w w:val="100"/>
                <w:position w:val="0"/>
                <w:sz w:val="24"/>
                <w:highlight w:val="none"/>
                <w:lang w:eastAsia="zh-CN"/>
              </w:rPr>
              <w:t>。</w:t>
            </w:r>
          </w:p>
          <w:p w14:paraId="5CF65DD1">
            <w:pPr>
              <w:pStyle w:val="52"/>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lang w:val="en-US" w:eastAsia="zh-CN"/>
              </w:rPr>
            </w:pPr>
            <w:r>
              <w:rPr>
                <w:rFonts w:hint="default" w:ascii="Times New Roman" w:hAnsi="Times New Roman" w:eastAsia="宋体" w:cs="Times New Roman"/>
                <w:color w:val="auto"/>
                <w:spacing w:val="0"/>
                <w:w w:val="100"/>
                <w:position w:val="0"/>
                <w:highlight w:val="none"/>
                <w:lang w:val="en-US" w:eastAsia="zh-CN"/>
              </w:rPr>
              <w:t>表2-3水稳项目主要生产设备一览表</w:t>
            </w:r>
          </w:p>
          <w:tbl>
            <w:tblPr>
              <w:tblStyle w:val="39"/>
              <w:tblW w:w="819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2643"/>
              <w:gridCol w:w="1714"/>
              <w:gridCol w:w="1009"/>
              <w:gridCol w:w="686"/>
              <w:gridCol w:w="1388"/>
            </w:tblGrid>
            <w:tr w14:paraId="66D2C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753" w:type="dxa"/>
                  <w:tcBorders>
                    <w:top w:val="single" w:color="000000" w:sz="12" w:space="0"/>
                    <w:left w:val="nil"/>
                    <w:bottom w:val="single" w:color="000000" w:sz="12" w:space="0"/>
                  </w:tcBorders>
                  <w:noWrap w:val="0"/>
                  <w:vAlign w:val="center"/>
                </w:tcPr>
                <w:p w14:paraId="05E8551A">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序号</w:t>
                  </w:r>
                </w:p>
              </w:tc>
              <w:tc>
                <w:tcPr>
                  <w:tcW w:w="2643" w:type="dxa"/>
                  <w:tcBorders>
                    <w:top w:val="single" w:color="000000" w:sz="12" w:space="0"/>
                    <w:bottom w:val="single" w:color="000000" w:sz="12" w:space="0"/>
                  </w:tcBorders>
                  <w:noWrap w:val="0"/>
                  <w:vAlign w:val="center"/>
                </w:tcPr>
                <w:p w14:paraId="13592911">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设备名称</w:t>
                  </w:r>
                </w:p>
              </w:tc>
              <w:tc>
                <w:tcPr>
                  <w:tcW w:w="1714" w:type="dxa"/>
                  <w:tcBorders>
                    <w:top w:val="single" w:color="000000" w:sz="12" w:space="0"/>
                    <w:bottom w:val="single" w:color="000000" w:sz="12" w:space="0"/>
                  </w:tcBorders>
                  <w:noWrap w:val="0"/>
                  <w:vAlign w:val="center"/>
                </w:tcPr>
                <w:p w14:paraId="7F96FE96">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规格及型号</w:t>
                  </w:r>
                </w:p>
              </w:tc>
              <w:tc>
                <w:tcPr>
                  <w:tcW w:w="1009" w:type="dxa"/>
                  <w:tcBorders>
                    <w:top w:val="single" w:color="000000" w:sz="12" w:space="0"/>
                    <w:bottom w:val="single" w:color="000000" w:sz="12" w:space="0"/>
                  </w:tcBorders>
                  <w:noWrap w:val="0"/>
                  <w:vAlign w:val="center"/>
                </w:tcPr>
                <w:p w14:paraId="7F3DD9F2">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单位</w:t>
                  </w:r>
                </w:p>
              </w:tc>
              <w:tc>
                <w:tcPr>
                  <w:tcW w:w="686" w:type="dxa"/>
                  <w:tcBorders>
                    <w:top w:val="single" w:color="000000" w:sz="12" w:space="0"/>
                    <w:bottom w:val="single" w:color="000000" w:sz="12" w:space="0"/>
                  </w:tcBorders>
                  <w:noWrap w:val="0"/>
                  <w:vAlign w:val="center"/>
                </w:tcPr>
                <w:p w14:paraId="3CB12B60">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数量</w:t>
                  </w:r>
                </w:p>
              </w:tc>
              <w:tc>
                <w:tcPr>
                  <w:tcW w:w="1388" w:type="dxa"/>
                  <w:tcBorders>
                    <w:top w:val="single" w:color="000000" w:sz="12" w:space="0"/>
                    <w:bottom w:val="single" w:color="000000" w:sz="12" w:space="0"/>
                    <w:right w:val="nil"/>
                  </w:tcBorders>
                  <w:noWrap w:val="0"/>
                  <w:vAlign w:val="center"/>
                </w:tcPr>
                <w:p w14:paraId="6CD81082">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备注</w:t>
                  </w:r>
                </w:p>
              </w:tc>
            </w:tr>
            <w:tr w14:paraId="508AD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753" w:type="dxa"/>
                  <w:tcBorders>
                    <w:top w:val="single" w:color="000000" w:sz="12" w:space="0"/>
                    <w:left w:val="nil"/>
                  </w:tcBorders>
                  <w:noWrap w:val="0"/>
                  <w:vAlign w:val="center"/>
                </w:tcPr>
                <w:p w14:paraId="417BAFB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643" w:type="dxa"/>
                  <w:tcBorders>
                    <w:top w:val="single" w:color="000000" w:sz="12" w:space="0"/>
                  </w:tcBorders>
                  <w:noWrap w:val="0"/>
                  <w:vAlign w:val="center"/>
                </w:tcPr>
                <w:p w14:paraId="19A90BE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骨料斗</w:t>
                  </w:r>
                </w:p>
              </w:tc>
              <w:tc>
                <w:tcPr>
                  <w:tcW w:w="1714" w:type="dxa"/>
                  <w:tcBorders>
                    <w:top w:val="single" w:color="000000" w:sz="12" w:space="0"/>
                  </w:tcBorders>
                  <w:noWrap w:val="0"/>
                  <w:vAlign w:val="center"/>
                </w:tcPr>
                <w:p w14:paraId="0A54F52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009" w:type="dxa"/>
                  <w:tcBorders>
                    <w:top w:val="single" w:color="000000" w:sz="12" w:space="0"/>
                  </w:tcBorders>
                  <w:noWrap w:val="0"/>
                  <w:vAlign w:val="center"/>
                </w:tcPr>
                <w:p w14:paraId="04CD72D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台</w:t>
                  </w:r>
                </w:p>
              </w:tc>
              <w:tc>
                <w:tcPr>
                  <w:tcW w:w="686" w:type="dxa"/>
                  <w:tcBorders>
                    <w:top w:val="single" w:color="000000" w:sz="12" w:space="0"/>
                  </w:tcBorders>
                  <w:noWrap w:val="0"/>
                  <w:vAlign w:val="center"/>
                </w:tcPr>
                <w:p w14:paraId="7C2DB33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4</w:t>
                  </w:r>
                </w:p>
              </w:tc>
              <w:tc>
                <w:tcPr>
                  <w:tcW w:w="1388" w:type="dxa"/>
                  <w:tcBorders>
                    <w:top w:val="single" w:color="000000" w:sz="12" w:space="0"/>
                    <w:right w:val="nil"/>
                  </w:tcBorders>
                  <w:noWrap w:val="0"/>
                  <w:vAlign w:val="top"/>
                </w:tcPr>
                <w:p w14:paraId="6E4F066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r>
            <w:tr w14:paraId="41F12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753" w:type="dxa"/>
                  <w:tcBorders>
                    <w:left w:val="nil"/>
                  </w:tcBorders>
                  <w:noWrap w:val="0"/>
                  <w:vAlign w:val="center"/>
                </w:tcPr>
                <w:p w14:paraId="4FFD0A4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2643" w:type="dxa"/>
                  <w:noWrap w:val="0"/>
                  <w:vAlign w:val="center"/>
                </w:tcPr>
                <w:p w14:paraId="7E6CC59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电脑皮带称或调速皮带称</w:t>
                  </w:r>
                </w:p>
              </w:tc>
              <w:tc>
                <w:tcPr>
                  <w:tcW w:w="1714" w:type="dxa"/>
                  <w:noWrap w:val="0"/>
                  <w:vAlign w:val="center"/>
                </w:tcPr>
                <w:p w14:paraId="4A8E3E3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009" w:type="dxa"/>
                  <w:noWrap w:val="0"/>
                  <w:vAlign w:val="center"/>
                </w:tcPr>
                <w:p w14:paraId="0581319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台</w:t>
                  </w:r>
                </w:p>
              </w:tc>
              <w:tc>
                <w:tcPr>
                  <w:tcW w:w="686" w:type="dxa"/>
                  <w:noWrap w:val="0"/>
                  <w:vAlign w:val="center"/>
                </w:tcPr>
                <w:p w14:paraId="7BE9763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1388" w:type="dxa"/>
                  <w:tcBorders>
                    <w:right w:val="nil"/>
                  </w:tcBorders>
                  <w:noWrap w:val="0"/>
                  <w:vAlign w:val="top"/>
                </w:tcPr>
                <w:p w14:paraId="364236E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r>
            <w:tr w14:paraId="2CA94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753" w:type="dxa"/>
                  <w:tcBorders>
                    <w:left w:val="nil"/>
                  </w:tcBorders>
                  <w:noWrap w:val="0"/>
                  <w:vAlign w:val="center"/>
                </w:tcPr>
                <w:p w14:paraId="5F2BDEB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3</w:t>
                  </w:r>
                </w:p>
              </w:tc>
              <w:tc>
                <w:tcPr>
                  <w:tcW w:w="2643" w:type="dxa"/>
                  <w:noWrap w:val="0"/>
                  <w:vAlign w:val="center"/>
                </w:tcPr>
                <w:p w14:paraId="36E3965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水平皮带机</w:t>
                  </w:r>
                </w:p>
              </w:tc>
              <w:tc>
                <w:tcPr>
                  <w:tcW w:w="1714" w:type="dxa"/>
                  <w:noWrap w:val="0"/>
                  <w:vAlign w:val="top"/>
                </w:tcPr>
                <w:p w14:paraId="0E725E3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009" w:type="dxa"/>
                  <w:noWrap w:val="0"/>
                  <w:vAlign w:val="center"/>
                </w:tcPr>
                <w:p w14:paraId="10EFFAF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台</w:t>
                  </w:r>
                </w:p>
              </w:tc>
              <w:tc>
                <w:tcPr>
                  <w:tcW w:w="686" w:type="dxa"/>
                  <w:noWrap w:val="0"/>
                  <w:vAlign w:val="center"/>
                </w:tcPr>
                <w:p w14:paraId="3DE4B73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1388" w:type="dxa"/>
                  <w:tcBorders>
                    <w:right w:val="nil"/>
                  </w:tcBorders>
                  <w:noWrap w:val="0"/>
                  <w:vAlign w:val="top"/>
                </w:tcPr>
                <w:p w14:paraId="1F0CABE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r>
            <w:tr w14:paraId="4636F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753" w:type="dxa"/>
                  <w:tcBorders>
                    <w:left w:val="nil"/>
                  </w:tcBorders>
                  <w:noWrap w:val="0"/>
                  <w:vAlign w:val="center"/>
                </w:tcPr>
                <w:p w14:paraId="675CB86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4</w:t>
                  </w:r>
                </w:p>
              </w:tc>
              <w:tc>
                <w:tcPr>
                  <w:tcW w:w="2643" w:type="dxa"/>
                  <w:noWrap w:val="0"/>
                  <w:vAlign w:val="center"/>
                </w:tcPr>
                <w:p w14:paraId="1469EC6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粉料仓</w:t>
                  </w:r>
                </w:p>
              </w:tc>
              <w:tc>
                <w:tcPr>
                  <w:tcW w:w="1714" w:type="dxa"/>
                  <w:noWrap w:val="0"/>
                  <w:vAlign w:val="center"/>
                </w:tcPr>
                <w:p w14:paraId="7D1674E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009" w:type="dxa"/>
                  <w:noWrap w:val="0"/>
                  <w:vAlign w:val="center"/>
                </w:tcPr>
                <w:p w14:paraId="0F74BF3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台</w:t>
                  </w:r>
                </w:p>
              </w:tc>
              <w:tc>
                <w:tcPr>
                  <w:tcW w:w="686" w:type="dxa"/>
                  <w:noWrap w:val="0"/>
                  <w:vAlign w:val="center"/>
                </w:tcPr>
                <w:p w14:paraId="6BF1BFB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1388" w:type="dxa"/>
                  <w:tcBorders>
                    <w:right w:val="nil"/>
                  </w:tcBorders>
                  <w:noWrap w:val="0"/>
                  <w:vAlign w:val="top"/>
                </w:tcPr>
                <w:p w14:paraId="72D91AA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r>
            <w:tr w14:paraId="5837C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753" w:type="dxa"/>
                  <w:tcBorders>
                    <w:left w:val="nil"/>
                  </w:tcBorders>
                  <w:noWrap w:val="0"/>
                  <w:vAlign w:val="center"/>
                </w:tcPr>
                <w:p w14:paraId="0D61525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5</w:t>
                  </w:r>
                </w:p>
              </w:tc>
              <w:tc>
                <w:tcPr>
                  <w:tcW w:w="2643" w:type="dxa"/>
                  <w:noWrap w:val="0"/>
                  <w:vAlign w:val="center"/>
                </w:tcPr>
                <w:p w14:paraId="1C9DDC5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螺旋输送机</w:t>
                  </w:r>
                </w:p>
              </w:tc>
              <w:tc>
                <w:tcPr>
                  <w:tcW w:w="1714" w:type="dxa"/>
                  <w:noWrap w:val="0"/>
                  <w:vAlign w:val="top"/>
                </w:tcPr>
                <w:p w14:paraId="46AC1A0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009" w:type="dxa"/>
                  <w:noWrap w:val="0"/>
                  <w:vAlign w:val="center"/>
                </w:tcPr>
                <w:p w14:paraId="503D751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台</w:t>
                  </w:r>
                </w:p>
              </w:tc>
              <w:tc>
                <w:tcPr>
                  <w:tcW w:w="686" w:type="dxa"/>
                  <w:noWrap w:val="0"/>
                  <w:vAlign w:val="center"/>
                </w:tcPr>
                <w:p w14:paraId="7532E94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1388" w:type="dxa"/>
                  <w:tcBorders>
                    <w:right w:val="nil"/>
                  </w:tcBorders>
                  <w:noWrap w:val="0"/>
                  <w:vAlign w:val="top"/>
                </w:tcPr>
                <w:p w14:paraId="072B424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r>
            <w:tr w14:paraId="755B3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753" w:type="dxa"/>
                  <w:tcBorders>
                    <w:left w:val="nil"/>
                  </w:tcBorders>
                  <w:noWrap w:val="0"/>
                  <w:vAlign w:val="center"/>
                </w:tcPr>
                <w:p w14:paraId="4B0EBFD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w:t>
                  </w:r>
                </w:p>
              </w:tc>
              <w:tc>
                <w:tcPr>
                  <w:tcW w:w="2643" w:type="dxa"/>
                  <w:noWrap w:val="0"/>
                  <w:vAlign w:val="center"/>
                </w:tcPr>
                <w:p w14:paraId="2EF21A2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螺旋电子秤</w:t>
                  </w:r>
                </w:p>
              </w:tc>
              <w:tc>
                <w:tcPr>
                  <w:tcW w:w="1714" w:type="dxa"/>
                  <w:noWrap w:val="0"/>
                  <w:vAlign w:val="center"/>
                </w:tcPr>
                <w:p w14:paraId="30188DD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009" w:type="dxa"/>
                  <w:noWrap w:val="0"/>
                  <w:vAlign w:val="center"/>
                </w:tcPr>
                <w:p w14:paraId="01E8F47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台</w:t>
                  </w:r>
                </w:p>
              </w:tc>
              <w:tc>
                <w:tcPr>
                  <w:tcW w:w="686" w:type="dxa"/>
                  <w:noWrap w:val="0"/>
                  <w:vAlign w:val="center"/>
                </w:tcPr>
                <w:p w14:paraId="699CF74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1388" w:type="dxa"/>
                  <w:tcBorders>
                    <w:right w:val="nil"/>
                  </w:tcBorders>
                  <w:noWrap w:val="0"/>
                  <w:vAlign w:val="top"/>
                </w:tcPr>
                <w:p w14:paraId="259557A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r>
            <w:tr w14:paraId="70C92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753" w:type="dxa"/>
                  <w:tcBorders>
                    <w:left w:val="nil"/>
                  </w:tcBorders>
                  <w:noWrap w:val="0"/>
                  <w:vAlign w:val="center"/>
                </w:tcPr>
                <w:p w14:paraId="212E7B7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7</w:t>
                  </w:r>
                </w:p>
              </w:tc>
              <w:tc>
                <w:tcPr>
                  <w:tcW w:w="2643" w:type="dxa"/>
                  <w:noWrap w:val="0"/>
                  <w:vAlign w:val="center"/>
                </w:tcPr>
                <w:p w14:paraId="7BFA2D7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水箱</w:t>
                  </w:r>
                </w:p>
              </w:tc>
              <w:tc>
                <w:tcPr>
                  <w:tcW w:w="1714" w:type="dxa"/>
                  <w:noWrap w:val="0"/>
                  <w:vAlign w:val="center"/>
                </w:tcPr>
                <w:p w14:paraId="3A71662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009" w:type="dxa"/>
                  <w:noWrap w:val="0"/>
                  <w:vAlign w:val="center"/>
                </w:tcPr>
                <w:p w14:paraId="3F2D815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台</w:t>
                  </w:r>
                </w:p>
              </w:tc>
              <w:tc>
                <w:tcPr>
                  <w:tcW w:w="686" w:type="dxa"/>
                  <w:noWrap w:val="0"/>
                  <w:vAlign w:val="center"/>
                </w:tcPr>
                <w:p w14:paraId="78FD05F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1388" w:type="dxa"/>
                  <w:tcBorders>
                    <w:right w:val="nil"/>
                  </w:tcBorders>
                  <w:noWrap w:val="0"/>
                  <w:vAlign w:val="top"/>
                </w:tcPr>
                <w:p w14:paraId="3C71234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r>
            <w:tr w14:paraId="274A6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753" w:type="dxa"/>
                  <w:tcBorders>
                    <w:left w:val="nil"/>
                  </w:tcBorders>
                  <w:noWrap w:val="0"/>
                  <w:vAlign w:val="center"/>
                </w:tcPr>
                <w:p w14:paraId="61B186E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8</w:t>
                  </w:r>
                </w:p>
              </w:tc>
              <w:tc>
                <w:tcPr>
                  <w:tcW w:w="2643" w:type="dxa"/>
                  <w:noWrap w:val="0"/>
                  <w:vAlign w:val="center"/>
                </w:tcPr>
                <w:p w14:paraId="172ACE3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电机减速机</w:t>
                  </w:r>
                </w:p>
              </w:tc>
              <w:tc>
                <w:tcPr>
                  <w:tcW w:w="1714" w:type="dxa"/>
                  <w:noWrap w:val="0"/>
                  <w:vAlign w:val="center"/>
                </w:tcPr>
                <w:p w14:paraId="0278427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009" w:type="dxa"/>
                  <w:noWrap w:val="0"/>
                  <w:vAlign w:val="center"/>
                </w:tcPr>
                <w:p w14:paraId="4657355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台</w:t>
                  </w:r>
                </w:p>
              </w:tc>
              <w:tc>
                <w:tcPr>
                  <w:tcW w:w="686" w:type="dxa"/>
                  <w:noWrap w:val="0"/>
                  <w:vAlign w:val="center"/>
                </w:tcPr>
                <w:p w14:paraId="5EFCD7D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1388" w:type="dxa"/>
                  <w:tcBorders>
                    <w:right w:val="nil"/>
                  </w:tcBorders>
                  <w:noWrap w:val="0"/>
                  <w:vAlign w:val="top"/>
                </w:tcPr>
                <w:p w14:paraId="2BD939A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r>
            <w:tr w14:paraId="7434F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753" w:type="dxa"/>
                  <w:tcBorders>
                    <w:left w:val="nil"/>
                  </w:tcBorders>
                  <w:noWrap w:val="0"/>
                  <w:vAlign w:val="center"/>
                </w:tcPr>
                <w:p w14:paraId="69582AB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9</w:t>
                  </w:r>
                </w:p>
              </w:tc>
              <w:tc>
                <w:tcPr>
                  <w:tcW w:w="2643" w:type="dxa"/>
                  <w:noWrap w:val="0"/>
                  <w:vAlign w:val="center"/>
                </w:tcPr>
                <w:p w14:paraId="0DB44E3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双卧轴搅拌机</w:t>
                  </w:r>
                </w:p>
              </w:tc>
              <w:tc>
                <w:tcPr>
                  <w:tcW w:w="1714" w:type="dxa"/>
                  <w:noWrap w:val="0"/>
                  <w:vAlign w:val="top"/>
                </w:tcPr>
                <w:p w14:paraId="3111E03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009" w:type="dxa"/>
                  <w:noWrap w:val="0"/>
                  <w:vAlign w:val="center"/>
                </w:tcPr>
                <w:p w14:paraId="6F69F6D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台</w:t>
                  </w:r>
                </w:p>
              </w:tc>
              <w:tc>
                <w:tcPr>
                  <w:tcW w:w="686" w:type="dxa"/>
                  <w:noWrap w:val="0"/>
                  <w:vAlign w:val="center"/>
                </w:tcPr>
                <w:p w14:paraId="0CBAA5B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1388" w:type="dxa"/>
                  <w:tcBorders>
                    <w:right w:val="nil"/>
                  </w:tcBorders>
                  <w:noWrap w:val="0"/>
                  <w:vAlign w:val="top"/>
                </w:tcPr>
                <w:p w14:paraId="465E8A4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r>
            <w:tr w14:paraId="2BC19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753" w:type="dxa"/>
                  <w:tcBorders>
                    <w:left w:val="nil"/>
                  </w:tcBorders>
                  <w:noWrap w:val="0"/>
                  <w:vAlign w:val="center"/>
                </w:tcPr>
                <w:p w14:paraId="320232B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2643" w:type="dxa"/>
                  <w:noWrap w:val="0"/>
                  <w:vAlign w:val="center"/>
                </w:tcPr>
                <w:p w14:paraId="2C33F52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储料仓</w:t>
                  </w:r>
                </w:p>
              </w:tc>
              <w:tc>
                <w:tcPr>
                  <w:tcW w:w="1714" w:type="dxa"/>
                  <w:noWrap w:val="0"/>
                  <w:vAlign w:val="center"/>
                </w:tcPr>
                <w:p w14:paraId="2A2DF14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009" w:type="dxa"/>
                  <w:noWrap w:val="0"/>
                  <w:vAlign w:val="center"/>
                </w:tcPr>
                <w:p w14:paraId="33A4AAD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台</w:t>
                  </w:r>
                </w:p>
              </w:tc>
              <w:tc>
                <w:tcPr>
                  <w:tcW w:w="686" w:type="dxa"/>
                  <w:noWrap w:val="0"/>
                  <w:vAlign w:val="center"/>
                </w:tcPr>
                <w:p w14:paraId="41C74D0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1388" w:type="dxa"/>
                  <w:tcBorders>
                    <w:right w:val="nil"/>
                  </w:tcBorders>
                  <w:noWrap w:val="0"/>
                  <w:vAlign w:val="top"/>
                </w:tcPr>
                <w:p w14:paraId="438B100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r>
            <w:tr w14:paraId="7DC25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753" w:type="dxa"/>
                  <w:tcBorders>
                    <w:left w:val="nil"/>
                  </w:tcBorders>
                  <w:noWrap w:val="0"/>
                  <w:vAlign w:val="center"/>
                </w:tcPr>
                <w:p w14:paraId="21F83F0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11</w:t>
                  </w:r>
                </w:p>
              </w:tc>
              <w:tc>
                <w:tcPr>
                  <w:tcW w:w="2643" w:type="dxa"/>
                  <w:noWrap w:val="0"/>
                  <w:vAlign w:val="center"/>
                </w:tcPr>
                <w:p w14:paraId="4607BD8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装载机</w:t>
                  </w:r>
                </w:p>
              </w:tc>
              <w:tc>
                <w:tcPr>
                  <w:tcW w:w="1714" w:type="dxa"/>
                  <w:noWrap w:val="0"/>
                  <w:vAlign w:val="center"/>
                </w:tcPr>
                <w:p w14:paraId="1D404F7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009" w:type="dxa"/>
                  <w:noWrap w:val="0"/>
                  <w:vAlign w:val="center"/>
                </w:tcPr>
                <w:p w14:paraId="4CC0C09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辆</w:t>
                  </w:r>
                </w:p>
              </w:tc>
              <w:tc>
                <w:tcPr>
                  <w:tcW w:w="686" w:type="dxa"/>
                  <w:noWrap w:val="0"/>
                  <w:vAlign w:val="center"/>
                </w:tcPr>
                <w:p w14:paraId="102D582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1388" w:type="dxa"/>
                  <w:tcBorders>
                    <w:right w:val="nil"/>
                  </w:tcBorders>
                  <w:noWrap w:val="0"/>
                  <w:vAlign w:val="top"/>
                </w:tcPr>
                <w:p w14:paraId="2503A39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r>
            <w:tr w14:paraId="3D58E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753" w:type="dxa"/>
                  <w:tcBorders>
                    <w:left w:val="nil"/>
                  </w:tcBorders>
                  <w:noWrap w:val="0"/>
                  <w:vAlign w:val="center"/>
                </w:tcPr>
                <w:p w14:paraId="73EBE54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12</w:t>
                  </w:r>
                </w:p>
              </w:tc>
              <w:tc>
                <w:tcPr>
                  <w:tcW w:w="2643" w:type="dxa"/>
                  <w:noWrap w:val="0"/>
                  <w:vAlign w:val="center"/>
                </w:tcPr>
                <w:p w14:paraId="5C84AA6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罐车</w:t>
                  </w:r>
                </w:p>
              </w:tc>
              <w:tc>
                <w:tcPr>
                  <w:tcW w:w="1714" w:type="dxa"/>
                  <w:noWrap w:val="0"/>
                  <w:vAlign w:val="center"/>
                </w:tcPr>
                <w:p w14:paraId="11DA8E9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009" w:type="dxa"/>
                  <w:noWrap w:val="0"/>
                  <w:vAlign w:val="center"/>
                </w:tcPr>
                <w:p w14:paraId="5BA1729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辆</w:t>
                  </w:r>
                </w:p>
              </w:tc>
              <w:tc>
                <w:tcPr>
                  <w:tcW w:w="686" w:type="dxa"/>
                  <w:noWrap w:val="0"/>
                  <w:vAlign w:val="center"/>
                </w:tcPr>
                <w:p w14:paraId="6ABE00F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1388" w:type="dxa"/>
                  <w:tcBorders>
                    <w:right w:val="nil"/>
                  </w:tcBorders>
                  <w:noWrap w:val="0"/>
                  <w:vAlign w:val="top"/>
                </w:tcPr>
                <w:p w14:paraId="457BF4A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r>
            <w:tr w14:paraId="3453F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53" w:type="dxa"/>
                  <w:tcBorders>
                    <w:left w:val="nil"/>
                  </w:tcBorders>
                  <w:noWrap w:val="0"/>
                  <w:vAlign w:val="center"/>
                </w:tcPr>
                <w:p w14:paraId="59CC6B7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13</w:t>
                  </w:r>
                </w:p>
              </w:tc>
              <w:tc>
                <w:tcPr>
                  <w:tcW w:w="2643" w:type="dxa"/>
                  <w:noWrap w:val="0"/>
                  <w:vAlign w:val="center"/>
                </w:tcPr>
                <w:p w14:paraId="4695719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双桥车</w:t>
                  </w:r>
                </w:p>
              </w:tc>
              <w:tc>
                <w:tcPr>
                  <w:tcW w:w="1714" w:type="dxa"/>
                  <w:noWrap w:val="0"/>
                  <w:vAlign w:val="center"/>
                </w:tcPr>
                <w:p w14:paraId="2ED4A5C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009" w:type="dxa"/>
                  <w:noWrap w:val="0"/>
                  <w:vAlign w:val="center"/>
                </w:tcPr>
                <w:p w14:paraId="512A956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辆</w:t>
                  </w:r>
                </w:p>
              </w:tc>
              <w:tc>
                <w:tcPr>
                  <w:tcW w:w="686" w:type="dxa"/>
                  <w:noWrap w:val="0"/>
                  <w:vAlign w:val="center"/>
                </w:tcPr>
                <w:p w14:paraId="5B2DC1A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w:t>
                  </w:r>
                </w:p>
              </w:tc>
              <w:tc>
                <w:tcPr>
                  <w:tcW w:w="1388" w:type="dxa"/>
                  <w:tcBorders>
                    <w:right w:val="nil"/>
                  </w:tcBorders>
                  <w:noWrap w:val="0"/>
                  <w:vAlign w:val="top"/>
                </w:tcPr>
                <w:p w14:paraId="026F123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r>
            <w:tr w14:paraId="29B84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753" w:type="dxa"/>
                  <w:tcBorders>
                    <w:left w:val="nil"/>
                    <w:bottom w:val="single" w:color="000000" w:sz="12" w:space="0"/>
                  </w:tcBorders>
                  <w:noWrap w:val="0"/>
                  <w:vAlign w:val="center"/>
                </w:tcPr>
                <w:p w14:paraId="3B4B844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14</w:t>
                  </w:r>
                </w:p>
              </w:tc>
              <w:tc>
                <w:tcPr>
                  <w:tcW w:w="2643" w:type="dxa"/>
                  <w:tcBorders>
                    <w:bottom w:val="single" w:color="000000" w:sz="12" w:space="0"/>
                  </w:tcBorders>
                  <w:noWrap w:val="0"/>
                  <w:vAlign w:val="center"/>
                </w:tcPr>
                <w:p w14:paraId="5457A80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搅拌设备</w:t>
                  </w:r>
                </w:p>
              </w:tc>
              <w:tc>
                <w:tcPr>
                  <w:tcW w:w="1714" w:type="dxa"/>
                  <w:tcBorders>
                    <w:bottom w:val="single" w:color="000000" w:sz="12" w:space="0"/>
                  </w:tcBorders>
                  <w:noWrap w:val="0"/>
                  <w:vAlign w:val="center"/>
                </w:tcPr>
                <w:p w14:paraId="7478481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800t/h双缸</w:t>
                  </w:r>
                </w:p>
              </w:tc>
              <w:tc>
                <w:tcPr>
                  <w:tcW w:w="1009" w:type="dxa"/>
                  <w:tcBorders>
                    <w:bottom w:val="single" w:color="000000" w:sz="12" w:space="0"/>
                  </w:tcBorders>
                  <w:noWrap w:val="0"/>
                  <w:vAlign w:val="center"/>
                </w:tcPr>
                <w:p w14:paraId="6F6F8601">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台</w:t>
                  </w:r>
                </w:p>
              </w:tc>
              <w:tc>
                <w:tcPr>
                  <w:tcW w:w="686" w:type="dxa"/>
                  <w:tcBorders>
                    <w:bottom w:val="single" w:color="000000" w:sz="12" w:space="0"/>
                  </w:tcBorders>
                  <w:noWrap w:val="0"/>
                  <w:vAlign w:val="center"/>
                </w:tcPr>
                <w:p w14:paraId="7DB78A8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1388" w:type="dxa"/>
                  <w:tcBorders>
                    <w:bottom w:val="single" w:color="000000" w:sz="12" w:space="0"/>
                    <w:right w:val="nil"/>
                  </w:tcBorders>
                  <w:noWrap w:val="0"/>
                  <w:vAlign w:val="center"/>
                </w:tcPr>
                <w:p w14:paraId="23DBAD7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r>
          </w:tbl>
          <w:p w14:paraId="2DA28547">
            <w:pPr>
              <w:pStyle w:val="52"/>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lang w:val="en-US" w:eastAsia="zh-CN"/>
              </w:rPr>
            </w:pPr>
            <w:r>
              <w:rPr>
                <w:rFonts w:hint="default" w:ascii="Times New Roman" w:hAnsi="Times New Roman" w:eastAsia="宋体" w:cs="Times New Roman"/>
                <w:color w:val="auto"/>
                <w:spacing w:val="0"/>
                <w:w w:val="100"/>
                <w:position w:val="0"/>
                <w:highlight w:val="none"/>
                <w:lang w:val="en-US" w:eastAsia="zh-CN"/>
              </w:rPr>
              <w:t>表2-4砂石料开采项目主要生产设备一览表</w:t>
            </w:r>
          </w:p>
          <w:tbl>
            <w:tblPr>
              <w:tblStyle w:val="39"/>
              <w:tblW w:w="817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743"/>
              <w:gridCol w:w="3210"/>
              <w:gridCol w:w="685"/>
              <w:gridCol w:w="638"/>
              <w:gridCol w:w="1213"/>
            </w:tblGrid>
            <w:tr w14:paraId="21818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trPr>
              <w:tc>
                <w:tcPr>
                  <w:tcW w:w="681" w:type="dxa"/>
                  <w:tcBorders>
                    <w:top w:val="single" w:color="000000" w:sz="12" w:space="0"/>
                    <w:left w:val="nil"/>
                    <w:bottom w:val="single" w:color="000000" w:sz="12" w:space="0"/>
                  </w:tcBorders>
                  <w:noWrap w:val="0"/>
                  <w:vAlign w:val="center"/>
                </w:tcPr>
                <w:p w14:paraId="5323F14E">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序号</w:t>
                  </w:r>
                </w:p>
              </w:tc>
              <w:tc>
                <w:tcPr>
                  <w:tcW w:w="1743" w:type="dxa"/>
                  <w:tcBorders>
                    <w:top w:val="single" w:color="000000" w:sz="12" w:space="0"/>
                    <w:bottom w:val="single" w:color="000000" w:sz="12" w:space="0"/>
                  </w:tcBorders>
                  <w:noWrap w:val="0"/>
                  <w:vAlign w:val="center"/>
                </w:tcPr>
                <w:p w14:paraId="3DE6A7D7">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设备名称</w:t>
                  </w:r>
                </w:p>
              </w:tc>
              <w:tc>
                <w:tcPr>
                  <w:tcW w:w="3210" w:type="dxa"/>
                  <w:tcBorders>
                    <w:top w:val="single" w:color="000000" w:sz="12" w:space="0"/>
                    <w:bottom w:val="single" w:color="000000" w:sz="12" w:space="0"/>
                  </w:tcBorders>
                  <w:noWrap w:val="0"/>
                  <w:vAlign w:val="center"/>
                </w:tcPr>
                <w:p w14:paraId="4B693BB6">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规格及型号</w:t>
                  </w:r>
                </w:p>
              </w:tc>
              <w:tc>
                <w:tcPr>
                  <w:tcW w:w="685" w:type="dxa"/>
                  <w:tcBorders>
                    <w:top w:val="single" w:color="000000" w:sz="12" w:space="0"/>
                    <w:bottom w:val="single" w:color="000000" w:sz="12" w:space="0"/>
                  </w:tcBorders>
                  <w:noWrap w:val="0"/>
                  <w:vAlign w:val="center"/>
                </w:tcPr>
                <w:p w14:paraId="070B80AB">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单位</w:t>
                  </w:r>
                </w:p>
              </w:tc>
              <w:tc>
                <w:tcPr>
                  <w:tcW w:w="638" w:type="dxa"/>
                  <w:tcBorders>
                    <w:top w:val="single" w:color="000000" w:sz="12" w:space="0"/>
                    <w:bottom w:val="single" w:color="000000" w:sz="12" w:space="0"/>
                  </w:tcBorders>
                  <w:noWrap w:val="0"/>
                  <w:vAlign w:val="center"/>
                </w:tcPr>
                <w:p w14:paraId="2FAE21D1">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数量</w:t>
                  </w:r>
                </w:p>
              </w:tc>
              <w:tc>
                <w:tcPr>
                  <w:tcW w:w="1213" w:type="dxa"/>
                  <w:tcBorders>
                    <w:top w:val="single" w:color="000000" w:sz="12" w:space="0"/>
                    <w:bottom w:val="single" w:color="000000" w:sz="12" w:space="0"/>
                    <w:right w:val="nil"/>
                  </w:tcBorders>
                  <w:noWrap w:val="0"/>
                  <w:vAlign w:val="center"/>
                </w:tcPr>
                <w:p w14:paraId="4DF8D642">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备注</w:t>
                  </w:r>
                </w:p>
              </w:tc>
            </w:tr>
            <w:tr w14:paraId="3C320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trPr>
              <w:tc>
                <w:tcPr>
                  <w:tcW w:w="681" w:type="dxa"/>
                  <w:tcBorders>
                    <w:top w:val="single" w:color="000000" w:sz="12" w:space="0"/>
                    <w:left w:val="nil"/>
                  </w:tcBorders>
                  <w:noWrap w:val="0"/>
                  <w:vAlign w:val="center"/>
                </w:tcPr>
                <w:p w14:paraId="30661FFF">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1743" w:type="dxa"/>
                  <w:tcBorders>
                    <w:top w:val="single" w:color="000000" w:sz="12" w:space="0"/>
                  </w:tcBorders>
                  <w:noWrap w:val="0"/>
                  <w:vAlign w:val="center"/>
                </w:tcPr>
                <w:p w14:paraId="2B047B5B">
                  <w:pPr>
                    <w:pStyle w:val="67"/>
                    <w:keepNext w:val="0"/>
                    <w:keepLines w:val="0"/>
                    <w:pageBreakBefore w:val="0"/>
                    <w:widowControl/>
                    <w:kinsoku/>
                    <w:wordWrap/>
                    <w:overflowPunct/>
                    <w:topLinePunct w:val="0"/>
                    <w:autoSpaceDE/>
                    <w:autoSpaceDN/>
                    <w:bidi w:val="0"/>
                    <w:adjustRightInd/>
                    <w:snapToGrid/>
                    <w:spacing w:before="73" w:after="0" w:afterLines="0" w:line="240" w:lineRule="auto"/>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spacing w:val="-1"/>
                      <w:sz w:val="21"/>
                      <w:szCs w:val="21"/>
                      <w:highlight w:val="none"/>
                      <w:lang w:eastAsia="zh-CN"/>
                    </w:rPr>
                    <w:t>卵</w:t>
                  </w:r>
                  <w:r>
                    <w:rPr>
                      <w:rFonts w:hint="default" w:ascii="Times New Roman" w:hAnsi="Times New Roman" w:eastAsia="宋体" w:cs="Times New Roman"/>
                      <w:spacing w:val="-1"/>
                      <w:sz w:val="21"/>
                      <w:szCs w:val="21"/>
                      <w:highlight w:val="none"/>
                    </w:rPr>
                    <w:t>式破碎机</w:t>
                  </w:r>
                </w:p>
              </w:tc>
              <w:tc>
                <w:tcPr>
                  <w:tcW w:w="3210" w:type="dxa"/>
                  <w:tcBorders>
                    <w:top w:val="single" w:color="000000" w:sz="12" w:space="0"/>
                  </w:tcBorders>
                  <w:noWrap w:val="0"/>
                  <w:vAlign w:val="center"/>
                </w:tcPr>
                <w:p w14:paraId="0E7594ED">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spacing w:val="-1"/>
                      <w:sz w:val="21"/>
                      <w:szCs w:val="21"/>
                      <w:highlight w:val="none"/>
                    </w:rPr>
                    <w:t>PE900×1200</w:t>
                  </w:r>
                </w:p>
              </w:tc>
              <w:tc>
                <w:tcPr>
                  <w:tcW w:w="685" w:type="dxa"/>
                  <w:tcBorders>
                    <w:top w:val="single" w:color="000000" w:sz="12" w:space="0"/>
                  </w:tcBorders>
                  <w:noWrap w:val="0"/>
                  <w:vAlign w:val="center"/>
                </w:tcPr>
                <w:p w14:paraId="6D681D50">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套</w:t>
                  </w:r>
                </w:p>
              </w:tc>
              <w:tc>
                <w:tcPr>
                  <w:tcW w:w="638" w:type="dxa"/>
                  <w:tcBorders>
                    <w:top w:val="single" w:color="000000" w:sz="12" w:space="0"/>
                  </w:tcBorders>
                  <w:noWrap w:val="0"/>
                  <w:vAlign w:val="center"/>
                </w:tcPr>
                <w:p w14:paraId="01D0ECB4">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1213" w:type="dxa"/>
                  <w:tcBorders>
                    <w:top w:val="single" w:color="000000" w:sz="12" w:space="0"/>
                    <w:right w:val="nil"/>
                  </w:tcBorders>
                  <w:noWrap w:val="0"/>
                  <w:vAlign w:val="center"/>
                </w:tcPr>
                <w:p w14:paraId="2EA25F6C">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r>
            <w:tr w14:paraId="054D3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1" w:type="dxa"/>
                  <w:tcBorders>
                    <w:left w:val="nil"/>
                  </w:tcBorders>
                  <w:noWrap w:val="0"/>
                  <w:vAlign w:val="center"/>
                </w:tcPr>
                <w:p w14:paraId="06F8B3B2">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1743" w:type="dxa"/>
                  <w:noWrap w:val="0"/>
                  <w:vAlign w:val="center"/>
                </w:tcPr>
                <w:p w14:paraId="09E47D5E">
                  <w:pPr>
                    <w:pStyle w:val="67"/>
                    <w:keepNext w:val="0"/>
                    <w:keepLines w:val="0"/>
                    <w:pageBreakBefore w:val="0"/>
                    <w:widowControl/>
                    <w:kinsoku/>
                    <w:wordWrap/>
                    <w:overflowPunct/>
                    <w:topLinePunct w:val="0"/>
                    <w:autoSpaceDE/>
                    <w:autoSpaceDN/>
                    <w:bidi w:val="0"/>
                    <w:adjustRightInd/>
                    <w:snapToGrid/>
                    <w:spacing w:before="73" w:after="0" w:afterLines="0" w:line="240" w:lineRule="auto"/>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spacing w:val="-1"/>
                      <w:sz w:val="21"/>
                      <w:szCs w:val="21"/>
                      <w:highlight w:val="none"/>
                    </w:rPr>
                    <w:t>单缸液压圆锥破</w:t>
                  </w:r>
                </w:p>
              </w:tc>
              <w:tc>
                <w:tcPr>
                  <w:tcW w:w="3210" w:type="dxa"/>
                  <w:noWrap w:val="0"/>
                  <w:vAlign w:val="center"/>
                </w:tcPr>
                <w:p w14:paraId="5B6BA3E3">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spacing w:val="-1"/>
                      <w:sz w:val="21"/>
                      <w:szCs w:val="21"/>
                      <w:highlight w:val="none"/>
                    </w:rPr>
                    <w:t>HST315</w:t>
                  </w:r>
                </w:p>
              </w:tc>
              <w:tc>
                <w:tcPr>
                  <w:tcW w:w="685" w:type="dxa"/>
                  <w:noWrap w:val="0"/>
                  <w:vAlign w:val="center"/>
                </w:tcPr>
                <w:p w14:paraId="04C67C3A">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套</w:t>
                  </w:r>
                </w:p>
              </w:tc>
              <w:tc>
                <w:tcPr>
                  <w:tcW w:w="638" w:type="dxa"/>
                  <w:noWrap w:val="0"/>
                  <w:vAlign w:val="center"/>
                </w:tcPr>
                <w:p w14:paraId="1780D963">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4</w:t>
                  </w:r>
                </w:p>
              </w:tc>
              <w:tc>
                <w:tcPr>
                  <w:tcW w:w="1213" w:type="dxa"/>
                  <w:tcBorders>
                    <w:right w:val="nil"/>
                  </w:tcBorders>
                  <w:noWrap w:val="0"/>
                  <w:vAlign w:val="center"/>
                </w:tcPr>
                <w:p w14:paraId="7D557021">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r>
            <w:tr w14:paraId="3479E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681" w:type="dxa"/>
                  <w:tcBorders>
                    <w:left w:val="nil"/>
                  </w:tcBorders>
                  <w:noWrap w:val="0"/>
                  <w:vAlign w:val="center"/>
                </w:tcPr>
                <w:p w14:paraId="0F1E3DF8">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3</w:t>
                  </w:r>
                </w:p>
              </w:tc>
              <w:tc>
                <w:tcPr>
                  <w:tcW w:w="1743" w:type="dxa"/>
                  <w:noWrap w:val="0"/>
                  <w:vAlign w:val="center"/>
                </w:tcPr>
                <w:p w14:paraId="7838D4FA">
                  <w:pPr>
                    <w:pStyle w:val="67"/>
                    <w:keepNext w:val="0"/>
                    <w:keepLines w:val="0"/>
                    <w:pageBreakBefore w:val="0"/>
                    <w:widowControl/>
                    <w:kinsoku/>
                    <w:wordWrap/>
                    <w:overflowPunct/>
                    <w:topLinePunct w:val="0"/>
                    <w:autoSpaceDE/>
                    <w:autoSpaceDN/>
                    <w:bidi w:val="0"/>
                    <w:adjustRightInd/>
                    <w:snapToGrid/>
                    <w:spacing w:before="75" w:after="0" w:afterLines="0" w:line="240" w:lineRule="auto"/>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spacing w:val="-2"/>
                      <w:sz w:val="21"/>
                      <w:szCs w:val="21"/>
                      <w:highlight w:val="none"/>
                    </w:rPr>
                    <w:t>给料机</w:t>
                  </w:r>
                </w:p>
              </w:tc>
              <w:tc>
                <w:tcPr>
                  <w:tcW w:w="3210" w:type="dxa"/>
                  <w:noWrap w:val="0"/>
                  <w:vAlign w:val="center"/>
                </w:tcPr>
                <w:p w14:paraId="164642AC">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spacing w:val="-2"/>
                      <w:sz w:val="21"/>
                      <w:szCs w:val="21"/>
                      <w:highlight w:val="none"/>
                    </w:rPr>
                    <w:t>ZSW420×110</w:t>
                  </w:r>
                </w:p>
              </w:tc>
              <w:tc>
                <w:tcPr>
                  <w:tcW w:w="685" w:type="dxa"/>
                  <w:noWrap w:val="0"/>
                  <w:vAlign w:val="center"/>
                </w:tcPr>
                <w:p w14:paraId="4D84B176">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套</w:t>
                  </w:r>
                </w:p>
              </w:tc>
              <w:tc>
                <w:tcPr>
                  <w:tcW w:w="638" w:type="dxa"/>
                  <w:noWrap w:val="0"/>
                  <w:vAlign w:val="center"/>
                </w:tcPr>
                <w:p w14:paraId="11A83A99">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1213" w:type="dxa"/>
                  <w:tcBorders>
                    <w:right w:val="nil"/>
                  </w:tcBorders>
                  <w:noWrap w:val="0"/>
                  <w:vAlign w:val="center"/>
                </w:tcPr>
                <w:p w14:paraId="0372C72B">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r>
            <w:tr w14:paraId="6A14C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681" w:type="dxa"/>
                  <w:tcBorders>
                    <w:left w:val="nil"/>
                  </w:tcBorders>
                  <w:noWrap w:val="0"/>
                  <w:vAlign w:val="center"/>
                </w:tcPr>
                <w:p w14:paraId="0EF70175">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4</w:t>
                  </w:r>
                </w:p>
              </w:tc>
              <w:tc>
                <w:tcPr>
                  <w:tcW w:w="1743" w:type="dxa"/>
                  <w:noWrap w:val="0"/>
                  <w:vAlign w:val="center"/>
                </w:tcPr>
                <w:p w14:paraId="4456F76A">
                  <w:pPr>
                    <w:pStyle w:val="67"/>
                    <w:keepNext w:val="0"/>
                    <w:keepLines w:val="0"/>
                    <w:pageBreakBefore w:val="0"/>
                    <w:widowControl/>
                    <w:kinsoku/>
                    <w:wordWrap/>
                    <w:overflowPunct/>
                    <w:topLinePunct w:val="0"/>
                    <w:autoSpaceDE/>
                    <w:autoSpaceDN/>
                    <w:bidi w:val="0"/>
                    <w:adjustRightInd/>
                    <w:snapToGrid/>
                    <w:spacing w:before="73" w:after="0" w:afterLines="0" w:line="240" w:lineRule="auto"/>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spacing w:val="-4"/>
                      <w:sz w:val="21"/>
                      <w:szCs w:val="21"/>
                      <w:highlight w:val="none"/>
                    </w:rPr>
                    <w:t>圆振动筛</w:t>
                  </w:r>
                </w:p>
              </w:tc>
              <w:tc>
                <w:tcPr>
                  <w:tcW w:w="3210" w:type="dxa"/>
                  <w:noWrap w:val="0"/>
                  <w:vAlign w:val="center"/>
                </w:tcPr>
                <w:p w14:paraId="56AFB172">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spacing w:val="-4"/>
                      <w:sz w:val="21"/>
                      <w:szCs w:val="21"/>
                      <w:highlight w:val="none"/>
                    </w:rPr>
                    <w:t>3Y2160</w:t>
                  </w:r>
                </w:p>
              </w:tc>
              <w:tc>
                <w:tcPr>
                  <w:tcW w:w="685" w:type="dxa"/>
                  <w:noWrap w:val="0"/>
                  <w:vAlign w:val="center"/>
                </w:tcPr>
                <w:p w14:paraId="2A561A57">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套</w:t>
                  </w:r>
                </w:p>
              </w:tc>
              <w:tc>
                <w:tcPr>
                  <w:tcW w:w="638" w:type="dxa"/>
                  <w:noWrap w:val="0"/>
                  <w:vAlign w:val="center"/>
                </w:tcPr>
                <w:p w14:paraId="586F6FCC">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1213" w:type="dxa"/>
                  <w:tcBorders>
                    <w:right w:val="nil"/>
                  </w:tcBorders>
                  <w:noWrap w:val="0"/>
                  <w:vAlign w:val="center"/>
                </w:tcPr>
                <w:p w14:paraId="5258DB5F">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r>
            <w:tr w14:paraId="5C66C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681" w:type="dxa"/>
                  <w:tcBorders>
                    <w:left w:val="nil"/>
                  </w:tcBorders>
                  <w:noWrap w:val="0"/>
                  <w:vAlign w:val="center"/>
                </w:tcPr>
                <w:p w14:paraId="3DC40478">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5</w:t>
                  </w:r>
                </w:p>
              </w:tc>
              <w:tc>
                <w:tcPr>
                  <w:tcW w:w="1743" w:type="dxa"/>
                  <w:noWrap w:val="0"/>
                  <w:vAlign w:val="center"/>
                </w:tcPr>
                <w:p w14:paraId="34CBD098">
                  <w:pPr>
                    <w:pStyle w:val="67"/>
                    <w:keepNext w:val="0"/>
                    <w:keepLines w:val="0"/>
                    <w:pageBreakBefore w:val="0"/>
                    <w:widowControl/>
                    <w:kinsoku/>
                    <w:wordWrap/>
                    <w:overflowPunct/>
                    <w:topLinePunct w:val="0"/>
                    <w:autoSpaceDE/>
                    <w:autoSpaceDN/>
                    <w:bidi w:val="0"/>
                    <w:adjustRightInd/>
                    <w:snapToGrid/>
                    <w:spacing w:before="88" w:after="0" w:afterLines="0" w:line="240" w:lineRule="auto"/>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spacing w:val="-8"/>
                      <w:sz w:val="21"/>
                      <w:szCs w:val="21"/>
                      <w:highlight w:val="none"/>
                    </w:rPr>
                    <w:t>中转料仓</w:t>
                  </w:r>
                </w:p>
              </w:tc>
              <w:tc>
                <w:tcPr>
                  <w:tcW w:w="3210" w:type="dxa"/>
                  <w:noWrap w:val="0"/>
                  <w:vAlign w:val="center"/>
                </w:tcPr>
                <w:p w14:paraId="682BC179">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685" w:type="dxa"/>
                  <w:noWrap w:val="0"/>
                  <w:vAlign w:val="center"/>
                </w:tcPr>
                <w:p w14:paraId="53D79A4A">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套</w:t>
                  </w:r>
                </w:p>
              </w:tc>
              <w:tc>
                <w:tcPr>
                  <w:tcW w:w="638" w:type="dxa"/>
                  <w:noWrap w:val="0"/>
                  <w:vAlign w:val="center"/>
                </w:tcPr>
                <w:p w14:paraId="40156E94">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1213" w:type="dxa"/>
                  <w:tcBorders>
                    <w:right w:val="nil"/>
                  </w:tcBorders>
                  <w:noWrap w:val="0"/>
                  <w:vAlign w:val="center"/>
                </w:tcPr>
                <w:p w14:paraId="207AB929">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r>
            <w:tr w14:paraId="55B7F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681" w:type="dxa"/>
                  <w:tcBorders>
                    <w:left w:val="nil"/>
                  </w:tcBorders>
                  <w:noWrap w:val="0"/>
                  <w:vAlign w:val="center"/>
                </w:tcPr>
                <w:p w14:paraId="068113AA">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w:t>
                  </w:r>
                </w:p>
              </w:tc>
              <w:tc>
                <w:tcPr>
                  <w:tcW w:w="1743" w:type="dxa"/>
                  <w:noWrap w:val="0"/>
                  <w:vAlign w:val="center"/>
                </w:tcPr>
                <w:p w14:paraId="58DAB357">
                  <w:pPr>
                    <w:pStyle w:val="67"/>
                    <w:keepNext w:val="0"/>
                    <w:keepLines w:val="0"/>
                    <w:pageBreakBefore w:val="0"/>
                    <w:widowControl/>
                    <w:kinsoku/>
                    <w:wordWrap/>
                    <w:overflowPunct/>
                    <w:topLinePunct w:val="0"/>
                    <w:autoSpaceDE/>
                    <w:autoSpaceDN/>
                    <w:bidi w:val="0"/>
                    <w:adjustRightInd/>
                    <w:snapToGrid/>
                    <w:spacing w:before="99" w:after="0" w:afterLines="0" w:line="240" w:lineRule="auto"/>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spacing w:val="-6"/>
                      <w:sz w:val="21"/>
                      <w:szCs w:val="21"/>
                      <w:highlight w:val="none"/>
                    </w:rPr>
                    <w:t>除尘系统</w:t>
                  </w:r>
                </w:p>
              </w:tc>
              <w:tc>
                <w:tcPr>
                  <w:tcW w:w="3210" w:type="dxa"/>
                  <w:noWrap w:val="0"/>
                  <w:vAlign w:val="center"/>
                </w:tcPr>
                <w:p w14:paraId="70F30C56">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685" w:type="dxa"/>
                  <w:noWrap w:val="0"/>
                  <w:vAlign w:val="center"/>
                </w:tcPr>
                <w:p w14:paraId="47C3D8BB">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套</w:t>
                  </w:r>
                </w:p>
              </w:tc>
              <w:tc>
                <w:tcPr>
                  <w:tcW w:w="638" w:type="dxa"/>
                  <w:noWrap w:val="0"/>
                  <w:vAlign w:val="center"/>
                </w:tcPr>
                <w:p w14:paraId="6680613D">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1213" w:type="dxa"/>
                  <w:tcBorders>
                    <w:right w:val="nil"/>
                  </w:tcBorders>
                  <w:noWrap w:val="0"/>
                  <w:vAlign w:val="center"/>
                </w:tcPr>
                <w:p w14:paraId="06B82110">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r>
            <w:tr w14:paraId="13688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681" w:type="dxa"/>
                  <w:tcBorders>
                    <w:left w:val="nil"/>
                  </w:tcBorders>
                  <w:noWrap w:val="0"/>
                  <w:vAlign w:val="center"/>
                </w:tcPr>
                <w:p w14:paraId="594301A8">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7</w:t>
                  </w:r>
                </w:p>
              </w:tc>
              <w:tc>
                <w:tcPr>
                  <w:tcW w:w="1743" w:type="dxa"/>
                  <w:noWrap w:val="0"/>
                  <w:vAlign w:val="center"/>
                </w:tcPr>
                <w:p w14:paraId="5A83DA6E">
                  <w:pPr>
                    <w:pStyle w:val="67"/>
                    <w:keepNext w:val="0"/>
                    <w:keepLines w:val="0"/>
                    <w:pageBreakBefore w:val="0"/>
                    <w:widowControl/>
                    <w:kinsoku/>
                    <w:wordWrap/>
                    <w:overflowPunct/>
                    <w:topLinePunct w:val="0"/>
                    <w:autoSpaceDE/>
                    <w:autoSpaceDN/>
                    <w:bidi w:val="0"/>
                    <w:adjustRightInd/>
                    <w:snapToGrid/>
                    <w:spacing w:before="50" w:after="0" w:afterLines="0" w:line="240" w:lineRule="auto"/>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spacing w:val="-2"/>
                      <w:sz w:val="21"/>
                      <w:szCs w:val="21"/>
                      <w:highlight w:val="none"/>
                    </w:rPr>
                    <w:t>箱式变压器</w:t>
                  </w:r>
                </w:p>
              </w:tc>
              <w:tc>
                <w:tcPr>
                  <w:tcW w:w="3210" w:type="dxa"/>
                  <w:noWrap w:val="0"/>
                  <w:vAlign w:val="center"/>
                </w:tcPr>
                <w:p w14:paraId="4DE58FF8">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spacing w:val="-2"/>
                      <w:sz w:val="21"/>
                      <w:szCs w:val="21"/>
                      <w:highlight w:val="none"/>
                    </w:rPr>
                    <w:t>800kVA</w:t>
                  </w:r>
                </w:p>
              </w:tc>
              <w:tc>
                <w:tcPr>
                  <w:tcW w:w="685" w:type="dxa"/>
                  <w:noWrap w:val="0"/>
                  <w:vAlign w:val="center"/>
                </w:tcPr>
                <w:p w14:paraId="737C3390">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套</w:t>
                  </w:r>
                </w:p>
              </w:tc>
              <w:tc>
                <w:tcPr>
                  <w:tcW w:w="638" w:type="dxa"/>
                  <w:noWrap w:val="0"/>
                  <w:vAlign w:val="center"/>
                </w:tcPr>
                <w:p w14:paraId="1592C1BB">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1213" w:type="dxa"/>
                  <w:tcBorders>
                    <w:right w:val="nil"/>
                  </w:tcBorders>
                  <w:noWrap w:val="0"/>
                  <w:vAlign w:val="center"/>
                </w:tcPr>
                <w:p w14:paraId="4CA2182E">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r>
            <w:tr w14:paraId="2E62F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681" w:type="dxa"/>
                  <w:tcBorders>
                    <w:left w:val="nil"/>
                  </w:tcBorders>
                  <w:noWrap w:val="0"/>
                  <w:vAlign w:val="center"/>
                </w:tcPr>
                <w:p w14:paraId="0FB13390">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8</w:t>
                  </w:r>
                </w:p>
              </w:tc>
              <w:tc>
                <w:tcPr>
                  <w:tcW w:w="1743" w:type="dxa"/>
                  <w:noWrap w:val="0"/>
                  <w:vAlign w:val="center"/>
                </w:tcPr>
                <w:p w14:paraId="70324A8A">
                  <w:pPr>
                    <w:pStyle w:val="67"/>
                    <w:keepNext w:val="0"/>
                    <w:keepLines w:val="0"/>
                    <w:pageBreakBefore w:val="0"/>
                    <w:widowControl/>
                    <w:kinsoku/>
                    <w:wordWrap/>
                    <w:overflowPunct/>
                    <w:topLinePunct w:val="0"/>
                    <w:autoSpaceDE/>
                    <w:autoSpaceDN/>
                    <w:bidi w:val="0"/>
                    <w:adjustRightInd/>
                    <w:snapToGrid/>
                    <w:spacing w:before="50" w:after="0" w:afterLines="0" w:line="240" w:lineRule="auto"/>
                    <w:jc w:val="center"/>
                    <w:rPr>
                      <w:rFonts w:hint="default" w:ascii="Times New Roman" w:hAnsi="Times New Roman" w:eastAsia="宋体" w:cs="Times New Roman"/>
                      <w:spacing w:val="-2"/>
                      <w:sz w:val="21"/>
                      <w:szCs w:val="21"/>
                      <w:highlight w:val="none"/>
                    </w:rPr>
                  </w:pPr>
                  <w:r>
                    <w:rPr>
                      <w:rFonts w:hint="default" w:ascii="Times New Roman" w:hAnsi="Times New Roman" w:eastAsia="宋体" w:cs="Times New Roman"/>
                      <w:spacing w:val="-2"/>
                      <w:sz w:val="21"/>
                      <w:szCs w:val="21"/>
                      <w:highlight w:val="none"/>
                    </w:rPr>
                    <w:t>洗砂机</w:t>
                  </w:r>
                </w:p>
              </w:tc>
              <w:tc>
                <w:tcPr>
                  <w:tcW w:w="3210" w:type="dxa"/>
                  <w:noWrap w:val="0"/>
                  <w:vAlign w:val="center"/>
                </w:tcPr>
                <w:p w14:paraId="0E34EC54">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spacing w:val="-2"/>
                      <w:sz w:val="21"/>
                      <w:szCs w:val="21"/>
                      <w:highlight w:val="none"/>
                    </w:rPr>
                  </w:pPr>
                  <w:r>
                    <w:rPr>
                      <w:rFonts w:hint="default" w:ascii="Times New Roman" w:hAnsi="Times New Roman" w:eastAsia="宋体" w:cs="Times New Roman"/>
                      <w:spacing w:val="-1"/>
                      <w:sz w:val="21"/>
                      <w:szCs w:val="21"/>
                      <w:highlight w:val="none"/>
                      <w:lang w:val="en-US" w:eastAsia="zh-CN"/>
                    </w:rPr>
                    <w:t>2</w:t>
                  </w:r>
                  <w:r>
                    <w:rPr>
                      <w:rFonts w:hint="default" w:ascii="Times New Roman" w:hAnsi="Times New Roman" w:eastAsia="宋体" w:cs="Times New Roman"/>
                      <w:spacing w:val="-1"/>
                      <w:sz w:val="21"/>
                      <w:szCs w:val="21"/>
                      <w:highlight w:val="none"/>
                    </w:rPr>
                    <w:t>LSX920,生产能力</w:t>
                  </w:r>
                  <w:r>
                    <w:rPr>
                      <w:rFonts w:hint="default" w:ascii="Times New Roman" w:hAnsi="Times New Roman" w:eastAsia="宋体" w:cs="Times New Roman"/>
                      <w:spacing w:val="-1"/>
                      <w:sz w:val="21"/>
                      <w:szCs w:val="21"/>
                      <w:highlight w:val="none"/>
                      <w:lang w:val="en-US" w:eastAsia="zh-CN"/>
                    </w:rPr>
                    <w:t>20</w:t>
                  </w:r>
                  <w:r>
                    <w:rPr>
                      <w:rFonts w:hint="default" w:ascii="Times New Roman" w:hAnsi="Times New Roman" w:eastAsia="宋体" w:cs="Times New Roman"/>
                      <w:spacing w:val="-1"/>
                      <w:sz w:val="21"/>
                      <w:szCs w:val="21"/>
                      <w:highlight w:val="none"/>
                    </w:rPr>
                    <w:t>0t/h,功率11kW</w:t>
                  </w:r>
                </w:p>
              </w:tc>
              <w:tc>
                <w:tcPr>
                  <w:tcW w:w="685" w:type="dxa"/>
                  <w:noWrap w:val="0"/>
                  <w:vAlign w:val="center"/>
                </w:tcPr>
                <w:p w14:paraId="2D1DC574">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spacing w:val="-2"/>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台</w:t>
                  </w:r>
                </w:p>
              </w:tc>
              <w:tc>
                <w:tcPr>
                  <w:tcW w:w="638" w:type="dxa"/>
                  <w:noWrap w:val="0"/>
                  <w:vAlign w:val="center"/>
                </w:tcPr>
                <w:p w14:paraId="3D09669F">
                  <w:pPr>
                    <w:pStyle w:val="67"/>
                    <w:keepNext w:val="0"/>
                    <w:keepLines w:val="0"/>
                    <w:pageBreakBefore w:val="0"/>
                    <w:widowControl/>
                    <w:kinsoku/>
                    <w:wordWrap/>
                    <w:overflowPunct/>
                    <w:topLinePunct w:val="0"/>
                    <w:autoSpaceDE/>
                    <w:autoSpaceDN/>
                    <w:bidi w:val="0"/>
                    <w:adjustRightInd/>
                    <w:snapToGrid/>
                    <w:spacing w:before="50" w:after="0" w:afterLines="0" w:line="240" w:lineRule="auto"/>
                    <w:jc w:val="center"/>
                    <w:rPr>
                      <w:rFonts w:hint="default" w:ascii="Times New Roman" w:hAnsi="Times New Roman" w:eastAsia="宋体" w:cs="Times New Roman"/>
                      <w:spacing w:val="-2"/>
                      <w:sz w:val="21"/>
                      <w:szCs w:val="21"/>
                      <w:highlight w:val="none"/>
                      <w:lang w:val="en-US" w:eastAsia="zh-CN"/>
                    </w:rPr>
                  </w:pPr>
                  <w:r>
                    <w:rPr>
                      <w:rFonts w:hint="default" w:ascii="Times New Roman" w:hAnsi="Times New Roman" w:eastAsia="宋体" w:cs="Times New Roman"/>
                      <w:spacing w:val="-2"/>
                      <w:sz w:val="21"/>
                      <w:szCs w:val="21"/>
                      <w:highlight w:val="none"/>
                    </w:rPr>
                    <w:t>1</w:t>
                  </w:r>
                </w:p>
              </w:tc>
              <w:tc>
                <w:tcPr>
                  <w:tcW w:w="1213" w:type="dxa"/>
                  <w:tcBorders>
                    <w:right w:val="nil"/>
                  </w:tcBorders>
                  <w:noWrap w:val="0"/>
                  <w:vAlign w:val="center"/>
                </w:tcPr>
                <w:p w14:paraId="2D3AE1C0">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5C64C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681" w:type="dxa"/>
                  <w:tcBorders>
                    <w:left w:val="nil"/>
                  </w:tcBorders>
                  <w:noWrap w:val="0"/>
                  <w:vAlign w:val="center"/>
                </w:tcPr>
                <w:p w14:paraId="3813027D">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9</w:t>
                  </w:r>
                </w:p>
              </w:tc>
              <w:tc>
                <w:tcPr>
                  <w:tcW w:w="1743" w:type="dxa"/>
                  <w:noWrap w:val="0"/>
                  <w:vAlign w:val="center"/>
                </w:tcPr>
                <w:p w14:paraId="5E908936">
                  <w:pPr>
                    <w:pStyle w:val="67"/>
                    <w:keepNext w:val="0"/>
                    <w:keepLines w:val="0"/>
                    <w:pageBreakBefore w:val="0"/>
                    <w:widowControl/>
                    <w:kinsoku/>
                    <w:wordWrap/>
                    <w:overflowPunct/>
                    <w:topLinePunct w:val="0"/>
                    <w:autoSpaceDE/>
                    <w:autoSpaceDN/>
                    <w:bidi w:val="0"/>
                    <w:adjustRightInd/>
                    <w:snapToGrid/>
                    <w:spacing w:before="99" w:after="0" w:afterLines="0" w:line="240" w:lineRule="auto"/>
                    <w:jc w:val="center"/>
                    <w:rPr>
                      <w:rFonts w:hint="default" w:ascii="Times New Roman" w:hAnsi="Times New Roman" w:eastAsia="宋体" w:cs="Times New Roman"/>
                      <w:spacing w:val="-6"/>
                      <w:sz w:val="21"/>
                      <w:szCs w:val="21"/>
                      <w:highlight w:val="none"/>
                    </w:rPr>
                  </w:pPr>
                  <w:r>
                    <w:rPr>
                      <w:rFonts w:hint="default" w:ascii="Times New Roman" w:hAnsi="Times New Roman" w:eastAsia="宋体" w:cs="Times New Roman"/>
                      <w:spacing w:val="-6"/>
                      <w:sz w:val="21"/>
                      <w:szCs w:val="21"/>
                      <w:highlight w:val="none"/>
                    </w:rPr>
                    <w:t>装载机</w:t>
                  </w:r>
                </w:p>
              </w:tc>
              <w:tc>
                <w:tcPr>
                  <w:tcW w:w="3210" w:type="dxa"/>
                  <w:noWrap w:val="0"/>
                  <w:vAlign w:val="center"/>
                </w:tcPr>
                <w:p w14:paraId="57E149B8">
                  <w:pPr>
                    <w:pStyle w:val="67"/>
                    <w:keepNext w:val="0"/>
                    <w:keepLines w:val="0"/>
                    <w:pageBreakBefore w:val="0"/>
                    <w:widowControl/>
                    <w:kinsoku/>
                    <w:wordWrap/>
                    <w:overflowPunct/>
                    <w:topLinePunct w:val="0"/>
                    <w:autoSpaceDE/>
                    <w:autoSpaceDN/>
                    <w:bidi w:val="0"/>
                    <w:adjustRightInd/>
                    <w:snapToGrid/>
                    <w:spacing w:before="99" w:after="0" w:afterLines="0" w:line="240" w:lineRule="auto"/>
                    <w:jc w:val="center"/>
                    <w:rPr>
                      <w:rFonts w:hint="default" w:ascii="Times New Roman" w:hAnsi="Times New Roman" w:eastAsia="宋体" w:cs="Times New Roman"/>
                      <w:spacing w:val="-6"/>
                      <w:sz w:val="21"/>
                      <w:szCs w:val="21"/>
                      <w:highlight w:val="none"/>
                    </w:rPr>
                  </w:pPr>
                  <w:r>
                    <w:rPr>
                      <w:rFonts w:hint="default" w:ascii="Times New Roman" w:hAnsi="Times New Roman" w:eastAsia="宋体" w:cs="Times New Roman"/>
                      <w:spacing w:val="-6"/>
                      <w:sz w:val="21"/>
                      <w:szCs w:val="21"/>
                      <w:highlight w:val="none"/>
                    </w:rPr>
                    <w:t>ZL50型,斗容3m³,功率</w:t>
                  </w:r>
                  <w:r>
                    <w:rPr>
                      <w:rFonts w:hint="default" w:ascii="Times New Roman" w:hAnsi="Times New Roman" w:eastAsia="宋体" w:cs="Times New Roman"/>
                      <w:spacing w:val="-6"/>
                      <w:sz w:val="21"/>
                      <w:szCs w:val="21"/>
                      <w:highlight w:val="none"/>
                      <w:lang w:val="en-US" w:eastAsia="zh-CN"/>
                    </w:rPr>
                    <w:t>162</w:t>
                  </w:r>
                  <w:r>
                    <w:rPr>
                      <w:rFonts w:hint="default" w:ascii="Times New Roman" w:hAnsi="Times New Roman" w:eastAsia="宋体" w:cs="Times New Roman"/>
                      <w:spacing w:val="-6"/>
                      <w:sz w:val="21"/>
                      <w:szCs w:val="21"/>
                      <w:highlight w:val="none"/>
                    </w:rPr>
                    <w:t>kW</w:t>
                  </w:r>
                </w:p>
              </w:tc>
              <w:tc>
                <w:tcPr>
                  <w:tcW w:w="685" w:type="dxa"/>
                  <w:noWrap w:val="0"/>
                  <w:vAlign w:val="center"/>
                </w:tcPr>
                <w:p w14:paraId="6F50119D">
                  <w:pPr>
                    <w:pStyle w:val="67"/>
                    <w:keepNext w:val="0"/>
                    <w:keepLines w:val="0"/>
                    <w:pageBreakBefore w:val="0"/>
                    <w:widowControl/>
                    <w:kinsoku/>
                    <w:wordWrap/>
                    <w:overflowPunct/>
                    <w:topLinePunct w:val="0"/>
                    <w:autoSpaceDE/>
                    <w:autoSpaceDN/>
                    <w:bidi w:val="0"/>
                    <w:adjustRightInd/>
                    <w:snapToGrid/>
                    <w:spacing w:before="99" w:after="0" w:afterLines="0" w:line="240" w:lineRule="auto"/>
                    <w:jc w:val="center"/>
                    <w:rPr>
                      <w:rFonts w:hint="default" w:ascii="Times New Roman" w:hAnsi="Times New Roman" w:eastAsia="宋体" w:cs="Times New Roman"/>
                      <w:spacing w:val="-6"/>
                      <w:sz w:val="21"/>
                      <w:szCs w:val="21"/>
                      <w:highlight w:val="none"/>
                      <w:lang w:val="en-US" w:eastAsia="zh-CN"/>
                    </w:rPr>
                  </w:pPr>
                  <w:r>
                    <w:rPr>
                      <w:rFonts w:hint="default" w:ascii="Times New Roman" w:hAnsi="Times New Roman" w:eastAsia="宋体" w:cs="Times New Roman"/>
                      <w:spacing w:val="-6"/>
                      <w:sz w:val="21"/>
                      <w:szCs w:val="21"/>
                      <w:highlight w:val="none"/>
                    </w:rPr>
                    <w:t>台</w:t>
                  </w:r>
                </w:p>
              </w:tc>
              <w:tc>
                <w:tcPr>
                  <w:tcW w:w="638" w:type="dxa"/>
                  <w:noWrap w:val="0"/>
                  <w:vAlign w:val="center"/>
                </w:tcPr>
                <w:p w14:paraId="62697AF3">
                  <w:pPr>
                    <w:pStyle w:val="67"/>
                    <w:keepNext w:val="0"/>
                    <w:keepLines w:val="0"/>
                    <w:pageBreakBefore w:val="0"/>
                    <w:widowControl/>
                    <w:kinsoku/>
                    <w:wordWrap/>
                    <w:overflowPunct/>
                    <w:topLinePunct w:val="0"/>
                    <w:autoSpaceDE/>
                    <w:autoSpaceDN/>
                    <w:bidi w:val="0"/>
                    <w:adjustRightInd/>
                    <w:snapToGrid/>
                    <w:spacing w:before="99" w:after="0" w:afterLines="0" w:line="240" w:lineRule="auto"/>
                    <w:jc w:val="center"/>
                    <w:rPr>
                      <w:rFonts w:hint="default" w:ascii="Times New Roman" w:hAnsi="Times New Roman" w:eastAsia="宋体" w:cs="Times New Roman"/>
                      <w:spacing w:val="-6"/>
                      <w:sz w:val="21"/>
                      <w:szCs w:val="21"/>
                      <w:highlight w:val="none"/>
                      <w:lang w:val="en-US" w:eastAsia="zh-CN"/>
                    </w:rPr>
                  </w:pPr>
                  <w:r>
                    <w:rPr>
                      <w:rFonts w:hint="default" w:ascii="Times New Roman" w:hAnsi="Times New Roman" w:eastAsia="宋体" w:cs="Times New Roman"/>
                      <w:spacing w:val="-6"/>
                      <w:sz w:val="21"/>
                      <w:szCs w:val="21"/>
                      <w:highlight w:val="none"/>
                    </w:rPr>
                    <w:t>2</w:t>
                  </w:r>
                </w:p>
              </w:tc>
              <w:tc>
                <w:tcPr>
                  <w:tcW w:w="1213" w:type="dxa"/>
                  <w:tcBorders>
                    <w:right w:val="nil"/>
                  </w:tcBorders>
                  <w:noWrap w:val="0"/>
                  <w:vAlign w:val="center"/>
                </w:tcPr>
                <w:p w14:paraId="620913B5">
                  <w:pPr>
                    <w:pStyle w:val="67"/>
                    <w:keepNext w:val="0"/>
                    <w:keepLines w:val="0"/>
                    <w:pageBreakBefore w:val="0"/>
                    <w:widowControl/>
                    <w:kinsoku/>
                    <w:wordWrap/>
                    <w:overflowPunct/>
                    <w:topLinePunct w:val="0"/>
                    <w:autoSpaceDE/>
                    <w:autoSpaceDN/>
                    <w:bidi w:val="0"/>
                    <w:adjustRightInd/>
                    <w:snapToGrid/>
                    <w:spacing w:before="99" w:after="0" w:afterLines="0" w:line="240" w:lineRule="auto"/>
                    <w:jc w:val="center"/>
                    <w:rPr>
                      <w:rFonts w:hint="default" w:ascii="Times New Roman" w:hAnsi="Times New Roman" w:eastAsia="宋体" w:cs="Times New Roman"/>
                      <w:spacing w:val="-6"/>
                      <w:sz w:val="21"/>
                      <w:szCs w:val="21"/>
                      <w:highlight w:val="none"/>
                      <w:lang w:val="en-US" w:eastAsia="zh-CN"/>
                    </w:rPr>
                  </w:pPr>
                </w:p>
              </w:tc>
            </w:tr>
            <w:tr w14:paraId="00FAB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681" w:type="dxa"/>
                  <w:tcBorders>
                    <w:left w:val="nil"/>
                  </w:tcBorders>
                  <w:noWrap w:val="0"/>
                  <w:vAlign w:val="center"/>
                </w:tcPr>
                <w:p w14:paraId="4E7DC4C4">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1743" w:type="dxa"/>
                  <w:noWrap w:val="0"/>
                  <w:vAlign w:val="center"/>
                </w:tcPr>
                <w:p w14:paraId="1D601AF3">
                  <w:pPr>
                    <w:pStyle w:val="67"/>
                    <w:keepNext w:val="0"/>
                    <w:keepLines w:val="0"/>
                    <w:pageBreakBefore w:val="0"/>
                    <w:widowControl/>
                    <w:kinsoku/>
                    <w:wordWrap/>
                    <w:overflowPunct/>
                    <w:topLinePunct w:val="0"/>
                    <w:autoSpaceDE/>
                    <w:autoSpaceDN/>
                    <w:bidi w:val="0"/>
                    <w:adjustRightInd/>
                    <w:snapToGrid/>
                    <w:spacing w:before="99" w:after="0" w:afterLines="0" w:line="240" w:lineRule="auto"/>
                    <w:jc w:val="center"/>
                    <w:rPr>
                      <w:rFonts w:hint="default" w:ascii="Times New Roman" w:hAnsi="Times New Roman" w:eastAsia="宋体" w:cs="Times New Roman"/>
                      <w:spacing w:val="-6"/>
                      <w:sz w:val="21"/>
                      <w:szCs w:val="21"/>
                      <w:highlight w:val="none"/>
                    </w:rPr>
                  </w:pPr>
                  <w:r>
                    <w:rPr>
                      <w:rFonts w:hint="default" w:ascii="Times New Roman" w:hAnsi="Times New Roman" w:eastAsia="宋体" w:cs="Times New Roman"/>
                      <w:spacing w:val="-6"/>
                      <w:sz w:val="21"/>
                      <w:szCs w:val="21"/>
                      <w:highlight w:val="none"/>
                    </w:rPr>
                    <w:t>挖掘机</w:t>
                  </w:r>
                </w:p>
              </w:tc>
              <w:tc>
                <w:tcPr>
                  <w:tcW w:w="3210" w:type="dxa"/>
                  <w:noWrap w:val="0"/>
                  <w:vAlign w:val="center"/>
                </w:tcPr>
                <w:p w14:paraId="7A62E7BB">
                  <w:pPr>
                    <w:pStyle w:val="67"/>
                    <w:keepNext w:val="0"/>
                    <w:keepLines w:val="0"/>
                    <w:pageBreakBefore w:val="0"/>
                    <w:widowControl/>
                    <w:kinsoku/>
                    <w:wordWrap/>
                    <w:overflowPunct/>
                    <w:topLinePunct w:val="0"/>
                    <w:autoSpaceDE/>
                    <w:autoSpaceDN/>
                    <w:bidi w:val="0"/>
                    <w:adjustRightInd/>
                    <w:snapToGrid/>
                    <w:spacing w:before="99" w:after="0" w:afterLines="0" w:line="240" w:lineRule="auto"/>
                    <w:jc w:val="center"/>
                    <w:rPr>
                      <w:rFonts w:hint="default" w:ascii="Times New Roman" w:hAnsi="Times New Roman" w:eastAsia="宋体" w:cs="Times New Roman"/>
                      <w:spacing w:val="-6"/>
                      <w:sz w:val="21"/>
                      <w:szCs w:val="21"/>
                      <w:highlight w:val="none"/>
                    </w:rPr>
                  </w:pPr>
                  <w:r>
                    <w:rPr>
                      <w:rFonts w:hint="default" w:ascii="Times New Roman" w:hAnsi="Times New Roman" w:eastAsia="宋体" w:cs="Times New Roman"/>
                      <w:spacing w:val="-6"/>
                      <w:sz w:val="21"/>
                      <w:szCs w:val="21"/>
                      <w:highlight w:val="none"/>
                    </w:rPr>
                    <w:t>CAT350，铲斗容量</w:t>
                  </w:r>
                  <w:r>
                    <w:rPr>
                      <w:rFonts w:hint="default" w:ascii="Times New Roman" w:hAnsi="Times New Roman" w:eastAsia="宋体" w:cs="Times New Roman"/>
                      <w:spacing w:val="-6"/>
                      <w:sz w:val="21"/>
                      <w:szCs w:val="21"/>
                      <w:highlight w:val="none"/>
                      <w:lang w:val="en-US" w:eastAsia="zh-CN"/>
                    </w:rPr>
                    <w:t>3.2</w:t>
                  </w:r>
                  <w:r>
                    <w:rPr>
                      <w:rFonts w:hint="default" w:ascii="Times New Roman" w:hAnsi="Times New Roman" w:eastAsia="宋体" w:cs="Times New Roman"/>
                      <w:spacing w:val="-6"/>
                      <w:sz w:val="21"/>
                      <w:szCs w:val="21"/>
                      <w:highlight w:val="none"/>
                    </w:rPr>
                    <w:t>m³,功率</w:t>
                  </w:r>
                  <w:r>
                    <w:rPr>
                      <w:rFonts w:hint="default" w:ascii="Times New Roman" w:hAnsi="Times New Roman" w:eastAsia="宋体" w:cs="Times New Roman"/>
                      <w:spacing w:val="-6"/>
                      <w:sz w:val="21"/>
                      <w:szCs w:val="21"/>
                      <w:highlight w:val="none"/>
                      <w:lang w:val="en-US" w:eastAsia="zh-CN"/>
                    </w:rPr>
                    <w:t>309</w:t>
                  </w:r>
                  <w:r>
                    <w:rPr>
                      <w:rFonts w:hint="default" w:ascii="Times New Roman" w:hAnsi="Times New Roman" w:eastAsia="宋体" w:cs="Times New Roman"/>
                      <w:spacing w:val="-6"/>
                      <w:sz w:val="21"/>
                      <w:szCs w:val="21"/>
                      <w:highlight w:val="none"/>
                    </w:rPr>
                    <w:t>kW</w:t>
                  </w:r>
                </w:p>
              </w:tc>
              <w:tc>
                <w:tcPr>
                  <w:tcW w:w="685" w:type="dxa"/>
                  <w:noWrap w:val="0"/>
                  <w:vAlign w:val="center"/>
                </w:tcPr>
                <w:p w14:paraId="433BC107">
                  <w:pPr>
                    <w:pStyle w:val="67"/>
                    <w:keepNext w:val="0"/>
                    <w:keepLines w:val="0"/>
                    <w:pageBreakBefore w:val="0"/>
                    <w:widowControl/>
                    <w:kinsoku/>
                    <w:wordWrap/>
                    <w:overflowPunct/>
                    <w:topLinePunct w:val="0"/>
                    <w:autoSpaceDE/>
                    <w:autoSpaceDN/>
                    <w:bidi w:val="0"/>
                    <w:adjustRightInd/>
                    <w:snapToGrid/>
                    <w:spacing w:before="99" w:after="0" w:afterLines="0" w:line="240" w:lineRule="auto"/>
                    <w:jc w:val="center"/>
                    <w:rPr>
                      <w:rFonts w:hint="default" w:ascii="Times New Roman" w:hAnsi="Times New Roman" w:eastAsia="宋体" w:cs="Times New Roman"/>
                      <w:spacing w:val="-6"/>
                      <w:sz w:val="21"/>
                      <w:szCs w:val="21"/>
                      <w:highlight w:val="none"/>
                      <w:lang w:val="en-US" w:eastAsia="zh-CN"/>
                    </w:rPr>
                  </w:pPr>
                  <w:r>
                    <w:rPr>
                      <w:rFonts w:hint="default" w:ascii="Times New Roman" w:hAnsi="Times New Roman" w:eastAsia="宋体" w:cs="Times New Roman"/>
                      <w:spacing w:val="-6"/>
                      <w:sz w:val="21"/>
                      <w:szCs w:val="21"/>
                      <w:highlight w:val="none"/>
                    </w:rPr>
                    <w:t>台</w:t>
                  </w:r>
                </w:p>
              </w:tc>
              <w:tc>
                <w:tcPr>
                  <w:tcW w:w="638" w:type="dxa"/>
                  <w:noWrap w:val="0"/>
                  <w:vAlign w:val="center"/>
                </w:tcPr>
                <w:p w14:paraId="277E4747">
                  <w:pPr>
                    <w:pStyle w:val="67"/>
                    <w:keepNext w:val="0"/>
                    <w:keepLines w:val="0"/>
                    <w:pageBreakBefore w:val="0"/>
                    <w:widowControl/>
                    <w:kinsoku/>
                    <w:wordWrap/>
                    <w:overflowPunct/>
                    <w:topLinePunct w:val="0"/>
                    <w:autoSpaceDE/>
                    <w:autoSpaceDN/>
                    <w:bidi w:val="0"/>
                    <w:adjustRightInd/>
                    <w:snapToGrid/>
                    <w:spacing w:before="99" w:after="0" w:afterLines="0" w:line="240" w:lineRule="auto"/>
                    <w:jc w:val="center"/>
                    <w:rPr>
                      <w:rFonts w:hint="default" w:ascii="Times New Roman" w:hAnsi="Times New Roman" w:eastAsia="宋体" w:cs="Times New Roman"/>
                      <w:spacing w:val="-6"/>
                      <w:sz w:val="21"/>
                      <w:szCs w:val="21"/>
                      <w:highlight w:val="none"/>
                      <w:lang w:val="en-US" w:eastAsia="zh-CN"/>
                    </w:rPr>
                  </w:pPr>
                  <w:r>
                    <w:rPr>
                      <w:rFonts w:hint="default" w:ascii="Times New Roman" w:hAnsi="Times New Roman" w:eastAsia="宋体" w:cs="Times New Roman"/>
                      <w:spacing w:val="-6"/>
                      <w:sz w:val="21"/>
                      <w:szCs w:val="21"/>
                      <w:highlight w:val="none"/>
                      <w:lang w:val="en-US" w:eastAsia="zh-CN"/>
                    </w:rPr>
                    <w:t>4</w:t>
                  </w:r>
                </w:p>
              </w:tc>
              <w:tc>
                <w:tcPr>
                  <w:tcW w:w="1213" w:type="dxa"/>
                  <w:tcBorders>
                    <w:right w:val="nil"/>
                  </w:tcBorders>
                  <w:noWrap w:val="0"/>
                  <w:vAlign w:val="center"/>
                </w:tcPr>
                <w:p w14:paraId="08AB2F10">
                  <w:pPr>
                    <w:pStyle w:val="67"/>
                    <w:keepNext w:val="0"/>
                    <w:keepLines w:val="0"/>
                    <w:pageBreakBefore w:val="0"/>
                    <w:widowControl/>
                    <w:kinsoku/>
                    <w:wordWrap/>
                    <w:overflowPunct/>
                    <w:topLinePunct w:val="0"/>
                    <w:autoSpaceDE/>
                    <w:autoSpaceDN/>
                    <w:bidi w:val="0"/>
                    <w:adjustRightInd/>
                    <w:snapToGrid/>
                    <w:spacing w:before="99" w:after="0" w:afterLines="0" w:line="240" w:lineRule="auto"/>
                    <w:jc w:val="center"/>
                    <w:rPr>
                      <w:rFonts w:hint="default" w:ascii="Times New Roman" w:hAnsi="Times New Roman" w:eastAsia="宋体" w:cs="Times New Roman"/>
                      <w:spacing w:val="-6"/>
                      <w:sz w:val="21"/>
                      <w:szCs w:val="21"/>
                      <w:highlight w:val="none"/>
                      <w:lang w:val="en-US" w:eastAsia="zh-CN"/>
                    </w:rPr>
                  </w:pPr>
                </w:p>
              </w:tc>
            </w:tr>
            <w:tr w14:paraId="53666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681" w:type="dxa"/>
                  <w:tcBorders>
                    <w:left w:val="nil"/>
                  </w:tcBorders>
                  <w:noWrap w:val="0"/>
                  <w:vAlign w:val="center"/>
                </w:tcPr>
                <w:p w14:paraId="37725786">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11</w:t>
                  </w:r>
                </w:p>
              </w:tc>
              <w:tc>
                <w:tcPr>
                  <w:tcW w:w="1743" w:type="dxa"/>
                  <w:noWrap w:val="0"/>
                  <w:vAlign w:val="center"/>
                </w:tcPr>
                <w:p w14:paraId="4EB5F844">
                  <w:pPr>
                    <w:pStyle w:val="67"/>
                    <w:keepNext w:val="0"/>
                    <w:keepLines w:val="0"/>
                    <w:pageBreakBefore w:val="0"/>
                    <w:widowControl/>
                    <w:kinsoku/>
                    <w:wordWrap/>
                    <w:overflowPunct/>
                    <w:topLinePunct w:val="0"/>
                    <w:autoSpaceDE/>
                    <w:autoSpaceDN/>
                    <w:bidi w:val="0"/>
                    <w:adjustRightInd/>
                    <w:snapToGrid/>
                    <w:spacing w:before="99" w:after="0" w:afterLines="0" w:line="240" w:lineRule="auto"/>
                    <w:jc w:val="center"/>
                    <w:rPr>
                      <w:rFonts w:hint="default" w:ascii="Times New Roman" w:hAnsi="Times New Roman" w:eastAsia="宋体" w:cs="Times New Roman"/>
                      <w:spacing w:val="-6"/>
                      <w:sz w:val="21"/>
                      <w:szCs w:val="21"/>
                      <w:highlight w:val="none"/>
                    </w:rPr>
                  </w:pPr>
                  <w:r>
                    <w:rPr>
                      <w:rFonts w:hint="default" w:ascii="Times New Roman" w:hAnsi="Times New Roman" w:eastAsia="宋体" w:cs="Times New Roman"/>
                      <w:spacing w:val="-6"/>
                      <w:sz w:val="21"/>
                      <w:szCs w:val="21"/>
                      <w:highlight w:val="none"/>
                    </w:rPr>
                    <w:t>自卸汽车</w:t>
                  </w:r>
                </w:p>
              </w:tc>
              <w:tc>
                <w:tcPr>
                  <w:tcW w:w="3210" w:type="dxa"/>
                  <w:noWrap w:val="0"/>
                  <w:vAlign w:val="center"/>
                </w:tcPr>
                <w:p w14:paraId="2005852C">
                  <w:pPr>
                    <w:pStyle w:val="67"/>
                    <w:keepNext w:val="0"/>
                    <w:keepLines w:val="0"/>
                    <w:pageBreakBefore w:val="0"/>
                    <w:widowControl/>
                    <w:kinsoku/>
                    <w:wordWrap/>
                    <w:overflowPunct/>
                    <w:topLinePunct w:val="0"/>
                    <w:autoSpaceDE/>
                    <w:autoSpaceDN/>
                    <w:bidi w:val="0"/>
                    <w:adjustRightInd/>
                    <w:snapToGrid/>
                    <w:spacing w:before="99" w:after="0" w:afterLines="0" w:line="240" w:lineRule="auto"/>
                    <w:jc w:val="center"/>
                    <w:rPr>
                      <w:rFonts w:hint="default" w:ascii="Times New Roman" w:hAnsi="Times New Roman" w:eastAsia="宋体" w:cs="Times New Roman"/>
                      <w:spacing w:val="-6"/>
                      <w:sz w:val="21"/>
                      <w:szCs w:val="21"/>
                      <w:highlight w:val="none"/>
                    </w:rPr>
                  </w:pPr>
                  <w:r>
                    <w:rPr>
                      <w:rFonts w:hint="default" w:ascii="Times New Roman" w:hAnsi="Times New Roman" w:eastAsia="宋体" w:cs="Times New Roman"/>
                      <w:spacing w:val="-6"/>
                      <w:sz w:val="21"/>
                      <w:szCs w:val="21"/>
                      <w:highlight w:val="none"/>
                    </w:rPr>
                    <w:t>MT86H</w:t>
                  </w:r>
                  <w:r>
                    <w:rPr>
                      <w:rFonts w:hint="default" w:ascii="Times New Roman" w:hAnsi="Times New Roman" w:eastAsia="宋体" w:cs="Times New Roman"/>
                      <w:spacing w:val="-6"/>
                      <w:sz w:val="21"/>
                      <w:szCs w:val="21"/>
                      <w:highlight w:val="none"/>
                      <w:lang w:val="en-US" w:eastAsia="zh-CN"/>
                    </w:rPr>
                    <w:t xml:space="preserve"> </w:t>
                  </w:r>
                  <w:r>
                    <w:rPr>
                      <w:rFonts w:hint="default" w:ascii="Times New Roman" w:hAnsi="Times New Roman" w:eastAsia="宋体" w:cs="Times New Roman"/>
                      <w:spacing w:val="-6"/>
                      <w:sz w:val="21"/>
                      <w:szCs w:val="21"/>
                      <w:highlight w:val="none"/>
                    </w:rPr>
                    <w:t>载重量（kg）：54300</w:t>
                  </w:r>
                </w:p>
              </w:tc>
              <w:tc>
                <w:tcPr>
                  <w:tcW w:w="685" w:type="dxa"/>
                  <w:noWrap w:val="0"/>
                  <w:vAlign w:val="center"/>
                </w:tcPr>
                <w:p w14:paraId="7BE1F2DB">
                  <w:pPr>
                    <w:pStyle w:val="67"/>
                    <w:keepNext w:val="0"/>
                    <w:keepLines w:val="0"/>
                    <w:pageBreakBefore w:val="0"/>
                    <w:widowControl/>
                    <w:kinsoku/>
                    <w:wordWrap/>
                    <w:overflowPunct/>
                    <w:topLinePunct w:val="0"/>
                    <w:autoSpaceDE/>
                    <w:autoSpaceDN/>
                    <w:bidi w:val="0"/>
                    <w:adjustRightInd/>
                    <w:snapToGrid/>
                    <w:spacing w:before="99" w:after="0" w:afterLines="0" w:line="240" w:lineRule="auto"/>
                    <w:jc w:val="center"/>
                    <w:rPr>
                      <w:rFonts w:hint="default" w:ascii="Times New Roman" w:hAnsi="Times New Roman" w:eastAsia="宋体" w:cs="Times New Roman"/>
                      <w:spacing w:val="-6"/>
                      <w:sz w:val="21"/>
                      <w:szCs w:val="21"/>
                      <w:highlight w:val="none"/>
                      <w:lang w:val="en-US" w:eastAsia="zh-CN"/>
                    </w:rPr>
                  </w:pPr>
                  <w:r>
                    <w:rPr>
                      <w:rFonts w:hint="default" w:ascii="Times New Roman" w:hAnsi="Times New Roman" w:eastAsia="宋体" w:cs="Times New Roman"/>
                      <w:spacing w:val="-6"/>
                      <w:sz w:val="21"/>
                      <w:szCs w:val="21"/>
                      <w:highlight w:val="none"/>
                    </w:rPr>
                    <w:t>辆</w:t>
                  </w:r>
                </w:p>
              </w:tc>
              <w:tc>
                <w:tcPr>
                  <w:tcW w:w="638" w:type="dxa"/>
                  <w:noWrap w:val="0"/>
                  <w:vAlign w:val="center"/>
                </w:tcPr>
                <w:p w14:paraId="1B36A140">
                  <w:pPr>
                    <w:pStyle w:val="67"/>
                    <w:keepNext w:val="0"/>
                    <w:keepLines w:val="0"/>
                    <w:pageBreakBefore w:val="0"/>
                    <w:widowControl/>
                    <w:kinsoku/>
                    <w:wordWrap/>
                    <w:overflowPunct/>
                    <w:topLinePunct w:val="0"/>
                    <w:autoSpaceDE/>
                    <w:autoSpaceDN/>
                    <w:bidi w:val="0"/>
                    <w:adjustRightInd/>
                    <w:snapToGrid/>
                    <w:spacing w:before="99" w:after="0" w:afterLines="0" w:line="240" w:lineRule="auto"/>
                    <w:jc w:val="center"/>
                    <w:rPr>
                      <w:rFonts w:hint="default" w:ascii="Times New Roman" w:hAnsi="Times New Roman" w:eastAsia="宋体" w:cs="Times New Roman"/>
                      <w:spacing w:val="-6"/>
                      <w:sz w:val="21"/>
                      <w:szCs w:val="21"/>
                      <w:highlight w:val="none"/>
                      <w:lang w:val="en-US" w:eastAsia="zh-CN"/>
                    </w:rPr>
                  </w:pPr>
                  <w:r>
                    <w:rPr>
                      <w:rFonts w:hint="default" w:ascii="Times New Roman" w:hAnsi="Times New Roman" w:eastAsia="宋体" w:cs="Times New Roman"/>
                      <w:spacing w:val="-6"/>
                      <w:sz w:val="21"/>
                      <w:szCs w:val="21"/>
                      <w:highlight w:val="none"/>
                      <w:lang w:val="en-US" w:eastAsia="zh-CN"/>
                    </w:rPr>
                    <w:t>13</w:t>
                  </w:r>
                </w:p>
              </w:tc>
              <w:tc>
                <w:tcPr>
                  <w:tcW w:w="1213" w:type="dxa"/>
                  <w:tcBorders>
                    <w:right w:val="nil"/>
                  </w:tcBorders>
                  <w:noWrap w:val="0"/>
                  <w:vAlign w:val="center"/>
                </w:tcPr>
                <w:p w14:paraId="25F2CB59">
                  <w:pPr>
                    <w:pStyle w:val="67"/>
                    <w:keepNext w:val="0"/>
                    <w:keepLines w:val="0"/>
                    <w:pageBreakBefore w:val="0"/>
                    <w:widowControl/>
                    <w:kinsoku/>
                    <w:wordWrap/>
                    <w:overflowPunct/>
                    <w:topLinePunct w:val="0"/>
                    <w:autoSpaceDE/>
                    <w:autoSpaceDN/>
                    <w:bidi w:val="0"/>
                    <w:adjustRightInd/>
                    <w:snapToGrid/>
                    <w:spacing w:before="99" w:after="0" w:afterLines="0" w:line="240" w:lineRule="auto"/>
                    <w:jc w:val="center"/>
                    <w:rPr>
                      <w:rFonts w:hint="default" w:ascii="Times New Roman" w:hAnsi="Times New Roman" w:eastAsia="宋体" w:cs="Times New Roman"/>
                      <w:spacing w:val="-6"/>
                      <w:sz w:val="21"/>
                      <w:szCs w:val="21"/>
                      <w:highlight w:val="none"/>
                      <w:lang w:val="en-US" w:eastAsia="zh-CN"/>
                    </w:rPr>
                  </w:pPr>
                </w:p>
              </w:tc>
            </w:tr>
            <w:tr w14:paraId="0C6ED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681" w:type="dxa"/>
                  <w:tcBorders>
                    <w:left w:val="nil"/>
                    <w:bottom w:val="single" w:color="000000" w:sz="12" w:space="0"/>
                  </w:tcBorders>
                  <w:noWrap w:val="0"/>
                  <w:vAlign w:val="center"/>
                </w:tcPr>
                <w:p w14:paraId="1BC4BF6A">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12</w:t>
                  </w:r>
                </w:p>
              </w:tc>
              <w:tc>
                <w:tcPr>
                  <w:tcW w:w="1743" w:type="dxa"/>
                  <w:tcBorders>
                    <w:bottom w:val="single" w:color="000000" w:sz="12" w:space="0"/>
                  </w:tcBorders>
                  <w:noWrap w:val="0"/>
                  <w:vAlign w:val="center"/>
                </w:tcPr>
                <w:p w14:paraId="22B7E3FC">
                  <w:pPr>
                    <w:pStyle w:val="67"/>
                    <w:keepNext w:val="0"/>
                    <w:keepLines w:val="0"/>
                    <w:pageBreakBefore w:val="0"/>
                    <w:widowControl/>
                    <w:kinsoku/>
                    <w:wordWrap/>
                    <w:overflowPunct/>
                    <w:topLinePunct w:val="0"/>
                    <w:autoSpaceDE/>
                    <w:autoSpaceDN/>
                    <w:bidi w:val="0"/>
                    <w:adjustRightInd/>
                    <w:snapToGrid/>
                    <w:spacing w:before="66" w:after="0" w:afterLines="0" w:line="240" w:lineRule="auto"/>
                    <w:jc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spacing w:val="-3"/>
                      <w:sz w:val="21"/>
                      <w:szCs w:val="21"/>
                      <w:highlight w:val="none"/>
                    </w:rPr>
                    <w:t>地磅设备</w:t>
                  </w:r>
                </w:p>
              </w:tc>
              <w:tc>
                <w:tcPr>
                  <w:tcW w:w="3210" w:type="dxa"/>
                  <w:tcBorders>
                    <w:bottom w:val="single" w:color="000000" w:sz="12" w:space="0"/>
                  </w:tcBorders>
                  <w:noWrap w:val="0"/>
                  <w:vAlign w:val="center"/>
                </w:tcPr>
                <w:p w14:paraId="6B375773">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685" w:type="dxa"/>
                  <w:tcBorders>
                    <w:bottom w:val="single" w:color="000000" w:sz="12" w:space="0"/>
                  </w:tcBorders>
                  <w:noWrap w:val="0"/>
                  <w:vAlign w:val="center"/>
                </w:tcPr>
                <w:p w14:paraId="25567381">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套</w:t>
                  </w:r>
                </w:p>
              </w:tc>
              <w:tc>
                <w:tcPr>
                  <w:tcW w:w="638" w:type="dxa"/>
                  <w:tcBorders>
                    <w:bottom w:val="single" w:color="000000" w:sz="12" w:space="0"/>
                  </w:tcBorders>
                  <w:noWrap w:val="0"/>
                  <w:vAlign w:val="center"/>
                </w:tcPr>
                <w:p w14:paraId="65370A33">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1213" w:type="dxa"/>
                  <w:tcBorders>
                    <w:bottom w:val="single" w:color="000000" w:sz="12" w:space="0"/>
                    <w:right w:val="nil"/>
                  </w:tcBorders>
                  <w:noWrap w:val="0"/>
                  <w:vAlign w:val="center"/>
                </w:tcPr>
                <w:p w14:paraId="5F56C2AA">
                  <w:pPr>
                    <w:keepNext w:val="0"/>
                    <w:keepLines w:val="0"/>
                    <w:pageBreakBefore w:val="0"/>
                    <w:widowControl/>
                    <w:suppressLineNumbers w:val="0"/>
                    <w:kinsoku/>
                    <w:wordWrap/>
                    <w:overflowPunct/>
                    <w:topLinePunct w:val="0"/>
                    <w:autoSpaceDE/>
                    <w:autoSpaceDN/>
                    <w:bidi w:val="0"/>
                    <w:adjustRightInd/>
                    <w:snapToGrid/>
                    <w:spacing w:after="0" w:afterLines="0"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r>
          </w:tbl>
          <w:p w14:paraId="3F2BE634">
            <w:pPr>
              <w:keepNext w:val="0"/>
              <w:keepLines w:val="0"/>
              <w:pageBreakBefore w:val="0"/>
              <w:numPr>
                <w:ilvl w:val="0"/>
                <w:numId w:val="0"/>
              </w:numPr>
              <w:kinsoku/>
              <w:overflowPunct/>
              <w:topLinePunct w:val="0"/>
              <w:bidi w:val="0"/>
              <w:adjustRightInd w:val="0"/>
              <w:snapToGrid w:val="0"/>
              <w:spacing w:beforeAutospacing="0" w:afterAutospacing="0" w:line="360" w:lineRule="auto"/>
              <w:ind w:left="0" w:leftChars="0" w:right="0"/>
              <w:rPr>
                <w:rFonts w:hint="default" w:ascii="Times New Roman" w:hAnsi="Times New Roman" w:eastAsia="宋体" w:cs="Times New Roman"/>
                <w:b/>
                <w:bCs w:val="0"/>
                <w:color w:val="auto"/>
                <w:spacing w:val="0"/>
                <w:w w:val="100"/>
                <w:position w:val="0"/>
                <w:sz w:val="24"/>
                <w:highlight w:val="none"/>
              </w:rPr>
            </w:pPr>
            <w:r>
              <w:rPr>
                <w:rFonts w:hint="default" w:ascii="Times New Roman" w:hAnsi="Times New Roman" w:eastAsia="宋体" w:cs="Times New Roman"/>
                <w:b/>
                <w:bCs w:val="0"/>
                <w:color w:val="auto"/>
                <w:spacing w:val="0"/>
                <w:w w:val="100"/>
                <w:position w:val="0"/>
                <w:sz w:val="24"/>
                <w:highlight w:val="none"/>
                <w:lang w:val="en-US" w:eastAsia="zh-CN"/>
              </w:rPr>
              <w:t>3.</w:t>
            </w:r>
            <w:r>
              <w:rPr>
                <w:rFonts w:hint="default" w:ascii="Times New Roman" w:hAnsi="Times New Roman" w:eastAsia="宋体" w:cs="Times New Roman"/>
                <w:b/>
                <w:bCs w:val="0"/>
                <w:color w:val="auto"/>
                <w:spacing w:val="0"/>
                <w:w w:val="100"/>
                <w:position w:val="0"/>
                <w:sz w:val="24"/>
                <w:highlight w:val="none"/>
              </w:rPr>
              <w:t>劳动定员及工作制度</w:t>
            </w:r>
          </w:p>
          <w:p w14:paraId="06E6069D">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right="0" w:firstLine="480" w:firstLineChars="200"/>
              <w:jc w:val="left"/>
              <w:textAlignment w:val="auto"/>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rPr>
              <w:t>本项目劳动定员为</w:t>
            </w:r>
            <w:r>
              <w:rPr>
                <w:rFonts w:hint="default" w:ascii="Times New Roman" w:hAnsi="Times New Roman" w:eastAsia="宋体" w:cs="Times New Roman"/>
                <w:color w:val="auto"/>
                <w:spacing w:val="0"/>
                <w:w w:val="100"/>
                <w:position w:val="0"/>
                <w:sz w:val="24"/>
                <w:szCs w:val="24"/>
                <w:highlight w:val="none"/>
                <w:lang w:val="en-US" w:eastAsia="zh-CN"/>
              </w:rPr>
              <w:t>20</w:t>
            </w:r>
            <w:r>
              <w:rPr>
                <w:rFonts w:hint="default" w:ascii="Times New Roman" w:hAnsi="Times New Roman" w:eastAsia="宋体" w:cs="Times New Roman"/>
                <w:color w:val="auto"/>
                <w:spacing w:val="0"/>
                <w:w w:val="100"/>
                <w:position w:val="0"/>
                <w:sz w:val="24"/>
                <w:szCs w:val="24"/>
                <w:highlight w:val="none"/>
              </w:rPr>
              <w:t>人，生产时间为每年的</w:t>
            </w:r>
            <w:r>
              <w:rPr>
                <w:rFonts w:hint="default" w:ascii="Times New Roman" w:hAnsi="Times New Roman" w:eastAsia="宋体" w:cs="Times New Roman"/>
                <w:color w:val="auto"/>
                <w:spacing w:val="0"/>
                <w:w w:val="100"/>
                <w:position w:val="0"/>
                <w:sz w:val="24"/>
                <w:szCs w:val="24"/>
                <w:highlight w:val="none"/>
                <w:lang w:val="en-US" w:eastAsia="zh-CN"/>
              </w:rPr>
              <w:t>4</w:t>
            </w:r>
            <w:r>
              <w:rPr>
                <w:rFonts w:hint="default" w:ascii="Times New Roman" w:hAnsi="Times New Roman" w:eastAsia="宋体" w:cs="Times New Roman"/>
                <w:color w:val="auto"/>
                <w:spacing w:val="0"/>
                <w:w w:val="100"/>
                <w:position w:val="0"/>
                <w:sz w:val="24"/>
                <w:szCs w:val="24"/>
                <w:highlight w:val="none"/>
              </w:rPr>
              <w:t>～10月份。年生产2</w:t>
            </w:r>
            <w:r>
              <w:rPr>
                <w:rFonts w:hint="default" w:ascii="Times New Roman" w:hAnsi="Times New Roman" w:eastAsia="宋体" w:cs="Times New Roman"/>
                <w:color w:val="auto"/>
                <w:spacing w:val="0"/>
                <w:w w:val="100"/>
                <w:position w:val="0"/>
                <w:sz w:val="24"/>
                <w:szCs w:val="24"/>
                <w:highlight w:val="none"/>
                <w:lang w:val="en-US" w:eastAsia="zh-CN"/>
              </w:rPr>
              <w:t>1</w:t>
            </w:r>
            <w:r>
              <w:rPr>
                <w:rFonts w:hint="default" w:ascii="Times New Roman" w:hAnsi="Times New Roman" w:eastAsia="宋体" w:cs="Times New Roman"/>
                <w:color w:val="auto"/>
                <w:spacing w:val="0"/>
                <w:w w:val="100"/>
                <w:position w:val="0"/>
                <w:sz w:val="24"/>
                <w:szCs w:val="24"/>
                <w:highlight w:val="none"/>
              </w:rPr>
              <w:t>0天，每天</w:t>
            </w:r>
            <w:r>
              <w:rPr>
                <w:rFonts w:hint="default" w:ascii="Times New Roman" w:hAnsi="Times New Roman" w:eastAsia="宋体" w:cs="Times New Roman"/>
                <w:color w:val="auto"/>
                <w:spacing w:val="0"/>
                <w:w w:val="100"/>
                <w:position w:val="0"/>
                <w:sz w:val="24"/>
                <w:szCs w:val="24"/>
                <w:highlight w:val="none"/>
                <w:lang w:val="en-US" w:eastAsia="zh-CN"/>
              </w:rPr>
              <w:t>2</w:t>
            </w:r>
            <w:r>
              <w:rPr>
                <w:rFonts w:hint="default" w:ascii="Times New Roman" w:hAnsi="Times New Roman" w:eastAsia="宋体" w:cs="Times New Roman"/>
                <w:color w:val="auto"/>
                <w:spacing w:val="0"/>
                <w:w w:val="100"/>
                <w:position w:val="0"/>
                <w:sz w:val="24"/>
                <w:szCs w:val="24"/>
                <w:highlight w:val="none"/>
              </w:rPr>
              <w:t>班，每班工作8小时，</w:t>
            </w:r>
            <w:r>
              <w:rPr>
                <w:rFonts w:hint="default" w:ascii="Times New Roman" w:hAnsi="Times New Roman" w:eastAsia="宋体" w:cs="Times New Roman"/>
                <w:color w:val="auto"/>
                <w:spacing w:val="0"/>
                <w:w w:val="100"/>
                <w:position w:val="0"/>
                <w:sz w:val="24"/>
                <w:szCs w:val="24"/>
                <w:highlight w:val="none"/>
                <w:lang w:val="en-US" w:eastAsia="zh-CN"/>
              </w:rPr>
              <w:t>年工作3360</w:t>
            </w:r>
            <w:r>
              <w:rPr>
                <w:rFonts w:hint="default" w:ascii="Times New Roman" w:hAnsi="Times New Roman" w:eastAsia="宋体" w:cs="Times New Roman"/>
                <w:color w:val="auto"/>
                <w:spacing w:val="0"/>
                <w:w w:val="100"/>
                <w:position w:val="0"/>
                <w:sz w:val="24"/>
                <w:szCs w:val="24"/>
                <w:highlight w:val="none"/>
              </w:rPr>
              <w:t>小时。</w:t>
            </w:r>
          </w:p>
          <w:p w14:paraId="7CE8245F">
            <w:pPr>
              <w:keepNext w:val="0"/>
              <w:keepLines w:val="0"/>
              <w:pageBreakBefore w:val="0"/>
              <w:numPr>
                <w:ilvl w:val="0"/>
                <w:numId w:val="0"/>
              </w:numPr>
              <w:kinsoku/>
              <w:overflowPunct/>
              <w:topLinePunct w:val="0"/>
              <w:bidi w:val="0"/>
              <w:adjustRightInd w:val="0"/>
              <w:snapToGrid w:val="0"/>
              <w:spacing w:beforeAutospacing="0" w:afterAutospacing="0" w:line="360" w:lineRule="auto"/>
              <w:ind w:left="0" w:leftChars="0" w:right="0"/>
              <w:rPr>
                <w:rFonts w:hint="default" w:ascii="Times New Roman" w:hAnsi="Times New Roman" w:eastAsia="宋体" w:cs="Times New Roman"/>
                <w:b/>
                <w:bCs w:val="0"/>
                <w:color w:val="auto"/>
                <w:spacing w:val="0"/>
                <w:w w:val="100"/>
                <w:position w:val="0"/>
                <w:sz w:val="24"/>
                <w:highlight w:val="none"/>
                <w:lang w:val="en-US" w:eastAsia="zh-CN"/>
              </w:rPr>
            </w:pPr>
            <w:r>
              <w:rPr>
                <w:rFonts w:hint="default" w:ascii="Times New Roman" w:hAnsi="Times New Roman" w:eastAsia="宋体" w:cs="Times New Roman"/>
                <w:b/>
                <w:bCs w:val="0"/>
                <w:color w:val="auto"/>
                <w:spacing w:val="0"/>
                <w:w w:val="100"/>
                <w:position w:val="0"/>
                <w:sz w:val="24"/>
                <w:highlight w:val="none"/>
                <w:lang w:val="en-US" w:eastAsia="zh-CN"/>
              </w:rPr>
              <w:t>4.开采方案</w:t>
            </w:r>
          </w:p>
          <w:p w14:paraId="110D0CA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right="0" w:firstLine="480" w:firstLineChars="200"/>
              <w:jc w:val="left"/>
              <w:textAlignment w:val="auto"/>
              <w:rPr>
                <w:rFonts w:hint="default" w:ascii="Times New Roman" w:hAnsi="Times New Roman" w:eastAsia="宋体" w:cs="Times New Roman"/>
                <w:color w:val="auto"/>
                <w:spacing w:val="0"/>
                <w:w w:val="100"/>
                <w:position w:val="0"/>
                <w:sz w:val="24"/>
                <w:szCs w:val="24"/>
                <w:highlight w:val="none"/>
                <w:lang w:val="en-US" w:eastAsia="zh-CN"/>
              </w:rPr>
            </w:pPr>
            <w:r>
              <w:rPr>
                <w:rFonts w:hint="eastAsia" w:ascii="Times New Roman" w:hAnsi="Times New Roman" w:eastAsia="宋体" w:cs="Times New Roman"/>
                <w:color w:val="auto"/>
                <w:spacing w:val="0"/>
                <w:w w:val="100"/>
                <w:position w:val="0"/>
                <w:sz w:val="24"/>
                <w:szCs w:val="24"/>
                <w:highlight w:val="none"/>
                <w:lang w:val="en-US" w:eastAsia="zh-CN"/>
              </w:rPr>
              <w:t>本项目开采方案已编制完成，于2026年5月20日进行专家评审，于6月1日通过审批。本项目生态修复方案也已编制完成，于2026年6月12日进行专家评审并通过审批。</w:t>
            </w:r>
          </w:p>
          <w:p w14:paraId="639CB5E1">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right="0" w:firstLine="480" w:firstLineChars="200"/>
              <w:jc w:val="left"/>
              <w:textAlignment w:val="auto"/>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w w:val="100"/>
                <w:position w:val="0"/>
                <w:sz w:val="24"/>
                <w:szCs w:val="24"/>
                <w:highlight w:val="none"/>
                <w:lang w:eastAsia="zh-CN"/>
              </w:rPr>
              <w:t>（</w:t>
            </w:r>
            <w:r>
              <w:rPr>
                <w:rFonts w:hint="default" w:ascii="Times New Roman" w:hAnsi="Times New Roman" w:eastAsia="宋体" w:cs="Times New Roman"/>
                <w:color w:val="auto"/>
                <w:spacing w:val="0"/>
                <w:w w:val="100"/>
                <w:position w:val="0"/>
                <w:sz w:val="24"/>
                <w:szCs w:val="24"/>
                <w:highlight w:val="none"/>
                <w:lang w:val="en-US" w:eastAsia="zh-CN"/>
              </w:rPr>
              <w:t>1</w:t>
            </w:r>
            <w:r>
              <w:rPr>
                <w:rFonts w:hint="default" w:ascii="Times New Roman" w:hAnsi="Times New Roman" w:eastAsia="宋体" w:cs="Times New Roman"/>
                <w:color w:val="auto"/>
                <w:spacing w:val="0"/>
                <w:w w:val="100"/>
                <w:position w:val="0"/>
                <w:sz w:val="24"/>
                <w:szCs w:val="24"/>
                <w:highlight w:val="none"/>
                <w:lang w:eastAsia="zh-CN"/>
              </w:rPr>
              <w:t>）</w:t>
            </w:r>
            <w:r>
              <w:rPr>
                <w:rFonts w:hint="default" w:ascii="Times New Roman" w:hAnsi="Times New Roman" w:eastAsia="宋体" w:cs="Times New Roman"/>
                <w:color w:val="auto"/>
                <w:spacing w:val="0"/>
                <w:w w:val="100"/>
                <w:position w:val="0"/>
                <w:sz w:val="24"/>
                <w:szCs w:val="24"/>
                <w:highlight w:val="none"/>
                <w:lang w:val="en-US" w:eastAsia="zh-CN"/>
              </w:rPr>
              <w:t>开采方式</w:t>
            </w:r>
          </w:p>
          <w:p w14:paraId="4F80EFED">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right="0" w:firstLine="480" w:firstLineChars="200"/>
              <w:jc w:val="left"/>
              <w:textAlignment w:val="auto"/>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rPr>
              <w:t>依据新疆中地科勘查测绘院有限公司2025年1</w:t>
            </w:r>
            <w:r>
              <w:rPr>
                <w:rFonts w:hint="default" w:ascii="Times New Roman" w:hAnsi="Times New Roman" w:eastAsia="宋体" w:cs="Times New Roman"/>
                <w:color w:val="auto"/>
                <w:spacing w:val="0"/>
                <w:w w:val="100"/>
                <w:position w:val="0"/>
                <w:sz w:val="24"/>
                <w:szCs w:val="24"/>
                <w:highlight w:val="none"/>
                <w:lang w:val="en-US" w:eastAsia="zh-CN"/>
              </w:rPr>
              <w:t>2</w:t>
            </w:r>
            <w:r>
              <w:rPr>
                <w:rFonts w:hint="default" w:ascii="Times New Roman" w:hAnsi="Times New Roman" w:eastAsia="宋体" w:cs="Times New Roman"/>
                <w:color w:val="auto"/>
                <w:spacing w:val="0"/>
                <w:w w:val="100"/>
                <w:position w:val="0"/>
                <w:sz w:val="24"/>
                <w:szCs w:val="24"/>
                <w:highlight w:val="none"/>
              </w:rPr>
              <w:t>月编制提交的《</w:t>
            </w:r>
            <w:r>
              <w:rPr>
                <w:rFonts w:hint="default" w:ascii="Times New Roman" w:hAnsi="Times New Roman" w:eastAsia="宋体" w:cs="Times New Roman"/>
                <w:color w:val="auto"/>
                <w:spacing w:val="0"/>
                <w:w w:val="100"/>
                <w:position w:val="0"/>
                <w:sz w:val="24"/>
                <w:szCs w:val="24"/>
                <w:highlight w:val="none"/>
                <w:lang w:eastAsia="zh-CN"/>
              </w:rPr>
              <w:t>新疆吉木萨尔县庆阳湖乡1号</w:t>
            </w:r>
            <w:r>
              <w:rPr>
                <w:rFonts w:hint="default" w:ascii="Times New Roman" w:hAnsi="Times New Roman" w:eastAsia="宋体" w:cs="Times New Roman"/>
                <w:color w:val="auto"/>
                <w:spacing w:val="0"/>
                <w:w w:val="100"/>
                <w:position w:val="0"/>
                <w:sz w:val="24"/>
                <w:szCs w:val="24"/>
                <w:highlight w:val="none"/>
              </w:rPr>
              <w:t>建筑用砂矿普查报告》，矿区范围内开采矿种为建筑用砂矿；矿体赋存第四系全新统洪积层（Q4</w:t>
            </w:r>
            <w:r>
              <w:rPr>
                <w:rFonts w:hint="default" w:ascii="Times New Roman" w:hAnsi="Times New Roman" w:eastAsia="宋体" w:cs="Times New Roman"/>
                <w:color w:val="auto"/>
                <w:spacing w:val="0"/>
                <w:w w:val="100"/>
                <w:position w:val="0"/>
                <w:sz w:val="24"/>
                <w:szCs w:val="24"/>
                <w:highlight w:val="none"/>
                <w:vertAlign w:val="superscript"/>
              </w:rPr>
              <w:t>pal</w:t>
            </w:r>
            <w:r>
              <w:rPr>
                <w:rFonts w:hint="default" w:ascii="Times New Roman" w:hAnsi="Times New Roman" w:eastAsia="宋体" w:cs="Times New Roman"/>
                <w:color w:val="auto"/>
                <w:spacing w:val="0"/>
                <w:w w:val="100"/>
                <w:position w:val="0"/>
                <w:sz w:val="24"/>
                <w:szCs w:val="24"/>
                <w:highlight w:val="none"/>
              </w:rPr>
              <w:t>）之中。矿体分布于整个矿区，呈近水平产出，北</w:t>
            </w:r>
            <w:r>
              <w:rPr>
                <w:rFonts w:hint="default" w:ascii="Times New Roman" w:hAnsi="Times New Roman" w:eastAsia="宋体" w:cs="Times New Roman"/>
                <w:color w:val="auto"/>
                <w:spacing w:val="0"/>
                <w:w w:val="100"/>
                <w:position w:val="0"/>
                <w:sz w:val="24"/>
                <w:szCs w:val="24"/>
                <w:highlight w:val="none"/>
                <w:lang w:val="en-US" w:eastAsia="zh-CN"/>
              </w:rPr>
              <w:t>西南东</w:t>
            </w:r>
            <w:r>
              <w:rPr>
                <w:rFonts w:hint="default" w:ascii="Times New Roman" w:hAnsi="Times New Roman" w:eastAsia="宋体" w:cs="Times New Roman"/>
                <w:color w:val="auto"/>
                <w:spacing w:val="0"/>
                <w:w w:val="100"/>
                <w:position w:val="0"/>
                <w:sz w:val="24"/>
                <w:szCs w:val="24"/>
                <w:highlight w:val="none"/>
              </w:rPr>
              <w:t>方向长约</w:t>
            </w:r>
            <w:r>
              <w:rPr>
                <w:rFonts w:hint="default" w:ascii="Times New Roman" w:hAnsi="Times New Roman" w:eastAsia="宋体" w:cs="Times New Roman"/>
                <w:color w:val="auto"/>
                <w:spacing w:val="0"/>
                <w:w w:val="100"/>
                <w:position w:val="0"/>
                <w:sz w:val="24"/>
                <w:szCs w:val="24"/>
                <w:highlight w:val="none"/>
                <w:lang w:val="en-US" w:eastAsia="zh-CN"/>
              </w:rPr>
              <w:t>1047</w:t>
            </w:r>
            <w:r>
              <w:rPr>
                <w:rFonts w:hint="default" w:ascii="Times New Roman" w:hAnsi="Times New Roman" w:eastAsia="宋体" w:cs="Times New Roman"/>
                <w:color w:val="auto"/>
                <w:spacing w:val="0"/>
                <w:w w:val="100"/>
                <w:position w:val="0"/>
                <w:sz w:val="24"/>
                <w:szCs w:val="24"/>
                <w:highlight w:val="none"/>
              </w:rPr>
              <w:t>米，</w:t>
            </w:r>
            <w:r>
              <w:rPr>
                <w:rFonts w:hint="default" w:ascii="Times New Roman" w:hAnsi="Times New Roman" w:eastAsia="宋体" w:cs="Times New Roman"/>
                <w:color w:val="auto"/>
                <w:spacing w:val="0"/>
                <w:w w:val="100"/>
                <w:position w:val="0"/>
                <w:sz w:val="24"/>
                <w:szCs w:val="24"/>
                <w:highlight w:val="none"/>
                <w:lang w:val="en-US" w:eastAsia="zh-CN"/>
              </w:rPr>
              <w:t>南</w:t>
            </w:r>
            <w:r>
              <w:rPr>
                <w:rFonts w:hint="default" w:ascii="Times New Roman" w:hAnsi="Times New Roman" w:eastAsia="宋体" w:cs="Times New Roman"/>
                <w:color w:val="auto"/>
                <w:spacing w:val="0"/>
                <w:w w:val="100"/>
                <w:position w:val="0"/>
                <w:sz w:val="24"/>
                <w:szCs w:val="24"/>
                <w:highlight w:val="none"/>
              </w:rPr>
              <w:t>西</w:t>
            </w:r>
            <w:r>
              <w:rPr>
                <w:rFonts w:hint="default" w:ascii="Times New Roman" w:hAnsi="Times New Roman" w:eastAsia="宋体" w:cs="Times New Roman"/>
                <w:color w:val="auto"/>
                <w:spacing w:val="0"/>
                <w:w w:val="100"/>
                <w:position w:val="0"/>
                <w:sz w:val="24"/>
                <w:szCs w:val="24"/>
                <w:highlight w:val="none"/>
                <w:lang w:val="en-US" w:eastAsia="zh-CN"/>
              </w:rPr>
              <w:t>北东</w:t>
            </w:r>
            <w:r>
              <w:rPr>
                <w:rFonts w:hint="default" w:ascii="Times New Roman" w:hAnsi="Times New Roman" w:eastAsia="宋体" w:cs="Times New Roman"/>
                <w:color w:val="auto"/>
                <w:spacing w:val="0"/>
                <w:w w:val="100"/>
                <w:position w:val="0"/>
                <w:sz w:val="24"/>
                <w:szCs w:val="24"/>
                <w:highlight w:val="none"/>
              </w:rPr>
              <w:t>方向宽约</w:t>
            </w:r>
            <w:r>
              <w:rPr>
                <w:rFonts w:hint="default" w:ascii="Times New Roman" w:hAnsi="Times New Roman" w:eastAsia="宋体" w:cs="Times New Roman"/>
                <w:color w:val="auto"/>
                <w:spacing w:val="0"/>
                <w:w w:val="100"/>
                <w:position w:val="0"/>
                <w:sz w:val="24"/>
                <w:szCs w:val="24"/>
                <w:highlight w:val="none"/>
                <w:lang w:val="en-US" w:eastAsia="zh-CN"/>
              </w:rPr>
              <w:t>50</w:t>
            </w:r>
            <w:r>
              <w:rPr>
                <w:rFonts w:hint="default" w:ascii="Times New Roman" w:hAnsi="Times New Roman" w:eastAsia="宋体" w:cs="Times New Roman"/>
                <w:color w:val="auto"/>
                <w:spacing w:val="0"/>
                <w:w w:val="100"/>
                <w:position w:val="0"/>
                <w:sz w:val="24"/>
                <w:szCs w:val="24"/>
                <w:highlight w:val="none"/>
              </w:rPr>
              <w:t>0米，面积0.5</w:t>
            </w:r>
            <w:r>
              <w:rPr>
                <w:rFonts w:hint="default" w:ascii="Times New Roman" w:hAnsi="Times New Roman" w:eastAsia="宋体" w:cs="Times New Roman"/>
                <w:color w:val="auto"/>
                <w:spacing w:val="0"/>
                <w:w w:val="100"/>
                <w:position w:val="0"/>
                <w:sz w:val="24"/>
                <w:szCs w:val="24"/>
                <w:highlight w:val="none"/>
                <w:lang w:val="en-US" w:eastAsia="zh-CN"/>
              </w:rPr>
              <w:t>207</w:t>
            </w:r>
            <w:r>
              <w:rPr>
                <w:rFonts w:hint="default" w:ascii="Times New Roman" w:hAnsi="Times New Roman" w:eastAsia="宋体" w:cs="Times New Roman"/>
                <w:color w:val="auto"/>
                <w:spacing w:val="0"/>
                <w:w w:val="100"/>
                <w:position w:val="0"/>
                <w:sz w:val="24"/>
                <w:szCs w:val="24"/>
                <w:highlight w:val="none"/>
              </w:rPr>
              <w:t>平方千米。矿体分布较大，其自然沉积边界未能控制，地表出露最高标高</w:t>
            </w:r>
            <w:r>
              <w:rPr>
                <w:rFonts w:hint="default" w:ascii="Times New Roman" w:hAnsi="Times New Roman" w:eastAsia="宋体" w:cs="Times New Roman"/>
                <w:color w:val="auto"/>
                <w:spacing w:val="0"/>
                <w:w w:val="100"/>
                <w:position w:val="0"/>
                <w:sz w:val="24"/>
                <w:szCs w:val="24"/>
                <w:highlight w:val="none"/>
                <w:lang w:eastAsia="zh-CN"/>
              </w:rPr>
              <w:t>676</w:t>
            </w:r>
            <w:r>
              <w:rPr>
                <w:rFonts w:hint="default" w:ascii="Times New Roman" w:hAnsi="Times New Roman" w:eastAsia="宋体" w:cs="Times New Roman"/>
                <w:color w:val="auto"/>
                <w:spacing w:val="0"/>
                <w:w w:val="100"/>
                <w:position w:val="0"/>
                <w:sz w:val="24"/>
                <w:szCs w:val="24"/>
                <w:highlight w:val="none"/>
              </w:rPr>
              <w:t>米，最低6</w:t>
            </w:r>
            <w:r>
              <w:rPr>
                <w:rFonts w:hint="default" w:ascii="Times New Roman" w:hAnsi="Times New Roman" w:eastAsia="宋体" w:cs="Times New Roman"/>
                <w:color w:val="auto"/>
                <w:spacing w:val="0"/>
                <w:w w:val="100"/>
                <w:position w:val="0"/>
                <w:sz w:val="24"/>
                <w:szCs w:val="24"/>
                <w:highlight w:val="none"/>
                <w:lang w:val="en-US" w:eastAsia="zh-CN"/>
              </w:rPr>
              <w:t>56</w:t>
            </w:r>
            <w:r>
              <w:rPr>
                <w:rFonts w:hint="default" w:ascii="Times New Roman" w:hAnsi="Times New Roman" w:eastAsia="宋体" w:cs="Times New Roman"/>
                <w:color w:val="auto"/>
                <w:spacing w:val="0"/>
                <w:w w:val="100"/>
                <w:position w:val="0"/>
                <w:sz w:val="24"/>
                <w:szCs w:val="24"/>
                <w:highlight w:val="none"/>
              </w:rPr>
              <w:t>米。</w:t>
            </w:r>
          </w:p>
          <w:p w14:paraId="192E584E">
            <w:pPr>
              <w:keepNext w:val="0"/>
              <w:keepLines w:val="0"/>
              <w:pageBreakBefore w:val="0"/>
              <w:widowControl/>
              <w:suppressLineNumbers w:val="0"/>
              <w:kinsoku/>
              <w:wordWrap/>
              <w:overflowPunct/>
              <w:topLinePunct w:val="0"/>
              <w:autoSpaceDE/>
              <w:autoSpaceDN/>
              <w:bidi w:val="0"/>
              <w:adjustRightInd/>
              <w:snapToGrid/>
              <w:spacing w:beforeAutospacing="0" w:after="0" w:afterLines="0" w:afterAutospacing="0" w:line="360" w:lineRule="auto"/>
              <w:ind w:left="0" w:leftChars="0" w:right="0" w:firstLine="480" w:firstLineChars="200"/>
              <w:jc w:val="left"/>
              <w:textAlignment w:val="auto"/>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rPr>
              <w:t>根据矿体赋存条件，本矿山适合露天开采方式，本次开采方案规划矿山采用凹陷露天开采方式。</w:t>
            </w:r>
          </w:p>
          <w:p w14:paraId="2935A041">
            <w:pPr>
              <w:keepNext w:val="0"/>
              <w:keepLines w:val="0"/>
              <w:pageBreakBefore w:val="0"/>
              <w:widowControl/>
              <w:suppressLineNumbers w:val="0"/>
              <w:kinsoku/>
              <w:wordWrap/>
              <w:overflowPunct/>
              <w:topLinePunct w:val="0"/>
              <w:autoSpaceDE/>
              <w:autoSpaceDN/>
              <w:bidi w:val="0"/>
              <w:adjustRightInd/>
              <w:snapToGrid/>
              <w:spacing w:beforeAutospacing="0" w:after="0" w:afterLines="0" w:afterAutospacing="0" w:line="360" w:lineRule="auto"/>
              <w:ind w:left="0" w:leftChars="0" w:right="0" w:firstLine="480" w:firstLineChars="200"/>
              <w:jc w:val="left"/>
              <w:textAlignment w:val="auto"/>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rPr>
              <w:t>矿山应在开采全周期（开采前、开采中、开采后）采取预防控制措施，减少地质环境破坏和土地、植被损毁；开采前严格按要求编制开采方案，明确开采范围和边坡参数，合理确定台阶高度、坡面角，降低边坡失稳和水土流失风险；尽可能利用采场原有地形，减少削坡和填方工程量；开采过程中遵循“边开采、边治理”原则，定期监测的方式预防水土流失和地质灾害；开采后严格按照生态保护修复方案对矿山进行生态修复。</w:t>
            </w:r>
          </w:p>
          <w:p w14:paraId="2FD1FF7B">
            <w:pPr>
              <w:keepNext w:val="0"/>
              <w:keepLines w:val="0"/>
              <w:pageBreakBefore w:val="0"/>
              <w:widowControl/>
              <w:suppressLineNumbers w:val="0"/>
              <w:kinsoku/>
              <w:wordWrap/>
              <w:overflowPunct/>
              <w:topLinePunct w:val="0"/>
              <w:autoSpaceDE/>
              <w:autoSpaceDN/>
              <w:bidi w:val="0"/>
              <w:adjustRightInd/>
              <w:snapToGrid/>
              <w:spacing w:beforeAutospacing="0" w:after="0" w:afterLines="0" w:afterAutospacing="0" w:line="360" w:lineRule="auto"/>
              <w:ind w:left="0" w:leftChars="0" w:right="0" w:firstLine="480" w:firstLineChars="200"/>
              <w:jc w:val="left"/>
              <w:textAlignment w:val="auto"/>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lang w:val="en-US" w:eastAsia="zh-CN"/>
              </w:rPr>
              <w:t>严格遵循矿山“、边治理、边恢复”绿色开采要求，改变传统全采完再回填修复的滞后模式，实行分区开采、采完即填、填即复绿、逐区接续的动态作业模式。首采区开采作业完成后，立即利用本区及当期开采产生的废石、剥离土石方进行原位回填处置，同步完成场地平整、边坡治理、临时覆绿，再启动下一采区接续开采，从源头减少外排固废量、降低裸地暴露时长、杜绝长期露天堆载污染，实现开采、回填、修复无缝衔接，</w:t>
            </w:r>
          </w:p>
          <w:p w14:paraId="6F391639">
            <w:pPr>
              <w:keepNext w:val="0"/>
              <w:keepLines w:val="0"/>
              <w:pageBreakBefore w:val="0"/>
              <w:widowControl/>
              <w:suppressLineNumbers w:val="0"/>
              <w:kinsoku/>
              <w:wordWrap/>
              <w:overflowPunct/>
              <w:topLinePunct w:val="0"/>
              <w:autoSpaceDE/>
              <w:autoSpaceDN/>
              <w:bidi w:val="0"/>
              <w:adjustRightInd/>
              <w:snapToGrid/>
              <w:spacing w:beforeAutospacing="0" w:after="0" w:afterLines="0" w:afterAutospacing="0" w:line="360" w:lineRule="auto"/>
              <w:ind w:left="0" w:leftChars="0" w:right="0" w:firstLine="480" w:firstLineChars="200"/>
              <w:jc w:val="left"/>
              <w:textAlignment w:val="auto"/>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w w:val="100"/>
                <w:position w:val="0"/>
                <w:sz w:val="24"/>
                <w:szCs w:val="24"/>
                <w:highlight w:val="none"/>
                <w:lang w:val="en-US" w:eastAsia="zh-CN"/>
              </w:rPr>
              <w:t>项目采用分区分段阶梯式开采施工时序，整体遵循“首采区掘进开采→废石原位留存统筹→首采区采终验收→废石分层回填压实→场地整形与边坡防护→临时生态恢复→转入下一采区接续开采”的闭环工序，杜绝采区空置裸露、废石场外长期堆存。</w:t>
            </w:r>
          </w:p>
          <w:p w14:paraId="40025579">
            <w:pPr>
              <w:keepNext w:val="0"/>
              <w:keepLines w:val="0"/>
              <w:pageBreakBefore w:val="0"/>
              <w:widowControl/>
              <w:suppressLineNumbers w:val="0"/>
              <w:kinsoku/>
              <w:wordWrap/>
              <w:overflowPunct/>
              <w:topLinePunct w:val="0"/>
              <w:autoSpaceDE/>
              <w:autoSpaceDN/>
              <w:bidi w:val="0"/>
              <w:adjustRightInd/>
              <w:snapToGrid/>
              <w:spacing w:beforeAutospacing="0" w:after="0" w:afterLines="0" w:afterAutospacing="0" w:line="360" w:lineRule="auto"/>
              <w:ind w:left="0" w:leftChars="0" w:right="0" w:firstLine="480" w:firstLineChars="200"/>
              <w:jc w:val="left"/>
              <w:textAlignment w:val="auto"/>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w w:val="100"/>
                <w:position w:val="0"/>
                <w:sz w:val="24"/>
                <w:szCs w:val="24"/>
                <w:highlight w:val="none"/>
                <w:lang w:val="en-US" w:eastAsia="zh-CN"/>
              </w:rPr>
              <w:t>首采区开采阶段：严格按照开采设计标高、边坡参数开展剥离、掘进作业，开采产生的废石、剥离土石方不对外转运、不长期堆存于排土场，实行区内临时规整堆存，堆存区域设置临时截排水、防尘覆盖、临时挡护设施，做好水土保持与扬尘管控。</w:t>
            </w:r>
          </w:p>
          <w:p w14:paraId="0AB64E1B">
            <w:pPr>
              <w:keepNext w:val="0"/>
              <w:keepLines w:val="0"/>
              <w:pageBreakBefore w:val="0"/>
              <w:widowControl/>
              <w:suppressLineNumbers w:val="0"/>
              <w:kinsoku/>
              <w:wordWrap/>
              <w:overflowPunct/>
              <w:topLinePunct w:val="0"/>
              <w:autoSpaceDE/>
              <w:autoSpaceDN/>
              <w:bidi w:val="0"/>
              <w:adjustRightInd/>
              <w:snapToGrid/>
              <w:spacing w:beforeAutospacing="0" w:after="0" w:afterLines="0" w:afterAutospacing="0" w:line="360" w:lineRule="auto"/>
              <w:ind w:left="0" w:leftChars="0" w:right="0" w:firstLine="480" w:firstLineChars="200"/>
              <w:jc w:val="left"/>
              <w:textAlignment w:val="auto"/>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w w:val="100"/>
                <w:position w:val="0"/>
                <w:sz w:val="24"/>
                <w:szCs w:val="24"/>
                <w:highlight w:val="none"/>
                <w:lang w:val="en-US" w:eastAsia="zh-CN"/>
              </w:rPr>
              <w:t>首采区闭环回填阶段：首采区开采工作面收尾、开采边界成型后，立即停止本区开采作业，启动废石回填工程。利用当期开采产生的全部无害废石、剥离土石料对首采区采坑、采空区域进行分层回填、分级压实，逐层控制回填厚度、压实度，同步修整边坡坡度，消除危岩、松动土体，保障基底及边坡稳定性。</w:t>
            </w:r>
          </w:p>
          <w:p w14:paraId="16E92484">
            <w:pPr>
              <w:keepNext w:val="0"/>
              <w:keepLines w:val="0"/>
              <w:pageBreakBefore w:val="0"/>
              <w:widowControl/>
              <w:suppressLineNumbers w:val="0"/>
              <w:kinsoku/>
              <w:wordWrap/>
              <w:overflowPunct/>
              <w:topLinePunct w:val="0"/>
              <w:autoSpaceDE/>
              <w:autoSpaceDN/>
              <w:bidi w:val="0"/>
              <w:adjustRightInd/>
              <w:snapToGrid/>
              <w:spacing w:beforeAutospacing="0" w:after="0" w:afterLines="0" w:afterAutospacing="0" w:line="360" w:lineRule="auto"/>
              <w:ind w:left="0" w:leftChars="0" w:right="0" w:firstLine="480" w:firstLineChars="200"/>
              <w:jc w:val="left"/>
              <w:textAlignment w:val="auto"/>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w w:val="100"/>
                <w:position w:val="0"/>
                <w:sz w:val="24"/>
                <w:szCs w:val="24"/>
                <w:highlight w:val="none"/>
                <w:lang w:val="en-US" w:eastAsia="zh-CN"/>
              </w:rPr>
              <w:t>整形修复阶段：首采区回填压实完成后，立即开展场地平整、边坡削坡、排水沟修缮等工程治理，同步铺设覆土、播撒乡土草籽、布设临时生态防护措施，完成阶段性生态恢复，避免裸地长期暴露。</w:t>
            </w:r>
          </w:p>
          <w:p w14:paraId="62DD8FE2">
            <w:pPr>
              <w:keepNext w:val="0"/>
              <w:keepLines w:val="0"/>
              <w:pageBreakBefore w:val="0"/>
              <w:widowControl/>
              <w:suppressLineNumbers w:val="0"/>
              <w:kinsoku/>
              <w:wordWrap/>
              <w:overflowPunct/>
              <w:topLinePunct w:val="0"/>
              <w:autoSpaceDE/>
              <w:autoSpaceDN/>
              <w:bidi w:val="0"/>
              <w:adjustRightInd/>
              <w:snapToGrid/>
              <w:spacing w:beforeAutospacing="0" w:after="0" w:afterLines="0" w:afterAutospacing="0" w:line="360" w:lineRule="auto"/>
              <w:ind w:left="0" w:leftChars="0" w:right="0" w:firstLine="480" w:firstLineChars="200"/>
              <w:jc w:val="left"/>
              <w:textAlignment w:val="auto"/>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w w:val="100"/>
                <w:position w:val="0"/>
                <w:sz w:val="24"/>
                <w:szCs w:val="24"/>
                <w:highlight w:val="none"/>
                <w:lang w:val="en-US" w:eastAsia="zh-CN"/>
              </w:rPr>
              <w:t>接续开采阶段：首采区回填、整形、临时覆绿、水保措施验收合格后，正式切换工作面，启动相邻下一采区接续开采，重复“开采—临时堆存—回填—修复”循环模式，实现全矿区间动态绿色开采。</w:t>
            </w:r>
          </w:p>
          <w:p w14:paraId="1DD2E0D1">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right="0" w:firstLine="480" w:firstLineChars="200"/>
              <w:jc w:val="left"/>
              <w:textAlignment w:val="auto"/>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w w:val="100"/>
                <w:position w:val="0"/>
                <w:sz w:val="24"/>
                <w:szCs w:val="24"/>
                <w:highlight w:val="none"/>
                <w:lang w:eastAsia="zh-CN"/>
              </w:rPr>
              <w:t>（</w:t>
            </w:r>
            <w:r>
              <w:rPr>
                <w:rFonts w:hint="default" w:ascii="Times New Roman" w:hAnsi="Times New Roman" w:eastAsia="宋体" w:cs="Times New Roman"/>
                <w:color w:val="auto"/>
                <w:spacing w:val="0"/>
                <w:w w:val="100"/>
                <w:position w:val="0"/>
                <w:sz w:val="24"/>
                <w:szCs w:val="24"/>
                <w:highlight w:val="none"/>
                <w:lang w:val="en-US" w:eastAsia="zh-CN"/>
              </w:rPr>
              <w:t>2</w:t>
            </w:r>
            <w:r>
              <w:rPr>
                <w:rFonts w:hint="default" w:ascii="Times New Roman" w:hAnsi="Times New Roman" w:eastAsia="宋体" w:cs="Times New Roman"/>
                <w:color w:val="auto"/>
                <w:spacing w:val="0"/>
                <w:w w:val="100"/>
                <w:position w:val="0"/>
                <w:sz w:val="24"/>
                <w:szCs w:val="24"/>
                <w:highlight w:val="none"/>
                <w:lang w:eastAsia="zh-CN"/>
              </w:rPr>
              <w:t>）</w:t>
            </w:r>
            <w:r>
              <w:rPr>
                <w:rFonts w:hint="default" w:ascii="Times New Roman" w:hAnsi="Times New Roman" w:eastAsia="宋体" w:cs="Times New Roman"/>
                <w:color w:val="auto"/>
                <w:spacing w:val="0"/>
                <w:w w:val="100"/>
                <w:position w:val="0"/>
                <w:sz w:val="24"/>
                <w:szCs w:val="24"/>
                <w:highlight w:val="none"/>
                <w:lang w:val="en-US" w:eastAsia="zh-CN"/>
              </w:rPr>
              <w:t>开采顺序</w:t>
            </w:r>
          </w:p>
          <w:p w14:paraId="2D64955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right="0" w:firstLine="480" w:firstLineChars="200"/>
              <w:jc w:val="left"/>
              <w:textAlignment w:val="auto"/>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rPr>
              <w:t>结合规划开采区域矿体赋存条件，区内仅分布1处建筑用砂矿体。依据建设单位提交的开采方案，矿山采用由西向东、自上而下水平分层台阶式开采顺序。矿山第一年（2026年8月—10月）为基建期；开采区地形呈西高东低态势，第二年（2027年4月—10月）自西向东开展开采作业，平整开采区东西地势形成首采区。首采区开采面积52.06公顷，开采标高下降1.3m；后续每年向下开采1.3m，直至开采标高降至656m时终止开采。</w:t>
            </w:r>
          </w:p>
          <w:p w14:paraId="4A919E75">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right="0" w:firstLine="480" w:firstLineChars="200"/>
              <w:jc w:val="left"/>
              <w:textAlignment w:val="auto"/>
              <w:rPr>
                <w:rFonts w:hint="default" w:ascii="Times New Roman" w:hAnsi="Times New Roman" w:eastAsia="宋体" w:cs="Times New Roman"/>
                <w:color w:val="auto"/>
                <w:spacing w:val="0"/>
                <w:w w:val="100"/>
                <w:position w:val="0"/>
                <w:sz w:val="24"/>
                <w:szCs w:val="24"/>
                <w:highlight w:val="none"/>
                <w:lang w:val="en-US" w:eastAsia="zh-CN"/>
              </w:rPr>
            </w:pPr>
            <w:r>
              <w:rPr>
                <w:rFonts w:hint="eastAsia" w:ascii="Times New Roman" w:hAnsi="Times New Roman" w:eastAsia="宋体" w:cs="Times New Roman"/>
                <w:color w:val="auto"/>
                <w:spacing w:val="0"/>
                <w:w w:val="100"/>
                <w:position w:val="0"/>
                <w:sz w:val="24"/>
                <w:szCs w:val="24"/>
                <w:highlight w:val="none"/>
                <w:lang w:eastAsia="zh-CN"/>
              </w:rPr>
              <w:t>（</w:t>
            </w:r>
            <w:r>
              <w:rPr>
                <w:rFonts w:hint="eastAsia" w:ascii="Times New Roman" w:hAnsi="Times New Roman" w:eastAsia="宋体" w:cs="Times New Roman"/>
                <w:color w:val="auto"/>
                <w:spacing w:val="0"/>
                <w:w w:val="100"/>
                <w:position w:val="0"/>
                <w:sz w:val="24"/>
                <w:szCs w:val="24"/>
                <w:highlight w:val="none"/>
                <w:lang w:val="en-US" w:eastAsia="zh-CN"/>
              </w:rPr>
              <w:t>3</w:t>
            </w:r>
            <w:r>
              <w:rPr>
                <w:rFonts w:hint="eastAsia" w:ascii="Times New Roman" w:hAnsi="Times New Roman" w:eastAsia="宋体" w:cs="Times New Roman"/>
                <w:color w:val="auto"/>
                <w:spacing w:val="0"/>
                <w:w w:val="100"/>
                <w:position w:val="0"/>
                <w:sz w:val="24"/>
                <w:szCs w:val="24"/>
                <w:highlight w:val="none"/>
                <w:lang w:eastAsia="zh-CN"/>
              </w:rPr>
              <w:t>）</w:t>
            </w:r>
            <w:r>
              <w:rPr>
                <w:rFonts w:hint="eastAsia" w:ascii="Times New Roman" w:hAnsi="Times New Roman" w:eastAsia="宋体" w:cs="Times New Roman"/>
                <w:color w:val="auto"/>
                <w:spacing w:val="0"/>
                <w:w w:val="100"/>
                <w:position w:val="0"/>
                <w:sz w:val="24"/>
                <w:szCs w:val="24"/>
                <w:highlight w:val="none"/>
                <w:lang w:val="en-US" w:eastAsia="zh-CN"/>
              </w:rPr>
              <w:t>回填</w:t>
            </w:r>
          </w:p>
          <w:p w14:paraId="5B3067A8">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w w:val="100"/>
                <w:kern w:val="2"/>
                <w:position w:val="0"/>
                <w:sz w:val="24"/>
                <w:szCs w:val="24"/>
                <w:highlight w:val="none"/>
                <w:lang w:val="en-US" w:eastAsia="zh-CN" w:bidi="ar-SA"/>
              </w:rPr>
            </w:pPr>
            <w:r>
              <w:rPr>
                <w:rFonts w:hint="default" w:ascii="Times New Roman" w:hAnsi="Times New Roman" w:eastAsia="宋体" w:cs="Times New Roman"/>
                <w:color w:val="auto"/>
                <w:spacing w:val="0"/>
                <w:w w:val="100"/>
                <w:kern w:val="2"/>
                <w:position w:val="0"/>
                <w:sz w:val="24"/>
                <w:szCs w:val="24"/>
                <w:highlight w:val="none"/>
                <w:lang w:val="en-US" w:eastAsia="zh-CN" w:bidi="ar-SA"/>
              </w:rPr>
              <w:t>露天采矿场最终境界地表面积52.0700公顷，采用挖掘机自上而下水平分层台阶式采矿方法，最终形成4个台阶，每2个台阶设计一个清扫平台，平台宽8米，采深20米，露天采场周长3071米，经生态修复工程设计(边坡25°)，边坡筑坡面积为8.6平方米计算，回填高陡边坡需方量约为26411立方米(见图4-3)。堆坡后采坑边坡略小于30，和周边地形相适宜，平均运距小于500米。</w:t>
            </w:r>
          </w:p>
          <w:p w14:paraId="6A436175">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right="0" w:rightChars="0"/>
              <w:jc w:val="left"/>
              <w:textAlignment w:val="auto"/>
              <w:rPr>
                <w:rFonts w:hint="default" w:ascii="Times New Roman" w:hAnsi="Times New Roman" w:eastAsia="宋体" w:cs="Times New Roman"/>
                <w:color w:val="auto"/>
                <w:spacing w:val="0"/>
                <w:w w:val="100"/>
                <w:kern w:val="2"/>
                <w:position w:val="0"/>
                <w:sz w:val="24"/>
                <w:szCs w:val="24"/>
                <w:highlight w:val="none"/>
                <w:lang w:val="en-US" w:eastAsia="zh-CN" w:bidi="ar-SA"/>
              </w:rPr>
            </w:pPr>
            <w:r>
              <w:drawing>
                <wp:inline distT="0" distB="0" distL="114300" distR="114300">
                  <wp:extent cx="5190490" cy="1397000"/>
                  <wp:effectExtent l="0" t="0" r="6350" b="508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9"/>
                          <a:stretch>
                            <a:fillRect/>
                          </a:stretch>
                        </pic:blipFill>
                        <pic:spPr>
                          <a:xfrm>
                            <a:off x="0" y="0"/>
                            <a:ext cx="5190490" cy="1397000"/>
                          </a:xfrm>
                          <a:prstGeom prst="rect">
                            <a:avLst/>
                          </a:prstGeom>
                          <a:noFill/>
                          <a:ln>
                            <a:noFill/>
                          </a:ln>
                        </pic:spPr>
                      </pic:pic>
                    </a:graphicData>
                  </a:graphic>
                </wp:inline>
              </w:drawing>
            </w:r>
          </w:p>
          <w:p w14:paraId="42DF1A48">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0" w:leftChars="0" w:right="0" w:rightChars="0" w:firstLine="422" w:firstLineChars="200"/>
              <w:jc w:val="center"/>
              <w:textAlignment w:val="auto"/>
              <w:rPr>
                <w:rFonts w:hint="default" w:ascii="Times New Roman" w:hAnsi="Times New Roman" w:eastAsia="宋体" w:cs="Times New Roman"/>
                <w:b/>
                <w:bCs/>
                <w:color w:val="auto"/>
                <w:spacing w:val="0"/>
                <w:w w:val="100"/>
                <w:kern w:val="2"/>
                <w:position w:val="0"/>
                <w:sz w:val="21"/>
                <w:szCs w:val="21"/>
                <w:lang w:val="en-US" w:eastAsia="zh-CN" w:bidi="ar-SA"/>
              </w:rPr>
            </w:pPr>
            <w:r>
              <w:rPr>
                <w:rFonts w:hint="eastAsia" w:ascii="Times New Roman" w:hAnsi="Times New Roman" w:eastAsia="宋体" w:cs="Times New Roman"/>
                <w:b/>
                <w:bCs/>
                <w:color w:val="auto"/>
                <w:spacing w:val="0"/>
                <w:w w:val="100"/>
                <w:kern w:val="2"/>
                <w:position w:val="0"/>
                <w:sz w:val="21"/>
                <w:szCs w:val="21"/>
                <w:lang w:val="en-US" w:eastAsia="zh-CN" w:bidi="ar-SA"/>
              </w:rPr>
              <w:t>图2-1：筑坡、回填示意图</w:t>
            </w:r>
          </w:p>
          <w:p w14:paraId="16C75825">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eastAsia" w:ascii="Times New Roman" w:hAnsi="Times New Roman" w:eastAsia="宋体" w:cs="Times New Roman"/>
                <w:color w:val="auto"/>
                <w:spacing w:val="0"/>
                <w:w w:val="100"/>
                <w:kern w:val="2"/>
                <w:position w:val="0"/>
                <w:sz w:val="24"/>
                <w:szCs w:val="24"/>
                <w:highlight w:val="none"/>
                <w:lang w:val="en-US" w:eastAsia="zh-CN" w:bidi="ar-SA"/>
              </w:rPr>
            </w:pPr>
            <w:r>
              <w:rPr>
                <w:rFonts w:hint="eastAsia" w:ascii="Times New Roman" w:hAnsi="Times New Roman" w:eastAsia="宋体" w:cs="Times New Roman"/>
                <w:color w:val="auto"/>
                <w:spacing w:val="0"/>
                <w:w w:val="100"/>
                <w:kern w:val="2"/>
                <w:position w:val="0"/>
                <w:sz w:val="24"/>
                <w:szCs w:val="24"/>
                <w:lang w:val="en-US" w:eastAsia="zh-CN" w:bidi="ar-SA"/>
              </w:rPr>
              <w:t>（4）</w:t>
            </w:r>
            <w:r>
              <w:rPr>
                <w:rFonts w:hint="eastAsia" w:ascii="Times New Roman" w:hAnsi="Times New Roman" w:eastAsia="宋体" w:cs="Times New Roman"/>
                <w:color w:val="auto"/>
                <w:spacing w:val="0"/>
                <w:w w:val="100"/>
                <w:kern w:val="2"/>
                <w:position w:val="0"/>
                <w:sz w:val="24"/>
                <w:szCs w:val="24"/>
                <w:highlight w:val="none"/>
                <w:lang w:val="en-US" w:eastAsia="zh-CN" w:bidi="ar-SA"/>
              </w:rPr>
              <w:t>边开采，边恢复</w:t>
            </w:r>
          </w:p>
          <w:p w14:paraId="06FE3747">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right="0" w:rightChars="0" w:firstLine="480" w:firstLineChars="200"/>
              <w:jc w:val="left"/>
              <w:textAlignment w:val="auto"/>
              <w:rPr>
                <w:rFonts w:hint="eastAsia" w:ascii="Times New Roman" w:hAnsi="Times New Roman" w:eastAsia="宋体" w:cs="Times New Roman"/>
                <w:color w:val="auto"/>
                <w:spacing w:val="0"/>
                <w:w w:val="100"/>
                <w:kern w:val="2"/>
                <w:position w:val="0"/>
                <w:sz w:val="24"/>
                <w:szCs w:val="24"/>
                <w:highlight w:val="none"/>
                <w:lang w:val="en-US" w:eastAsia="zh-CN" w:bidi="ar-SA"/>
              </w:rPr>
            </w:pPr>
            <w:r>
              <w:rPr>
                <w:rFonts w:hint="default" w:ascii="Times New Roman" w:hAnsi="Times New Roman" w:eastAsia="宋体" w:cs="Times New Roman"/>
                <w:color w:val="auto"/>
                <w:spacing w:val="0"/>
                <w:w w:val="100"/>
                <w:kern w:val="2"/>
                <w:position w:val="0"/>
                <w:sz w:val="24"/>
                <w:szCs w:val="24"/>
                <w:highlight w:val="none"/>
                <w:lang w:val="en-US" w:eastAsia="zh-CN" w:bidi="ar-SA"/>
              </w:rPr>
              <w:t>根据“边开采、边</w:t>
            </w:r>
            <w:r>
              <w:rPr>
                <w:rFonts w:hint="eastAsia" w:ascii="Times New Roman" w:hAnsi="Times New Roman" w:eastAsia="宋体" w:cs="Times New Roman"/>
                <w:color w:val="auto"/>
                <w:spacing w:val="0"/>
                <w:w w:val="100"/>
                <w:kern w:val="2"/>
                <w:position w:val="0"/>
                <w:sz w:val="24"/>
                <w:szCs w:val="24"/>
                <w:highlight w:val="none"/>
                <w:lang w:val="en-US" w:eastAsia="zh-CN" w:bidi="ar-SA"/>
              </w:rPr>
              <w:t>恢复</w:t>
            </w:r>
            <w:r>
              <w:rPr>
                <w:rFonts w:hint="default" w:ascii="Times New Roman" w:hAnsi="Times New Roman" w:eastAsia="宋体" w:cs="Times New Roman"/>
                <w:color w:val="auto"/>
                <w:spacing w:val="0"/>
                <w:w w:val="100"/>
                <w:kern w:val="2"/>
                <w:position w:val="0"/>
                <w:sz w:val="24"/>
                <w:szCs w:val="24"/>
                <w:highlight w:val="none"/>
                <w:lang w:val="en-US" w:eastAsia="zh-CN" w:bidi="ar-SA"/>
              </w:rPr>
              <w:t>”的原则，矿山开采期间主要开展以下矿山</w:t>
            </w:r>
            <w:r>
              <w:rPr>
                <w:rFonts w:hint="eastAsia" w:ascii="Times New Roman" w:hAnsi="Times New Roman" w:eastAsia="宋体" w:cs="Times New Roman"/>
                <w:color w:val="auto"/>
                <w:spacing w:val="0"/>
                <w:w w:val="100"/>
                <w:kern w:val="2"/>
                <w:position w:val="0"/>
                <w:sz w:val="24"/>
                <w:szCs w:val="24"/>
                <w:highlight w:val="none"/>
                <w:lang w:val="en-US" w:eastAsia="zh-CN" w:bidi="ar-SA"/>
              </w:rPr>
              <w:t>生态保护恢复工程：</w:t>
            </w:r>
          </w:p>
          <w:p w14:paraId="1A72ABA2">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right="0" w:rightChars="0" w:firstLine="480" w:firstLineChars="200"/>
              <w:jc w:val="left"/>
              <w:textAlignment w:val="auto"/>
              <w:rPr>
                <w:rFonts w:hint="default" w:ascii="Times New Roman" w:hAnsi="Times New Roman" w:eastAsia="宋体" w:cs="Times New Roman"/>
                <w:color w:val="auto"/>
                <w:spacing w:val="0"/>
                <w:w w:val="100"/>
                <w:kern w:val="2"/>
                <w:position w:val="0"/>
                <w:sz w:val="24"/>
                <w:szCs w:val="24"/>
                <w:highlight w:val="none"/>
                <w:lang w:val="en-US" w:eastAsia="zh-CN" w:bidi="ar-SA"/>
              </w:rPr>
            </w:pPr>
            <w:r>
              <w:rPr>
                <w:rFonts w:hint="default" w:ascii="Times New Roman" w:hAnsi="Times New Roman" w:eastAsia="宋体" w:cs="Times New Roman"/>
                <w:color w:val="auto"/>
                <w:spacing w:val="0"/>
                <w:w w:val="100"/>
                <w:kern w:val="2"/>
                <w:position w:val="0"/>
                <w:sz w:val="24"/>
                <w:szCs w:val="24"/>
                <w:highlight w:val="none"/>
                <w:lang w:val="en-US" w:eastAsia="zh-CN" w:bidi="ar-SA"/>
              </w:rPr>
              <w:t>开采前在采场外围设置铁丝围栏、警示牌、生态保护宣传牌，修建截排水沟等;对即将开采的露天采矿场边坡采用人工巡查监测。</w:t>
            </w:r>
          </w:p>
          <w:p w14:paraId="3D50D38C">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right="0" w:rightChars="0" w:firstLine="480" w:firstLineChars="200"/>
              <w:jc w:val="left"/>
              <w:textAlignment w:val="auto"/>
              <w:rPr>
                <w:rFonts w:hint="default" w:ascii="Times New Roman" w:hAnsi="Times New Roman" w:eastAsia="宋体" w:cs="Times New Roman"/>
                <w:color w:val="auto"/>
                <w:spacing w:val="0"/>
                <w:w w:val="100"/>
                <w:kern w:val="2"/>
                <w:position w:val="0"/>
                <w:sz w:val="24"/>
                <w:szCs w:val="24"/>
                <w:highlight w:val="none"/>
                <w:lang w:val="en-US" w:eastAsia="zh-CN" w:bidi="ar-SA"/>
              </w:rPr>
            </w:pPr>
            <w:r>
              <w:rPr>
                <w:rFonts w:hint="eastAsia" w:ascii="Times New Roman" w:hAnsi="Times New Roman" w:eastAsia="宋体" w:cs="Times New Roman"/>
                <w:color w:val="auto"/>
                <w:spacing w:val="0"/>
                <w:w w:val="100"/>
                <w:kern w:val="2"/>
                <w:position w:val="0"/>
                <w:sz w:val="24"/>
                <w:szCs w:val="24"/>
                <w:lang w:val="en-US" w:eastAsia="zh-CN" w:bidi="ar-SA"/>
              </w:rPr>
              <w:t>（</w:t>
            </w:r>
            <w:r>
              <w:rPr>
                <w:rFonts w:hint="default" w:ascii="Times New Roman" w:hAnsi="Times New Roman" w:eastAsia="宋体" w:cs="Times New Roman"/>
                <w:color w:val="auto"/>
                <w:spacing w:val="0"/>
                <w:w w:val="100"/>
                <w:kern w:val="2"/>
                <w:position w:val="0"/>
                <w:sz w:val="24"/>
                <w:szCs w:val="24"/>
                <w:lang w:val="en-US" w:eastAsia="zh-CN" w:bidi="ar-SA"/>
              </w:rPr>
              <w:t>1</w:t>
            </w:r>
            <w:r>
              <w:rPr>
                <w:rFonts w:hint="eastAsia" w:ascii="Times New Roman" w:hAnsi="Times New Roman" w:eastAsia="宋体" w:cs="Times New Roman"/>
                <w:color w:val="auto"/>
                <w:spacing w:val="0"/>
                <w:w w:val="100"/>
                <w:kern w:val="2"/>
                <w:position w:val="0"/>
                <w:sz w:val="24"/>
                <w:szCs w:val="24"/>
                <w:lang w:val="en-US" w:eastAsia="zh-CN" w:bidi="ar-SA"/>
              </w:rPr>
              <w:t>）</w:t>
            </w:r>
            <w:r>
              <w:rPr>
                <w:rFonts w:hint="default" w:ascii="Times New Roman" w:hAnsi="Times New Roman" w:eastAsia="宋体" w:cs="Times New Roman"/>
                <w:color w:val="auto"/>
                <w:spacing w:val="0"/>
                <w:w w:val="100"/>
                <w:kern w:val="2"/>
                <w:position w:val="0"/>
                <w:sz w:val="24"/>
                <w:szCs w:val="24"/>
                <w:highlight w:val="none"/>
                <w:lang w:val="en-US" w:eastAsia="zh-CN" w:bidi="ar-SA"/>
              </w:rPr>
              <w:t>监测、复垦工程在矿区四周设置崩塌、滑坡、不稳定斜坡测点进行边坡稳定性监测每月15次;采用巡视法对围栏及警示牌进行监测，频率为每月1次;采用无人机进行航测地形地貌，监测频率为每年1次;在矿部生活区、水稳站周边，共布设2个土壤监测点，监测频率为每年1次，布设1个生活污水监测点，监测频率为每年2次;针对露天采矿场、生活区、水稳站、矿山道路等损毁区域进行生产期内的土地损毁监测，监测频率为每年2次。</w:t>
            </w:r>
          </w:p>
          <w:p w14:paraId="30577D8D">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right="0" w:rightChars="0" w:firstLine="480" w:firstLineChars="200"/>
              <w:jc w:val="left"/>
              <w:textAlignment w:val="auto"/>
              <w:rPr>
                <w:rFonts w:hint="default" w:ascii="Times New Roman" w:hAnsi="Times New Roman" w:eastAsia="宋体" w:cs="Times New Roman"/>
                <w:color w:val="auto"/>
                <w:spacing w:val="0"/>
                <w:w w:val="100"/>
                <w:kern w:val="2"/>
                <w:position w:val="0"/>
                <w:sz w:val="24"/>
                <w:szCs w:val="24"/>
                <w:highlight w:val="none"/>
                <w:lang w:val="en-US" w:eastAsia="zh-CN" w:bidi="ar-SA"/>
              </w:rPr>
            </w:pPr>
            <w:r>
              <w:rPr>
                <w:rFonts w:hint="eastAsia" w:ascii="Times New Roman" w:hAnsi="Times New Roman" w:eastAsia="宋体" w:cs="Times New Roman"/>
                <w:color w:val="auto"/>
                <w:spacing w:val="0"/>
                <w:w w:val="100"/>
                <w:kern w:val="2"/>
                <w:position w:val="0"/>
                <w:sz w:val="24"/>
                <w:szCs w:val="24"/>
                <w:lang w:val="en-US" w:eastAsia="zh-CN" w:bidi="ar-SA"/>
              </w:rPr>
              <w:t>（</w:t>
            </w:r>
            <w:r>
              <w:rPr>
                <w:rFonts w:hint="default" w:ascii="Times New Roman" w:hAnsi="Times New Roman" w:eastAsia="宋体" w:cs="Times New Roman"/>
                <w:color w:val="auto"/>
                <w:spacing w:val="0"/>
                <w:w w:val="100"/>
                <w:kern w:val="2"/>
                <w:position w:val="0"/>
                <w:sz w:val="24"/>
                <w:szCs w:val="24"/>
                <w:lang w:val="en-US" w:eastAsia="zh-CN" w:bidi="ar-SA"/>
              </w:rPr>
              <w:t>2</w:t>
            </w:r>
            <w:r>
              <w:rPr>
                <w:rFonts w:hint="eastAsia" w:ascii="Times New Roman" w:hAnsi="Times New Roman" w:eastAsia="宋体" w:cs="Times New Roman"/>
                <w:color w:val="auto"/>
                <w:spacing w:val="0"/>
                <w:w w:val="100"/>
                <w:kern w:val="2"/>
                <w:position w:val="0"/>
                <w:sz w:val="24"/>
                <w:szCs w:val="24"/>
                <w:lang w:val="en-US" w:eastAsia="zh-CN" w:bidi="ar-SA"/>
              </w:rPr>
              <w:t>）</w:t>
            </w:r>
            <w:r>
              <w:rPr>
                <w:rFonts w:hint="default" w:ascii="Times New Roman" w:hAnsi="Times New Roman" w:eastAsia="宋体" w:cs="Times New Roman"/>
                <w:color w:val="auto"/>
                <w:spacing w:val="0"/>
                <w:w w:val="100"/>
                <w:kern w:val="2"/>
                <w:position w:val="0"/>
                <w:sz w:val="24"/>
                <w:szCs w:val="24"/>
                <w:highlight w:val="none"/>
                <w:lang w:val="en-US" w:eastAsia="zh-CN" w:bidi="ar-SA"/>
              </w:rPr>
              <w:t>矿山开采期间对突发矿山生态环境问题进行保护修复，确保保护修复与生产同步实施。</w:t>
            </w:r>
          </w:p>
          <w:p w14:paraId="1A5E50D5">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right="0" w:rightChars="0" w:firstLine="480" w:firstLineChars="200"/>
              <w:jc w:val="left"/>
              <w:textAlignment w:val="auto"/>
              <w:rPr>
                <w:rFonts w:hint="default" w:ascii="Times New Roman" w:hAnsi="Times New Roman" w:eastAsia="宋体" w:cs="Times New Roman"/>
                <w:color w:val="auto"/>
                <w:spacing w:val="0"/>
                <w:w w:val="100"/>
                <w:kern w:val="2"/>
                <w:position w:val="0"/>
                <w:sz w:val="24"/>
                <w:szCs w:val="24"/>
                <w:highlight w:val="none"/>
                <w:lang w:val="en-US" w:eastAsia="zh-CN" w:bidi="ar-SA"/>
              </w:rPr>
            </w:pPr>
            <w:r>
              <w:rPr>
                <w:rFonts w:hint="default" w:ascii="Times New Roman" w:hAnsi="Times New Roman" w:eastAsia="宋体" w:cs="Times New Roman"/>
                <w:color w:val="auto"/>
                <w:spacing w:val="0"/>
                <w:w w:val="100"/>
                <w:kern w:val="2"/>
                <w:position w:val="0"/>
                <w:sz w:val="24"/>
                <w:szCs w:val="24"/>
                <w:highlight w:val="none"/>
                <w:lang w:val="en-US" w:eastAsia="zh-CN" w:bidi="ar-SA"/>
              </w:rPr>
              <w:t>复垦期</w:t>
            </w:r>
            <w:r>
              <w:rPr>
                <w:rFonts w:hint="eastAsia" w:ascii="Times New Roman" w:hAnsi="Times New Roman" w:eastAsia="宋体" w:cs="Times New Roman"/>
                <w:color w:val="auto"/>
                <w:spacing w:val="0"/>
                <w:w w:val="100"/>
                <w:kern w:val="2"/>
                <w:position w:val="0"/>
                <w:sz w:val="24"/>
                <w:szCs w:val="24"/>
                <w:highlight w:val="none"/>
                <w:lang w:val="en-US" w:eastAsia="zh-CN" w:bidi="ar-SA"/>
              </w:rPr>
              <w:t>（</w:t>
            </w:r>
            <w:r>
              <w:rPr>
                <w:rFonts w:hint="default" w:ascii="Times New Roman" w:hAnsi="Times New Roman" w:eastAsia="宋体" w:cs="Times New Roman"/>
                <w:color w:val="auto"/>
                <w:spacing w:val="0"/>
                <w:w w:val="100"/>
                <w:kern w:val="2"/>
                <w:position w:val="0"/>
                <w:sz w:val="24"/>
                <w:szCs w:val="24"/>
                <w:highlight w:val="none"/>
                <w:lang w:val="en-US" w:eastAsia="zh-CN" w:bidi="ar-SA"/>
              </w:rPr>
              <w:t>2039年12月至2040年5月</w:t>
            </w:r>
            <w:r>
              <w:rPr>
                <w:rFonts w:hint="eastAsia" w:ascii="Times New Roman" w:hAnsi="Times New Roman" w:eastAsia="宋体" w:cs="Times New Roman"/>
                <w:color w:val="auto"/>
                <w:spacing w:val="0"/>
                <w:w w:val="100"/>
                <w:kern w:val="2"/>
                <w:position w:val="0"/>
                <w:sz w:val="24"/>
                <w:szCs w:val="24"/>
                <w:highlight w:val="none"/>
                <w:lang w:val="en-US" w:eastAsia="zh-CN" w:bidi="ar-SA"/>
              </w:rPr>
              <w:t>）</w:t>
            </w:r>
          </w:p>
          <w:p w14:paraId="4C9C3728">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right="0" w:rightChars="0" w:firstLine="480" w:firstLineChars="200"/>
              <w:jc w:val="left"/>
              <w:textAlignment w:val="auto"/>
              <w:rPr>
                <w:rFonts w:hint="default" w:ascii="Times New Roman" w:hAnsi="Times New Roman" w:eastAsia="宋体" w:cs="Times New Roman"/>
                <w:color w:val="auto"/>
                <w:spacing w:val="0"/>
                <w:w w:val="100"/>
                <w:kern w:val="2"/>
                <w:position w:val="0"/>
                <w:sz w:val="24"/>
                <w:szCs w:val="24"/>
                <w:highlight w:val="none"/>
                <w:lang w:val="en-US" w:eastAsia="zh-CN" w:bidi="ar-SA"/>
              </w:rPr>
            </w:pPr>
            <w:r>
              <w:rPr>
                <w:rFonts w:hint="default" w:ascii="Times New Roman" w:hAnsi="Times New Roman" w:eastAsia="宋体" w:cs="Times New Roman"/>
                <w:color w:val="auto"/>
                <w:spacing w:val="0"/>
                <w:w w:val="100"/>
                <w:kern w:val="2"/>
                <w:position w:val="0"/>
                <w:sz w:val="24"/>
                <w:szCs w:val="24"/>
                <w:highlight w:val="none"/>
                <w:lang w:val="en-US" w:eastAsia="zh-CN" w:bidi="ar-SA"/>
              </w:rPr>
              <w:t>按照“谁破坏、谁治理、谁复垦”的原则，矿山做好以下矿山生态保护修复工程，对修复分区实施回填筑坡、场地平整、土壤重构、植被重建等工程，使其恢复至与周边地貌相协调。</w:t>
            </w:r>
          </w:p>
          <w:p w14:paraId="78CA00D4">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right="0" w:rightChars="0" w:firstLine="480" w:firstLineChars="200"/>
              <w:jc w:val="left"/>
              <w:textAlignment w:val="auto"/>
              <w:rPr>
                <w:rFonts w:hint="default" w:ascii="Times New Roman" w:hAnsi="Times New Roman" w:eastAsia="宋体" w:cs="Times New Roman"/>
                <w:color w:val="auto"/>
                <w:spacing w:val="0"/>
                <w:w w:val="100"/>
                <w:kern w:val="2"/>
                <w:position w:val="0"/>
                <w:sz w:val="24"/>
                <w:szCs w:val="24"/>
                <w:highlight w:val="none"/>
                <w:lang w:val="en-US" w:eastAsia="zh-CN" w:bidi="ar-SA"/>
              </w:rPr>
            </w:pPr>
            <w:r>
              <w:rPr>
                <w:rFonts w:hint="default" w:ascii="Times New Roman" w:hAnsi="Times New Roman" w:eastAsia="宋体" w:cs="Times New Roman"/>
                <w:color w:val="auto"/>
                <w:spacing w:val="0"/>
                <w:w w:val="100"/>
                <w:kern w:val="2"/>
                <w:position w:val="0"/>
                <w:sz w:val="24"/>
                <w:szCs w:val="24"/>
                <w:highlight w:val="none"/>
                <w:lang w:val="en-US" w:eastAsia="zh-CN" w:bidi="ar-SA"/>
              </w:rPr>
              <w:t>管护期</w:t>
            </w:r>
            <w:r>
              <w:rPr>
                <w:rFonts w:hint="eastAsia" w:ascii="Times New Roman" w:hAnsi="Times New Roman" w:eastAsia="宋体" w:cs="Times New Roman"/>
                <w:color w:val="auto"/>
                <w:spacing w:val="0"/>
                <w:w w:val="100"/>
                <w:kern w:val="2"/>
                <w:position w:val="0"/>
                <w:sz w:val="24"/>
                <w:szCs w:val="24"/>
                <w:highlight w:val="none"/>
                <w:lang w:val="en-US" w:eastAsia="zh-CN" w:bidi="ar-SA"/>
              </w:rPr>
              <w:t>（</w:t>
            </w:r>
            <w:r>
              <w:rPr>
                <w:rFonts w:hint="default" w:ascii="Times New Roman" w:hAnsi="Times New Roman" w:eastAsia="宋体" w:cs="Times New Roman"/>
                <w:color w:val="auto"/>
                <w:spacing w:val="0"/>
                <w:w w:val="100"/>
                <w:kern w:val="2"/>
                <w:position w:val="0"/>
                <w:sz w:val="24"/>
                <w:szCs w:val="24"/>
                <w:highlight w:val="none"/>
                <w:lang w:val="en-US" w:eastAsia="zh-CN" w:bidi="ar-SA"/>
              </w:rPr>
              <w:t>2040年6月~2043年5月</w:t>
            </w:r>
            <w:r>
              <w:rPr>
                <w:rFonts w:hint="eastAsia" w:ascii="Times New Roman" w:hAnsi="Times New Roman" w:eastAsia="宋体" w:cs="Times New Roman"/>
                <w:color w:val="auto"/>
                <w:spacing w:val="0"/>
                <w:w w:val="100"/>
                <w:kern w:val="2"/>
                <w:position w:val="0"/>
                <w:sz w:val="24"/>
                <w:szCs w:val="24"/>
                <w:highlight w:val="none"/>
                <w:lang w:val="en-US" w:eastAsia="zh-CN" w:bidi="ar-SA"/>
              </w:rPr>
              <w:t>）</w:t>
            </w:r>
          </w:p>
          <w:p w14:paraId="2DA04921">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w w:val="100"/>
                <w:kern w:val="2"/>
                <w:position w:val="0"/>
                <w:sz w:val="24"/>
                <w:szCs w:val="24"/>
                <w:lang w:val="en-US" w:eastAsia="zh-CN" w:bidi="ar-SA"/>
              </w:rPr>
            </w:pPr>
            <w:r>
              <w:rPr>
                <w:rFonts w:hint="default" w:ascii="Times New Roman" w:hAnsi="Times New Roman" w:eastAsia="宋体" w:cs="Times New Roman"/>
                <w:color w:val="auto"/>
                <w:spacing w:val="0"/>
                <w:w w:val="100"/>
                <w:kern w:val="2"/>
                <w:position w:val="0"/>
                <w:sz w:val="24"/>
                <w:szCs w:val="24"/>
                <w:lang w:val="en-US" w:eastAsia="zh-CN" w:bidi="ar-SA"/>
              </w:rPr>
              <w:t>播种后出苗前，土壤表层时常形成板结层，妨碍种子顶土出苗，需要破除板结。出苗后发现缺苗严重时，须采取补种的措施补苗。</w:t>
            </w:r>
          </w:p>
          <w:p w14:paraId="75822E03">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w w:val="100"/>
                <w:kern w:val="2"/>
                <w:position w:val="0"/>
                <w:sz w:val="24"/>
                <w:szCs w:val="24"/>
                <w:lang w:val="en-US" w:eastAsia="zh-CN" w:bidi="ar-SA"/>
              </w:rPr>
            </w:pPr>
            <w:r>
              <w:rPr>
                <w:rFonts w:hint="default" w:ascii="Times New Roman" w:hAnsi="Times New Roman" w:eastAsia="宋体" w:cs="Times New Roman"/>
                <w:color w:val="auto"/>
                <w:spacing w:val="0"/>
                <w:w w:val="100"/>
                <w:kern w:val="2"/>
                <w:position w:val="0"/>
                <w:sz w:val="24"/>
                <w:szCs w:val="24"/>
                <w:lang w:val="en-US" w:eastAsia="zh-CN" w:bidi="ar-SA"/>
              </w:rPr>
              <w:t>根据“边生产、边治理、边复垦”的原则及本矿山工程建设特点和开采时序进度安排。本方案服务年限为16年8个月。</w:t>
            </w:r>
          </w:p>
          <w:p w14:paraId="525F4F33">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eastAsia" w:ascii="Times New Roman" w:hAnsi="Times New Roman" w:eastAsia="宋体" w:cs="Times New Roman"/>
                <w:color w:val="auto"/>
                <w:spacing w:val="0"/>
                <w:w w:val="100"/>
                <w:kern w:val="2"/>
                <w:position w:val="0"/>
                <w:sz w:val="24"/>
                <w:szCs w:val="24"/>
                <w:highlight w:val="none"/>
                <w:lang w:val="en-US" w:eastAsia="zh-CN" w:bidi="ar-SA"/>
              </w:rPr>
            </w:pPr>
            <w:r>
              <w:rPr>
                <w:rFonts w:hint="eastAsia" w:ascii="Times New Roman" w:hAnsi="Times New Roman" w:eastAsia="宋体" w:cs="Times New Roman"/>
                <w:color w:val="auto"/>
                <w:spacing w:val="0"/>
                <w:w w:val="100"/>
                <w:kern w:val="2"/>
                <w:position w:val="0"/>
                <w:sz w:val="24"/>
                <w:szCs w:val="24"/>
                <w:highlight w:val="none"/>
                <w:lang w:val="en-US" w:eastAsia="zh-CN" w:bidi="ar-SA"/>
              </w:rPr>
              <w:t>（5）边开采、边恢复可行性分析</w:t>
            </w:r>
          </w:p>
          <w:p w14:paraId="56C35D45">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eastAsia" w:ascii="Times New Roman" w:hAnsi="Times New Roman" w:eastAsia="宋体" w:cs="Times New Roman"/>
                <w:color w:val="auto"/>
                <w:spacing w:val="0"/>
                <w:w w:val="100"/>
                <w:kern w:val="2"/>
                <w:position w:val="0"/>
                <w:sz w:val="24"/>
                <w:szCs w:val="24"/>
                <w:highlight w:val="none"/>
                <w:lang w:val="en-US" w:eastAsia="zh-CN" w:bidi="ar-SA"/>
              </w:rPr>
            </w:pPr>
            <w:r>
              <w:rPr>
                <w:rFonts w:hint="eastAsia" w:ascii="Times New Roman" w:hAnsi="Times New Roman" w:eastAsia="宋体" w:cs="Times New Roman"/>
                <w:color w:val="auto"/>
                <w:spacing w:val="0"/>
                <w:w w:val="100"/>
                <w:kern w:val="2"/>
                <w:position w:val="0"/>
                <w:sz w:val="24"/>
                <w:szCs w:val="24"/>
                <w:highlight w:val="none"/>
                <w:lang w:val="en-US" w:eastAsia="zh-CN" w:bidi="ar-SA"/>
              </w:rPr>
              <w:t>本次矿山开采主要形成1个露天采矿场，按照开采设计为露天台阶式开采。</w:t>
            </w:r>
          </w:p>
          <w:p w14:paraId="68336880">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eastAsia" w:ascii="Times New Roman" w:hAnsi="Times New Roman" w:eastAsia="宋体" w:cs="Times New Roman"/>
                <w:color w:val="auto"/>
                <w:spacing w:val="0"/>
                <w:w w:val="100"/>
                <w:kern w:val="2"/>
                <w:position w:val="0"/>
                <w:sz w:val="24"/>
                <w:szCs w:val="24"/>
                <w:highlight w:val="none"/>
                <w:lang w:val="en-US" w:eastAsia="zh-CN" w:bidi="ar-SA"/>
              </w:rPr>
            </w:pPr>
            <w:r>
              <w:rPr>
                <w:rFonts w:hint="eastAsia" w:ascii="Times New Roman" w:hAnsi="Times New Roman" w:eastAsia="宋体" w:cs="Times New Roman"/>
                <w:color w:val="auto"/>
                <w:spacing w:val="0"/>
                <w:w w:val="100"/>
                <w:kern w:val="2"/>
                <w:position w:val="0"/>
                <w:sz w:val="24"/>
                <w:szCs w:val="24"/>
                <w:highlight w:val="none"/>
                <w:lang w:val="en-US" w:eastAsia="zh-CN" w:bidi="ar-SA"/>
              </w:rPr>
              <w:t>本矿山设计台阶坡面角45，最终边坡角38°，能够有效降低滑坡、坍塌等地质灾害发生的风险，保障开采人员和设备的安全，为边开采、边恢复创造了条件，开采过程中对已开采区域的边坡进行清废工程等可行。</w:t>
            </w:r>
          </w:p>
          <w:p w14:paraId="05A16404">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w w:val="100"/>
                <w:kern w:val="2"/>
                <w:position w:val="0"/>
                <w:sz w:val="24"/>
                <w:szCs w:val="24"/>
                <w:highlight w:val="none"/>
                <w:lang w:val="en-US" w:eastAsia="zh-CN" w:bidi="ar-SA"/>
              </w:rPr>
            </w:pPr>
            <w:r>
              <w:rPr>
                <w:rFonts w:hint="eastAsia" w:ascii="Times New Roman" w:hAnsi="Times New Roman" w:eastAsia="宋体" w:cs="Times New Roman"/>
                <w:color w:val="auto"/>
                <w:spacing w:val="0"/>
                <w:w w:val="100"/>
                <w:kern w:val="2"/>
                <w:position w:val="0"/>
                <w:sz w:val="24"/>
                <w:szCs w:val="24"/>
                <w:highlight w:val="none"/>
                <w:lang w:val="en-US" w:eastAsia="zh-CN" w:bidi="ar-SA"/>
              </w:rPr>
              <w:t>对于开采过程中产生的废石和成品，能够进行合理的堆放和处理，避免随意丢弃造成环境污染和安全隐患。在开采过程中还可以同步开展平整工作，通过这种边开采、边修复的方式，能够有效缩短矿山生态修复的周期，降低修复成本，提高修复效果，实现矿山开采与生态保护的协调发展。</w:t>
            </w:r>
          </w:p>
          <w:p w14:paraId="44FBB233">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w w:val="100"/>
                <w:kern w:val="2"/>
                <w:position w:val="0"/>
                <w:sz w:val="24"/>
                <w:szCs w:val="24"/>
                <w:highlight w:val="none"/>
                <w:lang w:val="en-US" w:eastAsia="zh-CN" w:bidi="ar-SA"/>
              </w:rPr>
              <w:t>（</w:t>
            </w:r>
            <w:r>
              <w:rPr>
                <w:rFonts w:hint="eastAsia" w:ascii="Times New Roman" w:hAnsi="Times New Roman" w:eastAsia="宋体" w:cs="Times New Roman"/>
                <w:color w:val="auto"/>
                <w:spacing w:val="0"/>
                <w:w w:val="100"/>
                <w:kern w:val="2"/>
                <w:position w:val="0"/>
                <w:sz w:val="24"/>
                <w:szCs w:val="24"/>
                <w:highlight w:val="none"/>
                <w:lang w:val="en-US" w:eastAsia="zh-CN" w:bidi="ar-SA"/>
              </w:rPr>
              <w:t>6</w:t>
            </w:r>
            <w:r>
              <w:rPr>
                <w:rFonts w:hint="default" w:ascii="Times New Roman" w:hAnsi="Times New Roman" w:eastAsia="宋体" w:cs="Times New Roman"/>
                <w:color w:val="auto"/>
                <w:spacing w:val="0"/>
                <w:w w:val="100"/>
                <w:kern w:val="2"/>
                <w:position w:val="0"/>
                <w:sz w:val="24"/>
                <w:szCs w:val="24"/>
                <w:highlight w:val="none"/>
                <w:lang w:val="en-US" w:eastAsia="zh-CN" w:bidi="ar-SA"/>
              </w:rPr>
              <w:t>）</w:t>
            </w:r>
            <w:r>
              <w:rPr>
                <w:rFonts w:hint="default" w:ascii="Times New Roman" w:hAnsi="Times New Roman" w:eastAsia="宋体" w:cs="Times New Roman"/>
                <w:color w:val="auto"/>
                <w:spacing w:val="0"/>
                <w:w w:val="100"/>
                <w:position w:val="0"/>
                <w:sz w:val="24"/>
                <w:szCs w:val="24"/>
                <w:highlight w:val="none"/>
                <w:lang w:val="en-US" w:eastAsia="zh-CN"/>
              </w:rPr>
              <w:t>开拓运输方案</w:t>
            </w:r>
          </w:p>
          <w:p w14:paraId="3452C7E2">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right="0" w:firstLine="480" w:firstLineChars="200"/>
              <w:jc w:val="left"/>
              <w:textAlignment w:val="auto"/>
              <w:rPr>
                <w:rFonts w:hint="default" w:ascii="Times New Roman" w:hAnsi="Times New Roman" w:eastAsia="宋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rPr>
              <w:t>根据开拓运输方案选择原则和矿体赋存情况及地形条件，设计采用</w:t>
            </w:r>
            <w:r>
              <w:rPr>
                <w:rFonts w:hint="default" w:ascii="Times New Roman" w:hAnsi="Times New Roman" w:eastAsia="宋体" w:cs="Times New Roman"/>
                <w:color w:val="auto"/>
                <w:spacing w:val="0"/>
                <w:w w:val="100"/>
                <w:position w:val="0"/>
                <w:sz w:val="24"/>
                <w:szCs w:val="24"/>
                <w:highlight w:val="none"/>
                <w:lang w:eastAsia="zh-CN"/>
              </w:rPr>
              <w:t>汽车</w:t>
            </w:r>
            <w:r>
              <w:rPr>
                <w:rFonts w:hint="default" w:ascii="Times New Roman" w:hAnsi="Times New Roman" w:eastAsia="宋体" w:cs="Times New Roman"/>
                <w:color w:val="auto"/>
                <w:spacing w:val="0"/>
                <w:w w:val="100"/>
                <w:position w:val="0"/>
                <w:sz w:val="24"/>
                <w:szCs w:val="24"/>
                <w:highlight w:val="none"/>
              </w:rPr>
              <w:t>运输方式。</w:t>
            </w:r>
          </w:p>
          <w:p w14:paraId="4075605E">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5、工程占地</w:t>
            </w:r>
          </w:p>
          <w:p w14:paraId="14E167D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right="0" w:firstLine="480" w:firstLineChars="200"/>
              <w:jc w:val="left"/>
              <w:textAlignment w:val="auto"/>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w w:val="100"/>
                <w:position w:val="0"/>
                <w:sz w:val="24"/>
                <w:szCs w:val="24"/>
                <w:highlight w:val="none"/>
                <w:lang w:val="en-US" w:eastAsia="zh-CN"/>
              </w:rPr>
              <w:t>项目</w:t>
            </w:r>
            <w:r>
              <w:rPr>
                <w:rFonts w:hint="eastAsia" w:ascii="Times New Roman" w:hAnsi="Times New Roman" w:eastAsia="宋体" w:cs="Times New Roman"/>
                <w:color w:val="auto"/>
                <w:spacing w:val="0"/>
                <w:w w:val="100"/>
                <w:position w:val="0"/>
                <w:sz w:val="24"/>
                <w:szCs w:val="24"/>
                <w:highlight w:val="none"/>
                <w:lang w:val="en-US" w:eastAsia="zh-CN"/>
              </w:rPr>
              <w:t>临时</w:t>
            </w:r>
            <w:r>
              <w:rPr>
                <w:rFonts w:hint="default" w:ascii="Times New Roman" w:hAnsi="Times New Roman" w:eastAsia="宋体" w:cs="Times New Roman"/>
                <w:color w:val="auto"/>
                <w:spacing w:val="0"/>
                <w:w w:val="100"/>
                <w:position w:val="0"/>
                <w:sz w:val="24"/>
                <w:szCs w:val="24"/>
                <w:highlight w:val="none"/>
                <w:lang w:val="en-US" w:eastAsia="zh-CN"/>
              </w:rPr>
              <w:t>占地531099.04m</w:t>
            </w:r>
            <w:r>
              <w:rPr>
                <w:rFonts w:hint="default" w:ascii="Times New Roman" w:hAnsi="Times New Roman" w:eastAsia="宋体" w:cs="Times New Roman"/>
                <w:color w:val="auto"/>
                <w:spacing w:val="0"/>
                <w:w w:val="100"/>
                <w:position w:val="0"/>
                <w:sz w:val="24"/>
                <w:szCs w:val="24"/>
                <w:highlight w:val="none"/>
                <w:vertAlign w:val="superscript"/>
                <w:lang w:val="en-US" w:eastAsia="zh-CN"/>
              </w:rPr>
              <w:t>2</w:t>
            </w:r>
            <w:r>
              <w:rPr>
                <w:rFonts w:hint="default" w:ascii="Times New Roman" w:hAnsi="Times New Roman" w:eastAsia="宋体" w:cs="Times New Roman"/>
                <w:color w:val="auto"/>
                <w:spacing w:val="0"/>
                <w:w w:val="100"/>
                <w:position w:val="0"/>
                <w:sz w:val="24"/>
                <w:szCs w:val="24"/>
                <w:highlight w:val="none"/>
                <w:lang w:val="en-US" w:eastAsia="zh-CN"/>
              </w:rPr>
              <w:t>，</w:t>
            </w:r>
            <w:r>
              <w:rPr>
                <w:rFonts w:hint="eastAsia" w:ascii="Times New Roman" w:hAnsi="Times New Roman" w:eastAsia="宋体" w:cs="Times New Roman"/>
                <w:color w:val="auto"/>
                <w:spacing w:val="0"/>
                <w:w w:val="100"/>
                <w:position w:val="0"/>
                <w:sz w:val="24"/>
                <w:szCs w:val="24"/>
                <w:highlight w:val="none"/>
                <w:lang w:val="en-US" w:eastAsia="zh-CN"/>
              </w:rPr>
              <w:t>占地年限13年，</w:t>
            </w:r>
            <w:r>
              <w:rPr>
                <w:rFonts w:hint="default" w:ascii="Times New Roman" w:hAnsi="Times New Roman" w:eastAsia="宋体" w:cs="Times New Roman"/>
                <w:color w:val="auto"/>
                <w:spacing w:val="0"/>
                <w:w w:val="100"/>
                <w:position w:val="0"/>
                <w:sz w:val="24"/>
                <w:szCs w:val="24"/>
                <w:highlight w:val="none"/>
                <w:lang w:val="en-US" w:eastAsia="zh-CN"/>
              </w:rPr>
              <w:t>其中其中规划矿区面积524431.97m</w:t>
            </w:r>
            <w:r>
              <w:rPr>
                <w:rFonts w:hint="default" w:ascii="Times New Roman" w:hAnsi="Times New Roman" w:eastAsia="宋体" w:cs="Times New Roman"/>
                <w:color w:val="auto"/>
                <w:spacing w:val="0"/>
                <w:w w:val="100"/>
                <w:position w:val="0"/>
                <w:sz w:val="24"/>
                <w:szCs w:val="24"/>
                <w:highlight w:val="none"/>
                <w:vertAlign w:val="superscript"/>
                <w:lang w:val="en-US" w:eastAsia="zh-CN"/>
              </w:rPr>
              <w:t>2</w:t>
            </w:r>
            <w:r>
              <w:rPr>
                <w:rFonts w:hint="default" w:ascii="Times New Roman" w:hAnsi="Times New Roman" w:eastAsia="宋体" w:cs="Times New Roman"/>
                <w:color w:val="auto"/>
                <w:spacing w:val="0"/>
                <w:w w:val="100"/>
                <w:position w:val="0"/>
                <w:sz w:val="24"/>
                <w:szCs w:val="24"/>
                <w:highlight w:val="none"/>
                <w:lang w:val="en-US" w:eastAsia="zh-CN"/>
              </w:rPr>
              <w:t>，生活区用地面积6667.07m</w:t>
            </w:r>
            <w:r>
              <w:rPr>
                <w:rFonts w:hint="default" w:ascii="Times New Roman" w:hAnsi="Times New Roman" w:eastAsia="宋体" w:cs="Times New Roman"/>
                <w:color w:val="auto"/>
                <w:spacing w:val="0"/>
                <w:w w:val="100"/>
                <w:position w:val="0"/>
                <w:sz w:val="24"/>
                <w:szCs w:val="24"/>
                <w:highlight w:val="none"/>
                <w:vertAlign w:val="superscript"/>
                <w:lang w:val="en-US" w:eastAsia="zh-CN"/>
              </w:rPr>
              <w:t>2</w:t>
            </w:r>
            <w:r>
              <w:rPr>
                <w:rFonts w:hint="default" w:ascii="Times New Roman" w:hAnsi="Times New Roman" w:eastAsia="宋体" w:cs="Times New Roman"/>
                <w:color w:val="auto"/>
                <w:spacing w:val="0"/>
                <w:w w:val="100"/>
                <w:position w:val="0"/>
                <w:sz w:val="24"/>
                <w:szCs w:val="24"/>
                <w:highlight w:val="none"/>
                <w:vertAlign w:val="baseline"/>
                <w:lang w:val="en-US" w:eastAsia="zh-CN"/>
              </w:rPr>
              <w:t>，工业场地面积在规划矿区内，为22666.67</w:t>
            </w:r>
            <w:r>
              <w:rPr>
                <w:rFonts w:hint="default" w:ascii="Times New Roman" w:hAnsi="Times New Roman" w:eastAsia="宋体" w:cs="Times New Roman"/>
                <w:color w:val="auto"/>
                <w:spacing w:val="0"/>
                <w:w w:val="100"/>
                <w:position w:val="0"/>
                <w:sz w:val="24"/>
                <w:szCs w:val="24"/>
                <w:highlight w:val="none"/>
                <w:lang w:val="en-US" w:eastAsia="zh-CN"/>
              </w:rPr>
              <w:t>m</w:t>
            </w:r>
            <w:r>
              <w:rPr>
                <w:rFonts w:hint="default" w:ascii="Times New Roman" w:hAnsi="Times New Roman" w:eastAsia="宋体" w:cs="Times New Roman"/>
                <w:color w:val="auto"/>
                <w:spacing w:val="0"/>
                <w:w w:val="100"/>
                <w:position w:val="0"/>
                <w:sz w:val="24"/>
                <w:szCs w:val="24"/>
                <w:highlight w:val="none"/>
                <w:vertAlign w:val="superscript"/>
                <w:lang w:val="en-US" w:eastAsia="zh-CN"/>
              </w:rPr>
              <w:t>2</w:t>
            </w:r>
            <w:r>
              <w:rPr>
                <w:rFonts w:hint="default" w:ascii="Times New Roman" w:hAnsi="Times New Roman" w:eastAsia="宋体" w:cs="Times New Roman"/>
                <w:color w:val="auto"/>
                <w:spacing w:val="0"/>
                <w:w w:val="100"/>
                <w:position w:val="0"/>
                <w:sz w:val="24"/>
                <w:szCs w:val="24"/>
                <w:highlight w:val="none"/>
                <w:lang w:val="en-US" w:eastAsia="zh-CN"/>
              </w:rPr>
              <w:t>。主要占地类型其他草地和林地。为了避免对施工区域内的草场造成破坏，本次施工道路沿拟建矿山道路红线布设，采用施工道路与矿山道路相结合的布置方式，施工结束后，施工临时道路作为矿山道路继续使用。项目工程占地类型统计表见表2-5。</w:t>
            </w:r>
          </w:p>
          <w:p w14:paraId="7C1E14D4">
            <w:pPr>
              <w:pStyle w:val="70"/>
              <w:keepNext w:val="0"/>
              <w:keepLines w:val="0"/>
              <w:pageBreakBefore w:val="0"/>
              <w:widowControl w:val="0"/>
              <w:kinsoku/>
              <w:wordWrap/>
              <w:overflowPunct/>
              <w:topLinePunct w:val="0"/>
              <w:autoSpaceDE/>
              <w:autoSpaceDN/>
              <w:bidi w:val="0"/>
              <w:adjustRightInd/>
              <w:snapToGrid/>
              <w:ind w:firstLine="422" w:firstLineChars="200"/>
              <w:jc w:val="center"/>
              <w:textAlignment w:val="auto"/>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表2-5   项目工程占地类型表</w:t>
            </w:r>
          </w:p>
          <w:tbl>
            <w:tblPr>
              <w:tblStyle w:val="38"/>
              <w:tblW w:w="491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73"/>
              <w:gridCol w:w="1280"/>
              <w:gridCol w:w="2184"/>
              <w:gridCol w:w="1445"/>
              <w:gridCol w:w="1231"/>
              <w:gridCol w:w="1125"/>
            </w:tblGrid>
            <w:tr w14:paraId="3DC07F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480" w:type="pct"/>
                  <w:tcBorders>
                    <w:bottom w:val="single" w:color="000000" w:sz="12" w:space="0"/>
                    <w:tl2br w:val="nil"/>
                    <w:tr2bl w:val="nil"/>
                  </w:tcBorders>
                  <w:noWrap w:val="0"/>
                  <w:vAlign w:val="center"/>
                </w:tcPr>
                <w:p w14:paraId="5B7969D6">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序号</w:t>
                  </w:r>
                </w:p>
              </w:tc>
              <w:tc>
                <w:tcPr>
                  <w:tcW w:w="796" w:type="pct"/>
                  <w:tcBorders>
                    <w:bottom w:val="single" w:color="000000" w:sz="12" w:space="0"/>
                    <w:tl2br w:val="nil"/>
                    <w:tr2bl w:val="nil"/>
                  </w:tcBorders>
                  <w:noWrap w:val="0"/>
                  <w:vAlign w:val="center"/>
                </w:tcPr>
                <w:p w14:paraId="0A120269">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建设内容</w:t>
                  </w:r>
                </w:p>
              </w:tc>
              <w:tc>
                <w:tcPr>
                  <w:tcW w:w="1358" w:type="pct"/>
                  <w:tcBorders>
                    <w:bottom w:val="single" w:color="000000" w:sz="12" w:space="0"/>
                    <w:tl2br w:val="nil"/>
                    <w:tr2bl w:val="nil"/>
                  </w:tcBorders>
                  <w:noWrap w:val="0"/>
                  <w:vAlign w:val="center"/>
                </w:tcPr>
                <w:p w14:paraId="538899D6">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土地类型</w:t>
                  </w:r>
                </w:p>
              </w:tc>
              <w:tc>
                <w:tcPr>
                  <w:tcW w:w="898" w:type="pct"/>
                  <w:tcBorders>
                    <w:bottom w:val="single" w:color="000000" w:sz="12" w:space="0"/>
                    <w:tl2br w:val="nil"/>
                    <w:tr2bl w:val="nil"/>
                  </w:tcBorders>
                  <w:noWrap w:val="0"/>
                  <w:vAlign w:val="center"/>
                </w:tcPr>
                <w:p w14:paraId="6D8270F3">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占地面积</w:t>
                  </w:r>
                </w:p>
              </w:tc>
              <w:tc>
                <w:tcPr>
                  <w:tcW w:w="765" w:type="pct"/>
                  <w:tcBorders>
                    <w:bottom w:val="single" w:color="000000" w:sz="12" w:space="0"/>
                    <w:tl2br w:val="nil"/>
                    <w:tr2bl w:val="nil"/>
                  </w:tcBorders>
                  <w:noWrap w:val="0"/>
                  <w:vAlign w:val="center"/>
                </w:tcPr>
                <w:p w14:paraId="09B70519">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占地性质</w:t>
                  </w:r>
                </w:p>
              </w:tc>
              <w:tc>
                <w:tcPr>
                  <w:tcW w:w="699" w:type="pct"/>
                  <w:tcBorders>
                    <w:bottom w:val="single" w:color="000000" w:sz="12" w:space="0"/>
                    <w:tl2br w:val="nil"/>
                    <w:tr2bl w:val="nil"/>
                  </w:tcBorders>
                  <w:noWrap w:val="0"/>
                  <w:vAlign w:val="center"/>
                </w:tcPr>
                <w:p w14:paraId="13778839">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备注</w:t>
                  </w:r>
                </w:p>
              </w:tc>
            </w:tr>
            <w:tr w14:paraId="26B4A6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480" w:type="pct"/>
                  <w:tcBorders>
                    <w:top w:val="single" w:color="000000" w:sz="12" w:space="0"/>
                    <w:tl2br w:val="nil"/>
                    <w:tr2bl w:val="nil"/>
                  </w:tcBorders>
                  <w:noWrap w:val="0"/>
                  <w:vAlign w:val="center"/>
                </w:tcPr>
                <w:p w14:paraId="52312778">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1</w:t>
                  </w:r>
                </w:p>
              </w:tc>
              <w:tc>
                <w:tcPr>
                  <w:tcW w:w="796" w:type="pct"/>
                  <w:tcBorders>
                    <w:top w:val="single" w:color="000000" w:sz="12" w:space="0"/>
                    <w:tl2br w:val="nil"/>
                    <w:tr2bl w:val="nil"/>
                  </w:tcBorders>
                  <w:noWrap w:val="0"/>
                  <w:vAlign w:val="center"/>
                </w:tcPr>
                <w:p w14:paraId="20888713">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露天采场</w:t>
                  </w:r>
                </w:p>
              </w:tc>
              <w:tc>
                <w:tcPr>
                  <w:tcW w:w="1358" w:type="pct"/>
                  <w:tcBorders>
                    <w:top w:val="single" w:color="000000" w:sz="12" w:space="0"/>
                    <w:tl2br w:val="nil"/>
                    <w:tr2bl w:val="nil"/>
                  </w:tcBorders>
                  <w:noWrap w:val="0"/>
                  <w:vAlign w:val="center"/>
                </w:tcPr>
                <w:p w14:paraId="64F0A0BF">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其他草地和</w:t>
                  </w: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其他</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林地</w:t>
                  </w:r>
                </w:p>
              </w:tc>
              <w:tc>
                <w:tcPr>
                  <w:tcW w:w="898" w:type="pct"/>
                  <w:tcBorders>
                    <w:top w:val="single" w:color="000000" w:sz="12" w:space="0"/>
                    <w:tl2br w:val="nil"/>
                    <w:tr2bl w:val="nil"/>
                  </w:tcBorders>
                  <w:noWrap w:val="0"/>
                  <w:vAlign w:val="center"/>
                </w:tcPr>
                <w:p w14:paraId="39EEF5E8">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auto"/>
                      <w:spacing w:val="0"/>
                      <w:w w:val="100"/>
                      <w:position w:val="0"/>
                      <w:sz w:val="24"/>
                      <w:szCs w:val="24"/>
                      <w:highlight w:val="none"/>
                      <w:lang w:val="en-US" w:eastAsia="zh-CN"/>
                    </w:rPr>
                    <w:t>501765.3m</w:t>
                  </w:r>
                  <w:r>
                    <w:rPr>
                      <w:rFonts w:hint="default" w:ascii="Times New Roman" w:hAnsi="Times New Roman" w:eastAsia="宋体" w:cs="Times New Roman"/>
                      <w:color w:val="auto"/>
                      <w:spacing w:val="0"/>
                      <w:w w:val="100"/>
                      <w:position w:val="0"/>
                      <w:sz w:val="24"/>
                      <w:szCs w:val="24"/>
                      <w:highlight w:val="none"/>
                      <w:vertAlign w:val="superscript"/>
                      <w:lang w:val="en-US" w:eastAsia="zh-CN"/>
                    </w:rPr>
                    <w:t>2</w:t>
                  </w:r>
                </w:p>
              </w:tc>
              <w:tc>
                <w:tcPr>
                  <w:tcW w:w="765" w:type="pct"/>
                  <w:tcBorders>
                    <w:top w:val="single" w:color="000000" w:sz="12" w:space="0"/>
                    <w:tl2br w:val="nil"/>
                    <w:tr2bl w:val="nil"/>
                  </w:tcBorders>
                  <w:noWrap w:val="0"/>
                  <w:vAlign w:val="center"/>
                </w:tcPr>
                <w:p w14:paraId="7E125D7A">
                  <w:pPr>
                    <w:widowControl/>
                    <w:adjustRightInd/>
                    <w:snapToGrid/>
                    <w:spacing w:line="240" w:lineRule="auto"/>
                    <w:ind w:firstLine="0" w:firstLineChars="0"/>
                    <w:jc w:val="center"/>
                    <w:rPr>
                      <w:rFonts w:hint="eastAsia" w:ascii="Times New Roman" w:hAnsi="Times New Roman" w:eastAsia="宋体" w:cs="Times New Roman"/>
                      <w:color w:val="000000" w:themeColor="text1"/>
                      <w:kern w:val="0"/>
                      <w:sz w:val="21"/>
                      <w:szCs w:val="21"/>
                      <w:highlight w:val="none"/>
                      <w:lang w:eastAsia="zh-CN"/>
                      <w14:textFill>
                        <w14:solidFill>
                          <w14:schemeClr w14:val="tx1"/>
                        </w14:solidFill>
                      </w14:textFill>
                    </w:rPr>
                  </w:pPr>
                  <w: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t>永久占地</w:t>
                  </w:r>
                </w:p>
              </w:tc>
              <w:tc>
                <w:tcPr>
                  <w:tcW w:w="699" w:type="pct"/>
                  <w:tcBorders>
                    <w:top w:val="single" w:color="000000" w:sz="12" w:space="0"/>
                    <w:tl2br w:val="nil"/>
                    <w:tr2bl w:val="nil"/>
                  </w:tcBorders>
                  <w:noWrap w:val="0"/>
                  <w:vAlign w:val="center"/>
                </w:tcPr>
                <w:p w14:paraId="07355EFF">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13年</w:t>
                  </w:r>
                </w:p>
              </w:tc>
            </w:tr>
            <w:tr w14:paraId="2B4AF5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480" w:type="pct"/>
                  <w:tcBorders>
                    <w:tl2br w:val="nil"/>
                    <w:tr2bl w:val="nil"/>
                  </w:tcBorders>
                  <w:noWrap w:val="0"/>
                  <w:vAlign w:val="center"/>
                </w:tcPr>
                <w:p w14:paraId="6658E793">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2</w:t>
                  </w:r>
                </w:p>
              </w:tc>
              <w:tc>
                <w:tcPr>
                  <w:tcW w:w="796" w:type="pct"/>
                  <w:tcBorders>
                    <w:tl2br w:val="nil"/>
                    <w:tr2bl w:val="nil"/>
                  </w:tcBorders>
                  <w:noWrap w:val="0"/>
                  <w:vAlign w:val="center"/>
                </w:tcPr>
                <w:p w14:paraId="3580E58F">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工业广场</w:t>
                  </w:r>
                </w:p>
              </w:tc>
              <w:tc>
                <w:tcPr>
                  <w:tcW w:w="1358" w:type="pct"/>
                  <w:tcBorders>
                    <w:tl2br w:val="nil"/>
                    <w:tr2bl w:val="nil"/>
                  </w:tcBorders>
                  <w:noWrap w:val="0"/>
                  <w:vAlign w:val="center"/>
                </w:tcPr>
                <w:p w14:paraId="423799AF">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其他草地</w:t>
                  </w:r>
                </w:p>
              </w:tc>
              <w:tc>
                <w:tcPr>
                  <w:tcW w:w="898" w:type="pct"/>
                  <w:tcBorders>
                    <w:tl2br w:val="nil"/>
                    <w:tr2bl w:val="nil"/>
                  </w:tcBorders>
                  <w:noWrap w:val="0"/>
                  <w:vAlign w:val="center"/>
                </w:tcPr>
                <w:p w14:paraId="34039C6C">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auto"/>
                      <w:spacing w:val="0"/>
                      <w:w w:val="100"/>
                      <w:position w:val="0"/>
                      <w:sz w:val="24"/>
                      <w:szCs w:val="24"/>
                      <w:highlight w:val="none"/>
                      <w:vertAlign w:val="baseline"/>
                      <w:lang w:val="en-US" w:eastAsia="zh-CN"/>
                    </w:rPr>
                    <w:t>22666.67</w:t>
                  </w:r>
                  <w:r>
                    <w:rPr>
                      <w:rFonts w:hint="default" w:ascii="Times New Roman" w:hAnsi="Times New Roman" w:eastAsia="宋体" w:cs="Times New Roman"/>
                      <w:color w:val="auto"/>
                      <w:spacing w:val="0"/>
                      <w:w w:val="100"/>
                      <w:position w:val="0"/>
                      <w:sz w:val="24"/>
                      <w:szCs w:val="24"/>
                      <w:highlight w:val="none"/>
                      <w:lang w:val="en-US" w:eastAsia="zh-CN"/>
                    </w:rPr>
                    <w:t>m</w:t>
                  </w:r>
                  <w:r>
                    <w:rPr>
                      <w:rFonts w:hint="default" w:ascii="Times New Roman" w:hAnsi="Times New Roman" w:eastAsia="宋体" w:cs="Times New Roman"/>
                      <w:color w:val="auto"/>
                      <w:spacing w:val="0"/>
                      <w:w w:val="100"/>
                      <w:position w:val="0"/>
                      <w:sz w:val="24"/>
                      <w:szCs w:val="24"/>
                      <w:highlight w:val="none"/>
                      <w:vertAlign w:val="superscript"/>
                      <w:lang w:val="en-US" w:eastAsia="zh-CN"/>
                    </w:rPr>
                    <w:t>2</w:t>
                  </w:r>
                </w:p>
              </w:tc>
              <w:tc>
                <w:tcPr>
                  <w:tcW w:w="765" w:type="pct"/>
                  <w:tcBorders>
                    <w:tl2br w:val="nil"/>
                    <w:tr2bl w:val="nil"/>
                  </w:tcBorders>
                  <w:noWrap w:val="0"/>
                  <w:vAlign w:val="center"/>
                </w:tcPr>
                <w:p w14:paraId="69D9A9EA">
                  <w:pPr>
                    <w:widowControl/>
                    <w:adjustRightInd/>
                    <w:snapToGrid/>
                    <w:spacing w:line="240" w:lineRule="auto"/>
                    <w:ind w:firstLine="0" w:firstLineChars="0"/>
                    <w:jc w:val="center"/>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t>永久占地</w:t>
                  </w:r>
                </w:p>
              </w:tc>
              <w:tc>
                <w:tcPr>
                  <w:tcW w:w="699" w:type="pct"/>
                  <w:tcBorders>
                    <w:tl2br w:val="nil"/>
                    <w:tr2bl w:val="nil"/>
                  </w:tcBorders>
                  <w:noWrap w:val="0"/>
                  <w:vAlign w:val="center"/>
                </w:tcPr>
                <w:p w14:paraId="32C40E28">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13年</w:t>
                  </w:r>
                </w:p>
              </w:tc>
            </w:tr>
            <w:tr w14:paraId="18ECC2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480" w:type="pct"/>
                  <w:tcBorders>
                    <w:tl2br w:val="nil"/>
                    <w:tr2bl w:val="nil"/>
                  </w:tcBorders>
                  <w:noWrap w:val="0"/>
                  <w:vAlign w:val="center"/>
                </w:tcPr>
                <w:p w14:paraId="15BEDE07">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3</w:t>
                  </w:r>
                </w:p>
              </w:tc>
              <w:tc>
                <w:tcPr>
                  <w:tcW w:w="796" w:type="pct"/>
                  <w:tcBorders>
                    <w:tl2br w:val="nil"/>
                    <w:tr2bl w:val="nil"/>
                  </w:tcBorders>
                  <w:noWrap w:val="0"/>
                  <w:vAlign w:val="center"/>
                </w:tcPr>
                <w:p w14:paraId="5E8C9C45">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破碎区</w:t>
                  </w:r>
                </w:p>
              </w:tc>
              <w:tc>
                <w:tcPr>
                  <w:tcW w:w="1358" w:type="pct"/>
                  <w:tcBorders>
                    <w:tl2br w:val="nil"/>
                    <w:tr2bl w:val="nil"/>
                  </w:tcBorders>
                  <w:noWrap w:val="0"/>
                  <w:vAlign w:val="center"/>
                </w:tcPr>
                <w:p w14:paraId="03F7DFD3">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其他草地</w:t>
                  </w:r>
                </w:p>
              </w:tc>
              <w:tc>
                <w:tcPr>
                  <w:tcW w:w="898" w:type="pct"/>
                  <w:tcBorders>
                    <w:tl2br w:val="nil"/>
                    <w:tr2bl w:val="nil"/>
                  </w:tcBorders>
                  <w:noWrap w:val="0"/>
                  <w:vAlign w:val="center"/>
                </w:tcPr>
                <w:p w14:paraId="1480AF23">
                  <w:pPr>
                    <w:widowControl/>
                    <w:adjustRightInd/>
                    <w:snapToGrid/>
                    <w:spacing w:line="240" w:lineRule="auto"/>
                    <w:ind w:firstLine="0" w:firstLineChars="0"/>
                    <w:jc w:val="center"/>
                    <w:rPr>
                      <w:rFonts w:hint="default" w:ascii="Times New Roman" w:hAnsi="Times New Roman" w:eastAsia="宋体" w:cs="Times New Roman"/>
                      <w:color w:val="auto"/>
                      <w:spacing w:val="0"/>
                      <w:w w:val="100"/>
                      <w:position w:val="0"/>
                      <w:sz w:val="24"/>
                      <w:szCs w:val="24"/>
                      <w:highlight w:val="none"/>
                      <w:vertAlign w:val="baseline"/>
                      <w:lang w:val="en-US" w:eastAsia="zh-CN"/>
                    </w:rPr>
                  </w:pPr>
                  <w:r>
                    <w:rPr>
                      <w:rFonts w:hint="eastAsia" w:ascii="Times New Roman" w:hAnsi="Times New Roman" w:eastAsia="宋体" w:cs="Times New Roman"/>
                      <w:color w:val="auto"/>
                      <w:spacing w:val="0"/>
                      <w:w w:val="100"/>
                      <w:position w:val="0"/>
                      <w:sz w:val="24"/>
                      <w:szCs w:val="24"/>
                      <w:highlight w:val="none"/>
                      <w:vertAlign w:val="baseline"/>
                      <w:lang w:val="en-US" w:eastAsia="zh-CN"/>
                    </w:rPr>
                    <w:t>3000</w:t>
                  </w:r>
                  <w:r>
                    <w:rPr>
                      <w:rFonts w:hint="default" w:ascii="Times New Roman" w:hAnsi="Times New Roman" w:eastAsia="宋体" w:cs="Times New Roman"/>
                      <w:color w:val="auto"/>
                      <w:spacing w:val="0"/>
                      <w:w w:val="100"/>
                      <w:position w:val="0"/>
                      <w:sz w:val="24"/>
                      <w:szCs w:val="24"/>
                      <w:highlight w:val="none"/>
                      <w:lang w:val="en-US" w:eastAsia="zh-CN"/>
                    </w:rPr>
                    <w:t>m</w:t>
                  </w:r>
                  <w:r>
                    <w:rPr>
                      <w:rFonts w:hint="default" w:ascii="Times New Roman" w:hAnsi="Times New Roman" w:eastAsia="宋体" w:cs="Times New Roman"/>
                      <w:color w:val="auto"/>
                      <w:spacing w:val="0"/>
                      <w:w w:val="100"/>
                      <w:position w:val="0"/>
                      <w:sz w:val="24"/>
                      <w:szCs w:val="24"/>
                      <w:highlight w:val="none"/>
                      <w:vertAlign w:val="superscript"/>
                      <w:lang w:val="en-US" w:eastAsia="zh-CN"/>
                    </w:rPr>
                    <w:t>2</w:t>
                  </w:r>
                </w:p>
              </w:tc>
              <w:tc>
                <w:tcPr>
                  <w:tcW w:w="765" w:type="pct"/>
                  <w:tcBorders>
                    <w:tl2br w:val="nil"/>
                    <w:tr2bl w:val="nil"/>
                  </w:tcBorders>
                  <w:noWrap w:val="0"/>
                  <w:vAlign w:val="center"/>
                </w:tcPr>
                <w:p w14:paraId="7039F3F1">
                  <w:pPr>
                    <w:widowControl/>
                    <w:adjustRightInd/>
                    <w:snapToGrid/>
                    <w:spacing w:line="240" w:lineRule="auto"/>
                    <w:ind w:firstLine="0" w:firstLineChars="0"/>
                    <w:jc w:val="cente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t>永久占地</w:t>
                  </w:r>
                </w:p>
              </w:tc>
              <w:tc>
                <w:tcPr>
                  <w:tcW w:w="699" w:type="pct"/>
                  <w:tcBorders>
                    <w:tl2br w:val="nil"/>
                    <w:tr2bl w:val="nil"/>
                  </w:tcBorders>
                  <w:noWrap w:val="0"/>
                  <w:vAlign w:val="center"/>
                </w:tcPr>
                <w:p w14:paraId="7F3D7AD2">
                  <w:pPr>
                    <w:widowControl/>
                    <w:adjustRightInd/>
                    <w:snapToGrid/>
                    <w:spacing w:line="240" w:lineRule="auto"/>
                    <w:ind w:firstLine="0" w:firstLineChars="0"/>
                    <w:jc w:val="cente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位于工业广场内</w:t>
                  </w:r>
                </w:p>
              </w:tc>
            </w:tr>
            <w:tr w14:paraId="4A0C29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480" w:type="pct"/>
                  <w:tcBorders>
                    <w:tl2br w:val="nil"/>
                    <w:tr2bl w:val="nil"/>
                  </w:tcBorders>
                  <w:noWrap w:val="0"/>
                  <w:vAlign w:val="center"/>
                </w:tcPr>
                <w:p w14:paraId="12A5F69C">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4</w:t>
                  </w:r>
                </w:p>
              </w:tc>
              <w:tc>
                <w:tcPr>
                  <w:tcW w:w="796" w:type="pct"/>
                  <w:tcBorders>
                    <w:tl2br w:val="nil"/>
                    <w:tr2bl w:val="nil"/>
                  </w:tcBorders>
                  <w:noWrap w:val="0"/>
                  <w:vAlign w:val="center"/>
                </w:tcPr>
                <w:p w14:paraId="1E380937">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筛分区</w:t>
                  </w:r>
                </w:p>
              </w:tc>
              <w:tc>
                <w:tcPr>
                  <w:tcW w:w="1358" w:type="pct"/>
                  <w:tcBorders>
                    <w:tl2br w:val="nil"/>
                    <w:tr2bl w:val="nil"/>
                  </w:tcBorders>
                  <w:noWrap w:val="0"/>
                  <w:vAlign w:val="center"/>
                </w:tcPr>
                <w:p w14:paraId="5C2224A0">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其他草地</w:t>
                  </w:r>
                </w:p>
              </w:tc>
              <w:tc>
                <w:tcPr>
                  <w:tcW w:w="898" w:type="pct"/>
                  <w:tcBorders>
                    <w:tl2br w:val="nil"/>
                    <w:tr2bl w:val="nil"/>
                  </w:tcBorders>
                  <w:noWrap w:val="0"/>
                  <w:vAlign w:val="center"/>
                </w:tcPr>
                <w:p w14:paraId="44506ACA">
                  <w:pPr>
                    <w:widowControl/>
                    <w:adjustRightInd/>
                    <w:snapToGrid/>
                    <w:spacing w:line="240" w:lineRule="auto"/>
                    <w:ind w:firstLine="0" w:firstLineChars="0"/>
                    <w:jc w:val="center"/>
                    <w:rPr>
                      <w:rFonts w:hint="default" w:ascii="Times New Roman" w:hAnsi="Times New Roman" w:eastAsia="宋体" w:cs="Times New Roman"/>
                      <w:color w:val="auto"/>
                      <w:spacing w:val="0"/>
                      <w:w w:val="100"/>
                      <w:position w:val="0"/>
                      <w:sz w:val="24"/>
                      <w:szCs w:val="24"/>
                      <w:highlight w:val="none"/>
                      <w:vertAlign w:val="baseline"/>
                      <w:lang w:val="en-US" w:eastAsia="zh-CN"/>
                    </w:rPr>
                  </w:pPr>
                  <w:r>
                    <w:rPr>
                      <w:rFonts w:hint="eastAsia" w:ascii="Times New Roman" w:hAnsi="Times New Roman" w:eastAsia="宋体" w:cs="Times New Roman"/>
                      <w:color w:val="auto"/>
                      <w:spacing w:val="0"/>
                      <w:w w:val="100"/>
                      <w:position w:val="0"/>
                      <w:sz w:val="24"/>
                      <w:szCs w:val="24"/>
                      <w:highlight w:val="none"/>
                      <w:vertAlign w:val="baseline"/>
                      <w:lang w:val="en-US" w:eastAsia="zh-CN"/>
                    </w:rPr>
                    <w:t>3000</w:t>
                  </w:r>
                  <w:r>
                    <w:rPr>
                      <w:rFonts w:hint="default" w:ascii="Times New Roman" w:hAnsi="Times New Roman" w:eastAsia="宋体" w:cs="Times New Roman"/>
                      <w:color w:val="auto"/>
                      <w:spacing w:val="0"/>
                      <w:w w:val="100"/>
                      <w:position w:val="0"/>
                      <w:sz w:val="24"/>
                      <w:szCs w:val="24"/>
                      <w:highlight w:val="none"/>
                      <w:lang w:val="en-US" w:eastAsia="zh-CN"/>
                    </w:rPr>
                    <w:t>m</w:t>
                  </w:r>
                  <w:r>
                    <w:rPr>
                      <w:rFonts w:hint="default" w:ascii="Times New Roman" w:hAnsi="Times New Roman" w:eastAsia="宋体" w:cs="Times New Roman"/>
                      <w:color w:val="auto"/>
                      <w:spacing w:val="0"/>
                      <w:w w:val="100"/>
                      <w:position w:val="0"/>
                      <w:sz w:val="24"/>
                      <w:szCs w:val="24"/>
                      <w:highlight w:val="none"/>
                      <w:vertAlign w:val="superscript"/>
                      <w:lang w:val="en-US" w:eastAsia="zh-CN"/>
                    </w:rPr>
                    <w:t>2</w:t>
                  </w:r>
                </w:p>
              </w:tc>
              <w:tc>
                <w:tcPr>
                  <w:tcW w:w="765" w:type="pct"/>
                  <w:tcBorders>
                    <w:tl2br w:val="nil"/>
                    <w:tr2bl w:val="nil"/>
                  </w:tcBorders>
                  <w:noWrap w:val="0"/>
                  <w:vAlign w:val="center"/>
                </w:tcPr>
                <w:p w14:paraId="33E54D70">
                  <w:pPr>
                    <w:widowControl/>
                    <w:adjustRightInd/>
                    <w:snapToGrid/>
                    <w:spacing w:line="240" w:lineRule="auto"/>
                    <w:ind w:firstLine="0" w:firstLineChars="0"/>
                    <w:jc w:val="cente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t>永久占地</w:t>
                  </w:r>
                </w:p>
              </w:tc>
              <w:tc>
                <w:tcPr>
                  <w:tcW w:w="699" w:type="pct"/>
                  <w:tcBorders>
                    <w:tl2br w:val="nil"/>
                    <w:tr2bl w:val="nil"/>
                  </w:tcBorders>
                  <w:noWrap w:val="0"/>
                  <w:vAlign w:val="center"/>
                </w:tcPr>
                <w:p w14:paraId="16FFC22E">
                  <w:pPr>
                    <w:widowControl/>
                    <w:adjustRightInd/>
                    <w:snapToGrid/>
                    <w:spacing w:line="240" w:lineRule="auto"/>
                    <w:ind w:firstLine="0" w:firstLineChars="0"/>
                    <w:jc w:val="cente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位于工业广场内</w:t>
                  </w:r>
                </w:p>
              </w:tc>
            </w:tr>
            <w:tr w14:paraId="02F608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480" w:type="pct"/>
                  <w:tcBorders>
                    <w:tl2br w:val="nil"/>
                    <w:tr2bl w:val="nil"/>
                  </w:tcBorders>
                  <w:noWrap w:val="0"/>
                  <w:vAlign w:val="center"/>
                </w:tcPr>
                <w:p w14:paraId="4D335221">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5</w:t>
                  </w:r>
                </w:p>
              </w:tc>
              <w:tc>
                <w:tcPr>
                  <w:tcW w:w="796" w:type="pct"/>
                  <w:tcBorders>
                    <w:tl2br w:val="nil"/>
                    <w:tr2bl w:val="nil"/>
                  </w:tcBorders>
                  <w:noWrap w:val="0"/>
                  <w:vAlign w:val="center"/>
                </w:tcPr>
                <w:p w14:paraId="09039DD9">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洗砂区</w:t>
                  </w:r>
                </w:p>
              </w:tc>
              <w:tc>
                <w:tcPr>
                  <w:tcW w:w="1358" w:type="pct"/>
                  <w:tcBorders>
                    <w:tl2br w:val="nil"/>
                    <w:tr2bl w:val="nil"/>
                  </w:tcBorders>
                  <w:noWrap w:val="0"/>
                  <w:vAlign w:val="center"/>
                </w:tcPr>
                <w:p w14:paraId="442C517A">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其他草地</w:t>
                  </w:r>
                </w:p>
              </w:tc>
              <w:tc>
                <w:tcPr>
                  <w:tcW w:w="898" w:type="pct"/>
                  <w:tcBorders>
                    <w:tl2br w:val="nil"/>
                    <w:tr2bl w:val="nil"/>
                  </w:tcBorders>
                  <w:noWrap w:val="0"/>
                  <w:vAlign w:val="center"/>
                </w:tcPr>
                <w:p w14:paraId="051CC3D7">
                  <w:pPr>
                    <w:widowControl/>
                    <w:adjustRightInd/>
                    <w:snapToGrid/>
                    <w:spacing w:line="240" w:lineRule="auto"/>
                    <w:ind w:firstLine="0" w:firstLineChars="0"/>
                    <w:jc w:val="center"/>
                    <w:rPr>
                      <w:rFonts w:hint="default" w:ascii="Times New Roman" w:hAnsi="Times New Roman" w:eastAsia="宋体" w:cs="Times New Roman"/>
                      <w:color w:val="auto"/>
                      <w:spacing w:val="0"/>
                      <w:w w:val="100"/>
                      <w:position w:val="0"/>
                      <w:sz w:val="24"/>
                      <w:szCs w:val="24"/>
                      <w:highlight w:val="none"/>
                      <w:vertAlign w:val="baseline"/>
                      <w:lang w:val="en-US" w:eastAsia="zh-CN"/>
                    </w:rPr>
                  </w:pPr>
                  <w:r>
                    <w:rPr>
                      <w:rFonts w:hint="eastAsia" w:ascii="Times New Roman" w:hAnsi="Times New Roman" w:eastAsia="宋体" w:cs="Times New Roman"/>
                      <w:color w:val="auto"/>
                      <w:spacing w:val="0"/>
                      <w:w w:val="100"/>
                      <w:position w:val="0"/>
                      <w:sz w:val="24"/>
                      <w:szCs w:val="24"/>
                      <w:highlight w:val="none"/>
                      <w:vertAlign w:val="baseline"/>
                      <w:lang w:val="en-US" w:eastAsia="zh-CN"/>
                    </w:rPr>
                    <w:t>3000</w:t>
                  </w:r>
                  <w:r>
                    <w:rPr>
                      <w:rFonts w:hint="default" w:ascii="Times New Roman" w:hAnsi="Times New Roman" w:eastAsia="宋体" w:cs="Times New Roman"/>
                      <w:color w:val="auto"/>
                      <w:spacing w:val="0"/>
                      <w:w w:val="100"/>
                      <w:position w:val="0"/>
                      <w:sz w:val="24"/>
                      <w:szCs w:val="24"/>
                      <w:highlight w:val="none"/>
                      <w:lang w:val="en-US" w:eastAsia="zh-CN"/>
                    </w:rPr>
                    <w:t>m</w:t>
                  </w:r>
                  <w:r>
                    <w:rPr>
                      <w:rFonts w:hint="default" w:ascii="Times New Roman" w:hAnsi="Times New Roman" w:eastAsia="宋体" w:cs="Times New Roman"/>
                      <w:color w:val="auto"/>
                      <w:spacing w:val="0"/>
                      <w:w w:val="100"/>
                      <w:position w:val="0"/>
                      <w:sz w:val="24"/>
                      <w:szCs w:val="24"/>
                      <w:highlight w:val="none"/>
                      <w:vertAlign w:val="superscript"/>
                      <w:lang w:val="en-US" w:eastAsia="zh-CN"/>
                    </w:rPr>
                    <w:t>2</w:t>
                  </w:r>
                </w:p>
              </w:tc>
              <w:tc>
                <w:tcPr>
                  <w:tcW w:w="765" w:type="pct"/>
                  <w:tcBorders>
                    <w:tl2br w:val="nil"/>
                    <w:tr2bl w:val="nil"/>
                  </w:tcBorders>
                  <w:noWrap w:val="0"/>
                  <w:vAlign w:val="center"/>
                </w:tcPr>
                <w:p w14:paraId="332C800D">
                  <w:pPr>
                    <w:widowControl/>
                    <w:adjustRightInd/>
                    <w:snapToGrid/>
                    <w:spacing w:line="240" w:lineRule="auto"/>
                    <w:ind w:firstLine="0" w:firstLineChars="0"/>
                    <w:jc w:val="cente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t>永久占地</w:t>
                  </w:r>
                </w:p>
              </w:tc>
              <w:tc>
                <w:tcPr>
                  <w:tcW w:w="699" w:type="pct"/>
                  <w:tcBorders>
                    <w:tl2br w:val="nil"/>
                    <w:tr2bl w:val="nil"/>
                  </w:tcBorders>
                  <w:noWrap w:val="0"/>
                  <w:vAlign w:val="center"/>
                </w:tcPr>
                <w:p w14:paraId="2D1FD06A">
                  <w:pPr>
                    <w:widowControl/>
                    <w:adjustRightInd/>
                    <w:snapToGrid/>
                    <w:spacing w:line="240" w:lineRule="auto"/>
                    <w:ind w:firstLine="0" w:firstLineChars="0"/>
                    <w:jc w:val="cente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位于工业广场内</w:t>
                  </w:r>
                </w:p>
              </w:tc>
            </w:tr>
            <w:tr w14:paraId="0D8208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480" w:type="pct"/>
                  <w:tcBorders>
                    <w:tl2br w:val="nil"/>
                    <w:tr2bl w:val="nil"/>
                  </w:tcBorders>
                  <w:noWrap w:val="0"/>
                  <w:vAlign w:val="center"/>
                </w:tcPr>
                <w:p w14:paraId="38AFA06C">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6</w:t>
                  </w:r>
                </w:p>
              </w:tc>
              <w:tc>
                <w:tcPr>
                  <w:tcW w:w="796" w:type="pct"/>
                  <w:tcBorders>
                    <w:tl2br w:val="nil"/>
                    <w:tr2bl w:val="nil"/>
                  </w:tcBorders>
                  <w:noWrap w:val="0"/>
                  <w:vAlign w:val="center"/>
                </w:tcPr>
                <w:p w14:paraId="16BA48E3">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成品堆场</w:t>
                  </w:r>
                </w:p>
              </w:tc>
              <w:tc>
                <w:tcPr>
                  <w:tcW w:w="1358" w:type="pct"/>
                  <w:tcBorders>
                    <w:tl2br w:val="nil"/>
                    <w:tr2bl w:val="nil"/>
                  </w:tcBorders>
                  <w:noWrap w:val="0"/>
                  <w:vAlign w:val="center"/>
                </w:tcPr>
                <w:p w14:paraId="1C394249">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其他草地</w:t>
                  </w:r>
                </w:p>
              </w:tc>
              <w:tc>
                <w:tcPr>
                  <w:tcW w:w="898" w:type="pct"/>
                  <w:tcBorders>
                    <w:tl2br w:val="nil"/>
                    <w:tr2bl w:val="nil"/>
                  </w:tcBorders>
                  <w:noWrap w:val="0"/>
                  <w:vAlign w:val="center"/>
                </w:tcPr>
                <w:p w14:paraId="0FAFC554">
                  <w:pPr>
                    <w:widowControl/>
                    <w:adjustRightInd/>
                    <w:snapToGrid/>
                    <w:spacing w:line="240" w:lineRule="auto"/>
                    <w:ind w:firstLine="0" w:firstLineChars="0"/>
                    <w:jc w:val="center"/>
                    <w:rPr>
                      <w:rFonts w:hint="default" w:ascii="Times New Roman" w:hAnsi="Times New Roman" w:eastAsia="宋体" w:cs="Times New Roman"/>
                      <w:color w:val="auto"/>
                      <w:spacing w:val="0"/>
                      <w:w w:val="100"/>
                      <w:position w:val="0"/>
                      <w:sz w:val="24"/>
                      <w:szCs w:val="24"/>
                      <w:highlight w:val="none"/>
                      <w:vertAlign w:val="baseline"/>
                      <w:lang w:val="en-US" w:eastAsia="zh-CN"/>
                    </w:rPr>
                  </w:pPr>
                  <w:r>
                    <w:rPr>
                      <w:rFonts w:hint="eastAsia" w:ascii="Times New Roman" w:hAnsi="Times New Roman" w:eastAsia="宋体" w:cs="Times New Roman"/>
                      <w:color w:val="auto"/>
                      <w:spacing w:val="0"/>
                      <w:w w:val="100"/>
                      <w:position w:val="0"/>
                      <w:sz w:val="24"/>
                      <w:szCs w:val="24"/>
                      <w:highlight w:val="none"/>
                      <w:vertAlign w:val="baseline"/>
                      <w:lang w:val="en-US" w:eastAsia="zh-CN"/>
                    </w:rPr>
                    <w:t>10000m</w:t>
                  </w:r>
                  <w:r>
                    <w:rPr>
                      <w:rFonts w:hint="eastAsia" w:ascii="Times New Roman" w:hAnsi="Times New Roman" w:eastAsia="宋体" w:cs="Times New Roman"/>
                      <w:color w:val="auto"/>
                      <w:spacing w:val="0"/>
                      <w:w w:val="100"/>
                      <w:position w:val="0"/>
                      <w:sz w:val="24"/>
                      <w:szCs w:val="24"/>
                      <w:highlight w:val="none"/>
                      <w:vertAlign w:val="superscript"/>
                      <w:lang w:val="en-US" w:eastAsia="zh-CN"/>
                    </w:rPr>
                    <w:t>2</w:t>
                  </w:r>
                </w:p>
              </w:tc>
              <w:tc>
                <w:tcPr>
                  <w:tcW w:w="765" w:type="pct"/>
                  <w:tcBorders>
                    <w:tl2br w:val="nil"/>
                    <w:tr2bl w:val="nil"/>
                  </w:tcBorders>
                  <w:noWrap w:val="0"/>
                  <w:vAlign w:val="center"/>
                </w:tcPr>
                <w:p w14:paraId="6E1EE69E">
                  <w:pPr>
                    <w:widowControl/>
                    <w:adjustRightInd/>
                    <w:snapToGrid/>
                    <w:spacing w:line="240" w:lineRule="auto"/>
                    <w:ind w:firstLine="0" w:firstLineChars="0"/>
                    <w:jc w:val="cente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t>永久占地</w:t>
                  </w:r>
                </w:p>
              </w:tc>
              <w:tc>
                <w:tcPr>
                  <w:tcW w:w="699" w:type="pct"/>
                  <w:tcBorders>
                    <w:tl2br w:val="nil"/>
                    <w:tr2bl w:val="nil"/>
                  </w:tcBorders>
                  <w:noWrap w:val="0"/>
                  <w:vAlign w:val="center"/>
                </w:tcPr>
                <w:p w14:paraId="24EDC3A2">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位于工业广场内</w:t>
                  </w:r>
                </w:p>
              </w:tc>
            </w:tr>
            <w:tr w14:paraId="7A5850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480" w:type="pct"/>
                  <w:tcBorders>
                    <w:tl2br w:val="nil"/>
                    <w:tr2bl w:val="nil"/>
                  </w:tcBorders>
                  <w:noWrap w:val="0"/>
                  <w:vAlign w:val="center"/>
                </w:tcPr>
                <w:p w14:paraId="571CF5C1">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7</w:t>
                  </w:r>
                </w:p>
              </w:tc>
              <w:tc>
                <w:tcPr>
                  <w:tcW w:w="796" w:type="pct"/>
                  <w:tcBorders>
                    <w:tl2br w:val="nil"/>
                    <w:tr2bl w:val="nil"/>
                  </w:tcBorders>
                  <w:noWrap w:val="0"/>
                  <w:vAlign w:val="center"/>
                </w:tcPr>
                <w:p w14:paraId="748C55B4">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沉淀池</w:t>
                  </w:r>
                </w:p>
              </w:tc>
              <w:tc>
                <w:tcPr>
                  <w:tcW w:w="1358" w:type="pct"/>
                  <w:tcBorders>
                    <w:tl2br w:val="nil"/>
                    <w:tr2bl w:val="nil"/>
                  </w:tcBorders>
                  <w:noWrap w:val="0"/>
                  <w:vAlign w:val="center"/>
                </w:tcPr>
                <w:p w14:paraId="2ADDBC45">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其他草地</w:t>
                  </w:r>
                </w:p>
              </w:tc>
              <w:tc>
                <w:tcPr>
                  <w:tcW w:w="898" w:type="pct"/>
                  <w:tcBorders>
                    <w:tl2br w:val="nil"/>
                    <w:tr2bl w:val="nil"/>
                  </w:tcBorders>
                  <w:noWrap w:val="0"/>
                  <w:vAlign w:val="center"/>
                </w:tcPr>
                <w:p w14:paraId="4D8EBF9B">
                  <w:pPr>
                    <w:widowControl/>
                    <w:adjustRightInd/>
                    <w:snapToGrid/>
                    <w:spacing w:line="240" w:lineRule="auto"/>
                    <w:ind w:firstLine="0" w:firstLineChars="0"/>
                    <w:jc w:val="center"/>
                    <w:rPr>
                      <w:rFonts w:hint="default" w:ascii="Times New Roman" w:hAnsi="Times New Roman" w:eastAsia="宋体" w:cs="Times New Roman"/>
                      <w:color w:val="auto"/>
                      <w:spacing w:val="0"/>
                      <w:w w:val="100"/>
                      <w:position w:val="0"/>
                      <w:sz w:val="24"/>
                      <w:szCs w:val="24"/>
                      <w:highlight w:val="none"/>
                      <w:vertAlign w:val="baseline"/>
                      <w:lang w:val="en-US" w:eastAsia="zh-CN"/>
                    </w:rPr>
                  </w:pPr>
                  <w:r>
                    <w:rPr>
                      <w:rFonts w:hint="eastAsia" w:ascii="Times New Roman" w:hAnsi="Times New Roman" w:eastAsia="宋体" w:cs="Times New Roman"/>
                      <w:color w:val="auto"/>
                      <w:spacing w:val="0"/>
                      <w:w w:val="100"/>
                      <w:position w:val="0"/>
                      <w:sz w:val="24"/>
                      <w:szCs w:val="24"/>
                      <w:highlight w:val="none"/>
                      <w:vertAlign w:val="baseline"/>
                      <w:lang w:val="en-US" w:eastAsia="zh-CN"/>
                    </w:rPr>
                    <w:t>100m</w:t>
                  </w:r>
                  <w:r>
                    <w:rPr>
                      <w:rFonts w:hint="eastAsia" w:ascii="Times New Roman" w:hAnsi="Times New Roman" w:eastAsia="宋体" w:cs="Times New Roman"/>
                      <w:color w:val="auto"/>
                      <w:spacing w:val="0"/>
                      <w:w w:val="100"/>
                      <w:position w:val="0"/>
                      <w:sz w:val="24"/>
                      <w:szCs w:val="24"/>
                      <w:highlight w:val="none"/>
                      <w:vertAlign w:val="superscript"/>
                      <w:lang w:val="en-US" w:eastAsia="zh-CN"/>
                    </w:rPr>
                    <w:t>2</w:t>
                  </w:r>
                </w:p>
              </w:tc>
              <w:tc>
                <w:tcPr>
                  <w:tcW w:w="765" w:type="pct"/>
                  <w:tcBorders>
                    <w:tl2br w:val="nil"/>
                    <w:tr2bl w:val="nil"/>
                  </w:tcBorders>
                  <w:noWrap w:val="0"/>
                  <w:vAlign w:val="center"/>
                </w:tcPr>
                <w:p w14:paraId="1B2D2EE0">
                  <w:pPr>
                    <w:widowControl/>
                    <w:adjustRightInd/>
                    <w:snapToGrid/>
                    <w:spacing w:line="240" w:lineRule="auto"/>
                    <w:ind w:firstLine="0" w:firstLineChars="0"/>
                    <w:jc w:val="cente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t>永久占地</w:t>
                  </w:r>
                </w:p>
              </w:tc>
              <w:tc>
                <w:tcPr>
                  <w:tcW w:w="699" w:type="pct"/>
                  <w:tcBorders>
                    <w:tl2br w:val="nil"/>
                    <w:tr2bl w:val="nil"/>
                  </w:tcBorders>
                  <w:noWrap w:val="0"/>
                  <w:vAlign w:val="center"/>
                </w:tcPr>
                <w:p w14:paraId="43A05F9C">
                  <w:pPr>
                    <w:widowControl/>
                    <w:adjustRightInd/>
                    <w:snapToGrid/>
                    <w:spacing w:line="240" w:lineRule="auto"/>
                    <w:ind w:firstLine="0" w:firstLineChars="0"/>
                    <w:jc w:val="cente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位于工业广场内</w:t>
                  </w:r>
                </w:p>
              </w:tc>
            </w:tr>
            <w:tr w14:paraId="0F428A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480" w:type="pct"/>
                  <w:tcBorders>
                    <w:tl2br w:val="nil"/>
                    <w:tr2bl w:val="nil"/>
                  </w:tcBorders>
                  <w:noWrap w:val="0"/>
                  <w:vAlign w:val="center"/>
                </w:tcPr>
                <w:p w14:paraId="2DABAF60">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8</w:t>
                  </w:r>
                </w:p>
              </w:tc>
              <w:tc>
                <w:tcPr>
                  <w:tcW w:w="796" w:type="pct"/>
                  <w:tcBorders>
                    <w:tl2br w:val="nil"/>
                    <w:tr2bl w:val="nil"/>
                  </w:tcBorders>
                  <w:noWrap w:val="0"/>
                  <w:vAlign w:val="center"/>
                </w:tcPr>
                <w:p w14:paraId="75EA470F">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场内道路</w:t>
                  </w:r>
                </w:p>
              </w:tc>
              <w:tc>
                <w:tcPr>
                  <w:tcW w:w="1358" w:type="pct"/>
                  <w:tcBorders>
                    <w:tl2br w:val="nil"/>
                    <w:tr2bl w:val="nil"/>
                  </w:tcBorders>
                  <w:noWrap w:val="0"/>
                  <w:vAlign w:val="center"/>
                </w:tcPr>
                <w:p w14:paraId="41EA2093">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其他草地</w:t>
                  </w:r>
                </w:p>
              </w:tc>
              <w:tc>
                <w:tcPr>
                  <w:tcW w:w="898" w:type="pct"/>
                  <w:tcBorders>
                    <w:tl2br w:val="nil"/>
                    <w:tr2bl w:val="nil"/>
                  </w:tcBorders>
                  <w:noWrap w:val="0"/>
                  <w:vAlign w:val="center"/>
                </w:tcPr>
                <w:p w14:paraId="34187275">
                  <w:pPr>
                    <w:widowControl/>
                    <w:adjustRightInd/>
                    <w:snapToGrid/>
                    <w:spacing w:line="240" w:lineRule="auto"/>
                    <w:ind w:firstLine="0" w:firstLineChars="0"/>
                    <w:jc w:val="center"/>
                    <w:rPr>
                      <w:rFonts w:hint="default" w:ascii="Times New Roman" w:hAnsi="Times New Roman" w:eastAsia="宋体" w:cs="Times New Roman"/>
                      <w:color w:val="auto"/>
                      <w:spacing w:val="0"/>
                      <w:w w:val="100"/>
                      <w:position w:val="0"/>
                      <w:sz w:val="24"/>
                      <w:szCs w:val="24"/>
                      <w:highlight w:val="none"/>
                      <w:vertAlign w:val="baseline"/>
                      <w:lang w:val="en-US" w:eastAsia="zh-CN"/>
                    </w:rPr>
                  </w:pPr>
                  <w:r>
                    <w:rPr>
                      <w:rFonts w:hint="eastAsia" w:ascii="Times New Roman" w:hAnsi="Times New Roman" w:eastAsia="宋体" w:cs="Times New Roman"/>
                      <w:color w:val="auto"/>
                      <w:spacing w:val="0"/>
                      <w:w w:val="100"/>
                      <w:position w:val="0"/>
                      <w:sz w:val="24"/>
                      <w:szCs w:val="24"/>
                      <w:highlight w:val="none"/>
                      <w:vertAlign w:val="baseline"/>
                      <w:lang w:val="en-US" w:eastAsia="zh-CN"/>
                    </w:rPr>
                    <w:t>1000m</w:t>
                  </w:r>
                  <w:r>
                    <w:rPr>
                      <w:rFonts w:hint="eastAsia" w:ascii="Times New Roman" w:hAnsi="Times New Roman" w:eastAsia="宋体" w:cs="Times New Roman"/>
                      <w:color w:val="auto"/>
                      <w:spacing w:val="0"/>
                      <w:w w:val="100"/>
                      <w:position w:val="0"/>
                      <w:sz w:val="24"/>
                      <w:szCs w:val="24"/>
                      <w:highlight w:val="none"/>
                      <w:vertAlign w:val="superscript"/>
                      <w:lang w:val="en-US" w:eastAsia="zh-CN"/>
                    </w:rPr>
                    <w:t>2</w:t>
                  </w:r>
                </w:p>
              </w:tc>
              <w:tc>
                <w:tcPr>
                  <w:tcW w:w="765" w:type="pct"/>
                  <w:tcBorders>
                    <w:tl2br w:val="nil"/>
                    <w:tr2bl w:val="nil"/>
                  </w:tcBorders>
                  <w:noWrap w:val="0"/>
                  <w:vAlign w:val="center"/>
                </w:tcPr>
                <w:p w14:paraId="56B33FF6">
                  <w:pPr>
                    <w:widowControl/>
                    <w:adjustRightInd/>
                    <w:snapToGrid/>
                    <w:spacing w:line="240" w:lineRule="auto"/>
                    <w:ind w:firstLine="0" w:firstLineChars="0"/>
                    <w:jc w:val="cente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t>永久占地</w:t>
                  </w:r>
                </w:p>
              </w:tc>
              <w:tc>
                <w:tcPr>
                  <w:tcW w:w="699" w:type="pct"/>
                  <w:tcBorders>
                    <w:tl2br w:val="nil"/>
                    <w:tr2bl w:val="nil"/>
                  </w:tcBorders>
                  <w:noWrap w:val="0"/>
                  <w:vAlign w:val="center"/>
                </w:tcPr>
                <w:p w14:paraId="75AEE37C">
                  <w:pPr>
                    <w:widowControl/>
                    <w:adjustRightInd/>
                    <w:snapToGrid/>
                    <w:spacing w:line="240" w:lineRule="auto"/>
                    <w:ind w:firstLine="0" w:firstLineChars="0"/>
                    <w:jc w:val="cente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位于工业广场内</w:t>
                  </w:r>
                </w:p>
              </w:tc>
            </w:tr>
            <w:tr w14:paraId="5D9BDE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480" w:type="pct"/>
                  <w:tcBorders>
                    <w:tl2br w:val="nil"/>
                    <w:tr2bl w:val="nil"/>
                  </w:tcBorders>
                  <w:noWrap w:val="0"/>
                  <w:vAlign w:val="center"/>
                </w:tcPr>
                <w:p w14:paraId="549B539E">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9</w:t>
                  </w:r>
                </w:p>
              </w:tc>
              <w:tc>
                <w:tcPr>
                  <w:tcW w:w="796" w:type="pct"/>
                  <w:tcBorders>
                    <w:tl2br w:val="nil"/>
                    <w:tr2bl w:val="nil"/>
                  </w:tcBorders>
                  <w:noWrap w:val="0"/>
                  <w:vAlign w:val="center"/>
                </w:tcPr>
                <w:p w14:paraId="654C0B14">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危废间</w:t>
                  </w:r>
                </w:p>
              </w:tc>
              <w:tc>
                <w:tcPr>
                  <w:tcW w:w="1358" w:type="pct"/>
                  <w:tcBorders>
                    <w:tl2br w:val="nil"/>
                    <w:tr2bl w:val="nil"/>
                  </w:tcBorders>
                  <w:noWrap w:val="0"/>
                  <w:vAlign w:val="center"/>
                </w:tcPr>
                <w:p w14:paraId="35043116">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其他草地</w:t>
                  </w:r>
                </w:p>
              </w:tc>
              <w:tc>
                <w:tcPr>
                  <w:tcW w:w="898" w:type="pct"/>
                  <w:tcBorders>
                    <w:tl2br w:val="nil"/>
                    <w:tr2bl w:val="nil"/>
                  </w:tcBorders>
                  <w:noWrap w:val="0"/>
                  <w:vAlign w:val="center"/>
                </w:tcPr>
                <w:p w14:paraId="267ECD7E">
                  <w:pPr>
                    <w:widowControl/>
                    <w:adjustRightInd/>
                    <w:snapToGrid/>
                    <w:spacing w:line="240" w:lineRule="auto"/>
                    <w:ind w:firstLine="0" w:firstLineChars="0"/>
                    <w:jc w:val="center"/>
                    <w:rPr>
                      <w:rFonts w:hint="default" w:ascii="Times New Roman" w:hAnsi="Times New Roman" w:eastAsia="宋体" w:cs="Times New Roman"/>
                      <w:color w:val="auto"/>
                      <w:spacing w:val="0"/>
                      <w:w w:val="100"/>
                      <w:position w:val="0"/>
                      <w:sz w:val="24"/>
                      <w:szCs w:val="24"/>
                      <w:highlight w:val="none"/>
                      <w:vertAlign w:val="baseline"/>
                      <w:lang w:val="en-US" w:eastAsia="zh-CN"/>
                    </w:rPr>
                  </w:pPr>
                  <w:r>
                    <w:rPr>
                      <w:rFonts w:hint="eastAsia" w:ascii="Times New Roman" w:hAnsi="Times New Roman" w:eastAsia="宋体" w:cs="Times New Roman"/>
                      <w:color w:val="auto"/>
                      <w:spacing w:val="0"/>
                      <w:w w:val="100"/>
                      <w:position w:val="0"/>
                      <w:sz w:val="24"/>
                      <w:szCs w:val="24"/>
                      <w:highlight w:val="none"/>
                      <w:vertAlign w:val="baseline"/>
                      <w:lang w:val="en-US" w:eastAsia="zh-CN"/>
                    </w:rPr>
                    <w:t>10m</w:t>
                  </w:r>
                  <w:r>
                    <w:rPr>
                      <w:rFonts w:hint="eastAsia" w:ascii="Times New Roman" w:hAnsi="Times New Roman" w:eastAsia="宋体" w:cs="Times New Roman"/>
                      <w:color w:val="auto"/>
                      <w:spacing w:val="0"/>
                      <w:w w:val="100"/>
                      <w:position w:val="0"/>
                      <w:sz w:val="24"/>
                      <w:szCs w:val="24"/>
                      <w:highlight w:val="none"/>
                      <w:vertAlign w:val="superscript"/>
                      <w:lang w:val="en-US" w:eastAsia="zh-CN"/>
                    </w:rPr>
                    <w:t>2</w:t>
                  </w:r>
                </w:p>
              </w:tc>
              <w:tc>
                <w:tcPr>
                  <w:tcW w:w="765" w:type="pct"/>
                  <w:tcBorders>
                    <w:tl2br w:val="nil"/>
                    <w:tr2bl w:val="nil"/>
                  </w:tcBorders>
                  <w:noWrap w:val="0"/>
                  <w:vAlign w:val="center"/>
                </w:tcPr>
                <w:p w14:paraId="59848DDE">
                  <w:pPr>
                    <w:widowControl/>
                    <w:adjustRightInd/>
                    <w:snapToGrid/>
                    <w:spacing w:line="240" w:lineRule="auto"/>
                    <w:ind w:firstLine="0" w:firstLineChars="0"/>
                    <w:jc w:val="cente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t>永久占地</w:t>
                  </w:r>
                </w:p>
              </w:tc>
              <w:tc>
                <w:tcPr>
                  <w:tcW w:w="699" w:type="pct"/>
                  <w:tcBorders>
                    <w:tl2br w:val="nil"/>
                    <w:tr2bl w:val="nil"/>
                  </w:tcBorders>
                  <w:noWrap w:val="0"/>
                  <w:vAlign w:val="center"/>
                </w:tcPr>
                <w:p w14:paraId="6EB9EBC1">
                  <w:pPr>
                    <w:widowControl/>
                    <w:adjustRightInd/>
                    <w:snapToGrid/>
                    <w:spacing w:line="240" w:lineRule="auto"/>
                    <w:ind w:firstLine="0" w:firstLineChars="0"/>
                    <w:jc w:val="cente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位于工业广场内</w:t>
                  </w:r>
                </w:p>
              </w:tc>
            </w:tr>
            <w:tr w14:paraId="121401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480" w:type="pct"/>
                  <w:tcBorders>
                    <w:tl2br w:val="nil"/>
                    <w:tr2bl w:val="nil"/>
                  </w:tcBorders>
                  <w:noWrap w:val="0"/>
                  <w:vAlign w:val="center"/>
                </w:tcPr>
                <w:p w14:paraId="4EBAD3FD">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10</w:t>
                  </w:r>
                </w:p>
              </w:tc>
              <w:tc>
                <w:tcPr>
                  <w:tcW w:w="796" w:type="pct"/>
                  <w:tcBorders>
                    <w:tl2br w:val="nil"/>
                    <w:tr2bl w:val="nil"/>
                  </w:tcBorders>
                  <w:noWrap w:val="0"/>
                  <w:vAlign w:val="center"/>
                </w:tcPr>
                <w:p w14:paraId="050EAC6C">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搅拌站</w:t>
                  </w:r>
                </w:p>
              </w:tc>
              <w:tc>
                <w:tcPr>
                  <w:tcW w:w="1358" w:type="pct"/>
                  <w:tcBorders>
                    <w:tl2br w:val="nil"/>
                    <w:tr2bl w:val="nil"/>
                  </w:tcBorders>
                  <w:noWrap w:val="0"/>
                  <w:vAlign w:val="center"/>
                </w:tcPr>
                <w:p w14:paraId="1F5A2173">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其他草地</w:t>
                  </w:r>
                </w:p>
              </w:tc>
              <w:tc>
                <w:tcPr>
                  <w:tcW w:w="898" w:type="pct"/>
                  <w:tcBorders>
                    <w:tl2br w:val="nil"/>
                    <w:tr2bl w:val="nil"/>
                  </w:tcBorders>
                  <w:noWrap w:val="0"/>
                  <w:vAlign w:val="center"/>
                </w:tcPr>
                <w:p w14:paraId="2392DCAF">
                  <w:pPr>
                    <w:widowControl/>
                    <w:adjustRightInd/>
                    <w:snapToGrid/>
                    <w:spacing w:line="240" w:lineRule="auto"/>
                    <w:ind w:firstLine="0" w:firstLineChars="0"/>
                    <w:jc w:val="center"/>
                    <w:rPr>
                      <w:rFonts w:hint="default" w:ascii="Times New Roman" w:hAnsi="Times New Roman" w:eastAsia="宋体" w:cs="Times New Roman"/>
                      <w:color w:val="auto"/>
                      <w:spacing w:val="0"/>
                      <w:w w:val="100"/>
                      <w:position w:val="0"/>
                      <w:sz w:val="24"/>
                      <w:szCs w:val="24"/>
                      <w:highlight w:val="none"/>
                      <w:vertAlign w:val="baseline"/>
                      <w:lang w:val="en-US" w:eastAsia="zh-CN"/>
                    </w:rPr>
                  </w:pPr>
                  <w:r>
                    <w:rPr>
                      <w:rFonts w:hint="eastAsia" w:ascii="Times New Roman" w:hAnsi="Times New Roman" w:eastAsia="宋体" w:cs="Times New Roman"/>
                      <w:color w:val="auto"/>
                      <w:spacing w:val="0"/>
                      <w:w w:val="100"/>
                      <w:position w:val="0"/>
                      <w:sz w:val="24"/>
                      <w:szCs w:val="24"/>
                      <w:highlight w:val="none"/>
                      <w:vertAlign w:val="baseline"/>
                      <w:lang w:val="en-US" w:eastAsia="zh-CN"/>
                    </w:rPr>
                    <w:t>5000m</w:t>
                  </w:r>
                  <w:r>
                    <w:rPr>
                      <w:rFonts w:hint="eastAsia" w:ascii="Times New Roman" w:hAnsi="Times New Roman" w:eastAsia="宋体" w:cs="Times New Roman"/>
                      <w:color w:val="auto"/>
                      <w:spacing w:val="0"/>
                      <w:w w:val="100"/>
                      <w:position w:val="0"/>
                      <w:sz w:val="24"/>
                      <w:szCs w:val="24"/>
                      <w:highlight w:val="none"/>
                      <w:vertAlign w:val="superscript"/>
                      <w:lang w:val="en-US" w:eastAsia="zh-CN"/>
                    </w:rPr>
                    <w:t>2</w:t>
                  </w:r>
                </w:p>
              </w:tc>
              <w:tc>
                <w:tcPr>
                  <w:tcW w:w="765" w:type="pct"/>
                  <w:tcBorders>
                    <w:tl2br w:val="nil"/>
                    <w:tr2bl w:val="nil"/>
                  </w:tcBorders>
                  <w:noWrap w:val="0"/>
                  <w:vAlign w:val="center"/>
                </w:tcPr>
                <w:p w14:paraId="727CF845">
                  <w:pPr>
                    <w:widowControl/>
                    <w:adjustRightInd/>
                    <w:snapToGrid/>
                    <w:spacing w:line="240" w:lineRule="auto"/>
                    <w:ind w:firstLine="0" w:firstLineChars="0"/>
                    <w:jc w:val="cente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t>永久占地</w:t>
                  </w:r>
                </w:p>
              </w:tc>
              <w:tc>
                <w:tcPr>
                  <w:tcW w:w="699" w:type="pct"/>
                  <w:tcBorders>
                    <w:tl2br w:val="nil"/>
                    <w:tr2bl w:val="nil"/>
                  </w:tcBorders>
                  <w:noWrap w:val="0"/>
                  <w:vAlign w:val="center"/>
                </w:tcPr>
                <w:p w14:paraId="2F16C9B3">
                  <w:pPr>
                    <w:widowControl/>
                    <w:adjustRightInd/>
                    <w:snapToGrid/>
                    <w:spacing w:line="240" w:lineRule="auto"/>
                    <w:ind w:firstLine="0" w:firstLineChars="0"/>
                    <w:jc w:val="cente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位于工业广场内</w:t>
                  </w:r>
                </w:p>
              </w:tc>
            </w:tr>
            <w:tr w14:paraId="0C92B3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480" w:type="pct"/>
                  <w:tcBorders>
                    <w:tl2br w:val="nil"/>
                    <w:tr2bl w:val="nil"/>
                  </w:tcBorders>
                  <w:noWrap w:val="0"/>
                  <w:vAlign w:val="center"/>
                </w:tcPr>
                <w:p w14:paraId="612EAEF6">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11</w:t>
                  </w:r>
                </w:p>
              </w:tc>
              <w:tc>
                <w:tcPr>
                  <w:tcW w:w="796" w:type="pct"/>
                  <w:tcBorders>
                    <w:tl2br w:val="nil"/>
                    <w:tr2bl w:val="nil"/>
                  </w:tcBorders>
                  <w:noWrap w:val="0"/>
                  <w:vAlign w:val="center"/>
                </w:tcPr>
                <w:p w14:paraId="3F86FB44">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生活办公区</w:t>
                  </w:r>
                </w:p>
              </w:tc>
              <w:tc>
                <w:tcPr>
                  <w:tcW w:w="1358" w:type="pct"/>
                  <w:tcBorders>
                    <w:tl2br w:val="nil"/>
                    <w:tr2bl w:val="nil"/>
                  </w:tcBorders>
                  <w:noWrap w:val="0"/>
                  <w:vAlign w:val="center"/>
                </w:tcPr>
                <w:p w14:paraId="287D1EED">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其他草地</w:t>
                  </w:r>
                </w:p>
              </w:tc>
              <w:tc>
                <w:tcPr>
                  <w:tcW w:w="898" w:type="pct"/>
                  <w:tcBorders>
                    <w:tl2br w:val="nil"/>
                    <w:tr2bl w:val="nil"/>
                  </w:tcBorders>
                  <w:noWrap w:val="0"/>
                  <w:vAlign w:val="center"/>
                </w:tcPr>
                <w:p w14:paraId="164C2DEC">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auto"/>
                      <w:spacing w:val="0"/>
                      <w:w w:val="100"/>
                      <w:position w:val="0"/>
                      <w:sz w:val="24"/>
                      <w:szCs w:val="24"/>
                      <w:highlight w:val="none"/>
                      <w:lang w:val="en-US" w:eastAsia="zh-CN"/>
                    </w:rPr>
                    <w:t>6667.07m</w:t>
                  </w:r>
                  <w:r>
                    <w:rPr>
                      <w:rFonts w:hint="default" w:ascii="Times New Roman" w:hAnsi="Times New Roman" w:eastAsia="宋体" w:cs="Times New Roman"/>
                      <w:color w:val="auto"/>
                      <w:spacing w:val="0"/>
                      <w:w w:val="100"/>
                      <w:position w:val="0"/>
                      <w:sz w:val="24"/>
                      <w:szCs w:val="24"/>
                      <w:highlight w:val="none"/>
                      <w:vertAlign w:val="superscript"/>
                      <w:lang w:val="en-US" w:eastAsia="zh-CN"/>
                    </w:rPr>
                    <w:t>2</w:t>
                  </w:r>
                </w:p>
              </w:tc>
              <w:tc>
                <w:tcPr>
                  <w:tcW w:w="765" w:type="pct"/>
                  <w:tcBorders>
                    <w:tl2br w:val="nil"/>
                    <w:tr2bl w:val="nil"/>
                  </w:tcBorders>
                  <w:noWrap w:val="0"/>
                  <w:vAlign w:val="center"/>
                </w:tcPr>
                <w:p w14:paraId="1A248934">
                  <w:pPr>
                    <w:widowControl/>
                    <w:adjustRightInd/>
                    <w:snapToGrid/>
                    <w:spacing w:line="240" w:lineRule="auto"/>
                    <w:ind w:firstLine="0" w:firstLineChars="0"/>
                    <w:jc w:val="center"/>
                    <w:rPr>
                      <w:rFonts w:hint="default" w:ascii="Times New Roman" w:hAnsi="Times New Roman" w:eastAsia="宋体" w:cs="Times New Roman"/>
                      <w:bCs/>
                      <w:color w:val="000000" w:themeColor="text1"/>
                      <w:sz w:val="21"/>
                      <w:szCs w:val="21"/>
                      <w:highlight w:val="none"/>
                      <w14:textFill>
                        <w14:solidFill>
                          <w14:schemeClr w14:val="tx1"/>
                        </w14:solidFill>
                      </w14:textFill>
                    </w:rPr>
                  </w:pPr>
                  <w: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t>永久占地</w:t>
                  </w:r>
                </w:p>
              </w:tc>
              <w:tc>
                <w:tcPr>
                  <w:tcW w:w="699" w:type="pct"/>
                  <w:tcBorders>
                    <w:tl2br w:val="nil"/>
                    <w:tr2bl w:val="nil"/>
                  </w:tcBorders>
                  <w:noWrap w:val="0"/>
                  <w:vAlign w:val="center"/>
                </w:tcPr>
                <w:p w14:paraId="10D0778C">
                  <w:pPr>
                    <w:widowControl/>
                    <w:adjustRightInd/>
                    <w:snapToGrid/>
                    <w:spacing w:line="240" w:lineRule="auto"/>
                    <w:ind w:firstLine="0" w:firstLineChars="0"/>
                    <w:jc w:val="center"/>
                    <w:rPr>
                      <w:rFonts w:hint="default" w:ascii="Times New Roman" w:hAnsi="Times New Roman" w:eastAsia="宋体" w:cs="Times New Roman"/>
                      <w:color w:val="000000" w:themeColor="text1"/>
                      <w:kern w:val="0"/>
                      <w:sz w:val="21"/>
                      <w:szCs w:val="21"/>
                      <w:highlight w:val="none"/>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13年</w:t>
                  </w:r>
                </w:p>
              </w:tc>
            </w:tr>
          </w:tbl>
          <w:p w14:paraId="1E2CB564">
            <w:pPr>
              <w:keepNext w:val="0"/>
              <w:keepLines w:val="0"/>
              <w:pageBreakBefore w:val="0"/>
              <w:widowControl/>
              <w:suppressLineNumbers w:val="0"/>
              <w:kinsoku/>
              <w:overflowPunct/>
              <w:topLinePunct w:val="0"/>
              <w:bidi w:val="0"/>
              <w:spacing w:beforeAutospacing="0" w:afterAutospacing="0" w:line="360" w:lineRule="auto"/>
              <w:ind w:left="0" w:leftChars="0" w:right="0"/>
              <w:jc w:val="left"/>
              <w:rPr>
                <w:rFonts w:hint="default" w:ascii="Times New Roman" w:hAnsi="Times New Roman" w:eastAsia="宋体" w:cs="Times New Roman"/>
                <w:b/>
                <w:bCs w:val="0"/>
                <w:color w:val="auto"/>
                <w:spacing w:val="0"/>
                <w:w w:val="100"/>
                <w:position w:val="0"/>
                <w:sz w:val="24"/>
                <w:highlight w:val="none"/>
                <w:lang w:val="en-US" w:eastAsia="zh-CN"/>
              </w:rPr>
            </w:pPr>
            <w:r>
              <w:rPr>
                <w:rFonts w:hint="default" w:ascii="Times New Roman" w:hAnsi="Times New Roman" w:eastAsia="宋体" w:cs="Times New Roman"/>
                <w:b/>
                <w:bCs w:val="0"/>
                <w:color w:val="auto"/>
                <w:spacing w:val="0"/>
                <w:w w:val="100"/>
                <w:position w:val="0"/>
                <w:sz w:val="24"/>
                <w:highlight w:val="none"/>
                <w:lang w:val="en-US" w:eastAsia="zh-CN"/>
              </w:rPr>
              <w:t>6.</w:t>
            </w:r>
            <w:r>
              <w:rPr>
                <w:rFonts w:hint="default" w:ascii="Times New Roman" w:hAnsi="Times New Roman" w:eastAsia="宋体" w:cs="Times New Roman"/>
                <w:b/>
                <w:bCs w:val="0"/>
                <w:color w:val="auto"/>
                <w:spacing w:val="0"/>
                <w:w w:val="100"/>
                <w:position w:val="0"/>
                <w:sz w:val="24"/>
                <w:highlight w:val="none"/>
              </w:rPr>
              <w:t>公</w:t>
            </w:r>
            <w:r>
              <w:rPr>
                <w:rFonts w:hint="default" w:ascii="Times New Roman" w:hAnsi="Times New Roman" w:eastAsia="宋体" w:cs="Times New Roman"/>
                <w:b/>
                <w:bCs w:val="0"/>
                <w:color w:val="auto"/>
                <w:spacing w:val="0"/>
                <w:w w:val="100"/>
                <w:position w:val="0"/>
                <w:sz w:val="24"/>
                <w:highlight w:val="none"/>
                <w:lang w:val="en-US" w:eastAsia="zh-CN"/>
              </w:rPr>
              <w:t>用工程</w:t>
            </w:r>
          </w:p>
          <w:p w14:paraId="4E738884">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right="0" w:firstLine="480" w:firstLineChars="200"/>
              <w:jc w:val="left"/>
              <w:textAlignment w:val="auto"/>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w w:val="100"/>
                <w:position w:val="0"/>
                <w:sz w:val="24"/>
                <w:szCs w:val="24"/>
                <w:highlight w:val="none"/>
                <w:lang w:val="en-US" w:eastAsia="zh-CN"/>
              </w:rPr>
              <w:t>（1）给水</w:t>
            </w:r>
          </w:p>
          <w:p w14:paraId="40B2776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right="0" w:firstLine="480" w:firstLineChars="200"/>
              <w:jc w:val="left"/>
              <w:textAlignment w:val="auto"/>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w w:val="100"/>
                <w:position w:val="0"/>
                <w:sz w:val="24"/>
                <w:szCs w:val="24"/>
                <w:highlight w:val="none"/>
                <w:lang w:val="en-US" w:eastAsia="zh-CN"/>
              </w:rPr>
              <w:t>本项目用水主要为生活用水和生产用水，生产用水主要用于露天采场、成品石料堆场、场内道路等洒水降尘用水、洗砂用水，本项目生产用水水源为吉木萨尔县水溪沟水库</w:t>
            </w:r>
            <w:r>
              <w:rPr>
                <w:rFonts w:hint="eastAsia" w:ascii="Times New Roman" w:hAnsi="Times New Roman" w:eastAsia="宋体" w:cs="Times New Roman"/>
                <w:color w:val="auto"/>
                <w:spacing w:val="0"/>
                <w:w w:val="100"/>
                <w:position w:val="0"/>
                <w:sz w:val="24"/>
                <w:szCs w:val="24"/>
                <w:highlight w:val="none"/>
                <w:lang w:val="en-US" w:eastAsia="zh-CN"/>
              </w:rPr>
              <w:t>，通过项目区西侧双河干渠运送至项目区周围后进行拉运</w:t>
            </w:r>
            <w:r>
              <w:rPr>
                <w:rFonts w:hint="default" w:ascii="Times New Roman" w:hAnsi="Times New Roman" w:eastAsia="宋体" w:cs="Times New Roman"/>
                <w:color w:val="auto"/>
                <w:spacing w:val="0"/>
                <w:w w:val="100"/>
                <w:position w:val="0"/>
                <w:sz w:val="24"/>
                <w:szCs w:val="24"/>
                <w:highlight w:val="none"/>
                <w:lang w:val="en-US" w:eastAsia="zh-CN"/>
              </w:rPr>
              <w:t>。生活用水采用水车在附近村庄拉运。</w:t>
            </w:r>
          </w:p>
          <w:p w14:paraId="682AA7E2">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right="0" w:firstLine="480" w:firstLineChars="200"/>
              <w:jc w:val="left"/>
              <w:textAlignment w:val="auto"/>
              <w:rPr>
                <w:rFonts w:hint="default" w:ascii="Times New Roman" w:hAnsi="Times New Roman" w:eastAsia="宋体" w:cs="Times New Roman"/>
                <w:color w:val="auto"/>
                <w:spacing w:val="0"/>
                <w:w w:val="100"/>
                <w:position w:val="0"/>
                <w:sz w:val="24"/>
                <w:szCs w:val="24"/>
                <w:highlight w:val="none"/>
                <w:lang w:val="en-US" w:eastAsia="zh-CN"/>
              </w:rPr>
            </w:pPr>
            <w:r>
              <w:rPr>
                <w:rFonts w:hint="eastAsia" w:ascii="Times New Roman" w:hAnsi="Times New Roman" w:eastAsia="宋体" w:cs="Times New Roman"/>
                <w:color w:val="auto"/>
                <w:spacing w:val="0"/>
                <w:w w:val="100"/>
                <w:position w:val="0"/>
                <w:sz w:val="24"/>
                <w:szCs w:val="24"/>
                <w:highlight w:val="none"/>
                <w:lang w:val="en-US" w:eastAsia="zh-CN"/>
              </w:rPr>
              <w:t>取水手续：目前正在委托第三方进行编制水资源论证报告，待取水手续完善后再进行取水工作。</w:t>
            </w:r>
          </w:p>
          <w:p w14:paraId="63C53C3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right="0" w:firstLine="480" w:firstLineChars="200"/>
              <w:jc w:val="left"/>
              <w:textAlignment w:val="auto"/>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w w:val="100"/>
                <w:position w:val="0"/>
                <w:sz w:val="24"/>
                <w:szCs w:val="24"/>
                <w:highlight w:val="none"/>
                <w:lang w:val="en-US" w:eastAsia="zh-CN"/>
              </w:rPr>
              <w:t>①本项目劳动定员20人，年工作天数约210天，根据《新疆维吾尔自治区用水定额》，用水定额按100 L/人·d，生活用水量2.0m</w:t>
            </w:r>
            <w:r>
              <w:rPr>
                <w:rFonts w:hint="default" w:ascii="Times New Roman" w:hAnsi="Times New Roman" w:eastAsia="宋体" w:cs="Times New Roman"/>
                <w:color w:val="auto"/>
                <w:spacing w:val="0"/>
                <w:w w:val="100"/>
                <w:position w:val="0"/>
                <w:sz w:val="24"/>
                <w:szCs w:val="24"/>
                <w:highlight w:val="none"/>
                <w:vertAlign w:val="superscript"/>
                <w:lang w:val="en-US" w:eastAsia="zh-CN"/>
              </w:rPr>
              <w:t>3</w:t>
            </w:r>
            <w:r>
              <w:rPr>
                <w:rFonts w:hint="default" w:ascii="Times New Roman" w:hAnsi="Times New Roman" w:eastAsia="宋体" w:cs="Times New Roman"/>
                <w:color w:val="auto"/>
                <w:spacing w:val="0"/>
                <w:w w:val="100"/>
                <w:position w:val="0"/>
                <w:sz w:val="24"/>
                <w:szCs w:val="24"/>
                <w:highlight w:val="none"/>
                <w:lang w:val="en-US" w:eastAsia="zh-CN"/>
              </w:rPr>
              <w:t>/d（420m</w:t>
            </w:r>
            <w:r>
              <w:rPr>
                <w:rFonts w:hint="default" w:ascii="Times New Roman" w:hAnsi="Times New Roman" w:eastAsia="宋体" w:cs="Times New Roman"/>
                <w:color w:val="auto"/>
                <w:spacing w:val="0"/>
                <w:w w:val="100"/>
                <w:position w:val="0"/>
                <w:sz w:val="24"/>
                <w:szCs w:val="24"/>
                <w:highlight w:val="none"/>
                <w:vertAlign w:val="superscript"/>
                <w:lang w:val="en-US" w:eastAsia="zh-CN"/>
              </w:rPr>
              <w:t>3</w:t>
            </w:r>
            <w:r>
              <w:rPr>
                <w:rFonts w:hint="default" w:ascii="Times New Roman" w:hAnsi="Times New Roman" w:eastAsia="宋体" w:cs="Times New Roman"/>
                <w:color w:val="auto"/>
                <w:spacing w:val="0"/>
                <w:w w:val="100"/>
                <w:position w:val="0"/>
                <w:sz w:val="24"/>
                <w:szCs w:val="24"/>
                <w:highlight w:val="none"/>
                <w:lang w:val="en-US" w:eastAsia="zh-CN"/>
              </w:rPr>
              <w:t>/a）。</w:t>
            </w:r>
          </w:p>
          <w:p w14:paraId="1310531D">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right="0" w:firstLine="480" w:firstLineChars="200"/>
              <w:jc w:val="left"/>
              <w:textAlignment w:val="auto"/>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w w:val="100"/>
                <w:position w:val="0"/>
                <w:sz w:val="24"/>
                <w:szCs w:val="24"/>
                <w:highlight w:val="none"/>
                <w:lang w:val="en-US" w:eastAsia="zh-CN"/>
              </w:rPr>
              <w:t>②露天采场、石料堆场、场内道路等洒水用水量为2m</w:t>
            </w:r>
            <w:r>
              <w:rPr>
                <w:rFonts w:hint="default" w:ascii="Times New Roman" w:hAnsi="Times New Roman" w:eastAsia="宋体" w:cs="Times New Roman"/>
                <w:color w:val="auto"/>
                <w:spacing w:val="0"/>
                <w:w w:val="100"/>
                <w:position w:val="0"/>
                <w:sz w:val="24"/>
                <w:szCs w:val="24"/>
                <w:highlight w:val="none"/>
                <w:vertAlign w:val="superscript"/>
                <w:lang w:val="en-US" w:eastAsia="zh-CN"/>
              </w:rPr>
              <w:t>3</w:t>
            </w:r>
            <w:r>
              <w:rPr>
                <w:rFonts w:hint="default" w:ascii="Times New Roman" w:hAnsi="Times New Roman" w:eastAsia="宋体" w:cs="Times New Roman"/>
                <w:color w:val="auto"/>
                <w:spacing w:val="0"/>
                <w:w w:val="100"/>
                <w:position w:val="0"/>
                <w:sz w:val="24"/>
                <w:szCs w:val="24"/>
                <w:highlight w:val="none"/>
                <w:lang w:val="en-US" w:eastAsia="zh-CN"/>
              </w:rPr>
              <w:t>/d（420m</w:t>
            </w:r>
            <w:r>
              <w:rPr>
                <w:rFonts w:hint="default" w:ascii="Times New Roman" w:hAnsi="Times New Roman" w:eastAsia="宋体" w:cs="Times New Roman"/>
                <w:color w:val="auto"/>
                <w:spacing w:val="0"/>
                <w:w w:val="100"/>
                <w:position w:val="0"/>
                <w:sz w:val="24"/>
                <w:szCs w:val="24"/>
                <w:highlight w:val="none"/>
                <w:vertAlign w:val="superscript"/>
                <w:lang w:val="en-US" w:eastAsia="zh-CN"/>
              </w:rPr>
              <w:t>3</w:t>
            </w:r>
            <w:r>
              <w:rPr>
                <w:rFonts w:hint="default" w:ascii="Times New Roman" w:hAnsi="Times New Roman" w:eastAsia="宋体" w:cs="Times New Roman"/>
                <w:color w:val="auto"/>
                <w:spacing w:val="0"/>
                <w:w w:val="100"/>
                <w:position w:val="0"/>
                <w:sz w:val="24"/>
                <w:szCs w:val="24"/>
                <w:highlight w:val="none"/>
                <w:lang w:val="en-US" w:eastAsia="zh-CN"/>
              </w:rPr>
              <w:t>/a）；</w:t>
            </w:r>
          </w:p>
          <w:p w14:paraId="328CF95F">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right="0" w:firstLine="480" w:firstLineChars="200"/>
              <w:jc w:val="left"/>
              <w:textAlignment w:val="auto"/>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w w:val="100"/>
                <w:position w:val="0"/>
                <w:sz w:val="24"/>
                <w:szCs w:val="24"/>
                <w:highlight w:val="none"/>
                <w:lang w:val="en-US" w:eastAsia="zh-CN"/>
              </w:rPr>
              <w:t>③根据《排放源统计调查产排污核算方法和系数手册》中：3039其他建筑材料制造行业产污系数表-砂石骨料—水洗，工业废水量为0.14t/t-产品。项目年产砂石料70万m</w:t>
            </w:r>
            <w:r>
              <w:rPr>
                <w:rFonts w:hint="default" w:ascii="Times New Roman" w:hAnsi="Times New Roman" w:eastAsia="宋体" w:cs="Times New Roman"/>
                <w:color w:val="auto"/>
                <w:spacing w:val="0"/>
                <w:w w:val="100"/>
                <w:position w:val="0"/>
                <w:sz w:val="24"/>
                <w:szCs w:val="24"/>
                <w:highlight w:val="none"/>
                <w:vertAlign w:val="superscript"/>
                <w:lang w:val="en-US" w:eastAsia="zh-CN"/>
              </w:rPr>
              <w:t>3</w:t>
            </w:r>
            <w:r>
              <w:rPr>
                <w:rFonts w:hint="default" w:ascii="Times New Roman" w:hAnsi="Times New Roman" w:eastAsia="宋体" w:cs="Times New Roman"/>
                <w:color w:val="auto"/>
                <w:spacing w:val="0"/>
                <w:w w:val="100"/>
                <w:position w:val="0"/>
                <w:sz w:val="24"/>
                <w:szCs w:val="24"/>
                <w:highlight w:val="none"/>
                <w:lang w:val="en-US" w:eastAsia="zh-CN"/>
              </w:rPr>
              <w:t>，105万t（1.5t/m</w:t>
            </w:r>
            <w:r>
              <w:rPr>
                <w:rFonts w:hint="default" w:ascii="Times New Roman" w:hAnsi="Times New Roman" w:eastAsia="宋体" w:cs="Times New Roman"/>
                <w:color w:val="auto"/>
                <w:spacing w:val="0"/>
                <w:w w:val="100"/>
                <w:position w:val="0"/>
                <w:sz w:val="24"/>
                <w:szCs w:val="24"/>
                <w:highlight w:val="none"/>
                <w:vertAlign w:val="superscript"/>
                <w:lang w:val="en-US" w:eastAsia="zh-CN"/>
              </w:rPr>
              <w:t>3</w:t>
            </w:r>
            <w:r>
              <w:rPr>
                <w:rFonts w:hint="default" w:ascii="Times New Roman" w:hAnsi="Times New Roman" w:eastAsia="宋体" w:cs="Times New Roman"/>
                <w:color w:val="auto"/>
                <w:spacing w:val="0"/>
                <w:w w:val="100"/>
                <w:position w:val="0"/>
                <w:sz w:val="24"/>
                <w:szCs w:val="24"/>
                <w:highlight w:val="none"/>
                <w:lang w:val="en-US" w:eastAsia="zh-CN"/>
              </w:rPr>
              <w:t>），则洗砂废水产生量为147000m</w:t>
            </w:r>
            <w:r>
              <w:rPr>
                <w:rFonts w:hint="default" w:ascii="Times New Roman" w:hAnsi="Times New Roman" w:eastAsia="宋体" w:cs="Times New Roman"/>
                <w:color w:val="auto"/>
                <w:spacing w:val="0"/>
                <w:w w:val="100"/>
                <w:position w:val="0"/>
                <w:sz w:val="24"/>
                <w:szCs w:val="24"/>
                <w:highlight w:val="none"/>
                <w:vertAlign w:val="superscript"/>
                <w:lang w:val="en-US" w:eastAsia="zh-CN"/>
              </w:rPr>
              <w:t>3</w:t>
            </w:r>
            <w:r>
              <w:rPr>
                <w:rFonts w:hint="default" w:ascii="Times New Roman" w:hAnsi="Times New Roman" w:eastAsia="宋体" w:cs="Times New Roman"/>
                <w:color w:val="auto"/>
                <w:spacing w:val="0"/>
                <w:w w:val="100"/>
                <w:position w:val="0"/>
                <w:sz w:val="24"/>
                <w:szCs w:val="24"/>
                <w:highlight w:val="none"/>
                <w:lang w:val="en-US" w:eastAsia="zh-CN"/>
              </w:rPr>
              <w:t>/a，洗砂废水沉淀处理后全部循环使用，洗砂过程中的损耗量约为20%，则洗砂用水量为183750m</w:t>
            </w:r>
            <w:r>
              <w:rPr>
                <w:rFonts w:hint="default" w:ascii="Times New Roman" w:hAnsi="Times New Roman" w:eastAsia="宋体" w:cs="Times New Roman"/>
                <w:color w:val="auto"/>
                <w:spacing w:val="0"/>
                <w:w w:val="100"/>
                <w:position w:val="0"/>
                <w:sz w:val="24"/>
                <w:szCs w:val="24"/>
                <w:highlight w:val="none"/>
                <w:vertAlign w:val="superscript"/>
                <w:lang w:val="en-US" w:eastAsia="zh-CN"/>
              </w:rPr>
              <w:t>3</w:t>
            </w:r>
            <w:r>
              <w:rPr>
                <w:rFonts w:hint="default" w:ascii="Times New Roman" w:hAnsi="Times New Roman" w:eastAsia="宋体" w:cs="Times New Roman"/>
                <w:color w:val="auto"/>
                <w:spacing w:val="0"/>
                <w:w w:val="100"/>
                <w:position w:val="0"/>
                <w:sz w:val="24"/>
                <w:szCs w:val="24"/>
                <w:highlight w:val="none"/>
                <w:lang w:val="en-US" w:eastAsia="zh-CN"/>
              </w:rPr>
              <w:t>/a，年补充新鲜水量为36750m</w:t>
            </w:r>
            <w:r>
              <w:rPr>
                <w:rFonts w:hint="default" w:ascii="Times New Roman" w:hAnsi="Times New Roman" w:eastAsia="宋体" w:cs="Times New Roman"/>
                <w:color w:val="auto"/>
                <w:spacing w:val="0"/>
                <w:w w:val="100"/>
                <w:position w:val="0"/>
                <w:sz w:val="24"/>
                <w:szCs w:val="24"/>
                <w:highlight w:val="none"/>
                <w:vertAlign w:val="superscript"/>
                <w:lang w:val="en-US" w:eastAsia="zh-CN"/>
              </w:rPr>
              <w:t>3</w:t>
            </w:r>
            <w:r>
              <w:rPr>
                <w:rFonts w:hint="default" w:ascii="Times New Roman" w:hAnsi="Times New Roman" w:eastAsia="宋体" w:cs="Times New Roman"/>
                <w:color w:val="auto"/>
                <w:spacing w:val="0"/>
                <w:w w:val="100"/>
                <w:position w:val="0"/>
                <w:sz w:val="24"/>
                <w:szCs w:val="24"/>
                <w:highlight w:val="none"/>
                <w:lang w:val="en-US" w:eastAsia="zh-CN"/>
              </w:rPr>
              <w:t>，每日补充水量为175m</w:t>
            </w:r>
            <w:r>
              <w:rPr>
                <w:rFonts w:hint="default" w:ascii="Times New Roman" w:hAnsi="Times New Roman" w:eastAsia="宋体" w:cs="Times New Roman"/>
                <w:color w:val="auto"/>
                <w:spacing w:val="0"/>
                <w:w w:val="100"/>
                <w:position w:val="0"/>
                <w:sz w:val="24"/>
                <w:szCs w:val="24"/>
                <w:highlight w:val="none"/>
                <w:vertAlign w:val="superscript"/>
                <w:lang w:val="en-US" w:eastAsia="zh-CN"/>
              </w:rPr>
              <w:t>3</w:t>
            </w:r>
            <w:r>
              <w:rPr>
                <w:rFonts w:hint="default" w:ascii="Times New Roman" w:hAnsi="Times New Roman" w:eastAsia="宋体" w:cs="Times New Roman"/>
                <w:color w:val="auto"/>
                <w:spacing w:val="0"/>
                <w:w w:val="100"/>
                <w:position w:val="0"/>
                <w:sz w:val="24"/>
                <w:szCs w:val="24"/>
                <w:highlight w:val="none"/>
                <w:lang w:val="en-US" w:eastAsia="zh-CN"/>
              </w:rPr>
              <w:t>。项目设置沉淀池，废水产生量为700m</w:t>
            </w:r>
            <w:r>
              <w:rPr>
                <w:rFonts w:hint="default" w:ascii="Times New Roman" w:hAnsi="Times New Roman" w:eastAsia="宋体" w:cs="Times New Roman"/>
                <w:color w:val="auto"/>
                <w:spacing w:val="0"/>
                <w:w w:val="100"/>
                <w:position w:val="0"/>
                <w:sz w:val="24"/>
                <w:szCs w:val="24"/>
                <w:highlight w:val="none"/>
                <w:vertAlign w:val="superscript"/>
                <w:lang w:val="en-US" w:eastAsia="zh-CN"/>
              </w:rPr>
              <w:t>3</w:t>
            </w:r>
            <w:r>
              <w:rPr>
                <w:rFonts w:hint="default" w:ascii="Times New Roman" w:hAnsi="Times New Roman" w:eastAsia="宋体" w:cs="Times New Roman"/>
                <w:color w:val="auto"/>
                <w:spacing w:val="0"/>
                <w:w w:val="100"/>
                <w:position w:val="0"/>
                <w:sz w:val="24"/>
                <w:szCs w:val="24"/>
                <w:highlight w:val="none"/>
                <w:lang w:val="en-US" w:eastAsia="zh-CN"/>
              </w:rPr>
              <w:t>/d，沉淀时间一般为1.5-2h，每天工作时长16小时，100m</w:t>
            </w:r>
            <w:r>
              <w:rPr>
                <w:rFonts w:hint="default" w:ascii="Times New Roman" w:hAnsi="Times New Roman" w:eastAsia="宋体" w:cs="Times New Roman"/>
                <w:color w:val="auto"/>
                <w:spacing w:val="0"/>
                <w:w w:val="100"/>
                <w:position w:val="0"/>
                <w:sz w:val="24"/>
                <w:szCs w:val="24"/>
                <w:highlight w:val="none"/>
                <w:vertAlign w:val="superscript"/>
                <w:lang w:val="en-US" w:eastAsia="zh-CN"/>
              </w:rPr>
              <w:t>3</w:t>
            </w:r>
            <w:r>
              <w:rPr>
                <w:rFonts w:hint="default" w:ascii="Times New Roman" w:hAnsi="Times New Roman" w:eastAsia="宋体" w:cs="Times New Roman"/>
                <w:color w:val="auto"/>
                <w:spacing w:val="0"/>
                <w:w w:val="100"/>
                <w:position w:val="0"/>
                <w:sz w:val="24"/>
                <w:szCs w:val="24"/>
                <w:highlight w:val="none"/>
                <w:vertAlign w:val="baseline"/>
                <w:lang w:val="en-US" w:eastAsia="zh-CN"/>
              </w:rPr>
              <w:t>沉淀池每天可以循环沉淀800m</w:t>
            </w:r>
            <w:r>
              <w:rPr>
                <w:rFonts w:hint="default" w:ascii="Times New Roman" w:hAnsi="Times New Roman" w:eastAsia="宋体" w:cs="Times New Roman"/>
                <w:color w:val="auto"/>
                <w:spacing w:val="0"/>
                <w:w w:val="100"/>
                <w:position w:val="0"/>
                <w:sz w:val="24"/>
                <w:szCs w:val="24"/>
                <w:highlight w:val="none"/>
                <w:vertAlign w:val="superscript"/>
                <w:lang w:val="en-US" w:eastAsia="zh-CN"/>
              </w:rPr>
              <w:t>3</w:t>
            </w:r>
            <w:r>
              <w:rPr>
                <w:rFonts w:hint="default" w:ascii="Times New Roman" w:hAnsi="Times New Roman" w:eastAsia="宋体" w:cs="Times New Roman"/>
                <w:color w:val="auto"/>
                <w:spacing w:val="0"/>
                <w:w w:val="100"/>
                <w:position w:val="0"/>
                <w:sz w:val="24"/>
                <w:szCs w:val="24"/>
                <w:highlight w:val="none"/>
                <w:vertAlign w:val="baseline"/>
                <w:lang w:val="en-US" w:eastAsia="zh-CN"/>
              </w:rPr>
              <w:t>的水，</w:t>
            </w:r>
            <w:r>
              <w:rPr>
                <w:rFonts w:hint="default" w:ascii="Times New Roman" w:hAnsi="Times New Roman" w:eastAsia="宋体" w:cs="Times New Roman"/>
                <w:color w:val="auto"/>
                <w:spacing w:val="0"/>
                <w:w w:val="100"/>
                <w:position w:val="0"/>
                <w:sz w:val="24"/>
                <w:szCs w:val="24"/>
                <w:highlight w:val="none"/>
                <w:lang w:val="en-US" w:eastAsia="zh-CN"/>
              </w:rPr>
              <w:t>可以满足生产需求。</w:t>
            </w:r>
          </w:p>
          <w:p w14:paraId="474AD3FE">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right="0" w:firstLine="480" w:firstLineChars="200"/>
              <w:jc w:val="left"/>
              <w:textAlignment w:val="auto"/>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w w:val="100"/>
                <w:position w:val="0"/>
                <w:sz w:val="24"/>
                <w:szCs w:val="24"/>
                <w:highlight w:val="none"/>
                <w:lang w:val="en-US" w:eastAsia="zh-CN"/>
              </w:rPr>
              <w:t>④根据业主提供的资料，水稳料用水为8500t/a，全部进入产品。</w:t>
            </w:r>
          </w:p>
          <w:p w14:paraId="5FD0E891">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right="0" w:firstLine="480" w:firstLineChars="200"/>
              <w:jc w:val="left"/>
              <w:textAlignment w:val="auto"/>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kern w:val="0"/>
                <w:sz w:val="24"/>
                <w:highlight w:val="none"/>
                <w:lang w:val="en-US" w:eastAsia="zh-CN"/>
              </w:rPr>
              <w:t>⑤水稳</w:t>
            </w:r>
            <w:r>
              <w:rPr>
                <w:rFonts w:hint="default" w:ascii="Times New Roman" w:hAnsi="Times New Roman" w:eastAsia="宋体" w:cs="Times New Roman"/>
                <w:color w:val="auto"/>
                <w:kern w:val="0"/>
                <w:sz w:val="24"/>
                <w:highlight w:val="none"/>
              </w:rPr>
              <w:t>搅拌设备清洗</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lang w:val="en-US" w:eastAsia="zh-CN"/>
              </w:rPr>
              <w:t>清洗</w:t>
            </w:r>
            <w:r>
              <w:rPr>
                <w:rFonts w:hint="default" w:ascii="Times New Roman" w:hAnsi="Times New Roman" w:eastAsia="宋体" w:cs="Times New Roman"/>
                <w:color w:val="auto"/>
                <w:kern w:val="0"/>
                <w:sz w:val="24"/>
                <w:highlight w:val="none"/>
              </w:rPr>
              <w:t>用水总量约</w:t>
            </w:r>
            <w:r>
              <w:rPr>
                <w:rFonts w:hint="default" w:ascii="Times New Roman" w:hAnsi="Times New Roman" w:eastAsia="宋体" w:cs="Times New Roman"/>
                <w:color w:val="auto"/>
                <w:kern w:val="0"/>
                <w:sz w:val="24"/>
                <w:highlight w:val="none"/>
                <w:lang w:val="en-US" w:eastAsia="zh-CN"/>
              </w:rPr>
              <w:t>960</w:t>
            </w:r>
            <w:r>
              <w:rPr>
                <w:rFonts w:hint="default" w:ascii="Times New Roman" w:hAnsi="Times New Roman" w:eastAsia="宋体" w:cs="Times New Roman"/>
                <w:color w:val="auto"/>
                <w:kern w:val="0"/>
                <w:sz w:val="24"/>
                <w:highlight w:val="none"/>
              </w:rPr>
              <w:t>m</w:t>
            </w:r>
            <w:r>
              <w:rPr>
                <w:rFonts w:hint="default" w:ascii="Times New Roman" w:hAnsi="Times New Roman" w:eastAsia="宋体" w:cs="Times New Roman"/>
                <w:color w:val="auto"/>
                <w:kern w:val="0"/>
                <w:sz w:val="24"/>
                <w:highlight w:val="none"/>
                <w:vertAlign w:val="superscript"/>
              </w:rPr>
              <w:t>3</w:t>
            </w:r>
            <w:r>
              <w:rPr>
                <w:rFonts w:hint="default" w:ascii="Times New Roman" w:hAnsi="Times New Roman" w:eastAsia="宋体" w:cs="Times New Roman"/>
                <w:color w:val="auto"/>
                <w:kern w:val="0"/>
                <w:sz w:val="24"/>
                <w:highlight w:val="none"/>
              </w:rPr>
              <w:t>/a，</w:t>
            </w:r>
            <w:r>
              <w:rPr>
                <w:rFonts w:hint="default" w:ascii="Times New Roman" w:hAnsi="Times New Roman" w:eastAsia="宋体" w:cs="Times New Roman"/>
                <w:color w:val="auto"/>
                <w:kern w:val="0"/>
                <w:sz w:val="24"/>
                <w:highlight w:val="none"/>
                <w:lang w:val="en-US" w:eastAsia="zh-CN"/>
              </w:rPr>
              <w:t>其中损耗按20%计，则损耗水量</w:t>
            </w:r>
            <w:r>
              <w:rPr>
                <w:rFonts w:hint="default" w:ascii="Times New Roman" w:hAnsi="Times New Roman" w:eastAsia="宋体" w:cs="Times New Roman"/>
                <w:color w:val="auto"/>
                <w:kern w:val="0"/>
                <w:sz w:val="24"/>
                <w:highlight w:val="none"/>
              </w:rPr>
              <w:t>1</w:t>
            </w:r>
            <w:r>
              <w:rPr>
                <w:rFonts w:hint="default" w:ascii="Times New Roman" w:hAnsi="Times New Roman" w:eastAsia="宋体" w:cs="Times New Roman"/>
                <w:color w:val="auto"/>
                <w:kern w:val="0"/>
                <w:sz w:val="24"/>
                <w:highlight w:val="none"/>
                <w:lang w:val="en-US" w:eastAsia="zh-CN"/>
              </w:rPr>
              <w:t>92</w:t>
            </w:r>
            <w:r>
              <w:rPr>
                <w:rFonts w:hint="default" w:ascii="Times New Roman" w:hAnsi="Times New Roman" w:eastAsia="宋体" w:cs="Times New Roman"/>
                <w:color w:val="auto"/>
                <w:kern w:val="0"/>
                <w:sz w:val="24"/>
                <w:highlight w:val="none"/>
              </w:rPr>
              <w:t>m</w:t>
            </w:r>
            <w:r>
              <w:rPr>
                <w:rFonts w:hint="default" w:ascii="Times New Roman" w:hAnsi="Times New Roman" w:eastAsia="宋体" w:cs="Times New Roman"/>
                <w:color w:val="auto"/>
                <w:kern w:val="0"/>
                <w:sz w:val="24"/>
                <w:highlight w:val="none"/>
                <w:vertAlign w:val="superscript"/>
              </w:rPr>
              <w:t>3</w:t>
            </w:r>
            <w:r>
              <w:rPr>
                <w:rFonts w:hint="default" w:ascii="Times New Roman" w:hAnsi="Times New Roman" w:eastAsia="宋体" w:cs="Times New Roman"/>
                <w:color w:val="auto"/>
                <w:kern w:val="0"/>
                <w:sz w:val="24"/>
                <w:highlight w:val="none"/>
              </w:rPr>
              <w:t>/a（</w:t>
            </w:r>
            <w:r>
              <w:rPr>
                <w:rFonts w:hint="default" w:ascii="Times New Roman" w:hAnsi="Times New Roman" w:eastAsia="宋体" w:cs="Times New Roman"/>
                <w:color w:val="auto"/>
                <w:kern w:val="0"/>
                <w:sz w:val="24"/>
                <w:highlight w:val="none"/>
                <w:lang w:val="en-US" w:eastAsia="zh-CN"/>
              </w:rPr>
              <w:t>0.8</w:t>
            </w:r>
            <w:r>
              <w:rPr>
                <w:rFonts w:hint="default" w:ascii="Times New Roman" w:hAnsi="Times New Roman" w:eastAsia="宋体" w:cs="Times New Roman"/>
                <w:color w:val="auto"/>
                <w:kern w:val="0"/>
                <w:sz w:val="24"/>
                <w:highlight w:val="none"/>
              </w:rPr>
              <w:t>m</w:t>
            </w:r>
            <w:r>
              <w:rPr>
                <w:rFonts w:hint="default" w:ascii="Times New Roman" w:hAnsi="Times New Roman" w:eastAsia="宋体" w:cs="Times New Roman"/>
                <w:color w:val="auto"/>
                <w:kern w:val="0"/>
                <w:sz w:val="24"/>
                <w:highlight w:val="none"/>
                <w:vertAlign w:val="superscript"/>
              </w:rPr>
              <w:t>3</w:t>
            </w:r>
            <w:r>
              <w:rPr>
                <w:rFonts w:hint="default" w:ascii="Times New Roman" w:hAnsi="Times New Roman" w:eastAsia="宋体" w:cs="Times New Roman"/>
                <w:color w:val="auto"/>
                <w:kern w:val="0"/>
                <w:sz w:val="24"/>
                <w:highlight w:val="none"/>
              </w:rPr>
              <w:t>/d），</w:t>
            </w:r>
            <w:r>
              <w:rPr>
                <w:rFonts w:hint="default" w:ascii="Times New Roman" w:hAnsi="Times New Roman" w:eastAsia="宋体" w:cs="Times New Roman"/>
                <w:color w:val="auto"/>
                <w:kern w:val="0"/>
                <w:sz w:val="24"/>
                <w:highlight w:val="none"/>
                <w:lang w:val="en-US" w:eastAsia="zh-CN"/>
              </w:rPr>
              <w:t>其余废水经沉淀池沉淀之后回用于生产，回用水量768</w:t>
            </w:r>
            <w:r>
              <w:rPr>
                <w:rFonts w:hint="default" w:ascii="Times New Roman" w:hAnsi="Times New Roman" w:eastAsia="宋体" w:cs="Times New Roman"/>
                <w:color w:val="auto"/>
                <w:kern w:val="0"/>
                <w:sz w:val="24"/>
                <w:highlight w:val="none"/>
              </w:rPr>
              <w:t>m</w:t>
            </w:r>
            <w:r>
              <w:rPr>
                <w:rFonts w:hint="default" w:ascii="Times New Roman" w:hAnsi="Times New Roman" w:eastAsia="宋体" w:cs="Times New Roman"/>
                <w:color w:val="auto"/>
                <w:kern w:val="0"/>
                <w:sz w:val="24"/>
                <w:highlight w:val="none"/>
                <w:vertAlign w:val="superscript"/>
              </w:rPr>
              <w:t>3</w:t>
            </w:r>
            <w:r>
              <w:rPr>
                <w:rFonts w:hint="default" w:ascii="Times New Roman" w:hAnsi="Times New Roman" w:eastAsia="宋体" w:cs="Times New Roman"/>
                <w:color w:val="auto"/>
                <w:kern w:val="0"/>
                <w:sz w:val="24"/>
                <w:highlight w:val="none"/>
              </w:rPr>
              <w:t>/a（3.</w:t>
            </w:r>
            <w:r>
              <w:rPr>
                <w:rFonts w:hint="default" w:ascii="Times New Roman" w:hAnsi="Times New Roman" w:eastAsia="宋体" w:cs="Times New Roman"/>
                <w:color w:val="auto"/>
                <w:kern w:val="0"/>
                <w:sz w:val="24"/>
                <w:highlight w:val="none"/>
                <w:lang w:val="en-US" w:eastAsia="zh-CN"/>
              </w:rPr>
              <w:t>2</w:t>
            </w:r>
            <w:r>
              <w:rPr>
                <w:rFonts w:hint="default" w:ascii="Times New Roman" w:hAnsi="Times New Roman" w:eastAsia="宋体" w:cs="Times New Roman"/>
                <w:color w:val="auto"/>
                <w:kern w:val="0"/>
                <w:sz w:val="24"/>
                <w:highlight w:val="none"/>
              </w:rPr>
              <w:t>m</w:t>
            </w:r>
            <w:r>
              <w:rPr>
                <w:rFonts w:hint="default" w:ascii="Times New Roman" w:hAnsi="Times New Roman" w:eastAsia="宋体" w:cs="Times New Roman"/>
                <w:color w:val="auto"/>
                <w:kern w:val="0"/>
                <w:sz w:val="24"/>
                <w:highlight w:val="none"/>
                <w:vertAlign w:val="superscript"/>
              </w:rPr>
              <w:t>3</w:t>
            </w:r>
            <w:r>
              <w:rPr>
                <w:rFonts w:hint="default" w:ascii="Times New Roman" w:hAnsi="Times New Roman" w:eastAsia="宋体" w:cs="Times New Roman"/>
                <w:color w:val="auto"/>
                <w:kern w:val="0"/>
                <w:sz w:val="24"/>
                <w:highlight w:val="none"/>
              </w:rPr>
              <w:t>/d）。</w:t>
            </w:r>
          </w:p>
          <w:p w14:paraId="517C305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right="0" w:firstLine="480" w:firstLineChars="200"/>
              <w:jc w:val="left"/>
              <w:textAlignment w:val="auto"/>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w w:val="100"/>
                <w:position w:val="0"/>
                <w:sz w:val="24"/>
                <w:szCs w:val="24"/>
                <w:highlight w:val="none"/>
                <w:lang w:val="en-US" w:eastAsia="zh-CN"/>
              </w:rPr>
              <w:t>（2）排水</w:t>
            </w:r>
          </w:p>
          <w:p w14:paraId="2ABF5ACD">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right="0" w:firstLine="480" w:firstLineChars="200"/>
              <w:jc w:val="left"/>
              <w:textAlignment w:val="auto"/>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w w:val="100"/>
                <w:position w:val="0"/>
                <w:sz w:val="24"/>
                <w:szCs w:val="24"/>
                <w:highlight w:val="none"/>
                <w:lang w:val="en-US" w:eastAsia="zh-CN"/>
              </w:rPr>
              <w:t>①本项目生活用水量2m</w:t>
            </w:r>
            <w:r>
              <w:rPr>
                <w:rFonts w:hint="default" w:ascii="Times New Roman" w:hAnsi="Times New Roman" w:eastAsia="宋体" w:cs="Times New Roman"/>
                <w:color w:val="auto"/>
                <w:spacing w:val="0"/>
                <w:w w:val="100"/>
                <w:position w:val="0"/>
                <w:sz w:val="24"/>
                <w:szCs w:val="24"/>
                <w:highlight w:val="none"/>
                <w:vertAlign w:val="superscript"/>
                <w:lang w:val="en-US" w:eastAsia="zh-CN"/>
              </w:rPr>
              <w:t>3</w:t>
            </w:r>
            <w:r>
              <w:rPr>
                <w:rFonts w:hint="default" w:ascii="Times New Roman" w:hAnsi="Times New Roman" w:eastAsia="宋体" w:cs="Times New Roman"/>
                <w:color w:val="auto"/>
                <w:spacing w:val="0"/>
                <w:w w:val="100"/>
                <w:position w:val="0"/>
                <w:sz w:val="24"/>
                <w:szCs w:val="24"/>
                <w:highlight w:val="none"/>
                <w:lang w:val="en-US" w:eastAsia="zh-CN"/>
              </w:rPr>
              <w:t>/d（420m</w:t>
            </w:r>
            <w:r>
              <w:rPr>
                <w:rFonts w:hint="default" w:ascii="Times New Roman" w:hAnsi="Times New Roman" w:eastAsia="宋体" w:cs="Times New Roman"/>
                <w:color w:val="auto"/>
                <w:spacing w:val="0"/>
                <w:w w:val="100"/>
                <w:position w:val="0"/>
                <w:sz w:val="24"/>
                <w:szCs w:val="24"/>
                <w:highlight w:val="none"/>
                <w:vertAlign w:val="superscript"/>
                <w:lang w:val="en-US" w:eastAsia="zh-CN"/>
              </w:rPr>
              <w:t>3</w:t>
            </w:r>
            <w:r>
              <w:rPr>
                <w:rFonts w:hint="default" w:ascii="Times New Roman" w:hAnsi="Times New Roman" w:eastAsia="宋体" w:cs="Times New Roman"/>
                <w:color w:val="auto"/>
                <w:spacing w:val="0"/>
                <w:w w:val="100"/>
                <w:position w:val="0"/>
                <w:sz w:val="24"/>
                <w:szCs w:val="24"/>
                <w:highlight w:val="none"/>
                <w:lang w:val="en-US" w:eastAsia="zh-CN"/>
              </w:rPr>
              <w:t>/a），生活污水以生活用水量的80%计，生活污水量为1.6m</w:t>
            </w:r>
            <w:r>
              <w:rPr>
                <w:rFonts w:hint="default" w:ascii="Times New Roman" w:hAnsi="Times New Roman" w:eastAsia="宋体" w:cs="Times New Roman"/>
                <w:color w:val="auto"/>
                <w:spacing w:val="0"/>
                <w:w w:val="100"/>
                <w:position w:val="0"/>
                <w:sz w:val="24"/>
                <w:szCs w:val="24"/>
                <w:highlight w:val="none"/>
                <w:vertAlign w:val="superscript"/>
                <w:lang w:val="en-US" w:eastAsia="zh-CN"/>
              </w:rPr>
              <w:t>3</w:t>
            </w:r>
            <w:r>
              <w:rPr>
                <w:rFonts w:hint="default" w:ascii="Times New Roman" w:hAnsi="Times New Roman" w:eastAsia="宋体" w:cs="Times New Roman"/>
                <w:color w:val="auto"/>
                <w:spacing w:val="0"/>
                <w:w w:val="100"/>
                <w:position w:val="0"/>
                <w:sz w:val="24"/>
                <w:szCs w:val="24"/>
                <w:highlight w:val="none"/>
                <w:lang w:val="en-US" w:eastAsia="zh-CN"/>
              </w:rPr>
              <w:t>/d（336m</w:t>
            </w:r>
            <w:r>
              <w:rPr>
                <w:rFonts w:hint="default" w:ascii="Times New Roman" w:hAnsi="Times New Roman" w:eastAsia="宋体" w:cs="Times New Roman"/>
                <w:color w:val="auto"/>
                <w:spacing w:val="0"/>
                <w:w w:val="100"/>
                <w:position w:val="0"/>
                <w:sz w:val="24"/>
                <w:szCs w:val="24"/>
                <w:highlight w:val="none"/>
                <w:vertAlign w:val="superscript"/>
                <w:lang w:val="en-US" w:eastAsia="zh-CN"/>
              </w:rPr>
              <w:t>3</w:t>
            </w:r>
            <w:r>
              <w:rPr>
                <w:rFonts w:hint="default" w:ascii="Times New Roman" w:hAnsi="Times New Roman" w:eastAsia="宋体" w:cs="Times New Roman"/>
                <w:color w:val="auto"/>
                <w:spacing w:val="0"/>
                <w:w w:val="100"/>
                <w:position w:val="0"/>
                <w:sz w:val="24"/>
                <w:szCs w:val="24"/>
                <w:highlight w:val="none"/>
                <w:lang w:val="en-US" w:eastAsia="zh-CN"/>
              </w:rPr>
              <w:t>/a），生活污水排入化粪池，定期委托拉运。</w:t>
            </w:r>
          </w:p>
          <w:p w14:paraId="70EA3D04">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right="0" w:firstLine="480" w:firstLineChars="200"/>
              <w:jc w:val="left"/>
              <w:textAlignment w:val="auto"/>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w w:val="100"/>
                <w:position w:val="0"/>
                <w:sz w:val="24"/>
                <w:szCs w:val="24"/>
                <w:highlight w:val="none"/>
                <w:lang w:val="en-US" w:eastAsia="zh-CN"/>
              </w:rPr>
              <w:t>②本项目生产用水主要用于露天采场、石料堆场、工业广场、场内道路、水稳设备清洗、洒水降尘用水、洗砂用水。降尘用水全部自然蒸发；洗砂废水和水稳设备清洗废水经沉淀池处理后循环利用，不外排。</w:t>
            </w:r>
          </w:p>
          <w:p w14:paraId="2562FEE2">
            <w:pPr>
              <w:keepNext w:val="0"/>
              <w:keepLines w:val="0"/>
              <w:pageBreakBefore w:val="0"/>
              <w:widowControl/>
              <w:suppressLineNumbers w:val="0"/>
              <w:kinsoku/>
              <w:overflowPunct/>
              <w:topLinePunct w:val="0"/>
              <w:bidi w:val="0"/>
              <w:spacing w:beforeAutospacing="0" w:afterAutospacing="0" w:line="360" w:lineRule="auto"/>
              <w:ind w:left="0" w:leftChars="0" w:right="0" w:firstLine="480" w:firstLineChars="200"/>
              <w:jc w:val="left"/>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本项目水平衡图见图</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14:textFill>
                  <w14:solidFill>
                    <w14:schemeClr w14:val="tx1"/>
                  </w14:solidFill>
                </w14:textFill>
              </w:rPr>
              <w:t>1。</w:t>
            </w:r>
          </w:p>
          <w:p w14:paraId="64FB637C">
            <w:pPr>
              <w:pStyle w:val="66"/>
              <w:jc w:val="center"/>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drawing>
                <wp:inline distT="0" distB="0" distL="114300" distR="114300">
                  <wp:extent cx="3453765" cy="3594100"/>
                  <wp:effectExtent l="0" t="0" r="5715" b="2540"/>
                  <wp:docPr id="2" name="ECB019B1-382A-4266-B25C-5B523AA43C14-1" descr="C:/Users/柒喵/AppData/Local/Temp/wps.QRrzMH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B019B1-382A-4266-B25C-5B523AA43C14-1" descr="C:/Users/柒喵/AppData/Local/Temp/wps.QRrzMHwps"/>
                          <pic:cNvPicPr>
                            <a:picLocks noChangeAspect="1"/>
                          </pic:cNvPicPr>
                        </pic:nvPicPr>
                        <pic:blipFill>
                          <a:blip r:embed="rId10"/>
                          <a:stretch>
                            <a:fillRect/>
                          </a:stretch>
                        </pic:blipFill>
                        <pic:spPr>
                          <a:xfrm>
                            <a:off x="0" y="0"/>
                            <a:ext cx="3453765" cy="3594100"/>
                          </a:xfrm>
                          <a:prstGeom prst="rect">
                            <a:avLst/>
                          </a:prstGeom>
                        </pic:spPr>
                      </pic:pic>
                    </a:graphicData>
                  </a:graphic>
                </wp:inline>
              </w:drawing>
            </w:r>
          </w:p>
          <w:p w14:paraId="1BE762F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Style w:val="47"/>
                <w:rFonts w:hint="default" w:ascii="Times New Roman" w:hAnsi="Times New Roman" w:eastAsia="宋体" w:cs="Times New Roman"/>
                <w:b/>
                <w:bCs/>
                <w:color w:val="000000" w:themeColor="text1"/>
                <w:highlight w:val="none"/>
                <w14:textFill>
                  <w14:solidFill>
                    <w14:schemeClr w14:val="tx1"/>
                  </w14:solidFill>
                </w14:textFill>
              </w:rPr>
              <w:t>图</w:t>
            </w:r>
            <w:r>
              <w:rPr>
                <w:rStyle w:val="47"/>
                <w:rFonts w:hint="default" w:ascii="Times New Roman" w:hAnsi="Times New Roman" w:eastAsia="宋体" w:cs="Times New Roman"/>
                <w:b/>
                <w:bCs/>
                <w:color w:val="000000" w:themeColor="text1"/>
                <w:highlight w:val="none"/>
                <w:lang w:val="en-US" w:eastAsia="zh-CN"/>
                <w14:textFill>
                  <w14:solidFill>
                    <w14:schemeClr w14:val="tx1"/>
                  </w14:solidFill>
                </w14:textFill>
              </w:rPr>
              <w:t>2-</w:t>
            </w:r>
            <w:r>
              <w:rPr>
                <w:rStyle w:val="47"/>
                <w:rFonts w:hint="eastAsia" w:ascii="Times New Roman" w:hAnsi="Times New Roman" w:eastAsia="宋体" w:cs="Times New Roman"/>
                <w:b/>
                <w:bCs/>
                <w:color w:val="000000" w:themeColor="text1"/>
                <w:highlight w:val="none"/>
                <w:lang w:val="en-US" w:eastAsia="zh-CN"/>
                <w14:textFill>
                  <w14:solidFill>
                    <w14:schemeClr w14:val="tx1"/>
                  </w14:solidFill>
                </w14:textFill>
              </w:rPr>
              <w:t>2</w:t>
            </w:r>
            <w:r>
              <w:rPr>
                <w:rStyle w:val="47"/>
                <w:rFonts w:hint="default" w:ascii="Times New Roman" w:hAnsi="Times New Roman" w:eastAsia="宋体" w:cs="Times New Roman"/>
                <w:b/>
                <w:bCs/>
                <w:color w:val="000000" w:themeColor="text1"/>
                <w:highlight w:val="none"/>
                <w14:textFill>
                  <w14:solidFill>
                    <w14:schemeClr w14:val="tx1"/>
                  </w14:solidFill>
                </w14:textFill>
              </w:rPr>
              <w:t xml:space="preserve">  水平衡图  单位：</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m</w:t>
            </w:r>
            <w:r>
              <w:rPr>
                <w:rFonts w:hint="default" w:ascii="Times New Roman" w:hAnsi="Times New Roman" w:eastAsia="宋体" w:cs="Times New Roman"/>
                <w:b/>
                <w:bCs/>
                <w:color w:val="000000" w:themeColor="text1"/>
                <w:sz w:val="21"/>
                <w:szCs w:val="21"/>
                <w:highlight w:val="none"/>
                <w:vertAlign w:val="superscript"/>
                <w14:textFill>
                  <w14:solidFill>
                    <w14:schemeClr w14:val="tx1"/>
                  </w14:solidFill>
                </w14:textFill>
              </w:rPr>
              <w:t>3</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/a</w:t>
            </w:r>
          </w:p>
          <w:p w14:paraId="41DDAF32">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right="0" w:firstLine="480" w:firstLineChars="200"/>
              <w:jc w:val="left"/>
              <w:textAlignment w:val="auto"/>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w w:val="100"/>
                <w:position w:val="0"/>
                <w:sz w:val="24"/>
                <w:szCs w:val="24"/>
                <w:highlight w:val="none"/>
                <w:lang w:val="en-US" w:eastAsia="zh-CN"/>
              </w:rPr>
              <w:t>（3）供电</w:t>
            </w:r>
          </w:p>
          <w:p w14:paraId="3DE47062">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leftChars="0" w:right="0" w:firstLine="480" w:firstLineChars="200"/>
              <w:jc w:val="left"/>
              <w:textAlignment w:val="auto"/>
              <w:rPr>
                <w:rFonts w:hint="default" w:ascii="Times New Roman" w:hAnsi="Times New Roman" w:eastAsia="宋体" w:cs="Times New Roman"/>
                <w:color w:val="auto"/>
                <w:spacing w:val="0"/>
                <w:w w:val="100"/>
                <w:position w:val="0"/>
                <w:sz w:val="24"/>
                <w:szCs w:val="24"/>
                <w:highlight w:val="none"/>
                <w:lang w:val="en-US" w:eastAsia="zh-CN"/>
              </w:rPr>
            </w:pPr>
            <w:r>
              <w:rPr>
                <w:rFonts w:hint="default" w:ascii="Times New Roman" w:hAnsi="Times New Roman" w:eastAsia="宋体" w:cs="Times New Roman"/>
                <w:color w:val="auto"/>
                <w:spacing w:val="0"/>
                <w:w w:val="100"/>
                <w:position w:val="0"/>
                <w:sz w:val="24"/>
                <w:szCs w:val="24"/>
                <w:highlight w:val="none"/>
                <w:lang w:val="en-US" w:eastAsia="zh-CN"/>
              </w:rPr>
              <w:t>本工程用由国家电网供给，可满足项目用电负荷及对供电可靠性的要求。</w:t>
            </w:r>
          </w:p>
          <w:p w14:paraId="69495FC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outlineLvl w:val="9"/>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w w:val="100"/>
                <w:position w:val="0"/>
                <w:sz w:val="24"/>
                <w:szCs w:val="24"/>
                <w:highlight w:val="none"/>
                <w:lang w:val="en-US" w:eastAsia="zh-CN"/>
              </w:rPr>
              <w:t>（4）交通</w:t>
            </w:r>
            <w:r>
              <w:rPr>
                <w:rFonts w:hint="default" w:ascii="Times New Roman" w:hAnsi="Times New Roman" w:eastAsia="宋体" w:cs="Times New Roman"/>
                <w:color w:val="auto"/>
                <w:spacing w:val="0"/>
                <w:sz w:val="24"/>
                <w:szCs w:val="24"/>
                <w:highlight w:val="none"/>
                <w:lang w:val="en-US" w:eastAsia="zh-CN"/>
              </w:rPr>
              <w:t>运输：</w:t>
            </w:r>
          </w:p>
          <w:p w14:paraId="6342E13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outlineLvl w:val="9"/>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矿区北侧直线距离约150米处为大奇高速，南侧直线距离约1km处为哈阜线，西侧双河街公路直通吉木萨尔县城。矿区范围内简易道路纵横，交通较为便利。</w:t>
            </w:r>
          </w:p>
          <w:p w14:paraId="2B326BD1">
            <w:pPr>
              <w:pStyle w:val="4"/>
              <w:keepNext w:val="0"/>
              <w:keepLines w:val="0"/>
              <w:pageBreakBefore w:val="0"/>
              <w:widowControl/>
              <w:numPr>
                <w:ilvl w:val="0"/>
                <w:numId w:val="0"/>
              </w:numPr>
              <w:kinsoku/>
              <w:wordWrap/>
              <w:overflowPunct/>
              <w:topLinePunct w:val="0"/>
              <w:autoSpaceDE/>
              <w:autoSpaceDN/>
              <w:bidi w:val="0"/>
              <w:adjustRightInd w:val="0"/>
              <w:snapToGrid w:val="0"/>
              <w:spacing w:before="0" w:beforeLines="0" w:beforeAutospacing="0" w:after="0" w:afterLines="0" w:afterAutospacing="0" w:line="360" w:lineRule="auto"/>
              <w:ind w:left="0" w:leftChars="0" w:right="0" w:rightChars="0" w:firstLine="0" w:firstLineChars="0"/>
              <w:textAlignment w:val="auto"/>
              <w:rPr>
                <w:rFonts w:hint="default"/>
                <w:lang w:val="en-US" w:eastAsia="zh-CN"/>
              </w:rPr>
            </w:pPr>
            <w:r>
              <w:rPr>
                <w:rFonts w:hint="eastAsia" w:ascii="Times New Roman" w:hAnsi="Times New Roman" w:eastAsia="宋体" w:cs="Times New Roman"/>
                <w:b/>
                <w:bCs w:val="0"/>
                <w:color w:val="auto"/>
                <w:spacing w:val="0"/>
                <w:w w:val="100"/>
                <w:kern w:val="2"/>
                <w:position w:val="0"/>
                <w:sz w:val="24"/>
                <w:szCs w:val="24"/>
                <w:lang w:val="en-US" w:eastAsia="zh-CN" w:bidi="ar-SA"/>
              </w:rPr>
              <w:t>7</w:t>
            </w:r>
            <w:r>
              <w:rPr>
                <w:rFonts w:hint="default" w:ascii="Times New Roman" w:hAnsi="Times New Roman" w:eastAsia="宋体" w:cs="Times New Roman"/>
                <w:b/>
                <w:bCs w:val="0"/>
                <w:color w:val="auto"/>
                <w:spacing w:val="0"/>
                <w:w w:val="100"/>
                <w:kern w:val="2"/>
                <w:position w:val="0"/>
                <w:sz w:val="24"/>
                <w:szCs w:val="24"/>
                <w:lang w:val="en-US" w:eastAsia="zh-CN" w:bidi="ar-SA"/>
              </w:rPr>
              <w:t>.</w:t>
            </w:r>
            <w:r>
              <w:rPr>
                <w:rFonts w:hint="eastAsia" w:ascii="Times New Roman" w:hAnsi="Times New Roman" w:eastAsia="宋体" w:cs="Times New Roman"/>
                <w:b/>
                <w:bCs w:val="0"/>
                <w:color w:val="auto"/>
                <w:spacing w:val="0"/>
                <w:w w:val="100"/>
                <w:kern w:val="2"/>
                <w:position w:val="0"/>
                <w:sz w:val="24"/>
                <w:szCs w:val="24"/>
                <w:highlight w:val="none"/>
                <w:lang w:val="en-US" w:eastAsia="zh-CN" w:bidi="ar-SA"/>
              </w:rPr>
              <w:t>土石方平衡</w:t>
            </w:r>
          </w:p>
          <w:p w14:paraId="651A44C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outlineLvl w:val="9"/>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项目建设期涉及土方主要为</w:t>
            </w:r>
            <w:r>
              <w:rPr>
                <w:rFonts w:hint="eastAsia" w:ascii="Times New Roman" w:hAnsi="Times New Roman" w:eastAsia="宋体" w:cs="Times New Roman"/>
                <w:color w:val="auto"/>
                <w:spacing w:val="0"/>
                <w:sz w:val="24"/>
                <w:szCs w:val="24"/>
                <w:highlight w:val="none"/>
                <w:lang w:val="en-US" w:eastAsia="zh-CN"/>
              </w:rPr>
              <w:t>表土剥离、</w:t>
            </w:r>
            <w:r>
              <w:rPr>
                <w:rFonts w:hint="default" w:ascii="Times New Roman" w:hAnsi="Times New Roman" w:eastAsia="宋体" w:cs="Times New Roman"/>
                <w:color w:val="auto"/>
                <w:spacing w:val="0"/>
                <w:sz w:val="24"/>
                <w:szCs w:val="24"/>
                <w:highlight w:val="none"/>
                <w:lang w:val="en-US" w:eastAsia="zh-CN"/>
              </w:rPr>
              <w:t>采矿场区截水沟开挖，办公生活区建筑物及</w:t>
            </w:r>
            <w:r>
              <w:rPr>
                <w:rFonts w:hint="eastAsia" w:ascii="Times New Roman" w:hAnsi="Times New Roman" w:eastAsia="宋体" w:cs="Times New Roman"/>
                <w:color w:val="auto"/>
                <w:spacing w:val="0"/>
                <w:sz w:val="24"/>
                <w:szCs w:val="24"/>
                <w:highlight w:val="none"/>
                <w:lang w:val="en-US" w:eastAsia="zh-CN"/>
              </w:rPr>
              <w:t>工业场地区</w:t>
            </w:r>
            <w:r>
              <w:rPr>
                <w:rFonts w:hint="default" w:ascii="Times New Roman" w:hAnsi="Times New Roman" w:eastAsia="宋体" w:cs="Times New Roman"/>
                <w:color w:val="auto"/>
                <w:spacing w:val="0"/>
                <w:sz w:val="24"/>
                <w:szCs w:val="24"/>
                <w:highlight w:val="none"/>
                <w:lang w:val="en-US" w:eastAsia="zh-CN"/>
              </w:rPr>
              <w:t>生产设备基础开挖，</w:t>
            </w:r>
            <w:r>
              <w:rPr>
                <w:rFonts w:hint="eastAsia" w:ascii="Times New Roman" w:hAnsi="Times New Roman" w:eastAsia="宋体" w:cs="Times New Roman"/>
                <w:color w:val="auto"/>
                <w:spacing w:val="0"/>
                <w:sz w:val="24"/>
                <w:szCs w:val="24"/>
                <w:highlight w:val="none"/>
                <w:lang w:val="en-US" w:eastAsia="zh-CN"/>
              </w:rPr>
              <w:t>原矿石</w:t>
            </w:r>
            <w:r>
              <w:rPr>
                <w:rFonts w:hint="default" w:ascii="Times New Roman" w:hAnsi="Times New Roman" w:eastAsia="宋体" w:cs="Times New Roman"/>
                <w:color w:val="auto"/>
                <w:spacing w:val="0"/>
                <w:sz w:val="24"/>
                <w:szCs w:val="24"/>
                <w:highlight w:val="none"/>
                <w:lang w:val="en-US" w:eastAsia="zh-CN"/>
              </w:rPr>
              <w:t>堆放场区及新建道路场平。经现场调查及主体资料确定，本项目建设期土石方开挖共计</w:t>
            </w:r>
            <w:r>
              <w:rPr>
                <w:rFonts w:hint="eastAsia" w:ascii="Times New Roman" w:hAnsi="Times New Roman" w:eastAsia="宋体" w:cs="Times New Roman"/>
                <w:color w:val="auto"/>
                <w:spacing w:val="0"/>
                <w:sz w:val="24"/>
                <w:szCs w:val="24"/>
                <w:highlight w:val="none"/>
                <w:lang w:val="en-US" w:eastAsia="zh-CN"/>
              </w:rPr>
              <w:t>4.37万</w:t>
            </w:r>
            <w:r>
              <w:rPr>
                <w:rFonts w:hint="default" w:ascii="Times New Roman" w:hAnsi="Times New Roman" w:eastAsia="宋体" w:cs="Times New Roman"/>
                <w:color w:val="auto"/>
                <w:spacing w:val="0"/>
                <w:sz w:val="24"/>
                <w:szCs w:val="24"/>
                <w:highlight w:val="none"/>
                <w:lang w:val="en-US" w:eastAsia="zh-CN"/>
              </w:rPr>
              <w:t>m³，回填土石方</w:t>
            </w:r>
            <w:r>
              <w:rPr>
                <w:rFonts w:hint="eastAsia" w:ascii="Times New Roman" w:hAnsi="Times New Roman" w:eastAsia="宋体" w:cs="Times New Roman"/>
                <w:color w:val="auto"/>
                <w:spacing w:val="0"/>
                <w:sz w:val="24"/>
                <w:szCs w:val="24"/>
                <w:highlight w:val="none"/>
                <w:lang w:val="en-US" w:eastAsia="zh-CN"/>
              </w:rPr>
              <w:t>0.52</w:t>
            </w:r>
            <w:r>
              <w:rPr>
                <w:rFonts w:hint="default" w:ascii="Times New Roman" w:hAnsi="Times New Roman" w:eastAsia="宋体" w:cs="Times New Roman"/>
                <w:color w:val="auto"/>
                <w:spacing w:val="0"/>
                <w:sz w:val="24"/>
                <w:szCs w:val="24"/>
                <w:highlight w:val="none"/>
                <w:lang w:val="en-US" w:eastAsia="zh-CN"/>
              </w:rPr>
              <w:t>万m³，内部合理调运0.0</w:t>
            </w:r>
            <w:r>
              <w:rPr>
                <w:rFonts w:hint="eastAsia" w:ascii="Times New Roman" w:hAnsi="Times New Roman" w:eastAsia="宋体" w:cs="Times New Roman"/>
                <w:color w:val="auto"/>
                <w:spacing w:val="0"/>
                <w:sz w:val="24"/>
                <w:szCs w:val="24"/>
                <w:highlight w:val="none"/>
                <w:lang w:val="en-US" w:eastAsia="zh-CN"/>
              </w:rPr>
              <w:t>8</w:t>
            </w:r>
            <w:r>
              <w:rPr>
                <w:rFonts w:hint="default" w:ascii="Times New Roman" w:hAnsi="Times New Roman" w:eastAsia="宋体" w:cs="Times New Roman"/>
                <w:color w:val="auto"/>
                <w:spacing w:val="0"/>
                <w:sz w:val="24"/>
                <w:szCs w:val="24"/>
                <w:highlight w:val="none"/>
                <w:lang w:val="en-US" w:eastAsia="zh-CN"/>
              </w:rPr>
              <w:t>万m³，无借方，弃方</w:t>
            </w:r>
            <w:r>
              <w:rPr>
                <w:rFonts w:hint="eastAsia" w:ascii="Times New Roman" w:hAnsi="Times New Roman" w:eastAsia="宋体" w:cs="Times New Roman"/>
                <w:color w:val="auto"/>
                <w:spacing w:val="0"/>
                <w:sz w:val="24"/>
                <w:szCs w:val="24"/>
                <w:highlight w:val="none"/>
                <w:lang w:val="en-US" w:eastAsia="zh-CN"/>
              </w:rPr>
              <w:t>3.85万m³（弃方为剥离的表土、无用层，表土集中堆放于表土堆场区，无用层堆放于废石堆场区，待矿山闭坑后作为复垦土源。</w:t>
            </w:r>
            <w:r>
              <w:rPr>
                <w:rFonts w:hint="default" w:ascii="Times New Roman" w:hAnsi="Times New Roman" w:eastAsia="宋体" w:cs="Times New Roman"/>
                <w:color w:val="auto"/>
                <w:spacing w:val="0"/>
                <w:sz w:val="24"/>
                <w:szCs w:val="24"/>
                <w:highlight w:val="none"/>
                <w:lang w:val="en-US" w:eastAsia="zh-CN"/>
              </w:rPr>
              <w:t>堆场随矿区整体平整治理，恢复地表地貌，</w:t>
            </w:r>
            <w:r>
              <w:rPr>
                <w:rFonts w:hint="eastAsia" w:ascii="Times New Roman" w:hAnsi="Times New Roman" w:eastAsia="宋体" w:cs="Times New Roman"/>
                <w:color w:val="auto"/>
                <w:spacing w:val="0"/>
                <w:sz w:val="24"/>
                <w:szCs w:val="24"/>
                <w:highlight w:val="none"/>
                <w:lang w:val="en-US" w:eastAsia="zh-CN"/>
              </w:rPr>
              <w:t>方案新增防尘网苫盖、编织袋拦挡等措施，</w:t>
            </w:r>
            <w:r>
              <w:rPr>
                <w:rFonts w:hint="default" w:ascii="Times New Roman" w:hAnsi="Times New Roman" w:eastAsia="宋体" w:cs="Times New Roman"/>
                <w:color w:val="auto"/>
                <w:spacing w:val="0"/>
                <w:sz w:val="24"/>
                <w:szCs w:val="24"/>
                <w:highlight w:val="none"/>
                <w:lang w:val="en-US" w:eastAsia="zh-CN"/>
              </w:rPr>
              <w:t>减轻水土流失影响</w:t>
            </w:r>
            <w:r>
              <w:rPr>
                <w:rFonts w:hint="eastAsia" w:ascii="Times New Roman" w:hAnsi="Times New Roman" w:eastAsia="宋体" w:cs="Times New Roman"/>
                <w:color w:val="auto"/>
                <w:spacing w:val="0"/>
                <w:sz w:val="24"/>
                <w:szCs w:val="24"/>
                <w:highlight w:val="none"/>
                <w:lang w:val="en-US" w:eastAsia="zh-CN"/>
              </w:rPr>
              <w:t>）</w:t>
            </w:r>
            <w:r>
              <w:rPr>
                <w:rFonts w:hint="default" w:ascii="Times New Roman" w:hAnsi="Times New Roman" w:eastAsia="宋体" w:cs="Times New Roman"/>
                <w:color w:val="auto"/>
                <w:spacing w:val="0"/>
                <w:sz w:val="24"/>
                <w:szCs w:val="24"/>
                <w:highlight w:val="none"/>
                <w:lang w:val="en-US" w:eastAsia="zh-CN"/>
              </w:rPr>
              <w:t>。</w:t>
            </w:r>
            <w:r>
              <w:rPr>
                <w:rFonts w:hint="eastAsia" w:ascii="Times New Roman" w:hAnsi="Times New Roman" w:eastAsia="宋体" w:cs="Times New Roman"/>
                <w:color w:val="auto"/>
                <w:spacing w:val="0"/>
                <w:sz w:val="24"/>
                <w:szCs w:val="24"/>
                <w:highlight w:val="none"/>
                <w:lang w:val="en-US" w:eastAsia="zh-CN"/>
              </w:rPr>
              <w:t>本项目生产期年剥离废石量3.61万m³。</w:t>
            </w:r>
            <w:r>
              <w:rPr>
                <w:rFonts w:hint="default" w:ascii="Times New Roman" w:hAnsi="Times New Roman" w:eastAsia="宋体" w:cs="Times New Roman"/>
                <w:color w:val="auto"/>
                <w:spacing w:val="0"/>
                <w:sz w:val="24"/>
                <w:szCs w:val="24"/>
                <w:highlight w:val="none"/>
                <w:lang w:val="en-US" w:eastAsia="zh-CN"/>
              </w:rPr>
              <w:t>全部临时堆放在废石堆放场；后期采用边生产边回填的方式逐年及时回填采矿场。</w:t>
            </w:r>
          </w:p>
          <w:p w14:paraId="5109E8E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outlineLvl w:val="9"/>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（1）采矿场区</w:t>
            </w:r>
          </w:p>
          <w:p w14:paraId="37ECDDA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outlineLvl w:val="9"/>
              <w:rPr>
                <w:rFonts w:hint="default" w:ascii="Times New Roman" w:hAnsi="Times New Roman" w:eastAsia="宋体" w:cs="Times New Roman"/>
                <w:color w:val="auto"/>
                <w:spacing w:val="0"/>
                <w:sz w:val="24"/>
                <w:szCs w:val="24"/>
                <w:highlight w:val="none"/>
                <w:lang w:val="en-US" w:eastAsia="zh-CN"/>
              </w:rPr>
            </w:pPr>
            <w:r>
              <w:rPr>
                <w:rFonts w:hint="eastAsia" w:ascii="Times New Roman" w:hAnsi="Times New Roman" w:eastAsia="宋体" w:cs="Times New Roman"/>
                <w:color w:val="auto"/>
                <w:spacing w:val="0"/>
                <w:sz w:val="24"/>
                <w:szCs w:val="24"/>
                <w:highlight w:val="none"/>
                <w:lang w:val="en-US" w:eastAsia="zh-CN"/>
              </w:rPr>
              <w:t>采矿场区基建期开挖土石方包</w:t>
            </w:r>
            <w:r>
              <w:rPr>
                <w:rFonts w:hint="default" w:ascii="Times New Roman" w:hAnsi="Times New Roman" w:eastAsia="宋体" w:cs="Times New Roman"/>
                <w:color w:val="auto"/>
                <w:spacing w:val="0"/>
                <w:sz w:val="24"/>
                <w:szCs w:val="24"/>
                <w:highlight w:val="none"/>
                <w:lang w:val="en-US" w:eastAsia="zh-CN"/>
              </w:rPr>
              <w:t>括首采区表土和无用层的剥离量</w:t>
            </w:r>
            <w:r>
              <w:rPr>
                <w:rFonts w:hint="eastAsia" w:ascii="Times New Roman" w:hAnsi="Times New Roman" w:eastAsia="宋体" w:cs="Times New Roman"/>
                <w:color w:val="auto"/>
                <w:spacing w:val="0"/>
                <w:sz w:val="24"/>
                <w:szCs w:val="24"/>
                <w:highlight w:val="none"/>
                <w:lang w:val="en-US" w:eastAsia="zh-CN"/>
              </w:rPr>
              <w:t>及</w:t>
            </w:r>
            <w:r>
              <w:rPr>
                <w:rFonts w:hint="default" w:ascii="Times New Roman" w:hAnsi="Times New Roman" w:eastAsia="宋体" w:cs="Times New Roman"/>
                <w:color w:val="auto"/>
                <w:spacing w:val="0"/>
                <w:sz w:val="24"/>
                <w:szCs w:val="24"/>
                <w:highlight w:val="none"/>
                <w:lang w:val="en-US" w:eastAsia="zh-CN"/>
              </w:rPr>
              <w:t>在最终开采境界来水方向（</w:t>
            </w:r>
            <w:r>
              <w:rPr>
                <w:rFonts w:hint="eastAsia" w:ascii="Times New Roman" w:hAnsi="Times New Roman" w:eastAsia="宋体" w:cs="Times New Roman"/>
                <w:color w:val="auto"/>
                <w:spacing w:val="0"/>
                <w:sz w:val="24"/>
                <w:szCs w:val="24"/>
                <w:highlight w:val="none"/>
                <w:lang w:val="en-US" w:eastAsia="zh-CN"/>
              </w:rPr>
              <w:t>即采场西面和生活区</w:t>
            </w:r>
            <w:r>
              <w:rPr>
                <w:rFonts w:hint="default" w:ascii="Times New Roman" w:hAnsi="Times New Roman" w:eastAsia="宋体" w:cs="Times New Roman"/>
                <w:color w:val="auto"/>
                <w:spacing w:val="0"/>
                <w:sz w:val="24"/>
                <w:szCs w:val="24"/>
                <w:highlight w:val="none"/>
                <w:lang w:val="en-US" w:eastAsia="zh-CN"/>
              </w:rPr>
              <w:t>）</w:t>
            </w:r>
            <w:r>
              <w:rPr>
                <w:rFonts w:hint="eastAsia" w:ascii="Times New Roman" w:hAnsi="Times New Roman" w:eastAsia="宋体" w:cs="Times New Roman"/>
                <w:color w:val="auto"/>
                <w:spacing w:val="0"/>
                <w:sz w:val="24"/>
                <w:szCs w:val="24"/>
                <w:highlight w:val="none"/>
                <w:lang w:val="en-US" w:eastAsia="zh-CN"/>
              </w:rPr>
              <w:t>修建截水沟的开挖量。首采区表土剥离量为0.45万m³，堆放在表土堆场区；无用层剥离量为2.25万m³，堆放在废石堆场区；截水沟长1490m，采用倒梯形布置，截水沟顶宽1.5m，底宽0.5m，深0.3m，</w:t>
            </w:r>
            <w:r>
              <w:rPr>
                <w:rFonts w:hint="default" w:ascii="Times New Roman" w:hAnsi="Times New Roman" w:eastAsia="宋体" w:cs="Times New Roman"/>
                <w:color w:val="auto"/>
                <w:spacing w:val="0"/>
                <w:sz w:val="24"/>
                <w:szCs w:val="24"/>
                <w:highlight w:val="none"/>
                <w:lang w:val="en-US" w:eastAsia="zh-CN"/>
              </w:rPr>
              <w:t>开挖</w:t>
            </w:r>
            <w:r>
              <w:rPr>
                <w:rFonts w:hint="eastAsia" w:ascii="Times New Roman" w:hAnsi="Times New Roman" w:eastAsia="宋体" w:cs="Times New Roman"/>
                <w:color w:val="auto"/>
                <w:spacing w:val="0"/>
                <w:sz w:val="24"/>
                <w:szCs w:val="24"/>
                <w:highlight w:val="none"/>
                <w:lang w:val="en-US" w:eastAsia="zh-CN"/>
              </w:rPr>
              <w:t>土石方</w:t>
            </w:r>
            <w:r>
              <w:rPr>
                <w:rFonts w:hint="default" w:ascii="Times New Roman" w:hAnsi="Times New Roman" w:eastAsia="宋体" w:cs="Times New Roman"/>
                <w:color w:val="auto"/>
                <w:spacing w:val="0"/>
                <w:sz w:val="24"/>
                <w:szCs w:val="24"/>
                <w:highlight w:val="none"/>
                <w:lang w:val="en-US" w:eastAsia="zh-CN"/>
              </w:rPr>
              <w:t>量为</w:t>
            </w:r>
            <w:r>
              <w:rPr>
                <w:rFonts w:hint="eastAsia" w:ascii="Times New Roman" w:hAnsi="Times New Roman" w:eastAsia="宋体" w:cs="Times New Roman"/>
                <w:color w:val="auto"/>
                <w:spacing w:val="0"/>
                <w:sz w:val="24"/>
                <w:szCs w:val="24"/>
                <w:highlight w:val="none"/>
                <w:lang w:val="en-US" w:eastAsia="zh-CN"/>
              </w:rPr>
              <w:t>0.05万m³</w:t>
            </w:r>
            <w:r>
              <w:rPr>
                <w:rFonts w:hint="default" w:ascii="Times New Roman" w:hAnsi="Times New Roman" w:eastAsia="宋体" w:cs="Times New Roman"/>
                <w:color w:val="auto"/>
                <w:spacing w:val="0"/>
                <w:sz w:val="24"/>
                <w:szCs w:val="24"/>
                <w:highlight w:val="none"/>
                <w:lang w:val="en-US" w:eastAsia="zh-CN"/>
              </w:rPr>
              <w:t>，开挖土石方就近堆于</w:t>
            </w:r>
            <w:r>
              <w:rPr>
                <w:rFonts w:hint="eastAsia" w:ascii="Times New Roman" w:hAnsi="Times New Roman" w:eastAsia="宋体" w:cs="Times New Roman"/>
                <w:color w:val="auto"/>
                <w:spacing w:val="0"/>
                <w:sz w:val="24"/>
                <w:szCs w:val="24"/>
                <w:highlight w:val="none"/>
                <w:lang w:val="en-US" w:eastAsia="zh-CN"/>
              </w:rPr>
              <w:t>截</w:t>
            </w:r>
            <w:r>
              <w:rPr>
                <w:rFonts w:hint="default" w:ascii="Times New Roman" w:hAnsi="Times New Roman" w:eastAsia="宋体" w:cs="Times New Roman"/>
                <w:color w:val="auto"/>
                <w:spacing w:val="0"/>
                <w:sz w:val="24"/>
                <w:szCs w:val="24"/>
                <w:highlight w:val="none"/>
                <w:lang w:val="en-US" w:eastAsia="zh-CN"/>
              </w:rPr>
              <w:t>水沟外侧，作为节水沟外围挡护设施。</w:t>
            </w:r>
          </w:p>
          <w:p w14:paraId="3DA433C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outlineLvl w:val="9"/>
              <w:rPr>
                <w:rFonts w:hint="default" w:ascii="Times New Roman" w:hAnsi="Times New Roman" w:eastAsia="宋体" w:cs="Times New Roman"/>
                <w:color w:val="auto"/>
                <w:spacing w:val="0"/>
                <w:sz w:val="24"/>
                <w:szCs w:val="24"/>
                <w:highlight w:val="none"/>
                <w:lang w:val="en-US" w:eastAsia="zh-CN"/>
              </w:rPr>
            </w:pPr>
            <w:r>
              <w:rPr>
                <w:rFonts w:hint="eastAsia" w:ascii="Times New Roman" w:hAnsi="Times New Roman" w:eastAsia="宋体" w:cs="Times New Roman"/>
                <w:color w:val="auto"/>
                <w:spacing w:val="0"/>
                <w:sz w:val="24"/>
                <w:szCs w:val="24"/>
                <w:highlight w:val="none"/>
                <w:lang w:val="en-US" w:eastAsia="zh-CN"/>
              </w:rPr>
              <w:t>故</w:t>
            </w:r>
            <w:r>
              <w:rPr>
                <w:rFonts w:hint="default" w:ascii="Times New Roman" w:hAnsi="Times New Roman" w:eastAsia="宋体" w:cs="Times New Roman"/>
                <w:color w:val="auto"/>
                <w:spacing w:val="0"/>
                <w:sz w:val="24"/>
                <w:szCs w:val="24"/>
                <w:highlight w:val="none"/>
                <w:lang w:val="en-US" w:eastAsia="zh-CN"/>
              </w:rPr>
              <w:t>采矿场区基建期挖方</w:t>
            </w:r>
            <w:r>
              <w:rPr>
                <w:rFonts w:hint="eastAsia" w:ascii="Times New Roman" w:hAnsi="Times New Roman" w:eastAsia="宋体" w:cs="Times New Roman"/>
                <w:color w:val="auto"/>
                <w:spacing w:val="0"/>
                <w:sz w:val="24"/>
                <w:szCs w:val="24"/>
                <w:highlight w:val="none"/>
                <w:lang w:val="en-US" w:eastAsia="zh-CN"/>
              </w:rPr>
              <w:t>2.75</w:t>
            </w:r>
            <w:r>
              <w:rPr>
                <w:rFonts w:hint="default" w:ascii="Times New Roman" w:hAnsi="Times New Roman" w:eastAsia="宋体" w:cs="Times New Roman"/>
                <w:color w:val="auto"/>
                <w:spacing w:val="0"/>
                <w:sz w:val="24"/>
                <w:szCs w:val="24"/>
                <w:highlight w:val="none"/>
                <w:lang w:val="en-US" w:eastAsia="zh-CN"/>
              </w:rPr>
              <w:t>万m³，填方</w:t>
            </w:r>
            <w:r>
              <w:rPr>
                <w:rFonts w:hint="eastAsia" w:ascii="Times New Roman" w:hAnsi="Times New Roman" w:eastAsia="宋体" w:cs="Times New Roman"/>
                <w:color w:val="auto"/>
                <w:spacing w:val="0"/>
                <w:sz w:val="24"/>
                <w:szCs w:val="24"/>
                <w:highlight w:val="none"/>
                <w:lang w:val="en-US" w:eastAsia="zh-CN"/>
              </w:rPr>
              <w:t>0.05</w:t>
            </w:r>
            <w:r>
              <w:rPr>
                <w:rFonts w:hint="default" w:ascii="Times New Roman" w:hAnsi="Times New Roman" w:eastAsia="宋体" w:cs="Times New Roman"/>
                <w:color w:val="auto"/>
                <w:spacing w:val="0"/>
                <w:sz w:val="24"/>
                <w:szCs w:val="24"/>
                <w:highlight w:val="none"/>
                <w:lang w:val="en-US" w:eastAsia="zh-CN"/>
              </w:rPr>
              <w:t>万m³，无借方，弃方</w:t>
            </w:r>
            <w:r>
              <w:rPr>
                <w:rFonts w:hint="eastAsia" w:ascii="Times New Roman" w:hAnsi="Times New Roman" w:eastAsia="宋体" w:cs="Times New Roman"/>
                <w:color w:val="auto"/>
                <w:spacing w:val="0"/>
                <w:sz w:val="24"/>
                <w:szCs w:val="24"/>
                <w:highlight w:val="none"/>
                <w:lang w:val="en-US" w:eastAsia="zh-CN"/>
              </w:rPr>
              <w:t>2.70万m³（表土堆放在表土堆场区，无用层堆放在废石堆场区；待矿山闭坑后作为复垦土源）</w:t>
            </w:r>
            <w:r>
              <w:rPr>
                <w:rFonts w:hint="default" w:ascii="Times New Roman" w:hAnsi="Times New Roman" w:eastAsia="宋体" w:cs="Times New Roman"/>
                <w:color w:val="auto"/>
                <w:spacing w:val="0"/>
                <w:sz w:val="24"/>
                <w:szCs w:val="24"/>
                <w:highlight w:val="none"/>
                <w:lang w:val="en-US" w:eastAsia="zh-CN"/>
              </w:rPr>
              <w:t>。</w:t>
            </w:r>
          </w:p>
          <w:p w14:paraId="371CFA9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outlineLvl w:val="9"/>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（2）办公生活区</w:t>
            </w:r>
          </w:p>
          <w:p w14:paraId="2CF280D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outlineLvl w:val="9"/>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办公生活区涉及土方主要为建筑物基础开挖及场平，</w:t>
            </w:r>
            <w:r>
              <w:rPr>
                <w:rFonts w:hint="eastAsia" w:ascii="Times New Roman" w:hAnsi="Times New Roman" w:eastAsia="宋体" w:cs="Times New Roman"/>
                <w:color w:val="auto"/>
                <w:spacing w:val="0"/>
                <w:sz w:val="24"/>
                <w:szCs w:val="24"/>
                <w:highlight w:val="none"/>
                <w:lang w:val="en-US" w:eastAsia="zh-CN"/>
              </w:rPr>
              <w:t>建筑物开挖</w:t>
            </w:r>
            <w:r>
              <w:rPr>
                <w:rFonts w:hint="default" w:ascii="Times New Roman" w:hAnsi="Times New Roman" w:eastAsia="宋体" w:cs="Times New Roman"/>
                <w:color w:val="auto"/>
                <w:spacing w:val="0"/>
                <w:sz w:val="24"/>
                <w:szCs w:val="24"/>
                <w:highlight w:val="none"/>
                <w:lang w:val="en-US" w:eastAsia="zh-CN"/>
              </w:rPr>
              <w:t>挖</w:t>
            </w:r>
            <w:r>
              <w:rPr>
                <w:rFonts w:hint="eastAsia" w:ascii="Times New Roman" w:hAnsi="Times New Roman" w:eastAsia="宋体" w:cs="Times New Roman"/>
                <w:color w:val="auto"/>
                <w:spacing w:val="0"/>
                <w:sz w:val="24"/>
                <w:szCs w:val="24"/>
                <w:highlight w:val="none"/>
                <w:lang w:val="en-US" w:eastAsia="zh-CN"/>
              </w:rPr>
              <w:t>土方</w:t>
            </w:r>
            <w:r>
              <w:rPr>
                <w:rFonts w:hint="default" w:ascii="Times New Roman" w:hAnsi="Times New Roman" w:eastAsia="宋体" w:cs="Times New Roman"/>
                <w:color w:val="auto"/>
                <w:spacing w:val="0"/>
                <w:sz w:val="24"/>
                <w:szCs w:val="24"/>
                <w:highlight w:val="none"/>
                <w:lang w:val="en-US" w:eastAsia="zh-CN"/>
              </w:rPr>
              <w:t>0.</w:t>
            </w:r>
            <w:r>
              <w:rPr>
                <w:rFonts w:hint="eastAsia" w:ascii="Times New Roman" w:hAnsi="Times New Roman" w:eastAsia="宋体" w:cs="Times New Roman"/>
                <w:color w:val="auto"/>
                <w:spacing w:val="0"/>
                <w:sz w:val="24"/>
                <w:szCs w:val="24"/>
                <w:highlight w:val="none"/>
                <w:lang w:val="en-US" w:eastAsia="zh-CN"/>
              </w:rPr>
              <w:t>05</w:t>
            </w:r>
            <w:r>
              <w:rPr>
                <w:rFonts w:hint="default" w:ascii="Times New Roman" w:hAnsi="Times New Roman" w:eastAsia="宋体" w:cs="Times New Roman"/>
                <w:color w:val="auto"/>
                <w:spacing w:val="0"/>
                <w:sz w:val="24"/>
                <w:szCs w:val="24"/>
                <w:highlight w:val="none"/>
                <w:lang w:val="en-US" w:eastAsia="zh-CN"/>
              </w:rPr>
              <w:t>万m³，填方</w:t>
            </w:r>
            <w:r>
              <w:rPr>
                <w:rFonts w:hint="eastAsia" w:ascii="Times New Roman" w:hAnsi="Times New Roman" w:eastAsia="宋体" w:cs="Times New Roman"/>
                <w:color w:val="auto"/>
                <w:spacing w:val="0"/>
                <w:sz w:val="24"/>
                <w:szCs w:val="24"/>
                <w:highlight w:val="none"/>
                <w:lang w:val="en-US" w:eastAsia="zh-CN"/>
              </w:rPr>
              <w:t>0.01万</w:t>
            </w:r>
            <w:r>
              <w:rPr>
                <w:rFonts w:hint="default" w:ascii="Times New Roman" w:hAnsi="Times New Roman" w:eastAsia="宋体" w:cs="Times New Roman"/>
                <w:color w:val="auto"/>
                <w:spacing w:val="0"/>
                <w:sz w:val="24"/>
                <w:szCs w:val="24"/>
                <w:highlight w:val="none"/>
                <w:lang w:val="en-US" w:eastAsia="zh-CN"/>
              </w:rPr>
              <w:t>m³，</w:t>
            </w:r>
            <w:r>
              <w:rPr>
                <w:rFonts w:hint="eastAsia" w:ascii="Times New Roman" w:hAnsi="Times New Roman" w:eastAsia="宋体" w:cs="Times New Roman"/>
                <w:color w:val="auto"/>
                <w:spacing w:val="0"/>
                <w:sz w:val="24"/>
                <w:szCs w:val="24"/>
                <w:highlight w:val="none"/>
                <w:lang w:val="en-US" w:eastAsia="zh-CN"/>
              </w:rPr>
              <w:t>剩余</w:t>
            </w:r>
            <w:r>
              <w:rPr>
                <w:rFonts w:hint="default" w:ascii="Times New Roman" w:hAnsi="Times New Roman" w:eastAsia="宋体" w:cs="Times New Roman"/>
                <w:color w:val="auto"/>
                <w:spacing w:val="0"/>
                <w:sz w:val="24"/>
                <w:szCs w:val="24"/>
                <w:highlight w:val="none"/>
                <w:lang w:val="en-US" w:eastAsia="zh-CN"/>
              </w:rPr>
              <w:t>0.</w:t>
            </w:r>
            <w:r>
              <w:rPr>
                <w:rFonts w:hint="eastAsia" w:ascii="Times New Roman" w:hAnsi="Times New Roman" w:eastAsia="宋体" w:cs="Times New Roman"/>
                <w:color w:val="auto"/>
                <w:spacing w:val="0"/>
                <w:sz w:val="24"/>
                <w:szCs w:val="24"/>
                <w:highlight w:val="none"/>
                <w:lang w:val="en-US" w:eastAsia="zh-CN"/>
              </w:rPr>
              <w:t>04</w:t>
            </w:r>
            <w:r>
              <w:rPr>
                <w:rFonts w:hint="default" w:ascii="Times New Roman" w:hAnsi="Times New Roman" w:eastAsia="宋体" w:cs="Times New Roman"/>
                <w:color w:val="auto"/>
                <w:spacing w:val="0"/>
                <w:sz w:val="24"/>
                <w:szCs w:val="24"/>
                <w:highlight w:val="none"/>
                <w:lang w:val="en-US" w:eastAsia="zh-CN"/>
              </w:rPr>
              <w:t>万m³</w:t>
            </w:r>
            <w:r>
              <w:rPr>
                <w:rFonts w:hint="eastAsia" w:ascii="Times New Roman" w:hAnsi="Times New Roman" w:eastAsia="宋体" w:cs="Times New Roman"/>
                <w:color w:val="auto"/>
                <w:spacing w:val="0"/>
                <w:sz w:val="24"/>
                <w:szCs w:val="24"/>
                <w:highlight w:val="none"/>
                <w:lang w:val="en-US" w:eastAsia="zh-CN"/>
              </w:rPr>
              <w:t>用于</w:t>
            </w:r>
            <w:r>
              <w:rPr>
                <w:rFonts w:hint="default" w:ascii="Times New Roman" w:hAnsi="Times New Roman" w:eastAsia="宋体" w:cs="Times New Roman"/>
                <w:color w:val="auto"/>
                <w:spacing w:val="0"/>
                <w:sz w:val="24"/>
                <w:szCs w:val="24"/>
                <w:highlight w:val="none"/>
                <w:lang w:val="en-US" w:eastAsia="zh-CN"/>
              </w:rPr>
              <w:t>建筑物周边空地</w:t>
            </w:r>
            <w:r>
              <w:rPr>
                <w:rFonts w:hint="eastAsia" w:ascii="Times New Roman" w:hAnsi="Times New Roman" w:eastAsia="宋体" w:cs="Times New Roman"/>
                <w:color w:val="auto"/>
                <w:spacing w:val="0"/>
                <w:sz w:val="24"/>
                <w:szCs w:val="24"/>
                <w:highlight w:val="none"/>
                <w:lang w:val="en-US" w:eastAsia="zh-CN"/>
              </w:rPr>
              <w:t>的场地平整，</w:t>
            </w:r>
            <w:r>
              <w:rPr>
                <w:rFonts w:hint="default" w:ascii="Times New Roman" w:hAnsi="Times New Roman" w:eastAsia="宋体" w:cs="Times New Roman"/>
                <w:color w:val="auto"/>
                <w:spacing w:val="0"/>
                <w:sz w:val="24"/>
                <w:szCs w:val="24"/>
                <w:highlight w:val="none"/>
                <w:lang w:val="en-US" w:eastAsia="zh-CN"/>
              </w:rPr>
              <w:t>无借方，无弃方。</w:t>
            </w:r>
          </w:p>
          <w:p w14:paraId="4C684BB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outlineLvl w:val="9"/>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（3）工业场地区</w:t>
            </w:r>
          </w:p>
          <w:p w14:paraId="43EE80B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outlineLvl w:val="9"/>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工业场地区涉及土方为</w:t>
            </w:r>
            <w:r>
              <w:rPr>
                <w:rFonts w:hint="eastAsia" w:ascii="Times New Roman" w:hAnsi="Times New Roman" w:eastAsia="宋体" w:cs="Times New Roman"/>
                <w:color w:val="auto"/>
                <w:spacing w:val="0"/>
                <w:sz w:val="24"/>
                <w:szCs w:val="24"/>
                <w:highlight w:val="none"/>
                <w:lang w:val="en-US" w:eastAsia="zh-CN"/>
              </w:rPr>
              <w:t>表土剥离、蓄水池</w:t>
            </w:r>
            <w:r>
              <w:rPr>
                <w:rFonts w:hint="default" w:ascii="Times New Roman" w:hAnsi="Times New Roman" w:eastAsia="宋体" w:cs="Times New Roman"/>
                <w:color w:val="auto"/>
                <w:spacing w:val="0"/>
                <w:sz w:val="24"/>
                <w:szCs w:val="24"/>
                <w:highlight w:val="none"/>
                <w:lang w:val="en-US" w:eastAsia="zh-CN"/>
              </w:rPr>
              <w:t>开挖、</w:t>
            </w:r>
            <w:r>
              <w:rPr>
                <w:rFonts w:hint="eastAsia" w:ascii="Times New Roman" w:hAnsi="Times New Roman" w:eastAsia="宋体" w:cs="Times New Roman"/>
                <w:color w:val="auto"/>
                <w:spacing w:val="0"/>
                <w:sz w:val="24"/>
                <w:szCs w:val="24"/>
                <w:highlight w:val="none"/>
                <w:lang w:val="en-US" w:eastAsia="zh-CN"/>
              </w:rPr>
              <w:t>截、排水沟开挖、</w:t>
            </w:r>
            <w:r>
              <w:rPr>
                <w:rFonts w:hint="default" w:ascii="Times New Roman" w:hAnsi="Times New Roman" w:eastAsia="宋体" w:cs="Times New Roman"/>
                <w:color w:val="auto"/>
                <w:spacing w:val="0"/>
                <w:sz w:val="24"/>
                <w:szCs w:val="24"/>
                <w:highlight w:val="none"/>
                <w:lang w:val="en-US" w:eastAsia="zh-CN"/>
              </w:rPr>
              <w:t>设备架设基础开挖、</w:t>
            </w:r>
            <w:r>
              <w:rPr>
                <w:rFonts w:hint="eastAsia" w:ascii="Times New Roman" w:hAnsi="Times New Roman" w:eastAsia="宋体" w:cs="Times New Roman"/>
                <w:color w:val="auto"/>
                <w:spacing w:val="0"/>
                <w:sz w:val="24"/>
                <w:szCs w:val="24"/>
                <w:highlight w:val="none"/>
                <w:lang w:val="en-US" w:eastAsia="zh-CN"/>
              </w:rPr>
              <w:t>土地平整</w:t>
            </w:r>
            <w:r>
              <w:rPr>
                <w:rFonts w:hint="default" w:ascii="Times New Roman" w:hAnsi="Times New Roman" w:eastAsia="宋体" w:cs="Times New Roman"/>
                <w:color w:val="auto"/>
                <w:spacing w:val="0"/>
                <w:sz w:val="24"/>
                <w:szCs w:val="24"/>
                <w:highlight w:val="none"/>
                <w:lang w:val="en-US" w:eastAsia="zh-CN"/>
              </w:rPr>
              <w:t>等，其中</w:t>
            </w:r>
            <w:r>
              <w:rPr>
                <w:rFonts w:hint="eastAsia" w:ascii="Times New Roman" w:hAnsi="Times New Roman" w:eastAsia="宋体" w:cs="Times New Roman"/>
                <w:color w:val="auto"/>
                <w:spacing w:val="0"/>
                <w:sz w:val="24"/>
                <w:szCs w:val="24"/>
                <w:highlight w:val="none"/>
                <w:lang w:val="en-US" w:eastAsia="zh-CN"/>
              </w:rPr>
              <w:t>蓄水池</w:t>
            </w:r>
            <w:r>
              <w:rPr>
                <w:rFonts w:hint="default" w:ascii="Times New Roman" w:hAnsi="Times New Roman" w:eastAsia="宋体" w:cs="Times New Roman"/>
                <w:color w:val="auto"/>
                <w:spacing w:val="0"/>
                <w:sz w:val="24"/>
                <w:szCs w:val="24"/>
                <w:highlight w:val="none"/>
                <w:lang w:val="en-US" w:eastAsia="zh-CN"/>
              </w:rPr>
              <w:t>挖方0.03万m³，</w:t>
            </w:r>
            <w:r>
              <w:rPr>
                <w:rFonts w:hint="eastAsia" w:ascii="Times New Roman" w:hAnsi="Times New Roman" w:eastAsia="宋体" w:cs="Times New Roman"/>
                <w:color w:val="auto"/>
                <w:spacing w:val="0"/>
                <w:sz w:val="24"/>
                <w:szCs w:val="24"/>
                <w:highlight w:val="none"/>
                <w:lang w:val="en-US" w:eastAsia="zh-CN"/>
              </w:rPr>
              <w:t>填方0.01万m³，</w:t>
            </w:r>
            <w:r>
              <w:rPr>
                <w:rFonts w:hint="default" w:ascii="Times New Roman" w:hAnsi="Times New Roman" w:eastAsia="宋体" w:cs="Times New Roman"/>
                <w:color w:val="auto"/>
                <w:spacing w:val="0"/>
                <w:sz w:val="24"/>
                <w:szCs w:val="24"/>
                <w:highlight w:val="none"/>
                <w:lang w:val="en-US" w:eastAsia="zh-CN"/>
              </w:rPr>
              <w:t>合理调运至</w:t>
            </w:r>
            <w:r>
              <w:rPr>
                <w:rFonts w:hint="eastAsia" w:ascii="Times New Roman" w:hAnsi="Times New Roman" w:eastAsia="宋体" w:cs="Times New Roman"/>
                <w:color w:val="auto"/>
                <w:spacing w:val="0"/>
                <w:sz w:val="24"/>
                <w:szCs w:val="24"/>
                <w:highlight w:val="none"/>
                <w:lang w:val="en-US" w:eastAsia="zh-CN"/>
              </w:rPr>
              <w:t>道路工程区</w:t>
            </w:r>
            <w:r>
              <w:rPr>
                <w:rFonts w:hint="default" w:ascii="Times New Roman" w:hAnsi="Times New Roman" w:eastAsia="宋体" w:cs="Times New Roman"/>
                <w:color w:val="auto"/>
                <w:spacing w:val="0"/>
                <w:sz w:val="24"/>
                <w:szCs w:val="24"/>
                <w:highlight w:val="none"/>
                <w:lang w:val="en-US" w:eastAsia="zh-CN"/>
              </w:rPr>
              <w:t>0.02万m³；</w:t>
            </w:r>
            <w:r>
              <w:rPr>
                <w:rFonts w:hint="eastAsia" w:ascii="Times New Roman" w:hAnsi="Times New Roman" w:eastAsia="宋体" w:cs="Times New Roman"/>
                <w:color w:val="auto"/>
                <w:spacing w:val="0"/>
                <w:sz w:val="24"/>
                <w:szCs w:val="24"/>
                <w:highlight w:val="none"/>
                <w:lang w:val="en-US" w:eastAsia="zh-CN"/>
              </w:rPr>
              <w:t>截、排水沟挖方</w:t>
            </w:r>
            <w:r>
              <w:rPr>
                <w:rFonts w:hint="default" w:ascii="Times New Roman" w:hAnsi="Times New Roman" w:eastAsia="宋体" w:cs="Times New Roman"/>
                <w:color w:val="auto"/>
                <w:spacing w:val="0"/>
                <w:sz w:val="24"/>
                <w:szCs w:val="24"/>
                <w:highlight w:val="none"/>
                <w:lang w:val="en-US" w:eastAsia="zh-CN"/>
              </w:rPr>
              <w:t>0.03万m³，</w:t>
            </w:r>
            <w:r>
              <w:rPr>
                <w:rFonts w:hint="eastAsia" w:ascii="Times New Roman" w:hAnsi="Times New Roman" w:eastAsia="宋体" w:cs="Times New Roman"/>
                <w:color w:val="auto"/>
                <w:spacing w:val="0"/>
                <w:sz w:val="24"/>
                <w:szCs w:val="24"/>
                <w:highlight w:val="none"/>
                <w:lang w:val="en-US" w:eastAsia="zh-CN"/>
              </w:rPr>
              <w:t>填方0.01万m³，</w:t>
            </w:r>
            <w:r>
              <w:rPr>
                <w:rFonts w:hint="default" w:ascii="Times New Roman" w:hAnsi="Times New Roman" w:eastAsia="宋体" w:cs="Times New Roman"/>
                <w:color w:val="auto"/>
                <w:spacing w:val="0"/>
                <w:sz w:val="24"/>
                <w:szCs w:val="24"/>
                <w:highlight w:val="none"/>
                <w:lang w:val="en-US" w:eastAsia="zh-CN"/>
              </w:rPr>
              <w:t>合理调运至</w:t>
            </w:r>
            <w:r>
              <w:rPr>
                <w:rFonts w:hint="eastAsia" w:ascii="Times New Roman" w:hAnsi="Times New Roman" w:eastAsia="宋体" w:cs="Times New Roman"/>
                <w:color w:val="auto"/>
                <w:spacing w:val="0"/>
                <w:sz w:val="24"/>
                <w:szCs w:val="24"/>
                <w:highlight w:val="none"/>
                <w:lang w:val="en-US" w:eastAsia="zh-CN"/>
              </w:rPr>
              <w:t>道路工程区</w:t>
            </w:r>
            <w:r>
              <w:rPr>
                <w:rFonts w:hint="default" w:ascii="Times New Roman" w:hAnsi="Times New Roman" w:eastAsia="宋体" w:cs="Times New Roman"/>
                <w:color w:val="auto"/>
                <w:spacing w:val="0"/>
                <w:sz w:val="24"/>
                <w:szCs w:val="24"/>
                <w:highlight w:val="none"/>
                <w:lang w:val="en-US" w:eastAsia="zh-CN"/>
              </w:rPr>
              <w:t>0.0</w:t>
            </w:r>
            <w:r>
              <w:rPr>
                <w:rFonts w:hint="eastAsia" w:ascii="Times New Roman" w:hAnsi="Times New Roman" w:eastAsia="宋体" w:cs="Times New Roman"/>
                <w:color w:val="auto"/>
                <w:spacing w:val="0"/>
                <w:sz w:val="24"/>
                <w:szCs w:val="24"/>
                <w:highlight w:val="none"/>
                <w:lang w:val="en-US" w:eastAsia="zh-CN"/>
              </w:rPr>
              <w:t>2</w:t>
            </w:r>
            <w:r>
              <w:rPr>
                <w:rFonts w:hint="default" w:ascii="Times New Roman" w:hAnsi="Times New Roman" w:eastAsia="宋体" w:cs="Times New Roman"/>
                <w:color w:val="auto"/>
                <w:spacing w:val="0"/>
                <w:sz w:val="24"/>
                <w:szCs w:val="24"/>
                <w:highlight w:val="none"/>
                <w:lang w:val="en-US" w:eastAsia="zh-CN"/>
              </w:rPr>
              <w:t>万m³</w:t>
            </w:r>
            <w:r>
              <w:rPr>
                <w:rFonts w:hint="eastAsia" w:ascii="Times New Roman" w:hAnsi="Times New Roman" w:eastAsia="宋体" w:cs="Times New Roman"/>
                <w:color w:val="auto"/>
                <w:spacing w:val="0"/>
                <w:sz w:val="24"/>
                <w:szCs w:val="24"/>
                <w:highlight w:val="none"/>
                <w:lang w:val="en-US" w:eastAsia="zh-CN"/>
              </w:rPr>
              <w:t>；开挖</w:t>
            </w:r>
            <w:r>
              <w:rPr>
                <w:rFonts w:hint="default" w:ascii="Times New Roman" w:hAnsi="Times New Roman" w:eastAsia="宋体" w:cs="Times New Roman"/>
                <w:color w:val="auto"/>
                <w:spacing w:val="0"/>
                <w:sz w:val="24"/>
                <w:szCs w:val="24"/>
                <w:highlight w:val="none"/>
                <w:lang w:val="en-US" w:eastAsia="zh-CN"/>
              </w:rPr>
              <w:t>设备架设基础挖方0.</w:t>
            </w:r>
            <w:r>
              <w:rPr>
                <w:rFonts w:hint="eastAsia" w:ascii="Times New Roman" w:hAnsi="Times New Roman" w:eastAsia="宋体" w:cs="Times New Roman"/>
                <w:color w:val="auto"/>
                <w:spacing w:val="0"/>
                <w:sz w:val="24"/>
                <w:szCs w:val="24"/>
                <w:highlight w:val="none"/>
                <w:lang w:val="en-US" w:eastAsia="zh-CN"/>
              </w:rPr>
              <w:t>06</w:t>
            </w:r>
            <w:r>
              <w:rPr>
                <w:rFonts w:hint="default" w:ascii="Times New Roman" w:hAnsi="Times New Roman" w:eastAsia="宋体" w:cs="Times New Roman"/>
                <w:color w:val="auto"/>
                <w:spacing w:val="0"/>
                <w:sz w:val="24"/>
                <w:szCs w:val="24"/>
                <w:highlight w:val="none"/>
                <w:lang w:val="en-US" w:eastAsia="zh-CN"/>
              </w:rPr>
              <w:t>万m³，</w:t>
            </w:r>
            <w:r>
              <w:rPr>
                <w:rFonts w:hint="eastAsia" w:ascii="Times New Roman" w:hAnsi="Times New Roman" w:eastAsia="宋体" w:cs="Times New Roman"/>
                <w:color w:val="auto"/>
                <w:spacing w:val="0"/>
                <w:sz w:val="24"/>
                <w:szCs w:val="24"/>
                <w:highlight w:val="none"/>
                <w:lang w:val="en-US" w:eastAsia="zh-CN"/>
              </w:rPr>
              <w:t>填方0.02万m³，</w:t>
            </w:r>
            <w:r>
              <w:rPr>
                <w:rFonts w:hint="default" w:ascii="Times New Roman" w:hAnsi="Times New Roman" w:eastAsia="宋体" w:cs="Times New Roman"/>
                <w:color w:val="auto"/>
                <w:spacing w:val="0"/>
                <w:sz w:val="24"/>
                <w:szCs w:val="24"/>
                <w:highlight w:val="none"/>
                <w:lang w:val="en-US" w:eastAsia="zh-CN"/>
              </w:rPr>
              <w:t>合理调运至</w:t>
            </w:r>
            <w:r>
              <w:rPr>
                <w:rFonts w:hint="eastAsia" w:ascii="Times New Roman" w:hAnsi="Times New Roman" w:eastAsia="宋体" w:cs="Times New Roman"/>
                <w:color w:val="auto"/>
                <w:spacing w:val="0"/>
                <w:sz w:val="24"/>
                <w:szCs w:val="24"/>
                <w:highlight w:val="none"/>
                <w:lang w:val="en-US" w:eastAsia="zh-CN"/>
              </w:rPr>
              <w:t>道路工程区</w:t>
            </w:r>
            <w:r>
              <w:rPr>
                <w:rFonts w:hint="default" w:ascii="Times New Roman" w:hAnsi="Times New Roman" w:eastAsia="宋体" w:cs="Times New Roman"/>
                <w:color w:val="auto"/>
                <w:spacing w:val="0"/>
                <w:sz w:val="24"/>
                <w:szCs w:val="24"/>
                <w:highlight w:val="none"/>
                <w:lang w:val="en-US" w:eastAsia="zh-CN"/>
              </w:rPr>
              <w:t>0.0</w:t>
            </w:r>
            <w:r>
              <w:rPr>
                <w:rFonts w:hint="eastAsia" w:ascii="Times New Roman" w:hAnsi="Times New Roman" w:eastAsia="宋体" w:cs="Times New Roman"/>
                <w:color w:val="auto"/>
                <w:spacing w:val="0"/>
                <w:sz w:val="24"/>
                <w:szCs w:val="24"/>
                <w:highlight w:val="none"/>
                <w:lang w:val="en-US" w:eastAsia="zh-CN"/>
              </w:rPr>
              <w:t>4</w:t>
            </w:r>
            <w:r>
              <w:rPr>
                <w:rFonts w:hint="default" w:ascii="Times New Roman" w:hAnsi="Times New Roman" w:eastAsia="宋体" w:cs="Times New Roman"/>
                <w:color w:val="auto"/>
                <w:spacing w:val="0"/>
                <w:sz w:val="24"/>
                <w:szCs w:val="24"/>
                <w:highlight w:val="none"/>
                <w:lang w:val="en-US" w:eastAsia="zh-CN"/>
              </w:rPr>
              <w:t>万m³</w:t>
            </w:r>
            <w:r>
              <w:rPr>
                <w:rFonts w:hint="eastAsia" w:ascii="Times New Roman" w:hAnsi="Times New Roman" w:eastAsia="宋体" w:cs="Times New Roman"/>
                <w:color w:val="auto"/>
                <w:spacing w:val="0"/>
                <w:sz w:val="24"/>
                <w:szCs w:val="24"/>
                <w:highlight w:val="none"/>
                <w:lang w:val="en-US" w:eastAsia="zh-CN"/>
              </w:rPr>
              <w:t>；场地平整挖方0.08万m³.，填方0.08万m³；表土剥离0.45万m³，全部堆放在表土堆场区。</w:t>
            </w:r>
          </w:p>
          <w:p w14:paraId="5FDAAB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outlineLvl w:val="9"/>
              <w:rPr>
                <w:rFonts w:hint="default" w:ascii="Times New Roman" w:hAnsi="Times New Roman" w:eastAsia="宋体" w:cs="Times New Roman"/>
                <w:color w:val="auto"/>
                <w:spacing w:val="0"/>
                <w:sz w:val="24"/>
                <w:szCs w:val="24"/>
                <w:highlight w:val="none"/>
                <w:lang w:val="en-US" w:eastAsia="zh-CN"/>
              </w:rPr>
            </w:pPr>
            <w:r>
              <w:rPr>
                <w:rFonts w:hint="eastAsia" w:ascii="Times New Roman" w:hAnsi="Times New Roman" w:eastAsia="宋体" w:cs="Times New Roman"/>
                <w:color w:val="auto"/>
                <w:spacing w:val="0"/>
                <w:sz w:val="24"/>
                <w:szCs w:val="24"/>
                <w:highlight w:val="none"/>
                <w:lang w:val="en-US" w:eastAsia="zh-CN"/>
              </w:rPr>
              <w:t>故</w:t>
            </w:r>
            <w:r>
              <w:rPr>
                <w:rFonts w:hint="default" w:ascii="Times New Roman" w:hAnsi="Times New Roman" w:eastAsia="宋体" w:cs="Times New Roman"/>
                <w:color w:val="auto"/>
                <w:spacing w:val="0"/>
                <w:sz w:val="24"/>
                <w:szCs w:val="24"/>
                <w:highlight w:val="none"/>
                <w:lang w:val="en-US" w:eastAsia="zh-CN"/>
              </w:rPr>
              <w:t>工业场地区挖方0.</w:t>
            </w:r>
            <w:r>
              <w:rPr>
                <w:rFonts w:hint="eastAsia" w:ascii="Times New Roman" w:hAnsi="Times New Roman" w:eastAsia="宋体" w:cs="Times New Roman"/>
                <w:color w:val="auto"/>
                <w:spacing w:val="0"/>
                <w:sz w:val="24"/>
                <w:szCs w:val="24"/>
                <w:highlight w:val="none"/>
                <w:lang w:val="en-US" w:eastAsia="zh-CN"/>
              </w:rPr>
              <w:t>65</w:t>
            </w:r>
            <w:r>
              <w:rPr>
                <w:rFonts w:hint="default" w:ascii="Times New Roman" w:hAnsi="Times New Roman" w:eastAsia="宋体" w:cs="Times New Roman"/>
                <w:color w:val="auto"/>
                <w:spacing w:val="0"/>
                <w:sz w:val="24"/>
                <w:szCs w:val="24"/>
                <w:highlight w:val="none"/>
                <w:lang w:val="en-US" w:eastAsia="zh-CN"/>
              </w:rPr>
              <w:t>万m³</w:t>
            </w:r>
            <w:r>
              <w:rPr>
                <w:rFonts w:hint="eastAsia" w:ascii="Times New Roman" w:hAnsi="Times New Roman" w:eastAsia="宋体" w:cs="Times New Roman"/>
                <w:color w:val="auto"/>
                <w:spacing w:val="0"/>
                <w:sz w:val="24"/>
                <w:szCs w:val="24"/>
                <w:highlight w:val="none"/>
                <w:lang w:val="en-US" w:eastAsia="zh-CN"/>
              </w:rPr>
              <w:t>（表土剥离0.45万m³）</w:t>
            </w:r>
            <w:r>
              <w:rPr>
                <w:rFonts w:hint="default" w:ascii="Times New Roman" w:hAnsi="Times New Roman" w:eastAsia="宋体" w:cs="Times New Roman"/>
                <w:color w:val="auto"/>
                <w:spacing w:val="0"/>
                <w:sz w:val="24"/>
                <w:szCs w:val="24"/>
                <w:highlight w:val="none"/>
                <w:lang w:val="en-US" w:eastAsia="zh-CN"/>
              </w:rPr>
              <w:t>，填方0.</w:t>
            </w:r>
            <w:r>
              <w:rPr>
                <w:rFonts w:hint="eastAsia" w:ascii="Times New Roman" w:hAnsi="Times New Roman" w:eastAsia="宋体" w:cs="Times New Roman"/>
                <w:color w:val="auto"/>
                <w:spacing w:val="0"/>
                <w:sz w:val="24"/>
                <w:szCs w:val="24"/>
                <w:highlight w:val="none"/>
                <w:lang w:val="en-US" w:eastAsia="zh-CN"/>
              </w:rPr>
              <w:t>12</w:t>
            </w:r>
            <w:r>
              <w:rPr>
                <w:rFonts w:hint="default" w:ascii="Times New Roman" w:hAnsi="Times New Roman" w:eastAsia="宋体" w:cs="Times New Roman"/>
                <w:color w:val="auto"/>
                <w:spacing w:val="0"/>
                <w:sz w:val="24"/>
                <w:szCs w:val="24"/>
                <w:highlight w:val="none"/>
                <w:lang w:val="en-US" w:eastAsia="zh-CN"/>
              </w:rPr>
              <w:t>万m³，合理调运至</w:t>
            </w:r>
            <w:r>
              <w:rPr>
                <w:rFonts w:hint="eastAsia" w:ascii="Times New Roman" w:hAnsi="Times New Roman" w:eastAsia="宋体" w:cs="Times New Roman"/>
                <w:color w:val="auto"/>
                <w:spacing w:val="0"/>
                <w:sz w:val="24"/>
                <w:szCs w:val="24"/>
                <w:highlight w:val="none"/>
                <w:lang w:val="en-US" w:eastAsia="zh-CN"/>
              </w:rPr>
              <w:t>道路工程区</w:t>
            </w:r>
            <w:r>
              <w:rPr>
                <w:rFonts w:hint="default" w:ascii="Times New Roman" w:hAnsi="Times New Roman" w:eastAsia="宋体" w:cs="Times New Roman"/>
                <w:color w:val="auto"/>
                <w:spacing w:val="0"/>
                <w:sz w:val="24"/>
                <w:szCs w:val="24"/>
                <w:highlight w:val="none"/>
                <w:lang w:val="en-US" w:eastAsia="zh-CN"/>
              </w:rPr>
              <w:t>0.0</w:t>
            </w:r>
            <w:r>
              <w:rPr>
                <w:rFonts w:hint="eastAsia" w:ascii="Times New Roman" w:hAnsi="Times New Roman" w:eastAsia="宋体" w:cs="Times New Roman"/>
                <w:color w:val="auto"/>
                <w:spacing w:val="0"/>
                <w:sz w:val="24"/>
                <w:szCs w:val="24"/>
                <w:highlight w:val="none"/>
                <w:lang w:val="en-US" w:eastAsia="zh-CN"/>
              </w:rPr>
              <w:t>8</w:t>
            </w:r>
            <w:r>
              <w:rPr>
                <w:rFonts w:hint="default" w:ascii="Times New Roman" w:hAnsi="Times New Roman" w:eastAsia="宋体" w:cs="Times New Roman"/>
                <w:color w:val="auto"/>
                <w:spacing w:val="0"/>
                <w:sz w:val="24"/>
                <w:szCs w:val="24"/>
                <w:highlight w:val="none"/>
                <w:lang w:val="en-US" w:eastAsia="zh-CN"/>
              </w:rPr>
              <w:t>万m³，无借方，弃方</w:t>
            </w:r>
            <w:r>
              <w:rPr>
                <w:rFonts w:hint="eastAsia" w:ascii="Times New Roman" w:hAnsi="Times New Roman" w:eastAsia="宋体" w:cs="Times New Roman"/>
                <w:color w:val="auto"/>
                <w:spacing w:val="0"/>
                <w:sz w:val="24"/>
                <w:szCs w:val="24"/>
                <w:highlight w:val="none"/>
                <w:lang w:val="en-US" w:eastAsia="zh-CN"/>
              </w:rPr>
              <w:t>0.45万m³（集中堆放于表土堆场区，待矿山闭坑后作为复垦土源）</w:t>
            </w:r>
            <w:r>
              <w:rPr>
                <w:rFonts w:hint="default" w:ascii="Times New Roman" w:hAnsi="Times New Roman" w:eastAsia="宋体" w:cs="Times New Roman"/>
                <w:color w:val="auto"/>
                <w:spacing w:val="0"/>
                <w:sz w:val="24"/>
                <w:szCs w:val="24"/>
                <w:highlight w:val="none"/>
                <w:lang w:val="en-US" w:eastAsia="zh-CN"/>
              </w:rPr>
              <w:t>。</w:t>
            </w:r>
          </w:p>
          <w:p w14:paraId="4BD0368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outlineLvl w:val="9"/>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（4）</w:t>
            </w:r>
            <w:r>
              <w:rPr>
                <w:rFonts w:hint="eastAsia" w:ascii="Times New Roman" w:hAnsi="Times New Roman" w:eastAsia="宋体" w:cs="Times New Roman"/>
                <w:color w:val="auto"/>
                <w:spacing w:val="0"/>
                <w:sz w:val="24"/>
                <w:szCs w:val="24"/>
                <w:highlight w:val="none"/>
                <w:lang w:val="en-US" w:eastAsia="zh-CN"/>
              </w:rPr>
              <w:t>原矿石</w:t>
            </w:r>
            <w:r>
              <w:rPr>
                <w:rFonts w:hint="default" w:ascii="Times New Roman" w:hAnsi="Times New Roman" w:eastAsia="宋体" w:cs="Times New Roman"/>
                <w:color w:val="auto"/>
                <w:spacing w:val="0"/>
                <w:sz w:val="24"/>
                <w:szCs w:val="24"/>
                <w:highlight w:val="none"/>
                <w:lang w:val="en-US" w:eastAsia="zh-CN"/>
              </w:rPr>
              <w:t>堆场区</w:t>
            </w:r>
          </w:p>
          <w:p w14:paraId="0075E7A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outlineLvl w:val="9"/>
              <w:rPr>
                <w:rFonts w:hint="default" w:ascii="Times New Roman" w:hAnsi="Times New Roman" w:eastAsia="宋体" w:cs="Times New Roman"/>
                <w:color w:val="auto"/>
                <w:spacing w:val="0"/>
                <w:sz w:val="24"/>
                <w:szCs w:val="24"/>
                <w:highlight w:val="none"/>
                <w:lang w:val="en-US" w:eastAsia="zh-CN"/>
              </w:rPr>
            </w:pPr>
            <w:r>
              <w:rPr>
                <w:rFonts w:hint="eastAsia" w:ascii="Times New Roman" w:hAnsi="Times New Roman" w:eastAsia="宋体" w:cs="Times New Roman"/>
                <w:color w:val="auto"/>
                <w:spacing w:val="0"/>
                <w:sz w:val="24"/>
                <w:szCs w:val="24"/>
                <w:highlight w:val="none"/>
                <w:lang w:val="en-US" w:eastAsia="zh-CN"/>
              </w:rPr>
              <w:t>原矿石</w:t>
            </w:r>
            <w:r>
              <w:rPr>
                <w:rFonts w:hint="default" w:ascii="Times New Roman" w:hAnsi="Times New Roman" w:eastAsia="宋体" w:cs="Times New Roman"/>
                <w:color w:val="auto"/>
                <w:spacing w:val="0"/>
                <w:sz w:val="24"/>
                <w:szCs w:val="24"/>
                <w:highlight w:val="none"/>
                <w:lang w:val="en-US" w:eastAsia="zh-CN"/>
              </w:rPr>
              <w:t>堆场区涉及土方主要为</w:t>
            </w:r>
            <w:r>
              <w:rPr>
                <w:rFonts w:hint="eastAsia" w:ascii="Times New Roman" w:hAnsi="Times New Roman" w:eastAsia="宋体" w:cs="Times New Roman"/>
                <w:color w:val="auto"/>
                <w:spacing w:val="0"/>
                <w:sz w:val="24"/>
                <w:szCs w:val="24"/>
                <w:highlight w:val="none"/>
                <w:lang w:val="en-US" w:eastAsia="zh-CN"/>
              </w:rPr>
              <w:t>表土剥离及</w:t>
            </w:r>
            <w:r>
              <w:rPr>
                <w:rFonts w:hint="default" w:ascii="Times New Roman" w:hAnsi="Times New Roman" w:eastAsia="宋体" w:cs="Times New Roman"/>
                <w:color w:val="auto"/>
                <w:spacing w:val="0"/>
                <w:sz w:val="24"/>
                <w:szCs w:val="24"/>
                <w:highlight w:val="none"/>
                <w:lang w:val="en-US" w:eastAsia="zh-CN"/>
              </w:rPr>
              <w:t>场平，挖方0.</w:t>
            </w:r>
            <w:r>
              <w:rPr>
                <w:rFonts w:hint="eastAsia" w:ascii="Times New Roman" w:hAnsi="Times New Roman" w:eastAsia="宋体" w:cs="Times New Roman"/>
                <w:color w:val="auto"/>
                <w:spacing w:val="0"/>
                <w:sz w:val="24"/>
                <w:szCs w:val="24"/>
                <w:highlight w:val="none"/>
                <w:lang w:val="en-US" w:eastAsia="zh-CN"/>
              </w:rPr>
              <w:t>5</w:t>
            </w:r>
            <w:r>
              <w:rPr>
                <w:rFonts w:hint="default" w:ascii="Times New Roman" w:hAnsi="Times New Roman" w:eastAsia="宋体" w:cs="Times New Roman"/>
                <w:color w:val="auto"/>
                <w:spacing w:val="0"/>
                <w:sz w:val="24"/>
                <w:szCs w:val="24"/>
                <w:highlight w:val="none"/>
                <w:lang w:val="en-US" w:eastAsia="zh-CN"/>
              </w:rPr>
              <w:t>0万m³</w:t>
            </w:r>
            <w:r>
              <w:rPr>
                <w:rFonts w:hint="eastAsia" w:ascii="Times New Roman" w:hAnsi="Times New Roman" w:eastAsia="宋体" w:cs="Times New Roman"/>
                <w:color w:val="auto"/>
                <w:spacing w:val="0"/>
                <w:sz w:val="24"/>
                <w:szCs w:val="24"/>
                <w:highlight w:val="none"/>
                <w:lang w:val="en-US" w:eastAsia="zh-CN"/>
              </w:rPr>
              <w:t>（表土剥离0.30万m³）</w:t>
            </w:r>
            <w:r>
              <w:rPr>
                <w:rFonts w:hint="default" w:ascii="Times New Roman" w:hAnsi="Times New Roman" w:eastAsia="宋体" w:cs="Times New Roman"/>
                <w:color w:val="auto"/>
                <w:spacing w:val="0"/>
                <w:sz w:val="24"/>
                <w:szCs w:val="24"/>
                <w:highlight w:val="none"/>
                <w:lang w:val="en-US" w:eastAsia="zh-CN"/>
              </w:rPr>
              <w:t>，填方0.</w:t>
            </w:r>
            <w:r>
              <w:rPr>
                <w:rFonts w:hint="eastAsia" w:ascii="Times New Roman" w:hAnsi="Times New Roman" w:eastAsia="宋体" w:cs="Times New Roman"/>
                <w:color w:val="auto"/>
                <w:spacing w:val="0"/>
                <w:sz w:val="24"/>
                <w:szCs w:val="24"/>
                <w:highlight w:val="none"/>
                <w:lang w:val="en-US" w:eastAsia="zh-CN"/>
              </w:rPr>
              <w:t>2</w:t>
            </w:r>
            <w:r>
              <w:rPr>
                <w:rFonts w:hint="default" w:ascii="Times New Roman" w:hAnsi="Times New Roman" w:eastAsia="宋体" w:cs="Times New Roman"/>
                <w:color w:val="auto"/>
                <w:spacing w:val="0"/>
                <w:sz w:val="24"/>
                <w:szCs w:val="24"/>
                <w:highlight w:val="none"/>
                <w:lang w:val="en-US" w:eastAsia="zh-CN"/>
              </w:rPr>
              <w:t>0万m³，无借方，弃方</w:t>
            </w:r>
            <w:r>
              <w:rPr>
                <w:rFonts w:hint="eastAsia" w:ascii="Times New Roman" w:hAnsi="Times New Roman" w:eastAsia="宋体" w:cs="Times New Roman"/>
                <w:color w:val="auto"/>
                <w:spacing w:val="0"/>
                <w:sz w:val="24"/>
                <w:szCs w:val="24"/>
                <w:highlight w:val="none"/>
                <w:lang w:val="en-US" w:eastAsia="zh-CN"/>
              </w:rPr>
              <w:t>0.30万m³（集中堆放于表土堆场区，待矿山闭坑后作为复垦土源）</w:t>
            </w:r>
            <w:r>
              <w:rPr>
                <w:rFonts w:hint="default" w:ascii="Times New Roman" w:hAnsi="Times New Roman" w:eastAsia="宋体" w:cs="Times New Roman"/>
                <w:color w:val="auto"/>
                <w:spacing w:val="0"/>
                <w:sz w:val="24"/>
                <w:szCs w:val="24"/>
                <w:highlight w:val="none"/>
                <w:lang w:val="en-US" w:eastAsia="zh-CN"/>
              </w:rPr>
              <w:t>。</w:t>
            </w:r>
          </w:p>
          <w:p w14:paraId="639129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outlineLvl w:val="9"/>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w:t>
            </w:r>
            <w:r>
              <w:rPr>
                <w:rFonts w:hint="eastAsia" w:ascii="Times New Roman" w:hAnsi="Times New Roman" w:eastAsia="宋体" w:cs="Times New Roman"/>
                <w:color w:val="auto"/>
                <w:spacing w:val="0"/>
                <w:sz w:val="24"/>
                <w:szCs w:val="24"/>
                <w:highlight w:val="none"/>
                <w:lang w:val="en-US" w:eastAsia="zh-CN"/>
              </w:rPr>
              <w:t>5</w:t>
            </w:r>
            <w:r>
              <w:rPr>
                <w:rFonts w:hint="default" w:ascii="Times New Roman" w:hAnsi="Times New Roman" w:eastAsia="宋体" w:cs="Times New Roman"/>
                <w:color w:val="auto"/>
                <w:spacing w:val="0"/>
                <w:sz w:val="24"/>
                <w:szCs w:val="24"/>
                <w:highlight w:val="none"/>
                <w:lang w:val="en-US" w:eastAsia="zh-CN"/>
              </w:rPr>
              <w:t>）</w:t>
            </w:r>
            <w:r>
              <w:rPr>
                <w:rFonts w:hint="eastAsia" w:ascii="Times New Roman" w:hAnsi="Times New Roman" w:eastAsia="宋体" w:cs="Times New Roman"/>
                <w:color w:val="auto"/>
                <w:spacing w:val="0"/>
                <w:sz w:val="24"/>
                <w:szCs w:val="24"/>
                <w:highlight w:val="none"/>
                <w:lang w:val="en-US" w:eastAsia="zh-CN"/>
              </w:rPr>
              <w:t>道路工程区</w:t>
            </w:r>
          </w:p>
          <w:p w14:paraId="4A49BA7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outlineLvl w:val="9"/>
              <w:rPr>
                <w:rFonts w:hint="default" w:ascii="Times New Roman" w:hAnsi="Times New Roman" w:cs="Times New Roman"/>
                <w:color w:val="auto"/>
                <w:lang w:val="en-US" w:eastAsia="zh-CN"/>
              </w:rPr>
            </w:pPr>
            <w:r>
              <w:rPr>
                <w:rFonts w:hint="eastAsia" w:ascii="Times New Roman" w:hAnsi="Times New Roman" w:eastAsia="宋体" w:cs="Times New Roman"/>
                <w:color w:val="auto"/>
                <w:spacing w:val="0"/>
                <w:sz w:val="24"/>
                <w:szCs w:val="24"/>
                <w:highlight w:val="none"/>
                <w:lang w:val="en-US" w:eastAsia="zh-CN"/>
              </w:rPr>
              <w:t>道路工程区</w:t>
            </w:r>
            <w:r>
              <w:rPr>
                <w:rFonts w:hint="default" w:ascii="Times New Roman" w:hAnsi="Times New Roman" w:eastAsia="宋体" w:cs="Times New Roman"/>
                <w:color w:val="auto"/>
                <w:spacing w:val="0"/>
                <w:sz w:val="24"/>
                <w:szCs w:val="24"/>
                <w:highlight w:val="none"/>
                <w:lang w:val="en-US" w:eastAsia="zh-CN"/>
              </w:rPr>
              <w:t>涉及土石方主要为</w:t>
            </w:r>
            <w:r>
              <w:rPr>
                <w:rFonts w:hint="eastAsia" w:ascii="Times New Roman" w:hAnsi="Times New Roman" w:eastAsia="宋体" w:cs="Times New Roman"/>
                <w:color w:val="auto"/>
                <w:spacing w:val="0"/>
                <w:sz w:val="24"/>
                <w:szCs w:val="24"/>
                <w:highlight w:val="none"/>
                <w:lang w:val="en-US" w:eastAsia="zh-CN"/>
              </w:rPr>
              <w:t>表土剥离及场地平整</w:t>
            </w:r>
            <w:r>
              <w:rPr>
                <w:rFonts w:hint="default" w:ascii="Times New Roman" w:hAnsi="Times New Roman" w:eastAsia="宋体" w:cs="Times New Roman"/>
                <w:color w:val="auto"/>
                <w:spacing w:val="0"/>
                <w:sz w:val="24"/>
                <w:szCs w:val="24"/>
                <w:highlight w:val="none"/>
                <w:lang w:val="en-US" w:eastAsia="zh-CN"/>
              </w:rPr>
              <w:t>，共计挖方0.</w:t>
            </w:r>
            <w:r>
              <w:rPr>
                <w:rFonts w:hint="eastAsia" w:ascii="Times New Roman" w:hAnsi="Times New Roman" w:eastAsia="宋体" w:cs="Times New Roman"/>
                <w:color w:val="auto"/>
                <w:spacing w:val="0"/>
                <w:sz w:val="24"/>
                <w:szCs w:val="24"/>
                <w:highlight w:val="none"/>
                <w:lang w:val="en-US" w:eastAsia="zh-CN"/>
              </w:rPr>
              <w:t>42</w:t>
            </w:r>
            <w:r>
              <w:rPr>
                <w:rFonts w:hint="default" w:ascii="Times New Roman" w:hAnsi="Times New Roman" w:eastAsia="宋体" w:cs="Times New Roman"/>
                <w:color w:val="auto"/>
                <w:spacing w:val="0"/>
                <w:sz w:val="24"/>
                <w:szCs w:val="24"/>
                <w:highlight w:val="none"/>
                <w:lang w:val="en-US" w:eastAsia="zh-CN"/>
              </w:rPr>
              <w:t>万m³</w:t>
            </w:r>
            <w:r>
              <w:rPr>
                <w:rFonts w:hint="eastAsia" w:ascii="Times New Roman" w:hAnsi="Times New Roman" w:eastAsia="宋体" w:cs="Times New Roman"/>
                <w:color w:val="auto"/>
                <w:spacing w:val="0"/>
                <w:sz w:val="24"/>
                <w:szCs w:val="24"/>
                <w:highlight w:val="none"/>
                <w:lang w:val="en-US" w:eastAsia="zh-CN"/>
              </w:rPr>
              <w:t>（表土剥离0.40万m³）</w:t>
            </w:r>
            <w:r>
              <w:rPr>
                <w:rFonts w:hint="default" w:ascii="Times New Roman" w:hAnsi="Times New Roman" w:eastAsia="宋体" w:cs="Times New Roman"/>
                <w:color w:val="auto"/>
                <w:spacing w:val="0"/>
                <w:sz w:val="24"/>
                <w:szCs w:val="24"/>
                <w:highlight w:val="none"/>
                <w:lang w:val="en-US" w:eastAsia="zh-CN"/>
              </w:rPr>
              <w:t>，填方0.</w:t>
            </w:r>
            <w:r>
              <w:rPr>
                <w:rFonts w:hint="eastAsia" w:ascii="Times New Roman" w:hAnsi="Times New Roman" w:eastAsia="宋体" w:cs="Times New Roman"/>
                <w:color w:val="auto"/>
                <w:spacing w:val="0"/>
                <w:sz w:val="24"/>
                <w:szCs w:val="24"/>
                <w:highlight w:val="none"/>
                <w:lang w:val="en-US" w:eastAsia="zh-CN"/>
              </w:rPr>
              <w:t>10</w:t>
            </w:r>
            <w:r>
              <w:rPr>
                <w:rFonts w:hint="default" w:ascii="Times New Roman" w:hAnsi="Times New Roman" w:eastAsia="宋体" w:cs="Times New Roman"/>
                <w:color w:val="auto"/>
                <w:spacing w:val="0"/>
                <w:sz w:val="24"/>
                <w:szCs w:val="24"/>
                <w:highlight w:val="none"/>
                <w:lang w:val="en-US" w:eastAsia="zh-CN"/>
              </w:rPr>
              <w:t>万m³，借方0.0</w:t>
            </w:r>
            <w:r>
              <w:rPr>
                <w:rFonts w:hint="eastAsia" w:ascii="Times New Roman" w:hAnsi="Times New Roman" w:eastAsia="宋体" w:cs="Times New Roman"/>
                <w:color w:val="auto"/>
                <w:spacing w:val="0"/>
                <w:sz w:val="24"/>
                <w:szCs w:val="24"/>
                <w:highlight w:val="none"/>
                <w:lang w:val="en-US" w:eastAsia="zh-CN"/>
              </w:rPr>
              <w:t>8</w:t>
            </w:r>
            <w:r>
              <w:rPr>
                <w:rFonts w:hint="default" w:ascii="Times New Roman" w:hAnsi="Times New Roman" w:eastAsia="宋体" w:cs="Times New Roman"/>
                <w:color w:val="auto"/>
                <w:spacing w:val="0"/>
                <w:sz w:val="24"/>
                <w:szCs w:val="24"/>
                <w:highlight w:val="none"/>
                <w:lang w:val="en-US" w:eastAsia="zh-CN"/>
              </w:rPr>
              <w:t>万m³（由工业场地区储水池</w:t>
            </w:r>
            <w:r>
              <w:rPr>
                <w:rFonts w:hint="eastAsia" w:ascii="Times New Roman" w:hAnsi="Times New Roman" w:eastAsia="宋体" w:cs="Times New Roman"/>
                <w:color w:val="auto"/>
                <w:spacing w:val="0"/>
                <w:sz w:val="24"/>
                <w:szCs w:val="24"/>
                <w:highlight w:val="none"/>
                <w:lang w:val="en-US" w:eastAsia="zh-CN"/>
              </w:rPr>
              <w:t>、截、排水沟</w:t>
            </w:r>
            <w:r>
              <w:rPr>
                <w:rFonts w:hint="default" w:ascii="Times New Roman" w:hAnsi="Times New Roman" w:eastAsia="宋体" w:cs="Times New Roman"/>
                <w:color w:val="auto"/>
                <w:spacing w:val="0"/>
                <w:sz w:val="24"/>
                <w:szCs w:val="24"/>
                <w:highlight w:val="none"/>
                <w:lang w:val="en-US" w:eastAsia="zh-CN"/>
              </w:rPr>
              <w:t>和设备基础开挖回填余方调出至</w:t>
            </w:r>
            <w:r>
              <w:rPr>
                <w:rFonts w:hint="eastAsia" w:ascii="Times New Roman" w:hAnsi="Times New Roman" w:eastAsia="宋体" w:cs="Times New Roman"/>
                <w:color w:val="auto"/>
                <w:spacing w:val="0"/>
                <w:sz w:val="24"/>
                <w:szCs w:val="24"/>
                <w:highlight w:val="none"/>
                <w:lang w:val="en-US" w:eastAsia="zh-CN"/>
              </w:rPr>
              <w:t>道路工程区</w:t>
            </w:r>
            <w:r>
              <w:rPr>
                <w:rFonts w:hint="default" w:ascii="Times New Roman" w:hAnsi="Times New Roman" w:eastAsia="宋体" w:cs="Times New Roman"/>
                <w:color w:val="auto"/>
                <w:spacing w:val="0"/>
                <w:sz w:val="24"/>
                <w:szCs w:val="24"/>
                <w:highlight w:val="none"/>
                <w:lang w:val="en-US" w:eastAsia="zh-CN"/>
              </w:rPr>
              <w:t>），弃方</w:t>
            </w:r>
            <w:r>
              <w:rPr>
                <w:rFonts w:hint="eastAsia" w:ascii="Times New Roman" w:hAnsi="Times New Roman" w:eastAsia="宋体" w:cs="Times New Roman"/>
                <w:color w:val="auto"/>
                <w:spacing w:val="0"/>
                <w:sz w:val="24"/>
                <w:szCs w:val="24"/>
                <w:highlight w:val="none"/>
                <w:lang w:val="en-US" w:eastAsia="zh-CN"/>
              </w:rPr>
              <w:t>0.40万m³（集中堆放于表土堆场区，待矿山闭坑后作为复垦土源）</w:t>
            </w:r>
            <w:r>
              <w:rPr>
                <w:rFonts w:hint="default" w:ascii="Times New Roman" w:hAnsi="Times New Roman" w:eastAsia="宋体" w:cs="Times New Roman"/>
                <w:color w:val="auto"/>
                <w:spacing w:val="0"/>
                <w:sz w:val="24"/>
                <w:szCs w:val="24"/>
                <w:highlight w:val="none"/>
                <w:lang w:val="en-US" w:eastAsia="zh-CN"/>
              </w:rPr>
              <w:t>。</w:t>
            </w:r>
            <w:r>
              <w:rPr>
                <w:rFonts w:hint="default" w:ascii="Times New Roman" w:hAnsi="Times New Roman" w:cs="Times New Roman"/>
                <w:color w:val="auto"/>
                <w:lang w:val="en-US" w:eastAsia="zh-CN"/>
              </w:rPr>
              <w:br w:type="page"/>
            </w:r>
          </w:p>
          <w:p w14:paraId="1B6D9AC4">
            <w:pPr>
              <w:pStyle w:val="75"/>
              <w:jc w:val="center"/>
              <w:outlineLvl w:val="6"/>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表2.4-1土石方平衡表单位：万m³</w:t>
            </w:r>
          </w:p>
          <w:tbl>
            <w:tblPr>
              <w:tblStyle w:val="38"/>
              <w:tblW w:w="8256" w:type="dxa"/>
              <w:tblInd w:w="-8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22"/>
              <w:gridCol w:w="531"/>
              <w:gridCol w:w="1643"/>
              <w:gridCol w:w="684"/>
              <w:gridCol w:w="668"/>
              <w:gridCol w:w="636"/>
              <w:gridCol w:w="564"/>
              <w:gridCol w:w="579"/>
              <w:gridCol w:w="612"/>
              <w:gridCol w:w="643"/>
              <w:gridCol w:w="574"/>
            </w:tblGrid>
            <w:tr w14:paraId="7B8FD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1122" w:type="dxa"/>
                  <w:vMerge w:val="restart"/>
                  <w:tcBorders>
                    <w:top w:val="single" w:color="000000" w:sz="12" w:space="0"/>
                    <w:left w:val="nil"/>
                    <w:bottom w:val="single" w:color="000000" w:sz="4" w:space="0"/>
                    <w:right w:val="single" w:color="000000" w:sz="4" w:space="0"/>
                  </w:tcBorders>
                  <w:shd w:val="clear" w:color="auto" w:fill="auto"/>
                  <w:vAlign w:val="center"/>
                </w:tcPr>
                <w:p w14:paraId="3C1733BA">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项目组成</w:t>
                  </w:r>
                </w:p>
              </w:tc>
              <w:tc>
                <w:tcPr>
                  <w:tcW w:w="2174" w:type="dxa"/>
                  <w:gridSpan w:val="2"/>
                  <w:tcBorders>
                    <w:top w:val="single" w:color="000000" w:sz="12" w:space="0"/>
                    <w:left w:val="single" w:color="000000" w:sz="4" w:space="0"/>
                    <w:bottom w:val="single" w:color="000000" w:sz="4" w:space="0"/>
                    <w:right w:val="single" w:color="000000" w:sz="4" w:space="0"/>
                  </w:tcBorders>
                  <w:shd w:val="clear" w:color="auto" w:fill="auto"/>
                  <w:vAlign w:val="center"/>
                </w:tcPr>
                <w:p w14:paraId="5CAF461E">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分部工程</w:t>
                  </w:r>
                </w:p>
              </w:tc>
              <w:tc>
                <w:tcPr>
                  <w:tcW w:w="684" w:type="dxa"/>
                  <w:vMerge w:val="restart"/>
                  <w:tcBorders>
                    <w:top w:val="single" w:color="000000" w:sz="12" w:space="0"/>
                    <w:left w:val="single" w:color="000000" w:sz="4" w:space="0"/>
                    <w:right w:val="single" w:color="000000" w:sz="4" w:space="0"/>
                  </w:tcBorders>
                  <w:shd w:val="clear" w:color="auto" w:fill="auto"/>
                  <w:vAlign w:val="center"/>
                </w:tcPr>
                <w:p w14:paraId="11CCFE7B">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挖方</w:t>
                  </w:r>
                </w:p>
              </w:tc>
              <w:tc>
                <w:tcPr>
                  <w:tcW w:w="668" w:type="dxa"/>
                  <w:vMerge w:val="restart"/>
                  <w:tcBorders>
                    <w:top w:val="single" w:color="000000" w:sz="12" w:space="0"/>
                    <w:left w:val="single" w:color="000000" w:sz="4" w:space="0"/>
                    <w:right w:val="single" w:color="000000" w:sz="4" w:space="0"/>
                  </w:tcBorders>
                  <w:shd w:val="clear" w:color="auto" w:fill="auto"/>
                  <w:vAlign w:val="center"/>
                </w:tcPr>
                <w:p w14:paraId="7F4E649D">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填方</w:t>
                  </w:r>
                </w:p>
              </w:tc>
              <w:tc>
                <w:tcPr>
                  <w:tcW w:w="1200" w:type="dxa"/>
                  <w:gridSpan w:val="2"/>
                  <w:tcBorders>
                    <w:top w:val="single" w:color="000000" w:sz="12" w:space="0"/>
                    <w:left w:val="single" w:color="000000" w:sz="4" w:space="0"/>
                    <w:bottom w:val="single" w:color="000000" w:sz="4" w:space="0"/>
                    <w:right w:val="single" w:color="000000" w:sz="4" w:space="0"/>
                  </w:tcBorders>
                  <w:shd w:val="clear" w:color="auto" w:fill="auto"/>
                  <w:vAlign w:val="center"/>
                </w:tcPr>
                <w:p w14:paraId="36FCE1DC">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调入</w:t>
                  </w:r>
                </w:p>
              </w:tc>
              <w:tc>
                <w:tcPr>
                  <w:tcW w:w="1191" w:type="dxa"/>
                  <w:gridSpan w:val="2"/>
                  <w:tcBorders>
                    <w:top w:val="single" w:color="000000" w:sz="12" w:space="0"/>
                    <w:left w:val="single" w:color="000000" w:sz="4" w:space="0"/>
                    <w:bottom w:val="single" w:color="000000" w:sz="4" w:space="0"/>
                    <w:right w:val="single" w:color="000000" w:sz="4" w:space="0"/>
                  </w:tcBorders>
                  <w:shd w:val="clear" w:color="auto" w:fill="auto"/>
                  <w:vAlign w:val="center"/>
                </w:tcPr>
                <w:p w14:paraId="2CB58CBE">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调出</w:t>
                  </w:r>
                </w:p>
              </w:tc>
              <w:tc>
                <w:tcPr>
                  <w:tcW w:w="1217" w:type="dxa"/>
                  <w:gridSpan w:val="2"/>
                  <w:tcBorders>
                    <w:top w:val="single" w:color="000000" w:sz="12" w:space="0"/>
                    <w:left w:val="single" w:color="000000" w:sz="4" w:space="0"/>
                    <w:bottom w:val="single" w:color="000000" w:sz="4" w:space="0"/>
                    <w:right w:val="nil"/>
                  </w:tcBorders>
                  <w:shd w:val="clear" w:color="auto" w:fill="auto"/>
                  <w:vAlign w:val="center"/>
                </w:tcPr>
                <w:p w14:paraId="1FC549B8">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弃方</w:t>
                  </w:r>
                </w:p>
              </w:tc>
            </w:tr>
            <w:tr w14:paraId="6DF94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3" w:hRule="atLeast"/>
              </w:trPr>
              <w:tc>
                <w:tcPr>
                  <w:tcW w:w="1122" w:type="dxa"/>
                  <w:vMerge w:val="continue"/>
                  <w:tcBorders>
                    <w:top w:val="single" w:color="000000" w:sz="4" w:space="0"/>
                    <w:left w:val="nil"/>
                    <w:bottom w:val="single" w:color="000000" w:sz="12" w:space="0"/>
                    <w:right w:val="single" w:color="000000" w:sz="4" w:space="0"/>
                  </w:tcBorders>
                  <w:shd w:val="clear" w:color="auto" w:fill="auto"/>
                  <w:vAlign w:val="center"/>
                </w:tcPr>
                <w:p w14:paraId="5AD75976">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b/>
                      <w:bCs/>
                      <w:color w:val="auto"/>
                      <w:lang w:val="en-US" w:eastAsia="zh-CN"/>
                    </w:rPr>
                  </w:pPr>
                </w:p>
              </w:tc>
              <w:tc>
                <w:tcPr>
                  <w:tcW w:w="531" w:type="dxa"/>
                  <w:tcBorders>
                    <w:top w:val="single" w:color="000000" w:sz="4" w:space="0"/>
                    <w:left w:val="single" w:color="000000" w:sz="4" w:space="0"/>
                    <w:bottom w:val="single" w:color="000000" w:sz="12" w:space="0"/>
                    <w:right w:val="single" w:color="000000" w:sz="4" w:space="0"/>
                  </w:tcBorders>
                  <w:shd w:val="clear" w:color="auto" w:fill="auto"/>
                  <w:vAlign w:val="center"/>
                </w:tcPr>
                <w:p w14:paraId="39A8BB96">
                  <w:pPr>
                    <w:pStyle w:val="70"/>
                    <w:pageBreakBefore w:val="0"/>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序号</w:t>
                  </w:r>
                </w:p>
              </w:tc>
              <w:tc>
                <w:tcPr>
                  <w:tcW w:w="1643" w:type="dxa"/>
                  <w:tcBorders>
                    <w:top w:val="single" w:color="000000" w:sz="4" w:space="0"/>
                    <w:left w:val="single" w:color="000000" w:sz="4" w:space="0"/>
                    <w:bottom w:val="single" w:color="000000" w:sz="12" w:space="0"/>
                    <w:right w:val="single" w:color="000000" w:sz="4" w:space="0"/>
                  </w:tcBorders>
                  <w:shd w:val="clear" w:color="auto" w:fill="auto"/>
                  <w:vAlign w:val="center"/>
                </w:tcPr>
                <w:p w14:paraId="7A08B895">
                  <w:pPr>
                    <w:pStyle w:val="70"/>
                    <w:pageBreakBefore w:val="0"/>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工程名称</w:t>
                  </w:r>
                </w:p>
              </w:tc>
              <w:tc>
                <w:tcPr>
                  <w:tcW w:w="684" w:type="dxa"/>
                  <w:vMerge w:val="continue"/>
                  <w:tcBorders>
                    <w:left w:val="single" w:color="000000" w:sz="4" w:space="0"/>
                    <w:bottom w:val="single" w:color="000000" w:sz="12" w:space="0"/>
                    <w:right w:val="single" w:color="000000" w:sz="4" w:space="0"/>
                  </w:tcBorders>
                  <w:shd w:val="clear" w:color="auto" w:fill="auto"/>
                  <w:vAlign w:val="center"/>
                </w:tcPr>
                <w:p w14:paraId="417BC21D">
                  <w:pPr>
                    <w:pStyle w:val="70"/>
                    <w:pageBreakBefore w:val="0"/>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b/>
                      <w:bCs/>
                      <w:color w:val="auto"/>
                      <w:lang w:val="en-US" w:eastAsia="zh-CN"/>
                    </w:rPr>
                  </w:pPr>
                </w:p>
              </w:tc>
              <w:tc>
                <w:tcPr>
                  <w:tcW w:w="668" w:type="dxa"/>
                  <w:vMerge w:val="continue"/>
                  <w:tcBorders>
                    <w:left w:val="single" w:color="000000" w:sz="4" w:space="0"/>
                    <w:bottom w:val="single" w:color="000000" w:sz="12" w:space="0"/>
                    <w:right w:val="single" w:color="000000" w:sz="4" w:space="0"/>
                  </w:tcBorders>
                  <w:shd w:val="clear" w:color="auto" w:fill="auto"/>
                  <w:vAlign w:val="center"/>
                </w:tcPr>
                <w:p w14:paraId="50CB8DED">
                  <w:pPr>
                    <w:pStyle w:val="70"/>
                    <w:pageBreakBefore w:val="0"/>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b/>
                      <w:bCs/>
                      <w:color w:val="auto"/>
                      <w:lang w:val="en-US" w:eastAsia="zh-CN"/>
                    </w:rPr>
                  </w:pPr>
                </w:p>
              </w:tc>
              <w:tc>
                <w:tcPr>
                  <w:tcW w:w="636" w:type="dxa"/>
                  <w:tcBorders>
                    <w:top w:val="single" w:color="000000" w:sz="4" w:space="0"/>
                    <w:left w:val="single" w:color="000000" w:sz="4" w:space="0"/>
                    <w:bottom w:val="single" w:color="000000" w:sz="12" w:space="0"/>
                    <w:right w:val="single" w:color="000000" w:sz="4" w:space="0"/>
                  </w:tcBorders>
                  <w:shd w:val="clear" w:color="auto" w:fill="auto"/>
                  <w:vAlign w:val="center"/>
                </w:tcPr>
                <w:p w14:paraId="2F770E28">
                  <w:pPr>
                    <w:pStyle w:val="70"/>
                    <w:pageBreakBefore w:val="0"/>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数量</w:t>
                  </w:r>
                </w:p>
              </w:tc>
              <w:tc>
                <w:tcPr>
                  <w:tcW w:w="564" w:type="dxa"/>
                  <w:tcBorders>
                    <w:top w:val="single" w:color="000000" w:sz="4" w:space="0"/>
                    <w:left w:val="single" w:color="000000" w:sz="4" w:space="0"/>
                    <w:bottom w:val="single" w:color="000000" w:sz="12" w:space="0"/>
                    <w:right w:val="single" w:color="000000" w:sz="4" w:space="0"/>
                  </w:tcBorders>
                  <w:shd w:val="clear" w:color="auto" w:fill="auto"/>
                  <w:vAlign w:val="center"/>
                </w:tcPr>
                <w:p w14:paraId="189EC9A0">
                  <w:pPr>
                    <w:pStyle w:val="70"/>
                    <w:pageBreakBefore w:val="0"/>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来源</w:t>
                  </w:r>
                </w:p>
              </w:tc>
              <w:tc>
                <w:tcPr>
                  <w:tcW w:w="579" w:type="dxa"/>
                  <w:tcBorders>
                    <w:top w:val="single" w:color="000000" w:sz="4" w:space="0"/>
                    <w:left w:val="single" w:color="000000" w:sz="4" w:space="0"/>
                    <w:bottom w:val="single" w:color="000000" w:sz="12" w:space="0"/>
                    <w:right w:val="single" w:color="000000" w:sz="4" w:space="0"/>
                  </w:tcBorders>
                  <w:shd w:val="clear" w:color="auto" w:fill="auto"/>
                  <w:vAlign w:val="center"/>
                </w:tcPr>
                <w:p w14:paraId="03C2C3E9">
                  <w:pPr>
                    <w:pStyle w:val="70"/>
                    <w:pageBreakBefore w:val="0"/>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数量</w:t>
                  </w:r>
                </w:p>
              </w:tc>
              <w:tc>
                <w:tcPr>
                  <w:tcW w:w="612" w:type="dxa"/>
                  <w:tcBorders>
                    <w:top w:val="single" w:color="000000" w:sz="4" w:space="0"/>
                    <w:left w:val="single" w:color="000000" w:sz="4" w:space="0"/>
                    <w:bottom w:val="single" w:color="000000" w:sz="12" w:space="0"/>
                    <w:right w:val="single" w:color="000000" w:sz="4" w:space="0"/>
                  </w:tcBorders>
                  <w:shd w:val="clear" w:color="auto" w:fill="auto"/>
                  <w:vAlign w:val="center"/>
                </w:tcPr>
                <w:p w14:paraId="45A6A895">
                  <w:pPr>
                    <w:pStyle w:val="70"/>
                    <w:pageBreakBefore w:val="0"/>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去向</w:t>
                  </w:r>
                </w:p>
              </w:tc>
              <w:tc>
                <w:tcPr>
                  <w:tcW w:w="643" w:type="dxa"/>
                  <w:tcBorders>
                    <w:top w:val="single" w:color="000000" w:sz="4" w:space="0"/>
                    <w:left w:val="single" w:color="000000" w:sz="4" w:space="0"/>
                    <w:bottom w:val="single" w:color="000000" w:sz="12" w:space="0"/>
                    <w:right w:val="single" w:color="000000" w:sz="4" w:space="0"/>
                  </w:tcBorders>
                  <w:shd w:val="clear" w:color="auto" w:fill="auto"/>
                  <w:vAlign w:val="center"/>
                </w:tcPr>
                <w:p w14:paraId="6EF6596B">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数量</w:t>
                  </w:r>
                </w:p>
              </w:tc>
              <w:tc>
                <w:tcPr>
                  <w:tcW w:w="574" w:type="dxa"/>
                  <w:tcBorders>
                    <w:top w:val="single" w:color="000000" w:sz="4" w:space="0"/>
                    <w:left w:val="single" w:color="000000" w:sz="4" w:space="0"/>
                    <w:bottom w:val="single" w:color="000000" w:sz="12" w:space="0"/>
                    <w:right w:val="nil"/>
                  </w:tcBorders>
                  <w:shd w:val="clear" w:color="auto" w:fill="auto"/>
                  <w:vAlign w:val="center"/>
                </w:tcPr>
                <w:p w14:paraId="3453D836">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去向</w:t>
                  </w:r>
                </w:p>
              </w:tc>
            </w:tr>
            <w:tr w14:paraId="09577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256" w:type="dxa"/>
                  <w:gridSpan w:val="11"/>
                  <w:tcBorders>
                    <w:top w:val="single" w:color="000000" w:sz="12" w:space="0"/>
                    <w:left w:val="nil"/>
                    <w:bottom w:val="single" w:color="000000" w:sz="4" w:space="0"/>
                    <w:right w:val="nil"/>
                  </w:tcBorders>
                  <w:shd w:val="clear" w:color="auto" w:fill="auto"/>
                  <w:vAlign w:val="center"/>
                </w:tcPr>
                <w:p w14:paraId="6F1898F7">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建设期</w:t>
                  </w:r>
                </w:p>
              </w:tc>
            </w:tr>
            <w:tr w14:paraId="1C265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1122" w:type="dxa"/>
                  <w:vMerge w:val="restart"/>
                  <w:tcBorders>
                    <w:top w:val="single" w:color="000000" w:sz="4" w:space="0"/>
                    <w:left w:val="nil"/>
                    <w:right w:val="single" w:color="000000" w:sz="4" w:space="0"/>
                  </w:tcBorders>
                  <w:shd w:val="clear" w:color="auto" w:fill="auto"/>
                  <w:vAlign w:val="center"/>
                </w:tcPr>
                <w:p w14:paraId="1DF32863">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采矿场区</w:t>
                  </w:r>
                </w:p>
              </w:tc>
              <w:tc>
                <w:tcPr>
                  <w:tcW w:w="531" w:type="dxa"/>
                  <w:vMerge w:val="restart"/>
                  <w:tcBorders>
                    <w:top w:val="single" w:color="000000" w:sz="4" w:space="0"/>
                    <w:left w:val="single" w:color="000000" w:sz="4" w:space="0"/>
                    <w:right w:val="single" w:color="000000" w:sz="4" w:space="0"/>
                  </w:tcBorders>
                  <w:shd w:val="clear" w:color="auto" w:fill="auto"/>
                  <w:vAlign w:val="center"/>
                </w:tcPr>
                <w:p w14:paraId="13B5931D">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①</w:t>
                  </w:r>
                </w:p>
              </w:tc>
              <w:tc>
                <w:tcPr>
                  <w:tcW w:w="1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761A2">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截水沟开挖</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C50DF">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0.05</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6F194">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0.05</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73A62">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1960A">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F8973">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8B574">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631E1">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74" w:type="dxa"/>
                  <w:vMerge w:val="restart"/>
                  <w:tcBorders>
                    <w:top w:val="single" w:color="000000" w:sz="4" w:space="0"/>
                    <w:left w:val="single" w:color="000000" w:sz="4" w:space="0"/>
                    <w:right w:val="nil"/>
                  </w:tcBorders>
                  <w:shd w:val="clear" w:color="auto" w:fill="auto"/>
                  <w:vAlign w:val="center"/>
                </w:tcPr>
                <w:p w14:paraId="2507FD08">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集中堆放于表土堆场区、废石堆场区</w:t>
                  </w:r>
                </w:p>
              </w:tc>
            </w:tr>
            <w:tr w14:paraId="1C413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122" w:type="dxa"/>
                  <w:vMerge w:val="continue"/>
                  <w:tcBorders>
                    <w:left w:val="nil"/>
                    <w:right w:val="single" w:color="000000" w:sz="4" w:space="0"/>
                  </w:tcBorders>
                  <w:shd w:val="clear" w:color="auto" w:fill="auto"/>
                  <w:vAlign w:val="center"/>
                </w:tcPr>
                <w:p w14:paraId="6859D813">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31" w:type="dxa"/>
                  <w:vMerge w:val="continue"/>
                  <w:tcBorders>
                    <w:left w:val="single" w:color="000000" w:sz="4" w:space="0"/>
                    <w:right w:val="single" w:color="000000" w:sz="4" w:space="0"/>
                  </w:tcBorders>
                  <w:shd w:val="clear" w:color="auto" w:fill="auto"/>
                  <w:vAlign w:val="center"/>
                </w:tcPr>
                <w:p w14:paraId="69F394FD">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1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4A6BC">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表土剥离</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7AED3">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0.45</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66337">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F9567">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AED06">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EEC34">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99075">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559CA">
                  <w:pPr>
                    <w:pStyle w:val="70"/>
                    <w:pageBreakBefore w:val="0"/>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0.45</w:t>
                  </w:r>
                </w:p>
              </w:tc>
              <w:tc>
                <w:tcPr>
                  <w:tcW w:w="574" w:type="dxa"/>
                  <w:vMerge w:val="continue"/>
                  <w:tcBorders>
                    <w:left w:val="single" w:color="000000" w:sz="4" w:space="0"/>
                    <w:right w:val="nil"/>
                  </w:tcBorders>
                  <w:shd w:val="clear" w:color="auto" w:fill="auto"/>
                  <w:vAlign w:val="center"/>
                </w:tcPr>
                <w:p w14:paraId="0A18E1D9">
                  <w:pPr>
                    <w:pStyle w:val="70"/>
                    <w:pageBreakBefore w:val="0"/>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lang w:val="en-US" w:eastAsia="zh-CN"/>
                    </w:rPr>
                  </w:pPr>
                </w:p>
              </w:tc>
            </w:tr>
            <w:tr w14:paraId="57515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1122" w:type="dxa"/>
                  <w:vMerge w:val="continue"/>
                  <w:tcBorders>
                    <w:left w:val="nil"/>
                    <w:right w:val="single" w:color="000000" w:sz="4" w:space="0"/>
                  </w:tcBorders>
                  <w:shd w:val="clear" w:color="auto" w:fill="auto"/>
                  <w:vAlign w:val="center"/>
                </w:tcPr>
                <w:p w14:paraId="5E4D62A8">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31" w:type="dxa"/>
                  <w:vMerge w:val="continue"/>
                  <w:tcBorders>
                    <w:left w:val="single" w:color="000000" w:sz="4" w:space="0"/>
                    <w:right w:val="single" w:color="000000" w:sz="4" w:space="0"/>
                  </w:tcBorders>
                  <w:shd w:val="clear" w:color="auto" w:fill="auto"/>
                  <w:vAlign w:val="center"/>
                </w:tcPr>
                <w:p w14:paraId="0FBC3E75">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1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96E57">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无用层剥离</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524D5">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2.25</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7AD0C">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97ABB">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08EE4">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BBFFB">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55E52">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7092B">
                  <w:pPr>
                    <w:pStyle w:val="70"/>
                    <w:pageBreakBefore w:val="0"/>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2.25</w:t>
                  </w:r>
                </w:p>
              </w:tc>
              <w:tc>
                <w:tcPr>
                  <w:tcW w:w="574" w:type="dxa"/>
                  <w:vMerge w:val="continue"/>
                  <w:tcBorders>
                    <w:left w:val="single" w:color="000000" w:sz="4" w:space="0"/>
                    <w:right w:val="nil"/>
                  </w:tcBorders>
                  <w:shd w:val="clear" w:color="auto" w:fill="auto"/>
                  <w:vAlign w:val="center"/>
                </w:tcPr>
                <w:p w14:paraId="52998C37">
                  <w:pPr>
                    <w:pStyle w:val="70"/>
                    <w:pageBreakBefore w:val="0"/>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lang w:val="en-US" w:eastAsia="zh-CN"/>
                    </w:rPr>
                  </w:pPr>
                </w:p>
              </w:tc>
            </w:tr>
            <w:tr w14:paraId="0A575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1122" w:type="dxa"/>
                  <w:vMerge w:val="continue"/>
                  <w:tcBorders>
                    <w:left w:val="nil"/>
                    <w:bottom w:val="single" w:color="000000" w:sz="4" w:space="0"/>
                    <w:right w:val="single" w:color="000000" w:sz="4" w:space="0"/>
                  </w:tcBorders>
                  <w:shd w:val="clear" w:color="auto" w:fill="auto"/>
                  <w:vAlign w:val="center"/>
                </w:tcPr>
                <w:p w14:paraId="2CEFC19A">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31" w:type="dxa"/>
                  <w:vMerge w:val="continue"/>
                  <w:tcBorders>
                    <w:left w:val="single" w:color="000000" w:sz="4" w:space="0"/>
                    <w:bottom w:val="single" w:color="000000" w:sz="4" w:space="0"/>
                    <w:right w:val="single" w:color="000000" w:sz="4" w:space="0"/>
                  </w:tcBorders>
                  <w:shd w:val="clear" w:color="auto" w:fill="auto"/>
                  <w:vAlign w:val="center"/>
                </w:tcPr>
                <w:p w14:paraId="0D58195E">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1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5559C">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小计</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2A54A">
                  <w:pPr>
                    <w:pStyle w:val="70"/>
                    <w:pageBreakBefore w:val="0"/>
                    <w:kinsoku/>
                    <w:wordWrap/>
                    <w:overflowPunct/>
                    <w:topLinePunct w:val="0"/>
                    <w:autoSpaceDE/>
                    <w:autoSpaceDN/>
                    <w:bidi w:val="0"/>
                    <w:spacing w:line="240" w:lineRule="auto"/>
                    <w:ind w:left="0" w:leftChars="0" w:right="0"/>
                    <w:jc w:val="center"/>
                    <w:rPr>
                      <w:rFonts w:hint="eastAsia" w:ascii="Times New Roman" w:hAnsi="Times New Roman" w:cs="Times New Roman"/>
                      <w:color w:val="auto"/>
                      <w:lang w:val="en-US" w:eastAsia="zh-CN"/>
                    </w:rPr>
                  </w:pPr>
                  <w:r>
                    <w:rPr>
                      <w:rFonts w:hint="default" w:ascii="Times New Roman" w:hAnsi="Times New Roman" w:cs="Times New Roman"/>
                      <w:color w:val="auto"/>
                      <w:lang w:val="en-US" w:eastAsia="zh-CN"/>
                    </w:rPr>
                    <w:t>2.75</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ACE9C">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0.05</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16722">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9D74D">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4406C">
                  <w:pPr>
                    <w:pStyle w:val="70"/>
                    <w:pageBreakBefore w:val="0"/>
                    <w:kinsoku/>
                    <w:wordWrap/>
                    <w:overflowPunct/>
                    <w:topLinePunct w:val="0"/>
                    <w:autoSpaceDE/>
                    <w:autoSpaceDN/>
                    <w:bidi w:val="0"/>
                    <w:spacing w:line="240" w:lineRule="auto"/>
                    <w:ind w:left="0" w:leftChars="0" w:right="0"/>
                    <w:jc w:val="center"/>
                    <w:rPr>
                      <w:rFonts w:hint="eastAsia" w:ascii="Times New Roman" w:hAnsi="Times New Roman" w:cs="Times New Roman"/>
                      <w:color w:val="auto"/>
                      <w:lang w:val="en-US" w:eastAsia="zh-CN"/>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A99ED">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01564">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74" w:type="dxa"/>
                  <w:vMerge w:val="continue"/>
                  <w:tcBorders>
                    <w:left w:val="single" w:color="000000" w:sz="4" w:space="0"/>
                    <w:right w:val="nil"/>
                  </w:tcBorders>
                  <w:shd w:val="clear" w:color="auto" w:fill="auto"/>
                  <w:vAlign w:val="center"/>
                </w:tcPr>
                <w:p w14:paraId="6E963F65">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r>
            <w:tr w14:paraId="70037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3" w:hRule="atLeast"/>
              </w:trPr>
              <w:tc>
                <w:tcPr>
                  <w:tcW w:w="1122" w:type="dxa"/>
                  <w:tcBorders>
                    <w:top w:val="single" w:color="000000" w:sz="4" w:space="0"/>
                    <w:left w:val="nil"/>
                    <w:bottom w:val="single" w:color="000000" w:sz="4" w:space="0"/>
                    <w:right w:val="single" w:color="000000" w:sz="4" w:space="0"/>
                  </w:tcBorders>
                  <w:shd w:val="clear" w:color="auto" w:fill="auto"/>
                  <w:vAlign w:val="center"/>
                </w:tcPr>
                <w:p w14:paraId="1C2CA15F">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办公生活区</w:t>
                  </w: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EB5BD">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②</w:t>
                  </w:r>
                </w:p>
              </w:tc>
              <w:tc>
                <w:tcPr>
                  <w:tcW w:w="1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865B7">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场平、基础开挖</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85952">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0.05</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D35D7">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0.05</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1947C">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80196">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CAC9B">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7E143">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9AAFC">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74" w:type="dxa"/>
                  <w:vMerge w:val="continue"/>
                  <w:tcBorders>
                    <w:left w:val="single" w:color="000000" w:sz="4" w:space="0"/>
                    <w:right w:val="nil"/>
                  </w:tcBorders>
                  <w:shd w:val="clear" w:color="auto" w:fill="auto"/>
                  <w:vAlign w:val="center"/>
                </w:tcPr>
                <w:p w14:paraId="56E92BA3">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r>
            <w:tr w14:paraId="56639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2" w:hRule="atLeast"/>
              </w:trPr>
              <w:tc>
                <w:tcPr>
                  <w:tcW w:w="1122" w:type="dxa"/>
                  <w:vMerge w:val="restart"/>
                  <w:tcBorders>
                    <w:top w:val="single" w:color="000000" w:sz="4" w:space="0"/>
                    <w:left w:val="nil"/>
                    <w:bottom w:val="single" w:color="000000" w:sz="4" w:space="0"/>
                    <w:right w:val="single" w:color="000000" w:sz="4" w:space="0"/>
                  </w:tcBorders>
                  <w:shd w:val="clear" w:color="auto" w:fill="auto"/>
                  <w:vAlign w:val="center"/>
                </w:tcPr>
                <w:p w14:paraId="1342CFC9">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工业场地区</w:t>
                  </w:r>
                </w:p>
              </w:tc>
              <w:tc>
                <w:tcPr>
                  <w:tcW w:w="531" w:type="dxa"/>
                  <w:vMerge w:val="restart"/>
                  <w:tcBorders>
                    <w:top w:val="single" w:color="000000" w:sz="4" w:space="0"/>
                    <w:left w:val="single" w:color="000000" w:sz="4" w:space="0"/>
                    <w:right w:val="single" w:color="000000" w:sz="4" w:space="0"/>
                  </w:tcBorders>
                  <w:shd w:val="clear" w:color="auto" w:fill="auto"/>
                  <w:noWrap/>
                  <w:vAlign w:val="center"/>
                </w:tcPr>
                <w:p w14:paraId="22B789A8">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③</w:t>
                  </w:r>
                </w:p>
              </w:tc>
              <w:tc>
                <w:tcPr>
                  <w:tcW w:w="1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1084B">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蓄水池</w:t>
                  </w:r>
                  <w:r>
                    <w:rPr>
                      <w:rFonts w:hint="default" w:ascii="Times New Roman" w:hAnsi="Times New Roman" w:cs="Times New Roman"/>
                      <w:color w:val="auto"/>
                      <w:lang w:val="en-US" w:eastAsia="zh-CN"/>
                    </w:rPr>
                    <w:t>开挖</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16889">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0.03</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6FA8E">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0.01</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EC3DD">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2B43E">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FC996">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0.02</w:t>
                  </w:r>
                </w:p>
              </w:tc>
              <w:tc>
                <w:tcPr>
                  <w:tcW w:w="6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55E3D">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⑤</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7BD3E">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74" w:type="dxa"/>
                  <w:vMerge w:val="continue"/>
                  <w:tcBorders>
                    <w:left w:val="single" w:color="000000" w:sz="4" w:space="0"/>
                    <w:right w:val="nil"/>
                  </w:tcBorders>
                  <w:shd w:val="clear" w:color="auto" w:fill="auto"/>
                  <w:vAlign w:val="center"/>
                </w:tcPr>
                <w:p w14:paraId="3A0CA93D">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r>
            <w:tr w14:paraId="15F84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2" w:hRule="atLeast"/>
              </w:trPr>
              <w:tc>
                <w:tcPr>
                  <w:tcW w:w="1122" w:type="dxa"/>
                  <w:vMerge w:val="continue"/>
                  <w:tcBorders>
                    <w:top w:val="single" w:color="000000" w:sz="4" w:space="0"/>
                    <w:left w:val="nil"/>
                    <w:bottom w:val="single" w:color="000000" w:sz="4" w:space="0"/>
                    <w:right w:val="single" w:color="000000" w:sz="4" w:space="0"/>
                  </w:tcBorders>
                  <w:shd w:val="clear" w:color="auto" w:fill="auto"/>
                  <w:vAlign w:val="center"/>
                </w:tcPr>
                <w:p w14:paraId="2CC152A0">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31" w:type="dxa"/>
                  <w:vMerge w:val="continue"/>
                  <w:tcBorders>
                    <w:left w:val="single" w:color="000000" w:sz="4" w:space="0"/>
                    <w:right w:val="single" w:color="000000" w:sz="4" w:space="0"/>
                  </w:tcBorders>
                  <w:shd w:val="clear" w:color="auto" w:fill="auto"/>
                  <w:vAlign w:val="center"/>
                </w:tcPr>
                <w:p w14:paraId="09A72347">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1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A662A">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设备基础开挖</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FF189">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0.06</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4D5C7">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0.02</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234DE">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543FD">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CA1A4">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w:t>
                  </w:r>
                  <w:r>
                    <w:rPr>
                      <w:rFonts w:hint="eastAsia" w:ascii="Times New Roman" w:hAnsi="Times New Roman" w:cs="Times New Roman"/>
                      <w:color w:val="auto"/>
                      <w:lang w:val="en-US" w:eastAsia="zh-CN"/>
                    </w:rPr>
                    <w:t>4</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9D9A2">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⑤</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942BB">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74" w:type="dxa"/>
                  <w:vMerge w:val="continue"/>
                  <w:tcBorders>
                    <w:left w:val="single" w:color="000000" w:sz="4" w:space="0"/>
                    <w:right w:val="nil"/>
                  </w:tcBorders>
                  <w:shd w:val="clear" w:color="auto" w:fill="auto"/>
                  <w:vAlign w:val="center"/>
                </w:tcPr>
                <w:p w14:paraId="2DA5C0CE">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r>
            <w:tr w14:paraId="064FE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trPr>
              <w:tc>
                <w:tcPr>
                  <w:tcW w:w="1122" w:type="dxa"/>
                  <w:vMerge w:val="continue"/>
                  <w:tcBorders>
                    <w:top w:val="single" w:color="000000" w:sz="4" w:space="0"/>
                    <w:left w:val="nil"/>
                    <w:bottom w:val="single" w:color="000000" w:sz="4" w:space="0"/>
                    <w:right w:val="single" w:color="000000" w:sz="4" w:space="0"/>
                  </w:tcBorders>
                  <w:shd w:val="clear" w:color="auto" w:fill="auto"/>
                  <w:vAlign w:val="center"/>
                </w:tcPr>
                <w:p w14:paraId="780382ED">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31" w:type="dxa"/>
                  <w:vMerge w:val="continue"/>
                  <w:tcBorders>
                    <w:left w:val="single" w:color="000000" w:sz="4" w:space="0"/>
                    <w:right w:val="single" w:color="000000" w:sz="4" w:space="0"/>
                  </w:tcBorders>
                  <w:shd w:val="clear" w:color="auto" w:fill="auto"/>
                  <w:vAlign w:val="center"/>
                </w:tcPr>
                <w:p w14:paraId="78A7F482">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1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5FF87">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截、排水沟开挖</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6B836">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0.03</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73B4F">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0.01</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C7848">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D5B72">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1A345">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0.02</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78088">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⑤</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5A225">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74" w:type="dxa"/>
                  <w:vMerge w:val="continue"/>
                  <w:tcBorders>
                    <w:left w:val="single" w:color="000000" w:sz="4" w:space="0"/>
                    <w:right w:val="nil"/>
                  </w:tcBorders>
                  <w:shd w:val="clear" w:color="auto" w:fill="auto"/>
                  <w:vAlign w:val="center"/>
                </w:tcPr>
                <w:p w14:paraId="303C59C4">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r>
            <w:tr w14:paraId="7A637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1122" w:type="dxa"/>
                  <w:vMerge w:val="continue"/>
                  <w:tcBorders>
                    <w:top w:val="single" w:color="000000" w:sz="4" w:space="0"/>
                    <w:left w:val="nil"/>
                    <w:bottom w:val="single" w:color="000000" w:sz="4" w:space="0"/>
                    <w:right w:val="single" w:color="000000" w:sz="4" w:space="0"/>
                  </w:tcBorders>
                  <w:shd w:val="clear" w:color="auto" w:fill="auto"/>
                  <w:vAlign w:val="center"/>
                </w:tcPr>
                <w:p w14:paraId="5C04FE15">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31" w:type="dxa"/>
                  <w:vMerge w:val="continue"/>
                  <w:tcBorders>
                    <w:left w:val="single" w:color="000000" w:sz="4" w:space="0"/>
                    <w:right w:val="single" w:color="000000" w:sz="4" w:space="0"/>
                  </w:tcBorders>
                  <w:shd w:val="clear" w:color="auto" w:fill="auto"/>
                  <w:vAlign w:val="center"/>
                </w:tcPr>
                <w:p w14:paraId="799A0713">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1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7CC1B">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土地平整</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7E409">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0.08</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93E30">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0.08</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B439E">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BE972">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88E00">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5FBF5">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0D446">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74" w:type="dxa"/>
                  <w:vMerge w:val="continue"/>
                  <w:tcBorders>
                    <w:left w:val="single" w:color="000000" w:sz="4" w:space="0"/>
                    <w:right w:val="nil"/>
                  </w:tcBorders>
                  <w:shd w:val="clear" w:color="auto" w:fill="auto"/>
                  <w:vAlign w:val="center"/>
                </w:tcPr>
                <w:p w14:paraId="45CF5522">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r>
            <w:tr w14:paraId="137A2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122" w:type="dxa"/>
                  <w:vMerge w:val="continue"/>
                  <w:tcBorders>
                    <w:top w:val="single" w:color="000000" w:sz="4" w:space="0"/>
                    <w:left w:val="nil"/>
                    <w:bottom w:val="single" w:color="000000" w:sz="4" w:space="0"/>
                    <w:right w:val="single" w:color="000000" w:sz="4" w:space="0"/>
                  </w:tcBorders>
                  <w:shd w:val="clear" w:color="auto" w:fill="auto"/>
                  <w:vAlign w:val="center"/>
                </w:tcPr>
                <w:p w14:paraId="4DE8B1B3">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31" w:type="dxa"/>
                  <w:vMerge w:val="continue"/>
                  <w:tcBorders>
                    <w:left w:val="single" w:color="000000" w:sz="4" w:space="0"/>
                    <w:right w:val="single" w:color="000000" w:sz="4" w:space="0"/>
                  </w:tcBorders>
                  <w:shd w:val="clear" w:color="auto" w:fill="auto"/>
                  <w:vAlign w:val="center"/>
                </w:tcPr>
                <w:p w14:paraId="0BE450AE">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1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146EF">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表土剥离</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D8ECC">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0.45</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9A21E">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F19B2">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6A767">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EDB43">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08837">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625ED">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0.45</w:t>
                  </w:r>
                </w:p>
              </w:tc>
              <w:tc>
                <w:tcPr>
                  <w:tcW w:w="574" w:type="dxa"/>
                  <w:vMerge w:val="continue"/>
                  <w:tcBorders>
                    <w:left w:val="single" w:color="000000" w:sz="4" w:space="0"/>
                    <w:right w:val="nil"/>
                  </w:tcBorders>
                  <w:shd w:val="clear" w:color="auto" w:fill="auto"/>
                  <w:vAlign w:val="center"/>
                </w:tcPr>
                <w:p w14:paraId="3D9A72F5">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r>
            <w:tr w14:paraId="6A232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2" w:hRule="atLeast"/>
              </w:trPr>
              <w:tc>
                <w:tcPr>
                  <w:tcW w:w="1122" w:type="dxa"/>
                  <w:vMerge w:val="continue"/>
                  <w:tcBorders>
                    <w:top w:val="single" w:color="000000" w:sz="4" w:space="0"/>
                    <w:left w:val="nil"/>
                    <w:bottom w:val="single" w:color="000000" w:sz="4" w:space="0"/>
                    <w:right w:val="single" w:color="000000" w:sz="4" w:space="0"/>
                  </w:tcBorders>
                  <w:shd w:val="clear" w:color="auto" w:fill="auto"/>
                  <w:vAlign w:val="center"/>
                </w:tcPr>
                <w:p w14:paraId="67E7A895">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31" w:type="dxa"/>
                  <w:vMerge w:val="continue"/>
                  <w:tcBorders>
                    <w:left w:val="single" w:color="000000" w:sz="4" w:space="0"/>
                    <w:bottom w:val="single" w:color="000000" w:sz="4" w:space="0"/>
                    <w:right w:val="single" w:color="000000" w:sz="4" w:space="0"/>
                  </w:tcBorders>
                  <w:shd w:val="clear" w:color="auto" w:fill="auto"/>
                  <w:vAlign w:val="center"/>
                </w:tcPr>
                <w:p w14:paraId="607127F6">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1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6EBC4">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b/>
                      <w:bCs/>
                      <w:color w:val="auto"/>
                      <w:lang w:val="en-US" w:eastAsia="zh-CN"/>
                    </w:rPr>
                  </w:pPr>
                  <w:r>
                    <w:rPr>
                      <w:rFonts w:hint="default" w:ascii="Times New Roman" w:hAnsi="Times New Roman" w:cs="Times New Roman"/>
                      <w:b w:val="0"/>
                      <w:bCs w:val="0"/>
                      <w:color w:val="auto"/>
                      <w:lang w:val="en-US" w:eastAsia="zh-CN"/>
                    </w:rPr>
                    <w:t>小计</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44135">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0.6</w:t>
                  </w:r>
                  <w:r>
                    <w:rPr>
                      <w:rFonts w:hint="eastAsia" w:ascii="Times New Roman" w:hAnsi="Times New Roman" w:cs="Times New Roman"/>
                      <w:color w:val="auto"/>
                      <w:lang w:val="en-US" w:eastAsia="zh-CN"/>
                    </w:rPr>
                    <w:t>5</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5ED83">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w:t>
                  </w:r>
                  <w:r>
                    <w:rPr>
                      <w:rFonts w:hint="eastAsia" w:ascii="Times New Roman" w:hAnsi="Times New Roman" w:cs="Times New Roman"/>
                      <w:color w:val="auto"/>
                      <w:lang w:val="en-US" w:eastAsia="zh-CN"/>
                    </w:rPr>
                    <w:t>12</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0F352">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80605">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C03B5">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0.08</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6635A">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156C9">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0.45</w:t>
                  </w:r>
                </w:p>
              </w:tc>
              <w:tc>
                <w:tcPr>
                  <w:tcW w:w="574" w:type="dxa"/>
                  <w:vMerge w:val="continue"/>
                  <w:tcBorders>
                    <w:left w:val="single" w:color="000000" w:sz="4" w:space="0"/>
                    <w:right w:val="nil"/>
                  </w:tcBorders>
                  <w:shd w:val="clear" w:color="auto" w:fill="auto"/>
                  <w:vAlign w:val="center"/>
                </w:tcPr>
                <w:p w14:paraId="4C019582">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r>
            <w:tr w14:paraId="773AC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1122" w:type="dxa"/>
                  <w:vMerge w:val="restart"/>
                  <w:tcBorders>
                    <w:top w:val="single" w:color="000000" w:sz="4" w:space="0"/>
                    <w:left w:val="nil"/>
                    <w:right w:val="single" w:color="000000" w:sz="4" w:space="0"/>
                  </w:tcBorders>
                  <w:shd w:val="clear" w:color="auto" w:fill="auto"/>
                  <w:vAlign w:val="center"/>
                </w:tcPr>
                <w:p w14:paraId="4A12FE0C">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原矿石堆场区</w:t>
                  </w:r>
                </w:p>
              </w:tc>
              <w:tc>
                <w:tcPr>
                  <w:tcW w:w="531" w:type="dxa"/>
                  <w:vMerge w:val="restart"/>
                  <w:tcBorders>
                    <w:top w:val="single" w:color="000000" w:sz="4" w:space="0"/>
                    <w:left w:val="single" w:color="000000" w:sz="4" w:space="0"/>
                    <w:right w:val="single" w:color="000000" w:sz="4" w:space="0"/>
                  </w:tcBorders>
                  <w:shd w:val="clear" w:color="auto" w:fill="auto"/>
                  <w:noWrap/>
                  <w:vAlign w:val="center"/>
                </w:tcPr>
                <w:p w14:paraId="14310114">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④</w:t>
                  </w:r>
                </w:p>
              </w:tc>
              <w:tc>
                <w:tcPr>
                  <w:tcW w:w="1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34D49">
                  <w:pPr>
                    <w:pStyle w:val="70"/>
                    <w:pageBreakBefore w:val="0"/>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土地平整</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E8344">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0.2</w:t>
                  </w:r>
                  <w:r>
                    <w:rPr>
                      <w:rFonts w:hint="eastAsia" w:ascii="Times New Roman" w:hAnsi="Times New Roman" w:cs="Times New Roman"/>
                      <w:color w:val="auto"/>
                      <w:lang w:val="en-US" w:eastAsia="zh-CN"/>
                    </w:rPr>
                    <w:t>0</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DA8FD">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0.2</w:t>
                  </w:r>
                  <w:r>
                    <w:rPr>
                      <w:rFonts w:hint="eastAsia" w:ascii="Times New Roman" w:hAnsi="Times New Roman" w:cs="Times New Roman"/>
                      <w:color w:val="auto"/>
                      <w:lang w:val="en-US" w:eastAsia="zh-CN"/>
                    </w:rPr>
                    <w:t>0</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42BC1">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0D9B4">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D06B3">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02F99">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8976E">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74" w:type="dxa"/>
                  <w:vMerge w:val="continue"/>
                  <w:tcBorders>
                    <w:left w:val="single" w:color="000000" w:sz="4" w:space="0"/>
                    <w:right w:val="nil"/>
                  </w:tcBorders>
                  <w:shd w:val="clear" w:color="auto" w:fill="auto"/>
                  <w:vAlign w:val="center"/>
                </w:tcPr>
                <w:p w14:paraId="5956CE4A">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r>
            <w:tr w14:paraId="6A7FD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1122" w:type="dxa"/>
                  <w:vMerge w:val="continue"/>
                  <w:tcBorders>
                    <w:left w:val="nil"/>
                    <w:right w:val="single" w:color="000000" w:sz="4" w:space="0"/>
                  </w:tcBorders>
                  <w:shd w:val="clear" w:color="auto" w:fill="auto"/>
                  <w:vAlign w:val="center"/>
                </w:tcPr>
                <w:p w14:paraId="38CA4667">
                  <w:pPr>
                    <w:pStyle w:val="70"/>
                    <w:pageBreakBefore w:val="0"/>
                    <w:kinsoku/>
                    <w:wordWrap/>
                    <w:overflowPunct/>
                    <w:topLinePunct w:val="0"/>
                    <w:autoSpaceDE/>
                    <w:autoSpaceDN/>
                    <w:bidi w:val="0"/>
                    <w:spacing w:line="240" w:lineRule="auto"/>
                    <w:ind w:left="0" w:leftChars="0" w:right="0"/>
                    <w:jc w:val="center"/>
                    <w:rPr>
                      <w:rFonts w:hint="eastAsia" w:ascii="Times New Roman" w:hAnsi="Times New Roman" w:cs="Times New Roman"/>
                      <w:color w:val="auto"/>
                      <w:lang w:val="en-US" w:eastAsia="zh-CN"/>
                    </w:rPr>
                  </w:pPr>
                </w:p>
              </w:tc>
              <w:tc>
                <w:tcPr>
                  <w:tcW w:w="531" w:type="dxa"/>
                  <w:vMerge w:val="continue"/>
                  <w:tcBorders>
                    <w:left w:val="single" w:color="000000" w:sz="4" w:space="0"/>
                    <w:right w:val="single" w:color="000000" w:sz="4" w:space="0"/>
                  </w:tcBorders>
                  <w:shd w:val="clear" w:color="auto" w:fill="auto"/>
                  <w:noWrap/>
                  <w:vAlign w:val="center"/>
                </w:tcPr>
                <w:p w14:paraId="762B5A55">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1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B76F4">
                  <w:pPr>
                    <w:pStyle w:val="70"/>
                    <w:pageBreakBefore w:val="0"/>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表土剥离</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92C34">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0.3</w:t>
                  </w:r>
                  <w:r>
                    <w:rPr>
                      <w:rFonts w:hint="eastAsia" w:ascii="Times New Roman" w:hAnsi="Times New Roman" w:cs="Times New Roman"/>
                      <w:color w:val="auto"/>
                      <w:lang w:val="en-US" w:eastAsia="zh-CN"/>
                    </w:rPr>
                    <w:t>0</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479D4">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A67DC">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1522C">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26B51">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FDF95">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A5C22">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0.3</w:t>
                  </w:r>
                  <w:r>
                    <w:rPr>
                      <w:rFonts w:hint="eastAsia" w:ascii="Times New Roman" w:hAnsi="Times New Roman" w:cs="Times New Roman"/>
                      <w:color w:val="auto"/>
                      <w:lang w:val="en-US" w:eastAsia="zh-CN"/>
                    </w:rPr>
                    <w:t>0</w:t>
                  </w:r>
                </w:p>
              </w:tc>
              <w:tc>
                <w:tcPr>
                  <w:tcW w:w="574" w:type="dxa"/>
                  <w:vMerge w:val="continue"/>
                  <w:tcBorders>
                    <w:left w:val="single" w:color="000000" w:sz="4" w:space="0"/>
                    <w:right w:val="nil"/>
                  </w:tcBorders>
                  <w:shd w:val="clear" w:color="auto" w:fill="auto"/>
                  <w:vAlign w:val="center"/>
                </w:tcPr>
                <w:p w14:paraId="53B8792E">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r>
            <w:tr w14:paraId="3513E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122" w:type="dxa"/>
                  <w:vMerge w:val="continue"/>
                  <w:tcBorders>
                    <w:left w:val="nil"/>
                    <w:bottom w:val="single" w:color="000000" w:sz="4" w:space="0"/>
                    <w:right w:val="single" w:color="000000" w:sz="4" w:space="0"/>
                  </w:tcBorders>
                  <w:shd w:val="clear" w:color="auto" w:fill="auto"/>
                  <w:vAlign w:val="center"/>
                </w:tcPr>
                <w:p w14:paraId="066E4C52">
                  <w:pPr>
                    <w:pStyle w:val="70"/>
                    <w:pageBreakBefore w:val="0"/>
                    <w:kinsoku/>
                    <w:wordWrap/>
                    <w:overflowPunct/>
                    <w:topLinePunct w:val="0"/>
                    <w:autoSpaceDE/>
                    <w:autoSpaceDN/>
                    <w:bidi w:val="0"/>
                    <w:spacing w:line="240" w:lineRule="auto"/>
                    <w:ind w:left="0" w:leftChars="0" w:right="0"/>
                    <w:jc w:val="center"/>
                    <w:rPr>
                      <w:rFonts w:hint="eastAsia" w:ascii="Times New Roman" w:hAnsi="Times New Roman" w:cs="Times New Roman"/>
                      <w:color w:val="auto"/>
                      <w:lang w:val="en-US" w:eastAsia="zh-CN"/>
                    </w:rPr>
                  </w:pPr>
                </w:p>
              </w:tc>
              <w:tc>
                <w:tcPr>
                  <w:tcW w:w="531" w:type="dxa"/>
                  <w:vMerge w:val="continue"/>
                  <w:tcBorders>
                    <w:left w:val="single" w:color="000000" w:sz="4" w:space="0"/>
                    <w:bottom w:val="single" w:color="000000" w:sz="4" w:space="0"/>
                    <w:right w:val="single" w:color="000000" w:sz="4" w:space="0"/>
                  </w:tcBorders>
                  <w:shd w:val="clear" w:color="auto" w:fill="auto"/>
                  <w:noWrap/>
                  <w:vAlign w:val="center"/>
                </w:tcPr>
                <w:p w14:paraId="735CE3A2">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1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2DB6E">
                  <w:pPr>
                    <w:pStyle w:val="70"/>
                    <w:pageBreakBefore w:val="0"/>
                    <w:kinsoku/>
                    <w:wordWrap/>
                    <w:overflowPunct/>
                    <w:topLinePunct w:val="0"/>
                    <w:autoSpaceDE/>
                    <w:autoSpaceDN/>
                    <w:bidi w:val="0"/>
                    <w:spacing w:line="240" w:lineRule="auto"/>
                    <w:ind w:left="0" w:leftChars="0" w:right="0" w:rightChars="0" w:firstLine="0" w:firstLineChars="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小计</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23830">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0.5</w:t>
                  </w:r>
                  <w:r>
                    <w:rPr>
                      <w:rFonts w:hint="eastAsia" w:ascii="Times New Roman" w:hAnsi="Times New Roman" w:cs="Times New Roman"/>
                      <w:color w:val="auto"/>
                      <w:lang w:val="en-US" w:eastAsia="zh-CN"/>
                    </w:rPr>
                    <w:t>0</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A3904">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w:t>
                  </w:r>
                  <w:r>
                    <w:rPr>
                      <w:rFonts w:hint="eastAsia" w:ascii="Times New Roman" w:hAnsi="Times New Roman" w:cs="Times New Roman"/>
                      <w:color w:val="auto"/>
                      <w:lang w:val="en-US" w:eastAsia="zh-CN"/>
                    </w:rPr>
                    <w:t>20</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26A83">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E6518">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CC6EF">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8AD42">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C101E">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74" w:type="dxa"/>
                  <w:vMerge w:val="continue"/>
                  <w:tcBorders>
                    <w:left w:val="single" w:color="000000" w:sz="4" w:space="0"/>
                    <w:right w:val="nil"/>
                  </w:tcBorders>
                  <w:shd w:val="clear" w:color="auto" w:fill="auto"/>
                  <w:vAlign w:val="center"/>
                </w:tcPr>
                <w:p w14:paraId="2614C423">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r>
            <w:tr w14:paraId="1EE86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1122" w:type="dxa"/>
                  <w:vMerge w:val="restart"/>
                  <w:tcBorders>
                    <w:top w:val="single" w:color="000000" w:sz="4" w:space="0"/>
                    <w:left w:val="nil"/>
                    <w:right w:val="single" w:color="000000" w:sz="4" w:space="0"/>
                  </w:tcBorders>
                  <w:shd w:val="clear" w:color="auto" w:fill="auto"/>
                  <w:vAlign w:val="center"/>
                </w:tcPr>
                <w:p w14:paraId="78DCF36D">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道路工程区</w:t>
                  </w:r>
                </w:p>
              </w:tc>
              <w:tc>
                <w:tcPr>
                  <w:tcW w:w="531" w:type="dxa"/>
                  <w:vMerge w:val="restart"/>
                  <w:tcBorders>
                    <w:top w:val="single" w:color="000000" w:sz="4" w:space="0"/>
                    <w:left w:val="single" w:color="000000" w:sz="4" w:space="0"/>
                    <w:right w:val="single" w:color="000000" w:sz="4" w:space="0"/>
                  </w:tcBorders>
                  <w:shd w:val="clear" w:color="auto" w:fill="auto"/>
                  <w:noWrap/>
                  <w:vAlign w:val="center"/>
                </w:tcPr>
                <w:p w14:paraId="111B9F0E">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⑤</w:t>
                  </w:r>
                </w:p>
              </w:tc>
              <w:tc>
                <w:tcPr>
                  <w:tcW w:w="1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950BD">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土地平整</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29BC8">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w:t>
                  </w:r>
                  <w:r>
                    <w:rPr>
                      <w:rFonts w:hint="eastAsia" w:ascii="Times New Roman" w:hAnsi="Times New Roman" w:cs="Times New Roman"/>
                      <w:color w:val="auto"/>
                      <w:lang w:val="en-US" w:eastAsia="zh-CN"/>
                    </w:rPr>
                    <w:t>2</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3D738">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0.1</w:t>
                  </w:r>
                  <w:r>
                    <w:rPr>
                      <w:rFonts w:hint="eastAsia" w:ascii="Times New Roman" w:hAnsi="Times New Roman" w:cs="Times New Roman"/>
                      <w:color w:val="auto"/>
                      <w:lang w:val="en-US" w:eastAsia="zh-CN"/>
                    </w:rPr>
                    <w:t>0</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F05E5">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w:t>
                  </w:r>
                  <w:r>
                    <w:rPr>
                      <w:rFonts w:hint="eastAsia" w:ascii="Times New Roman" w:hAnsi="Times New Roman" w:cs="Times New Roman"/>
                      <w:color w:val="auto"/>
                      <w:lang w:val="en-US" w:eastAsia="zh-CN"/>
                    </w:rPr>
                    <w:t>8</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0765C">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③</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D9D3E">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0ABF3">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42C72">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74" w:type="dxa"/>
                  <w:vMerge w:val="continue"/>
                  <w:tcBorders>
                    <w:left w:val="single" w:color="000000" w:sz="4" w:space="0"/>
                    <w:right w:val="nil"/>
                  </w:tcBorders>
                  <w:shd w:val="clear" w:color="auto" w:fill="auto"/>
                  <w:vAlign w:val="center"/>
                </w:tcPr>
                <w:p w14:paraId="691B04C4">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r>
            <w:tr w14:paraId="37718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1122" w:type="dxa"/>
                  <w:vMerge w:val="continue"/>
                  <w:tcBorders>
                    <w:left w:val="nil"/>
                    <w:right w:val="single" w:color="000000" w:sz="4" w:space="0"/>
                  </w:tcBorders>
                  <w:shd w:val="clear" w:color="auto" w:fill="auto"/>
                  <w:vAlign w:val="center"/>
                </w:tcPr>
                <w:p w14:paraId="43BB971E">
                  <w:pPr>
                    <w:pStyle w:val="70"/>
                    <w:pageBreakBefore w:val="0"/>
                    <w:kinsoku/>
                    <w:wordWrap/>
                    <w:overflowPunct/>
                    <w:topLinePunct w:val="0"/>
                    <w:autoSpaceDE/>
                    <w:autoSpaceDN/>
                    <w:bidi w:val="0"/>
                    <w:spacing w:line="240" w:lineRule="auto"/>
                    <w:ind w:left="0" w:leftChars="0" w:right="0"/>
                    <w:jc w:val="center"/>
                    <w:rPr>
                      <w:rFonts w:hint="eastAsia" w:ascii="Times New Roman" w:hAnsi="Times New Roman" w:cs="Times New Roman"/>
                      <w:color w:val="auto"/>
                      <w:lang w:val="en-US" w:eastAsia="zh-CN"/>
                    </w:rPr>
                  </w:pPr>
                </w:p>
              </w:tc>
              <w:tc>
                <w:tcPr>
                  <w:tcW w:w="531" w:type="dxa"/>
                  <w:vMerge w:val="continue"/>
                  <w:tcBorders>
                    <w:left w:val="single" w:color="000000" w:sz="4" w:space="0"/>
                    <w:right w:val="single" w:color="000000" w:sz="4" w:space="0"/>
                  </w:tcBorders>
                  <w:shd w:val="clear" w:color="auto" w:fill="auto"/>
                  <w:noWrap/>
                  <w:vAlign w:val="center"/>
                </w:tcPr>
                <w:p w14:paraId="230499C3">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1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EB79B">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表土剥离</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2E22A">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w:t>
                  </w:r>
                  <w:r>
                    <w:rPr>
                      <w:rFonts w:hint="eastAsia" w:ascii="Times New Roman" w:hAnsi="Times New Roman" w:cs="Times New Roman"/>
                      <w:color w:val="auto"/>
                      <w:lang w:val="en-US" w:eastAsia="zh-CN"/>
                    </w:rPr>
                    <w:t>40</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D508A">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D13BC">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759A8">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FC2A1">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D04E8">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27D48">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w:t>
                  </w:r>
                  <w:r>
                    <w:rPr>
                      <w:rFonts w:hint="eastAsia" w:ascii="Times New Roman" w:hAnsi="Times New Roman" w:cs="Times New Roman"/>
                      <w:color w:val="auto"/>
                      <w:lang w:val="en-US" w:eastAsia="zh-CN"/>
                    </w:rPr>
                    <w:t>40</w:t>
                  </w:r>
                </w:p>
              </w:tc>
              <w:tc>
                <w:tcPr>
                  <w:tcW w:w="574" w:type="dxa"/>
                  <w:vMerge w:val="continue"/>
                  <w:tcBorders>
                    <w:left w:val="single" w:color="000000" w:sz="4" w:space="0"/>
                    <w:right w:val="nil"/>
                  </w:tcBorders>
                  <w:shd w:val="clear" w:color="auto" w:fill="auto"/>
                  <w:vAlign w:val="center"/>
                </w:tcPr>
                <w:p w14:paraId="7BDC840D">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r>
            <w:tr w14:paraId="4F53C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1122" w:type="dxa"/>
                  <w:vMerge w:val="continue"/>
                  <w:tcBorders>
                    <w:left w:val="nil"/>
                    <w:bottom w:val="single" w:color="000000" w:sz="4" w:space="0"/>
                    <w:right w:val="single" w:color="000000" w:sz="4" w:space="0"/>
                  </w:tcBorders>
                  <w:shd w:val="clear" w:color="auto" w:fill="auto"/>
                  <w:vAlign w:val="center"/>
                </w:tcPr>
                <w:p w14:paraId="6AAF5012">
                  <w:pPr>
                    <w:pStyle w:val="70"/>
                    <w:pageBreakBefore w:val="0"/>
                    <w:kinsoku/>
                    <w:wordWrap/>
                    <w:overflowPunct/>
                    <w:topLinePunct w:val="0"/>
                    <w:autoSpaceDE/>
                    <w:autoSpaceDN/>
                    <w:bidi w:val="0"/>
                    <w:spacing w:line="240" w:lineRule="auto"/>
                    <w:ind w:left="0" w:leftChars="0" w:right="0"/>
                    <w:jc w:val="center"/>
                    <w:rPr>
                      <w:rFonts w:hint="eastAsia" w:ascii="Times New Roman" w:hAnsi="Times New Roman" w:cs="Times New Roman"/>
                      <w:color w:val="auto"/>
                      <w:lang w:val="en-US" w:eastAsia="zh-CN"/>
                    </w:rPr>
                  </w:pPr>
                </w:p>
              </w:tc>
              <w:tc>
                <w:tcPr>
                  <w:tcW w:w="531" w:type="dxa"/>
                  <w:vMerge w:val="continue"/>
                  <w:tcBorders>
                    <w:left w:val="single" w:color="000000" w:sz="4" w:space="0"/>
                    <w:bottom w:val="single" w:color="000000" w:sz="4" w:space="0"/>
                    <w:right w:val="single" w:color="000000" w:sz="4" w:space="0"/>
                  </w:tcBorders>
                  <w:shd w:val="clear" w:color="auto" w:fill="auto"/>
                  <w:noWrap/>
                  <w:vAlign w:val="center"/>
                </w:tcPr>
                <w:p w14:paraId="2A7FFAFE">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1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4B6FB">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小计</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F2956">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0.4</w:t>
                  </w:r>
                  <w:r>
                    <w:rPr>
                      <w:rFonts w:hint="eastAsia" w:ascii="Times New Roman" w:hAnsi="Times New Roman" w:cs="Times New Roman"/>
                      <w:color w:val="auto"/>
                      <w:lang w:val="en-US" w:eastAsia="zh-CN"/>
                    </w:rPr>
                    <w:t>2</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2AC26">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w:t>
                  </w:r>
                  <w:r>
                    <w:rPr>
                      <w:rFonts w:hint="eastAsia" w:ascii="Times New Roman" w:hAnsi="Times New Roman" w:cs="Times New Roman"/>
                      <w:color w:val="auto"/>
                      <w:lang w:val="en-US" w:eastAsia="zh-CN"/>
                    </w:rPr>
                    <w:t>10</w:t>
                  </w:r>
                </w:p>
              </w:tc>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1ECDA">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0.08</w:t>
                  </w:r>
                </w:p>
              </w:tc>
              <w:tc>
                <w:tcPr>
                  <w:tcW w:w="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6BB85">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08701">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A0852">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FD8F5">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0.40</w:t>
                  </w:r>
                </w:p>
              </w:tc>
              <w:tc>
                <w:tcPr>
                  <w:tcW w:w="574" w:type="dxa"/>
                  <w:vMerge w:val="continue"/>
                  <w:tcBorders>
                    <w:left w:val="single" w:color="000000" w:sz="4" w:space="0"/>
                    <w:bottom w:val="single" w:color="000000" w:sz="4" w:space="0"/>
                    <w:right w:val="nil"/>
                  </w:tcBorders>
                  <w:shd w:val="clear" w:color="auto" w:fill="auto"/>
                  <w:vAlign w:val="center"/>
                </w:tcPr>
                <w:p w14:paraId="7962010B">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r>
            <w:tr w14:paraId="6C285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 w:hRule="atLeast"/>
              </w:trPr>
              <w:tc>
                <w:tcPr>
                  <w:tcW w:w="3296" w:type="dxa"/>
                  <w:gridSpan w:val="3"/>
                  <w:tcBorders>
                    <w:top w:val="single" w:color="000000" w:sz="4" w:space="0"/>
                    <w:left w:val="nil"/>
                    <w:bottom w:val="single" w:color="000000" w:sz="12" w:space="0"/>
                    <w:right w:val="single" w:color="000000" w:sz="4" w:space="0"/>
                  </w:tcBorders>
                  <w:shd w:val="clear" w:color="auto" w:fill="auto"/>
                  <w:vAlign w:val="center"/>
                </w:tcPr>
                <w:p w14:paraId="6037EA64">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合</w:t>
                  </w:r>
                  <w:r>
                    <w:rPr>
                      <w:rFonts w:hint="default" w:ascii="Times New Roman" w:hAnsi="Times New Roman" w:cs="Times New Roman"/>
                      <w:color w:val="auto"/>
                      <w:lang w:val="en-US" w:eastAsia="zh-CN"/>
                    </w:rPr>
                    <w:t>计</w:t>
                  </w:r>
                </w:p>
              </w:tc>
              <w:tc>
                <w:tcPr>
                  <w:tcW w:w="684" w:type="dxa"/>
                  <w:tcBorders>
                    <w:top w:val="single" w:color="000000" w:sz="4" w:space="0"/>
                    <w:left w:val="single" w:color="000000" w:sz="4" w:space="0"/>
                    <w:bottom w:val="single" w:color="000000" w:sz="12" w:space="0"/>
                    <w:right w:val="single" w:color="000000" w:sz="4" w:space="0"/>
                  </w:tcBorders>
                  <w:shd w:val="clear" w:color="auto" w:fill="auto"/>
                  <w:vAlign w:val="center"/>
                </w:tcPr>
                <w:p w14:paraId="45FD4BC9">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4.37</w:t>
                  </w:r>
                </w:p>
              </w:tc>
              <w:tc>
                <w:tcPr>
                  <w:tcW w:w="668" w:type="dxa"/>
                  <w:tcBorders>
                    <w:top w:val="single" w:color="000000" w:sz="4" w:space="0"/>
                    <w:left w:val="single" w:color="000000" w:sz="4" w:space="0"/>
                    <w:bottom w:val="single" w:color="000000" w:sz="12" w:space="0"/>
                    <w:right w:val="single" w:color="000000" w:sz="4" w:space="0"/>
                  </w:tcBorders>
                  <w:shd w:val="clear" w:color="auto" w:fill="auto"/>
                  <w:vAlign w:val="center"/>
                </w:tcPr>
                <w:p w14:paraId="758B1D2A">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0.52</w:t>
                  </w:r>
                </w:p>
              </w:tc>
              <w:tc>
                <w:tcPr>
                  <w:tcW w:w="636" w:type="dxa"/>
                  <w:tcBorders>
                    <w:top w:val="single" w:color="000000" w:sz="4" w:space="0"/>
                    <w:left w:val="single" w:color="000000" w:sz="4" w:space="0"/>
                    <w:bottom w:val="single" w:color="000000" w:sz="12" w:space="0"/>
                    <w:right w:val="single" w:color="000000" w:sz="4" w:space="0"/>
                  </w:tcBorders>
                  <w:shd w:val="clear" w:color="auto" w:fill="auto"/>
                  <w:vAlign w:val="center"/>
                </w:tcPr>
                <w:p w14:paraId="25A5BF3B">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w:t>
                  </w:r>
                  <w:r>
                    <w:rPr>
                      <w:rFonts w:hint="eastAsia" w:ascii="Times New Roman" w:hAnsi="Times New Roman" w:cs="Times New Roman"/>
                      <w:color w:val="auto"/>
                      <w:lang w:val="en-US" w:eastAsia="zh-CN"/>
                    </w:rPr>
                    <w:t>8</w:t>
                  </w:r>
                </w:p>
              </w:tc>
              <w:tc>
                <w:tcPr>
                  <w:tcW w:w="564" w:type="dxa"/>
                  <w:tcBorders>
                    <w:top w:val="single" w:color="000000" w:sz="4" w:space="0"/>
                    <w:left w:val="single" w:color="000000" w:sz="4" w:space="0"/>
                    <w:bottom w:val="single" w:color="000000" w:sz="12" w:space="0"/>
                    <w:right w:val="single" w:color="000000" w:sz="4" w:space="0"/>
                  </w:tcBorders>
                  <w:shd w:val="clear" w:color="auto" w:fill="auto"/>
                  <w:vAlign w:val="center"/>
                </w:tcPr>
                <w:p w14:paraId="2B87FF08">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579" w:type="dxa"/>
                  <w:tcBorders>
                    <w:top w:val="single" w:color="000000" w:sz="4" w:space="0"/>
                    <w:left w:val="single" w:color="000000" w:sz="4" w:space="0"/>
                    <w:bottom w:val="single" w:color="000000" w:sz="12" w:space="0"/>
                    <w:right w:val="single" w:color="000000" w:sz="4" w:space="0"/>
                  </w:tcBorders>
                  <w:shd w:val="clear" w:color="auto" w:fill="auto"/>
                  <w:vAlign w:val="center"/>
                </w:tcPr>
                <w:p w14:paraId="139C1F1C">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0.0</w:t>
                  </w:r>
                  <w:r>
                    <w:rPr>
                      <w:rFonts w:hint="eastAsia" w:ascii="Times New Roman" w:hAnsi="Times New Roman" w:cs="Times New Roman"/>
                      <w:color w:val="auto"/>
                      <w:lang w:val="en-US" w:eastAsia="zh-CN"/>
                    </w:rPr>
                    <w:t>8</w:t>
                  </w:r>
                </w:p>
              </w:tc>
              <w:tc>
                <w:tcPr>
                  <w:tcW w:w="612" w:type="dxa"/>
                  <w:tcBorders>
                    <w:top w:val="single" w:color="000000" w:sz="4" w:space="0"/>
                    <w:left w:val="single" w:color="000000" w:sz="4" w:space="0"/>
                    <w:bottom w:val="single" w:color="000000" w:sz="12" w:space="0"/>
                    <w:right w:val="single" w:color="000000" w:sz="4" w:space="0"/>
                  </w:tcBorders>
                  <w:shd w:val="clear" w:color="auto" w:fill="auto"/>
                  <w:vAlign w:val="center"/>
                </w:tcPr>
                <w:p w14:paraId="0F23AAB5">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c>
                <w:tcPr>
                  <w:tcW w:w="643" w:type="dxa"/>
                  <w:tcBorders>
                    <w:top w:val="single" w:color="000000" w:sz="4" w:space="0"/>
                    <w:left w:val="single" w:color="000000" w:sz="4" w:space="0"/>
                    <w:bottom w:val="single" w:color="000000" w:sz="12" w:space="0"/>
                    <w:right w:val="single" w:color="000000" w:sz="4" w:space="0"/>
                  </w:tcBorders>
                  <w:shd w:val="clear" w:color="auto" w:fill="auto"/>
                  <w:vAlign w:val="center"/>
                </w:tcPr>
                <w:p w14:paraId="38B16D9C">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3.85</w:t>
                  </w:r>
                </w:p>
              </w:tc>
              <w:tc>
                <w:tcPr>
                  <w:tcW w:w="574" w:type="dxa"/>
                  <w:tcBorders>
                    <w:top w:val="single" w:color="000000" w:sz="4" w:space="0"/>
                    <w:left w:val="single" w:color="000000" w:sz="4" w:space="0"/>
                    <w:bottom w:val="single" w:color="000000" w:sz="12" w:space="0"/>
                    <w:right w:val="nil"/>
                  </w:tcBorders>
                  <w:shd w:val="clear" w:color="auto" w:fill="auto"/>
                  <w:vAlign w:val="center"/>
                </w:tcPr>
                <w:p w14:paraId="1964DB66">
                  <w:pPr>
                    <w:pStyle w:val="70"/>
                    <w:pageBreakBefore w:val="0"/>
                    <w:kinsoku/>
                    <w:wordWrap/>
                    <w:overflowPunct/>
                    <w:topLinePunct w:val="0"/>
                    <w:autoSpaceDE/>
                    <w:autoSpaceDN/>
                    <w:bidi w:val="0"/>
                    <w:spacing w:line="240" w:lineRule="auto"/>
                    <w:ind w:left="0" w:leftChars="0" w:right="0"/>
                    <w:jc w:val="center"/>
                    <w:rPr>
                      <w:rFonts w:hint="default" w:ascii="Times New Roman" w:hAnsi="Times New Roman" w:cs="Times New Roman"/>
                      <w:color w:val="auto"/>
                      <w:lang w:val="en-US" w:eastAsia="zh-CN"/>
                    </w:rPr>
                  </w:pPr>
                </w:p>
              </w:tc>
            </w:tr>
          </w:tbl>
          <w:p w14:paraId="4CC78FAA">
            <w:pPr>
              <w:pStyle w:val="3"/>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left="0" w:leftChars="0" w:right="0" w:firstLine="480" w:firstLineChars="200"/>
              <w:jc w:val="both"/>
              <w:textAlignment w:val="auto"/>
              <w:rPr>
                <w:rFonts w:hint="default" w:ascii="Times New Roman" w:hAnsi="Times New Roman" w:eastAsia="宋体" w:cs="Times New Roman"/>
                <w:color w:val="auto"/>
                <w:spacing w:val="0"/>
                <w:w w:val="100"/>
                <w:kern w:val="2"/>
                <w:position w:val="0"/>
                <w:sz w:val="24"/>
                <w:szCs w:val="24"/>
                <w:highlight w:val="none"/>
                <w:lang w:val="en-US" w:eastAsia="zh-CN" w:bidi="ar-SA"/>
              </w:rPr>
            </w:pPr>
            <w:r>
              <w:rPr>
                <w:rFonts w:hint="default" w:ascii="Times New Roman" w:hAnsi="Times New Roman" w:eastAsia="宋体" w:cs="Times New Roman"/>
                <w:color w:val="auto"/>
                <w:spacing w:val="0"/>
                <w:w w:val="100"/>
                <w:kern w:val="2"/>
                <w:position w:val="0"/>
                <w:sz w:val="24"/>
                <w:szCs w:val="24"/>
                <w:highlight w:val="none"/>
                <w:lang w:val="en-US" w:eastAsia="zh-CN" w:bidi="ar-SA"/>
              </w:rPr>
              <w:t>注：①各种土石方均为自然方量；</w:t>
            </w:r>
          </w:p>
          <w:p w14:paraId="7DAB1B73">
            <w:pPr>
              <w:pStyle w:val="3"/>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left="0" w:leftChars="0" w:right="0" w:firstLine="480" w:firstLineChars="200"/>
              <w:jc w:val="both"/>
              <w:textAlignment w:val="auto"/>
              <w:rPr>
                <w:rFonts w:hint="default" w:ascii="Times New Roman" w:hAnsi="Times New Roman" w:eastAsia="宋体" w:cs="Times New Roman"/>
                <w:color w:val="auto"/>
                <w:spacing w:val="0"/>
                <w:w w:val="100"/>
                <w:kern w:val="2"/>
                <w:position w:val="0"/>
                <w:sz w:val="24"/>
                <w:szCs w:val="24"/>
                <w:highlight w:val="none"/>
                <w:lang w:val="en-US" w:eastAsia="zh-CN" w:bidi="ar-SA"/>
              </w:rPr>
            </w:pPr>
            <w:r>
              <w:rPr>
                <w:rFonts w:hint="default" w:ascii="Times New Roman" w:hAnsi="Times New Roman" w:eastAsia="宋体" w:cs="Times New Roman"/>
                <w:color w:val="auto"/>
                <w:spacing w:val="0"/>
                <w:w w:val="100"/>
                <w:kern w:val="2"/>
                <w:position w:val="0"/>
                <w:sz w:val="24"/>
                <w:szCs w:val="24"/>
                <w:highlight w:val="none"/>
                <w:lang w:val="en-US" w:eastAsia="zh-CN" w:bidi="ar-SA"/>
              </w:rPr>
              <w:t>②土石方平衡计算公式为：开挖+调入+外借=回填+调出+废弃。</w:t>
            </w:r>
          </w:p>
          <w:p w14:paraId="4F0F75DA">
            <w:pPr>
              <w:pStyle w:val="4"/>
              <w:keepNext w:val="0"/>
              <w:keepLines w:val="0"/>
              <w:pageBreakBefore w:val="0"/>
              <w:widowControl/>
              <w:numPr>
                <w:ilvl w:val="0"/>
                <w:numId w:val="0"/>
              </w:numPr>
              <w:kinsoku/>
              <w:wordWrap/>
              <w:overflowPunct/>
              <w:topLinePunct w:val="0"/>
              <w:autoSpaceDE/>
              <w:autoSpaceDN/>
              <w:bidi w:val="0"/>
              <w:adjustRightInd w:val="0"/>
              <w:snapToGrid w:val="0"/>
              <w:spacing w:before="0" w:beforeLines="0" w:beforeAutospacing="0" w:after="0" w:afterLines="0" w:afterAutospacing="0" w:line="360" w:lineRule="auto"/>
              <w:ind w:left="0" w:leftChars="0" w:right="0" w:rightChars="0" w:firstLine="0" w:firstLineChars="0"/>
              <w:textAlignment w:val="auto"/>
              <w:rPr>
                <w:rFonts w:hint="default"/>
                <w:lang w:val="en-US" w:eastAsia="zh-CN"/>
              </w:rPr>
            </w:pPr>
            <w:r>
              <w:rPr>
                <w:rFonts w:hint="default" w:ascii="Times New Roman" w:hAnsi="Times New Roman" w:eastAsia="宋体" w:cs="Times New Roman"/>
                <w:b/>
                <w:bCs w:val="0"/>
                <w:color w:val="auto"/>
                <w:spacing w:val="0"/>
                <w:w w:val="100"/>
                <w:kern w:val="2"/>
                <w:position w:val="0"/>
                <w:sz w:val="24"/>
                <w:szCs w:val="24"/>
                <w:lang w:val="en-US" w:eastAsia="zh-CN" w:bidi="ar-SA"/>
              </w:rPr>
              <w:t>8.</w:t>
            </w:r>
            <w:r>
              <w:rPr>
                <w:rFonts w:hint="default" w:ascii="Times New Roman" w:hAnsi="Times New Roman" w:eastAsia="宋体" w:cs="Times New Roman"/>
                <w:b/>
                <w:bCs w:val="0"/>
                <w:color w:val="auto"/>
                <w:spacing w:val="0"/>
                <w:w w:val="100"/>
                <w:kern w:val="2"/>
                <w:position w:val="0"/>
                <w:sz w:val="24"/>
                <w:szCs w:val="24"/>
                <w:highlight w:val="none"/>
                <w:lang w:val="en-US" w:eastAsia="zh-CN" w:bidi="ar-SA"/>
              </w:rPr>
              <w:t>产品方案、规格、产量</w:t>
            </w:r>
          </w:p>
          <w:p w14:paraId="22676963">
            <w:pPr>
              <w:pStyle w:val="3"/>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left="0" w:leftChars="0" w:right="0" w:firstLine="480" w:firstLineChars="200"/>
              <w:jc w:val="both"/>
              <w:textAlignment w:val="auto"/>
              <w:rPr>
                <w:rFonts w:hint="default" w:ascii="Times New Roman" w:hAnsi="Times New Roman" w:eastAsia="宋体" w:cs="Times New Roman"/>
                <w:color w:val="auto"/>
                <w:spacing w:val="0"/>
                <w:w w:val="100"/>
                <w:kern w:val="2"/>
                <w:position w:val="0"/>
                <w:sz w:val="24"/>
                <w:szCs w:val="24"/>
                <w:highlight w:val="none"/>
                <w:lang w:val="en-US" w:eastAsia="zh-CN" w:bidi="ar-SA"/>
              </w:rPr>
            </w:pPr>
            <w:r>
              <w:rPr>
                <w:rFonts w:hint="default" w:ascii="Times New Roman" w:hAnsi="Times New Roman" w:eastAsia="宋体" w:cs="Times New Roman"/>
                <w:color w:val="auto"/>
                <w:spacing w:val="0"/>
                <w:w w:val="100"/>
                <w:kern w:val="2"/>
                <w:position w:val="0"/>
                <w:sz w:val="24"/>
                <w:szCs w:val="24"/>
                <w:highlight w:val="none"/>
                <w:lang w:val="en-US" w:eastAsia="zh-CN" w:bidi="ar-SA"/>
              </w:rPr>
              <w:t>矿区产品为建筑砂石料，产品规格见表2-6。</w:t>
            </w:r>
          </w:p>
          <w:p w14:paraId="0E7FE0F8">
            <w:pPr>
              <w:pStyle w:val="4"/>
              <w:keepNext w:val="0"/>
              <w:keepLines w:val="0"/>
              <w:pageBreakBefore w:val="0"/>
              <w:widowControl w:val="0"/>
              <w:numPr>
                <w:ilvl w:val="1"/>
                <w:numId w:val="0"/>
              </w:numPr>
              <w:kinsoku/>
              <w:wordWrap/>
              <w:overflowPunct/>
              <w:topLinePunct w:val="0"/>
              <w:autoSpaceDE/>
              <w:autoSpaceDN/>
              <w:bidi w:val="0"/>
              <w:adjustRightInd/>
              <w:snapToGrid/>
              <w:spacing w:beforeAutospacing="0" w:afterAutospacing="0"/>
              <w:ind w:left="0" w:leftChars="0" w:right="0" w:rightChars="0" w:firstLine="0" w:firstLineChars="0"/>
              <w:jc w:val="center"/>
              <w:textAlignment w:val="auto"/>
              <w:rPr>
                <w:rFonts w:hint="default" w:ascii="Times New Roman" w:hAnsi="Times New Roman" w:eastAsia="宋体" w:cs="Times New Roman"/>
                <w:color w:val="auto"/>
                <w:spacing w:val="0"/>
                <w:w w:val="100"/>
                <w:position w:val="0"/>
                <w:sz w:val="21"/>
                <w:szCs w:val="21"/>
                <w:highlight w:val="none"/>
              </w:rPr>
            </w:pPr>
            <w:r>
              <w:rPr>
                <w:rFonts w:hint="eastAsia" w:ascii="黑体" w:hAnsi="黑体" w:eastAsia="黑体" w:cs="Times New Roman"/>
                <w:b/>
                <w:bCs/>
                <w:color w:val="auto"/>
                <w:spacing w:val="0"/>
                <w:w w:val="100"/>
                <w:kern w:val="2"/>
                <w:position w:val="0"/>
                <w:sz w:val="21"/>
                <w:szCs w:val="21"/>
                <w:lang w:val="en-US" w:eastAsia="zh-CN" w:bidi="ar-SA"/>
              </w:rPr>
              <w:t>（二）</w:t>
            </w:r>
            <w:r>
              <w:rPr>
                <w:rFonts w:hint="default" w:ascii="Times New Roman" w:hAnsi="Times New Roman" w:eastAsia="宋体" w:cs="Times New Roman"/>
                <w:color w:val="auto"/>
                <w:spacing w:val="0"/>
                <w:w w:val="100"/>
                <w:position w:val="0"/>
                <w:sz w:val="21"/>
                <w:szCs w:val="21"/>
                <w:highlight w:val="none"/>
              </w:rPr>
              <w:t>表</w:t>
            </w:r>
            <w:r>
              <w:rPr>
                <w:rFonts w:hint="default" w:ascii="Times New Roman" w:hAnsi="Times New Roman" w:eastAsia="宋体" w:cs="Times New Roman"/>
                <w:color w:val="auto"/>
                <w:spacing w:val="0"/>
                <w:w w:val="100"/>
                <w:position w:val="0"/>
                <w:sz w:val="21"/>
                <w:szCs w:val="21"/>
                <w:highlight w:val="none"/>
                <w:lang w:val="en-US" w:eastAsia="zh-CN"/>
              </w:rPr>
              <w:t xml:space="preserve">2-6    </w:t>
            </w:r>
            <w:r>
              <w:rPr>
                <w:rFonts w:hint="default" w:ascii="Times New Roman" w:hAnsi="Times New Roman" w:eastAsia="宋体" w:cs="Times New Roman"/>
                <w:color w:val="auto"/>
                <w:spacing w:val="0"/>
                <w:w w:val="100"/>
                <w:position w:val="0"/>
                <w:sz w:val="21"/>
                <w:szCs w:val="21"/>
                <w:highlight w:val="none"/>
              </w:rPr>
              <w:t>产品规格、方案</w:t>
            </w:r>
          </w:p>
          <w:tbl>
            <w:tblPr>
              <w:tblStyle w:val="39"/>
              <w:tblW w:w="4949"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296"/>
              <w:gridCol w:w="2528"/>
              <w:gridCol w:w="2134"/>
              <w:gridCol w:w="2134"/>
            </w:tblGrid>
            <w:tr w14:paraId="171025A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217" w:type="dxa"/>
                  <w:vAlign w:val="center"/>
                </w:tcPr>
                <w:p w14:paraId="4B9ED4E7">
                  <w:pPr>
                    <w:pStyle w:val="56"/>
                    <w:spacing w:after="0" w:line="240" w:lineRule="auto"/>
                    <w:jc w:val="center"/>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序号</w:t>
                  </w:r>
                </w:p>
              </w:tc>
              <w:tc>
                <w:tcPr>
                  <w:tcW w:w="2374" w:type="dxa"/>
                  <w:vAlign w:val="center"/>
                </w:tcPr>
                <w:p w14:paraId="5A28702A">
                  <w:pPr>
                    <w:pStyle w:val="56"/>
                    <w:spacing w:after="0" w:line="240" w:lineRule="auto"/>
                    <w:jc w:val="center"/>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原料</w:t>
                  </w:r>
                </w:p>
              </w:tc>
              <w:tc>
                <w:tcPr>
                  <w:tcW w:w="2004" w:type="dxa"/>
                  <w:vAlign w:val="center"/>
                </w:tcPr>
                <w:p w14:paraId="7E9008EC">
                  <w:pPr>
                    <w:pStyle w:val="56"/>
                    <w:spacing w:after="0" w:line="240" w:lineRule="auto"/>
                    <w:jc w:val="center"/>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数量t/a</w:t>
                  </w:r>
                </w:p>
              </w:tc>
              <w:tc>
                <w:tcPr>
                  <w:tcW w:w="2004" w:type="dxa"/>
                  <w:vAlign w:val="center"/>
                </w:tcPr>
                <w:p w14:paraId="1D5BA03D">
                  <w:pPr>
                    <w:pStyle w:val="56"/>
                    <w:spacing w:after="0" w:line="240" w:lineRule="auto"/>
                    <w:jc w:val="center"/>
                    <w:rPr>
                      <w:rFonts w:hint="default" w:ascii="Times New Roman" w:hAnsi="Times New Roman" w:eastAsia="宋体" w:cs="Times New Roman"/>
                      <w:b/>
                      <w:bCs/>
                      <w:color w:val="auto"/>
                      <w:spacing w:val="0"/>
                      <w:sz w:val="21"/>
                      <w:szCs w:val="21"/>
                      <w:highlight w:val="none"/>
                      <w:lang w:val="en-US" w:eastAsia="zh-CN"/>
                    </w:rPr>
                  </w:pPr>
                  <w:r>
                    <w:rPr>
                      <w:rFonts w:hint="default" w:ascii="Times New Roman" w:hAnsi="Times New Roman" w:eastAsia="宋体" w:cs="Times New Roman"/>
                      <w:b/>
                      <w:bCs/>
                      <w:color w:val="auto"/>
                      <w:spacing w:val="0"/>
                      <w:sz w:val="21"/>
                      <w:szCs w:val="21"/>
                      <w:highlight w:val="none"/>
                      <w:lang w:val="en-US" w:eastAsia="zh-CN"/>
                    </w:rPr>
                    <w:t>备注</w:t>
                  </w:r>
                </w:p>
              </w:tc>
            </w:tr>
            <w:tr w14:paraId="6871BE3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217" w:type="dxa"/>
                  <w:tcBorders>
                    <w:top w:val="single" w:color="auto" w:sz="12" w:space="0"/>
                    <w:bottom w:val="single" w:color="auto" w:sz="4" w:space="0"/>
                    <w:tl2br w:val="nil"/>
                    <w:tr2bl w:val="nil"/>
                  </w:tcBorders>
                  <w:vAlign w:val="center"/>
                </w:tcPr>
                <w:p w14:paraId="4F43FDFA">
                  <w:pPr>
                    <w:pStyle w:val="56"/>
                    <w:spacing w:after="0" w:line="240" w:lineRule="auto"/>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1</w:t>
                  </w:r>
                </w:p>
              </w:tc>
              <w:tc>
                <w:tcPr>
                  <w:tcW w:w="2374" w:type="dxa"/>
                  <w:tcBorders>
                    <w:top w:val="single" w:color="auto" w:sz="12" w:space="0"/>
                    <w:bottom w:val="single" w:color="auto" w:sz="4" w:space="0"/>
                    <w:tl2br w:val="nil"/>
                    <w:tr2bl w:val="nil"/>
                  </w:tcBorders>
                  <w:vAlign w:val="center"/>
                </w:tcPr>
                <w:p w14:paraId="5A750BBE">
                  <w:pPr>
                    <w:adjustRightInd w:val="0"/>
                    <w:snapToGrid w:val="0"/>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砂石料原矿</w:t>
                  </w:r>
                </w:p>
              </w:tc>
              <w:tc>
                <w:tcPr>
                  <w:tcW w:w="2004" w:type="dxa"/>
                  <w:tcBorders>
                    <w:top w:val="single" w:color="auto" w:sz="12" w:space="0"/>
                    <w:bottom w:val="single" w:color="auto" w:sz="4" w:space="0"/>
                    <w:tl2br w:val="nil"/>
                    <w:tr2bl w:val="nil"/>
                  </w:tcBorders>
                  <w:vAlign w:val="center"/>
                </w:tcPr>
                <w:p w14:paraId="6EF1FD40">
                  <w:pPr>
                    <w:widowControl/>
                    <w:jc w:val="center"/>
                    <w:textAlignment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kern w:val="0"/>
                      <w:sz w:val="21"/>
                      <w:szCs w:val="21"/>
                      <w:highlight w:val="none"/>
                      <w:lang w:val="en-US" w:eastAsia="zh-CN" w:bidi="ar"/>
                    </w:rPr>
                    <w:t>105万</w:t>
                  </w:r>
                </w:p>
              </w:tc>
              <w:tc>
                <w:tcPr>
                  <w:tcW w:w="2004" w:type="dxa"/>
                  <w:tcBorders>
                    <w:top w:val="single" w:color="auto" w:sz="12" w:space="0"/>
                    <w:bottom w:val="single" w:color="auto" w:sz="4" w:space="0"/>
                    <w:tl2br w:val="nil"/>
                    <w:tr2bl w:val="nil"/>
                  </w:tcBorders>
                  <w:vAlign w:val="center"/>
                </w:tcPr>
                <w:p w14:paraId="6878BC6E">
                  <w:pPr>
                    <w:widowControl/>
                    <w:jc w:val="center"/>
                    <w:textAlignment w:val="center"/>
                    <w:rPr>
                      <w:rFonts w:hint="default" w:ascii="Times New Roman" w:hAnsi="Times New Roman" w:eastAsia="宋体" w:cs="Times New Roman"/>
                      <w:color w:val="auto"/>
                      <w:spacing w:val="0"/>
                      <w:kern w:val="0"/>
                      <w:sz w:val="21"/>
                      <w:szCs w:val="21"/>
                      <w:highlight w:val="none"/>
                      <w:lang w:val="en-US" w:eastAsia="zh-CN" w:bidi="ar"/>
                    </w:rPr>
                  </w:pPr>
                  <w:r>
                    <w:rPr>
                      <w:rFonts w:hint="default" w:ascii="Times New Roman" w:hAnsi="Times New Roman" w:eastAsia="宋体" w:cs="Times New Roman"/>
                      <w:color w:val="auto"/>
                      <w:spacing w:val="0"/>
                      <w:kern w:val="0"/>
                      <w:sz w:val="21"/>
                      <w:szCs w:val="21"/>
                      <w:highlight w:val="none"/>
                      <w:lang w:val="en-US" w:eastAsia="zh-CN" w:bidi="ar"/>
                    </w:rPr>
                    <w:t>70万立方米</w:t>
                  </w:r>
                </w:p>
              </w:tc>
            </w:tr>
            <w:tr w14:paraId="036C79C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217" w:type="dxa"/>
                  <w:tcBorders>
                    <w:top w:val="single" w:color="auto" w:sz="4" w:space="0"/>
                    <w:tl2br w:val="nil"/>
                    <w:tr2bl w:val="nil"/>
                  </w:tcBorders>
                  <w:vAlign w:val="center"/>
                </w:tcPr>
                <w:p w14:paraId="621ABCB9">
                  <w:pPr>
                    <w:pStyle w:val="56"/>
                    <w:spacing w:after="0" w:line="240" w:lineRule="auto"/>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2</w:t>
                  </w:r>
                </w:p>
              </w:tc>
              <w:tc>
                <w:tcPr>
                  <w:tcW w:w="2374" w:type="dxa"/>
                  <w:tcBorders>
                    <w:top w:val="single" w:color="auto" w:sz="4" w:space="0"/>
                    <w:tl2br w:val="nil"/>
                    <w:tr2bl w:val="nil"/>
                  </w:tcBorders>
                  <w:vAlign w:val="center"/>
                </w:tcPr>
                <w:p w14:paraId="49F5DFB1">
                  <w:pPr>
                    <w:adjustRightInd w:val="0"/>
                    <w:snapToGrid w:val="0"/>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水稳料</w:t>
                  </w:r>
                </w:p>
              </w:tc>
              <w:tc>
                <w:tcPr>
                  <w:tcW w:w="2004" w:type="dxa"/>
                  <w:tcBorders>
                    <w:top w:val="single" w:color="auto" w:sz="4" w:space="0"/>
                    <w:tl2br w:val="nil"/>
                    <w:tr2bl w:val="nil"/>
                  </w:tcBorders>
                  <w:vAlign w:val="center"/>
                </w:tcPr>
                <w:p w14:paraId="744D1BD0">
                  <w:pPr>
                    <w:widowControl/>
                    <w:jc w:val="center"/>
                    <w:textAlignment w:val="center"/>
                    <w:rPr>
                      <w:rFonts w:hint="default" w:ascii="Times New Roman" w:hAnsi="Times New Roman" w:eastAsia="宋体" w:cs="Times New Roman"/>
                      <w:color w:val="auto"/>
                      <w:spacing w:val="0"/>
                      <w:kern w:val="0"/>
                      <w:sz w:val="21"/>
                      <w:szCs w:val="21"/>
                      <w:highlight w:val="none"/>
                      <w:lang w:val="en-US" w:eastAsia="zh-CN" w:bidi="ar"/>
                    </w:rPr>
                  </w:pPr>
                  <w:r>
                    <w:rPr>
                      <w:rFonts w:hint="default" w:ascii="Times New Roman" w:hAnsi="Times New Roman" w:eastAsia="宋体" w:cs="Times New Roman"/>
                      <w:color w:val="auto"/>
                      <w:spacing w:val="0"/>
                      <w:kern w:val="0"/>
                      <w:sz w:val="21"/>
                      <w:szCs w:val="21"/>
                      <w:highlight w:val="none"/>
                      <w:lang w:val="en-US" w:eastAsia="zh-CN" w:bidi="ar"/>
                    </w:rPr>
                    <w:t>30万</w:t>
                  </w:r>
                </w:p>
              </w:tc>
              <w:tc>
                <w:tcPr>
                  <w:tcW w:w="2004" w:type="dxa"/>
                  <w:tcBorders>
                    <w:top w:val="single" w:color="auto" w:sz="4" w:space="0"/>
                    <w:tl2br w:val="nil"/>
                    <w:tr2bl w:val="nil"/>
                  </w:tcBorders>
                  <w:vAlign w:val="center"/>
                </w:tcPr>
                <w:p w14:paraId="67BF43B7">
                  <w:pPr>
                    <w:widowControl/>
                    <w:jc w:val="center"/>
                    <w:textAlignment w:val="center"/>
                    <w:rPr>
                      <w:rFonts w:hint="default" w:ascii="Times New Roman" w:hAnsi="Times New Roman" w:eastAsia="宋体" w:cs="Times New Roman"/>
                      <w:color w:val="auto"/>
                      <w:spacing w:val="0"/>
                      <w:kern w:val="0"/>
                      <w:sz w:val="21"/>
                      <w:szCs w:val="21"/>
                      <w:highlight w:val="none"/>
                      <w:lang w:val="en-US" w:eastAsia="zh-CN" w:bidi="ar"/>
                    </w:rPr>
                  </w:pPr>
                  <w:r>
                    <w:rPr>
                      <w:rFonts w:hint="default" w:ascii="Times New Roman" w:hAnsi="Times New Roman" w:eastAsia="宋体" w:cs="Times New Roman"/>
                      <w:color w:val="auto"/>
                      <w:spacing w:val="0"/>
                      <w:kern w:val="0"/>
                      <w:sz w:val="21"/>
                      <w:szCs w:val="21"/>
                      <w:highlight w:val="none"/>
                      <w:lang w:val="en-US" w:eastAsia="zh-CN" w:bidi="ar"/>
                    </w:rPr>
                    <w:t>15万立方米</w:t>
                  </w:r>
                </w:p>
              </w:tc>
            </w:tr>
          </w:tbl>
          <w:p w14:paraId="223BD9A3">
            <w:pPr>
              <w:pStyle w:val="59"/>
              <w:ind w:left="0" w:leftChars="0" w:firstLine="0" w:firstLineChars="0"/>
              <w:rPr>
                <w:rFonts w:hint="default" w:ascii="Times New Roman" w:hAnsi="Times New Roman" w:eastAsia="宋体" w:cs="Times New Roman"/>
                <w:color w:val="auto"/>
                <w:spacing w:val="0"/>
                <w:highlight w:val="none"/>
                <w:lang w:val="en-US" w:eastAsia="zh-CN"/>
              </w:rPr>
            </w:pPr>
            <w:r>
              <w:rPr>
                <w:rFonts w:hint="default" w:ascii="Times New Roman" w:hAnsi="Times New Roman" w:eastAsia="宋体" w:cs="Times New Roman"/>
                <w:color w:val="auto"/>
                <w:spacing w:val="0"/>
                <w:highlight w:val="none"/>
                <w:lang w:val="en-US" w:eastAsia="zh-CN"/>
              </w:rPr>
              <w:t>（每立方米砂石料按1.5吨计，每立方米水稳料按2吨计）</w:t>
            </w:r>
          </w:p>
          <w:p w14:paraId="74AF7656">
            <w:pPr>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b/>
                <w:bCs/>
                <w:color w:val="auto"/>
                <w:spacing w:val="0"/>
                <w:w w:val="100"/>
                <w:kern w:val="0"/>
                <w:position w:val="0"/>
                <w:sz w:val="24"/>
                <w:szCs w:val="18"/>
                <w:highlight w:val="none"/>
                <w:lang w:val="en-US" w:eastAsia="zh-CN" w:bidi="ar-SA"/>
              </w:rPr>
            </w:pPr>
            <w:r>
              <w:rPr>
                <w:rFonts w:hint="eastAsia" w:ascii="Times New Roman" w:hAnsi="Times New Roman" w:eastAsia="宋体" w:cs="Times New Roman"/>
                <w:b/>
                <w:bCs/>
                <w:color w:val="auto"/>
                <w:spacing w:val="0"/>
                <w:w w:val="100"/>
                <w:kern w:val="0"/>
                <w:position w:val="0"/>
                <w:sz w:val="24"/>
                <w:szCs w:val="18"/>
                <w:highlight w:val="none"/>
                <w:lang w:val="en-US" w:eastAsia="zh-CN" w:bidi="ar-SA"/>
              </w:rPr>
              <w:t>9</w:t>
            </w:r>
            <w:r>
              <w:rPr>
                <w:rFonts w:hint="default" w:ascii="Times New Roman" w:hAnsi="Times New Roman" w:eastAsia="宋体" w:cs="Times New Roman"/>
                <w:b/>
                <w:bCs/>
                <w:color w:val="auto"/>
                <w:spacing w:val="0"/>
                <w:w w:val="100"/>
                <w:kern w:val="0"/>
                <w:position w:val="0"/>
                <w:sz w:val="24"/>
                <w:szCs w:val="18"/>
                <w:highlight w:val="none"/>
                <w:lang w:val="en-US" w:eastAsia="zh-CN" w:bidi="ar-SA"/>
              </w:rPr>
              <w:t>.原辅材料消耗</w:t>
            </w:r>
          </w:p>
          <w:p w14:paraId="7BA96946">
            <w:pPr>
              <w:pStyle w:val="52"/>
              <w:keepNext w:val="0"/>
              <w:keepLines w:val="0"/>
              <w:pageBreakBefore w:val="0"/>
              <w:kinsoku/>
              <w:overflowPunct/>
              <w:topLinePunct w:val="0"/>
              <w:bidi w:val="0"/>
              <w:spacing w:beforeAutospacing="0" w:afterAutospacing="0"/>
              <w:ind w:left="0" w:leftChars="0" w:right="0" w:firstLine="420"/>
              <w:jc w:val="both"/>
              <w:rPr>
                <w:rFonts w:hint="default" w:ascii="Times New Roman" w:hAnsi="Times New Roman" w:eastAsia="宋体" w:cs="Times New Roman"/>
                <w:b w:val="0"/>
                <w:bCs w:val="0"/>
                <w:color w:val="auto"/>
                <w:spacing w:val="0"/>
                <w:w w:val="100"/>
                <w:kern w:val="0"/>
                <w:position w:val="0"/>
                <w:sz w:val="24"/>
                <w:szCs w:val="18"/>
                <w:highlight w:val="none"/>
                <w:lang w:val="en-US" w:eastAsia="zh-CN" w:bidi="ar-SA"/>
              </w:rPr>
            </w:pPr>
            <w:r>
              <w:rPr>
                <w:rFonts w:hint="default" w:ascii="Times New Roman" w:hAnsi="Times New Roman" w:eastAsia="宋体" w:cs="Times New Roman"/>
                <w:b w:val="0"/>
                <w:bCs w:val="0"/>
                <w:color w:val="auto"/>
                <w:spacing w:val="0"/>
                <w:w w:val="100"/>
                <w:kern w:val="0"/>
                <w:position w:val="0"/>
                <w:sz w:val="24"/>
                <w:szCs w:val="18"/>
                <w:highlight w:val="none"/>
                <w:lang w:val="en-US" w:eastAsia="zh-CN" w:bidi="ar-SA"/>
              </w:rPr>
              <w:t>本项目生产所需主要原辅材料及能源消耗情况见表2-7。</w:t>
            </w:r>
          </w:p>
          <w:p w14:paraId="30DF30E6">
            <w:pPr>
              <w:pStyle w:val="52"/>
              <w:keepNext w:val="0"/>
              <w:keepLines w:val="0"/>
              <w:pageBreakBefore w:val="0"/>
              <w:kinsoku/>
              <w:overflowPunct/>
              <w:topLinePunct w:val="0"/>
              <w:bidi w:val="0"/>
              <w:spacing w:beforeAutospacing="0" w:afterAutospacing="0"/>
              <w:ind w:left="0" w:leftChars="0" w:right="0" w:firstLine="42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表2-</w:t>
            </w:r>
            <w:r>
              <w:rPr>
                <w:rFonts w:hint="default" w:ascii="Times New Roman" w:hAnsi="Times New Roman" w:eastAsia="宋体" w:cs="Times New Roman"/>
                <w:color w:val="auto"/>
                <w:spacing w:val="0"/>
                <w:w w:val="100"/>
                <w:position w:val="0"/>
                <w:highlight w:val="none"/>
                <w:lang w:val="en-US" w:eastAsia="zh-CN"/>
              </w:rPr>
              <w:t>7</w:t>
            </w:r>
            <w:r>
              <w:rPr>
                <w:rFonts w:hint="default" w:ascii="Times New Roman" w:hAnsi="Times New Roman" w:eastAsia="宋体" w:cs="Times New Roman"/>
                <w:color w:val="auto"/>
                <w:spacing w:val="0"/>
                <w:w w:val="100"/>
                <w:position w:val="0"/>
                <w:highlight w:val="none"/>
              </w:rPr>
              <w:t xml:space="preserve">   本项目主要原辅材料及能源消耗表</w:t>
            </w:r>
          </w:p>
          <w:tbl>
            <w:tblPr>
              <w:tblStyle w:val="38"/>
              <w:tblW w:w="494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242"/>
              <w:gridCol w:w="1665"/>
              <w:gridCol w:w="1402"/>
              <w:gridCol w:w="1308"/>
              <w:gridCol w:w="1611"/>
            </w:tblGrid>
            <w:tr w14:paraId="0A3FF0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5" w:type="dxa"/>
                  <w:tcBorders>
                    <w:top w:val="single" w:color="auto" w:sz="12" w:space="0"/>
                    <w:bottom w:val="single" w:color="auto" w:sz="12" w:space="0"/>
                  </w:tcBorders>
                  <w:noWrap w:val="0"/>
                  <w:vAlign w:val="center"/>
                </w:tcPr>
                <w:p w14:paraId="7DA67347">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b/>
                      <w:color w:val="auto"/>
                      <w:spacing w:val="0"/>
                      <w:w w:val="100"/>
                      <w:position w:val="0"/>
                      <w:highlight w:val="none"/>
                    </w:rPr>
                  </w:pPr>
                  <w:r>
                    <w:rPr>
                      <w:rFonts w:hint="default" w:ascii="Times New Roman" w:hAnsi="Times New Roman" w:eastAsia="宋体" w:cs="Times New Roman"/>
                      <w:b/>
                      <w:color w:val="auto"/>
                      <w:spacing w:val="0"/>
                      <w:w w:val="100"/>
                      <w:position w:val="0"/>
                      <w:highlight w:val="none"/>
                    </w:rPr>
                    <w:t>序号</w:t>
                  </w:r>
                </w:p>
              </w:tc>
              <w:tc>
                <w:tcPr>
                  <w:tcW w:w="1242" w:type="dxa"/>
                  <w:tcBorders>
                    <w:top w:val="single" w:color="auto" w:sz="12" w:space="0"/>
                    <w:bottom w:val="single" w:color="auto" w:sz="12" w:space="0"/>
                  </w:tcBorders>
                  <w:noWrap w:val="0"/>
                  <w:vAlign w:val="center"/>
                </w:tcPr>
                <w:p w14:paraId="50773EB5">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b/>
                      <w:color w:val="auto"/>
                      <w:spacing w:val="0"/>
                      <w:w w:val="100"/>
                      <w:position w:val="0"/>
                      <w:sz w:val="21"/>
                      <w:szCs w:val="21"/>
                      <w:highlight w:val="none"/>
                      <w:lang w:val="en-US" w:eastAsia="zh-CN"/>
                    </w:rPr>
                  </w:pPr>
                  <w:r>
                    <w:rPr>
                      <w:rFonts w:hint="default" w:ascii="Times New Roman" w:hAnsi="Times New Roman" w:eastAsia="宋体" w:cs="Times New Roman"/>
                      <w:b/>
                      <w:color w:val="auto"/>
                      <w:spacing w:val="0"/>
                      <w:w w:val="100"/>
                      <w:position w:val="0"/>
                      <w:sz w:val="21"/>
                      <w:szCs w:val="21"/>
                      <w:highlight w:val="none"/>
                      <w:lang w:val="en-US" w:eastAsia="zh-CN"/>
                    </w:rPr>
                    <w:t>产品</w:t>
                  </w:r>
                </w:p>
              </w:tc>
              <w:tc>
                <w:tcPr>
                  <w:tcW w:w="1665" w:type="dxa"/>
                  <w:tcBorders>
                    <w:top w:val="single" w:color="auto" w:sz="12" w:space="0"/>
                    <w:bottom w:val="single" w:color="auto" w:sz="12" w:space="0"/>
                  </w:tcBorders>
                  <w:noWrap w:val="0"/>
                  <w:vAlign w:val="center"/>
                </w:tcPr>
                <w:p w14:paraId="6C9258AC">
                  <w:pPr>
                    <w:pStyle w:val="53"/>
                    <w:keepNext w:val="0"/>
                    <w:keepLines w:val="0"/>
                    <w:pageBreakBefore w:val="0"/>
                    <w:kinsoku/>
                    <w:overflowPunct/>
                    <w:topLinePunct w:val="0"/>
                    <w:bidi w:val="0"/>
                    <w:spacing w:beforeAutospacing="0" w:afterAutospacing="0"/>
                    <w:ind w:left="0" w:leftChars="0" w:right="0" w:rightChars="0"/>
                    <w:rPr>
                      <w:rFonts w:hint="default" w:ascii="Times New Roman" w:hAnsi="Times New Roman" w:eastAsia="宋体" w:cs="Times New Roman"/>
                      <w:b/>
                      <w:color w:val="auto"/>
                      <w:spacing w:val="0"/>
                      <w:w w:val="100"/>
                      <w:position w:val="0"/>
                      <w:sz w:val="21"/>
                      <w:szCs w:val="21"/>
                      <w:highlight w:val="none"/>
                    </w:rPr>
                  </w:pPr>
                  <w:r>
                    <w:rPr>
                      <w:rFonts w:hint="default" w:ascii="Times New Roman" w:hAnsi="Times New Roman" w:eastAsia="宋体" w:cs="Times New Roman"/>
                      <w:b/>
                      <w:color w:val="auto"/>
                      <w:spacing w:val="0"/>
                      <w:w w:val="100"/>
                      <w:position w:val="0"/>
                      <w:sz w:val="21"/>
                      <w:szCs w:val="21"/>
                      <w:highlight w:val="none"/>
                    </w:rPr>
                    <w:t>名称</w:t>
                  </w:r>
                </w:p>
              </w:tc>
              <w:tc>
                <w:tcPr>
                  <w:tcW w:w="1402" w:type="dxa"/>
                  <w:tcBorders>
                    <w:top w:val="single" w:color="auto" w:sz="12" w:space="0"/>
                    <w:bottom w:val="single" w:color="auto" w:sz="12" w:space="0"/>
                  </w:tcBorders>
                  <w:noWrap w:val="0"/>
                  <w:vAlign w:val="center"/>
                </w:tcPr>
                <w:p w14:paraId="68371913">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b/>
                      <w:color w:val="auto"/>
                      <w:spacing w:val="0"/>
                      <w:w w:val="100"/>
                      <w:position w:val="0"/>
                      <w:sz w:val="21"/>
                      <w:szCs w:val="21"/>
                      <w:highlight w:val="none"/>
                    </w:rPr>
                  </w:pPr>
                  <w:r>
                    <w:rPr>
                      <w:rFonts w:hint="default" w:ascii="Times New Roman" w:hAnsi="Times New Roman" w:eastAsia="宋体" w:cs="Times New Roman"/>
                      <w:b/>
                      <w:color w:val="auto"/>
                      <w:spacing w:val="0"/>
                      <w:w w:val="100"/>
                      <w:position w:val="0"/>
                      <w:sz w:val="21"/>
                      <w:szCs w:val="21"/>
                      <w:highlight w:val="none"/>
                    </w:rPr>
                    <w:t>单位</w:t>
                  </w:r>
                </w:p>
              </w:tc>
              <w:tc>
                <w:tcPr>
                  <w:tcW w:w="1308" w:type="dxa"/>
                  <w:tcBorders>
                    <w:top w:val="single" w:color="auto" w:sz="12" w:space="0"/>
                    <w:bottom w:val="single" w:color="auto" w:sz="12" w:space="0"/>
                  </w:tcBorders>
                  <w:noWrap w:val="0"/>
                  <w:vAlign w:val="center"/>
                </w:tcPr>
                <w:p w14:paraId="24CED702">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b/>
                      <w:color w:val="auto"/>
                      <w:spacing w:val="0"/>
                      <w:w w:val="100"/>
                      <w:position w:val="0"/>
                      <w:sz w:val="21"/>
                      <w:szCs w:val="21"/>
                      <w:highlight w:val="none"/>
                    </w:rPr>
                  </w:pPr>
                  <w:r>
                    <w:rPr>
                      <w:rFonts w:hint="default" w:ascii="Times New Roman" w:hAnsi="Times New Roman" w:eastAsia="宋体" w:cs="Times New Roman"/>
                      <w:b/>
                      <w:color w:val="auto"/>
                      <w:spacing w:val="0"/>
                      <w:w w:val="100"/>
                      <w:position w:val="0"/>
                      <w:sz w:val="21"/>
                      <w:szCs w:val="21"/>
                      <w:highlight w:val="none"/>
                    </w:rPr>
                    <w:t>消耗总量</w:t>
                  </w:r>
                </w:p>
              </w:tc>
              <w:tc>
                <w:tcPr>
                  <w:tcW w:w="1611" w:type="dxa"/>
                  <w:tcBorders>
                    <w:top w:val="single" w:color="auto" w:sz="12" w:space="0"/>
                    <w:bottom w:val="single" w:color="auto" w:sz="12" w:space="0"/>
                  </w:tcBorders>
                  <w:noWrap w:val="0"/>
                  <w:vAlign w:val="center"/>
                </w:tcPr>
                <w:p w14:paraId="56E2AE9E">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b/>
                      <w:color w:val="auto"/>
                      <w:spacing w:val="0"/>
                      <w:w w:val="100"/>
                      <w:position w:val="0"/>
                      <w:sz w:val="21"/>
                      <w:szCs w:val="21"/>
                      <w:highlight w:val="none"/>
                      <w:lang w:val="en-US" w:eastAsia="zh-CN"/>
                    </w:rPr>
                  </w:pPr>
                  <w:r>
                    <w:rPr>
                      <w:rFonts w:hint="default" w:ascii="Times New Roman" w:hAnsi="Times New Roman" w:eastAsia="宋体" w:cs="Times New Roman"/>
                      <w:b/>
                      <w:color w:val="auto"/>
                      <w:spacing w:val="0"/>
                      <w:w w:val="100"/>
                      <w:position w:val="0"/>
                      <w:sz w:val="21"/>
                      <w:szCs w:val="21"/>
                      <w:highlight w:val="none"/>
                      <w:lang w:val="en-US" w:eastAsia="zh-CN"/>
                    </w:rPr>
                    <w:t>来源</w:t>
                  </w:r>
                </w:p>
              </w:tc>
            </w:tr>
            <w:tr w14:paraId="3598E4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5" w:type="dxa"/>
                  <w:noWrap w:val="0"/>
                  <w:vAlign w:val="center"/>
                </w:tcPr>
                <w:p w14:paraId="6D9094A3">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rPr>
                  </w:pPr>
                  <w:r>
                    <w:rPr>
                      <w:rFonts w:hint="default" w:ascii="Times New Roman" w:hAnsi="Times New Roman" w:eastAsia="宋体" w:cs="Times New Roman"/>
                      <w:color w:val="auto"/>
                      <w:spacing w:val="0"/>
                      <w:w w:val="100"/>
                      <w:position w:val="0"/>
                      <w:highlight w:val="none"/>
                    </w:rPr>
                    <w:t>1</w:t>
                  </w:r>
                </w:p>
              </w:tc>
              <w:tc>
                <w:tcPr>
                  <w:tcW w:w="1242" w:type="dxa"/>
                  <w:noWrap w:val="0"/>
                  <w:vAlign w:val="center"/>
                </w:tcPr>
                <w:p w14:paraId="2C81A0D7">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lang w:val="en-US" w:eastAsia="zh-CN"/>
                    </w:rPr>
                    <w:t>砂石料</w:t>
                  </w:r>
                </w:p>
              </w:tc>
              <w:tc>
                <w:tcPr>
                  <w:tcW w:w="1665" w:type="dxa"/>
                  <w:noWrap w:val="0"/>
                  <w:vAlign w:val="center"/>
                </w:tcPr>
                <w:p w14:paraId="45E197FC">
                  <w:pPr>
                    <w:pStyle w:val="53"/>
                    <w:keepNext w:val="0"/>
                    <w:keepLines w:val="0"/>
                    <w:pageBreakBefore w:val="0"/>
                    <w:kinsoku/>
                    <w:overflowPunct/>
                    <w:topLinePunct w:val="0"/>
                    <w:bidi w:val="0"/>
                    <w:spacing w:beforeAutospacing="0" w:afterAutospacing="0"/>
                    <w:ind w:left="0" w:leftChars="0" w:right="0" w:rightChars="0"/>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lang w:val="en-US" w:eastAsia="zh-CN"/>
                    </w:rPr>
                    <w:t>砂石料原矿</w:t>
                  </w:r>
                </w:p>
              </w:tc>
              <w:tc>
                <w:tcPr>
                  <w:tcW w:w="1402" w:type="dxa"/>
                  <w:noWrap w:val="0"/>
                  <w:vAlign w:val="center"/>
                </w:tcPr>
                <w:p w14:paraId="7FBE3FF9">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sz w:val="21"/>
                      <w:szCs w:val="21"/>
                      <w:highlight w:val="none"/>
                      <w:lang w:val="en-US"/>
                    </w:rPr>
                  </w:pPr>
                  <w:r>
                    <w:rPr>
                      <w:rFonts w:hint="default" w:ascii="Times New Roman" w:hAnsi="Times New Roman" w:eastAsia="宋体" w:cs="Times New Roman"/>
                      <w:color w:val="auto"/>
                      <w:spacing w:val="0"/>
                      <w:w w:val="100"/>
                      <w:position w:val="0"/>
                      <w:sz w:val="21"/>
                      <w:szCs w:val="21"/>
                      <w:highlight w:val="none"/>
                      <w:lang w:val="en-US" w:eastAsia="zh-CN"/>
                    </w:rPr>
                    <w:t>t/a</w:t>
                  </w:r>
                </w:p>
              </w:tc>
              <w:tc>
                <w:tcPr>
                  <w:tcW w:w="1308" w:type="dxa"/>
                  <w:noWrap w:val="0"/>
                  <w:vAlign w:val="center"/>
                </w:tcPr>
                <w:p w14:paraId="44FDB2E3">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lang w:val="en-US" w:eastAsia="zh-CN"/>
                    </w:rPr>
                    <w:t>70万</w:t>
                  </w:r>
                </w:p>
              </w:tc>
              <w:tc>
                <w:tcPr>
                  <w:tcW w:w="1611" w:type="dxa"/>
                  <w:noWrap w:val="0"/>
                  <w:vAlign w:val="center"/>
                </w:tcPr>
                <w:p w14:paraId="70849179">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lang w:val="en-US" w:eastAsia="zh-CN"/>
                    </w:rPr>
                    <w:t>开采</w:t>
                  </w:r>
                </w:p>
              </w:tc>
            </w:tr>
            <w:tr w14:paraId="4CEDBA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5" w:type="dxa"/>
                  <w:noWrap w:val="0"/>
                  <w:vAlign w:val="center"/>
                </w:tcPr>
                <w:p w14:paraId="00369CA6">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lang w:val="en-US" w:eastAsia="zh-CN"/>
                    </w:rPr>
                  </w:pPr>
                  <w:r>
                    <w:rPr>
                      <w:rFonts w:hint="default" w:ascii="Times New Roman" w:hAnsi="Times New Roman" w:eastAsia="宋体" w:cs="Times New Roman"/>
                      <w:color w:val="auto"/>
                      <w:spacing w:val="0"/>
                      <w:w w:val="100"/>
                      <w:position w:val="0"/>
                      <w:highlight w:val="none"/>
                      <w:lang w:val="en-US" w:eastAsia="zh-CN"/>
                    </w:rPr>
                    <w:t>2</w:t>
                  </w:r>
                </w:p>
              </w:tc>
              <w:tc>
                <w:tcPr>
                  <w:tcW w:w="1242" w:type="dxa"/>
                  <w:vMerge w:val="restart"/>
                  <w:noWrap w:val="0"/>
                  <w:vAlign w:val="center"/>
                </w:tcPr>
                <w:p w14:paraId="0484A76B">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lang w:val="en-US" w:eastAsia="zh-CN"/>
                    </w:rPr>
                    <w:t>水稳料</w:t>
                  </w:r>
                </w:p>
              </w:tc>
              <w:tc>
                <w:tcPr>
                  <w:tcW w:w="1665" w:type="dxa"/>
                  <w:noWrap w:val="0"/>
                  <w:vAlign w:val="center"/>
                </w:tcPr>
                <w:p w14:paraId="302D86E3">
                  <w:pPr>
                    <w:widowControl/>
                    <w:jc w:val="center"/>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水泥</w:t>
                  </w:r>
                </w:p>
              </w:tc>
              <w:tc>
                <w:tcPr>
                  <w:tcW w:w="1402" w:type="dxa"/>
                  <w:noWrap w:val="0"/>
                  <w:vAlign w:val="center"/>
                </w:tcPr>
                <w:p w14:paraId="22B98D53">
                  <w:pPr>
                    <w:keepNext w:val="0"/>
                    <w:keepLines w:val="0"/>
                    <w:pageBreakBefore w:val="0"/>
                    <w:kinsoku/>
                    <w:overflowPunct/>
                    <w:topLinePunct w:val="0"/>
                    <w:bidi w:val="0"/>
                    <w:spacing w:beforeAutospacing="0" w:afterAutospacing="0"/>
                    <w:ind w:left="0" w:leftChars="0" w:right="0"/>
                    <w:jc w:val="center"/>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lang w:val="en-US" w:eastAsia="zh-CN"/>
                    </w:rPr>
                    <w:t>t/a</w:t>
                  </w:r>
                </w:p>
              </w:tc>
              <w:tc>
                <w:tcPr>
                  <w:tcW w:w="1308" w:type="dxa"/>
                  <w:noWrap w:val="0"/>
                  <w:vAlign w:val="center"/>
                </w:tcPr>
                <w:p w14:paraId="634AEE29">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lang w:val="en-US" w:eastAsia="zh-CN"/>
                    </w:rPr>
                    <w:t>4万</w:t>
                  </w:r>
                </w:p>
              </w:tc>
              <w:tc>
                <w:tcPr>
                  <w:tcW w:w="1611" w:type="dxa"/>
                  <w:noWrap w:val="0"/>
                  <w:vAlign w:val="center"/>
                </w:tcPr>
                <w:p w14:paraId="3254E328">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lang w:val="en-US" w:eastAsia="zh-CN"/>
                    </w:rPr>
                    <w:t>外购</w:t>
                  </w:r>
                </w:p>
              </w:tc>
            </w:tr>
            <w:tr w14:paraId="3D929F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5" w:type="dxa"/>
                  <w:noWrap w:val="0"/>
                  <w:vAlign w:val="center"/>
                </w:tcPr>
                <w:p w14:paraId="30185626">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lang w:val="en-US" w:eastAsia="zh-CN"/>
                    </w:rPr>
                  </w:pPr>
                  <w:r>
                    <w:rPr>
                      <w:rFonts w:hint="default" w:ascii="Times New Roman" w:hAnsi="Times New Roman" w:eastAsia="宋体" w:cs="Times New Roman"/>
                      <w:color w:val="auto"/>
                      <w:spacing w:val="0"/>
                      <w:w w:val="100"/>
                      <w:position w:val="0"/>
                      <w:highlight w:val="none"/>
                      <w:lang w:val="en-US" w:eastAsia="zh-CN"/>
                    </w:rPr>
                    <w:t>3</w:t>
                  </w:r>
                </w:p>
              </w:tc>
              <w:tc>
                <w:tcPr>
                  <w:tcW w:w="1242" w:type="dxa"/>
                  <w:vMerge w:val="continue"/>
                  <w:noWrap w:val="0"/>
                  <w:vAlign w:val="center"/>
                </w:tcPr>
                <w:p w14:paraId="0AC5E7FD">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sz w:val="21"/>
                      <w:szCs w:val="21"/>
                      <w:highlight w:val="none"/>
                      <w:lang w:val="en-US" w:eastAsia="zh-CN"/>
                    </w:rPr>
                  </w:pPr>
                </w:p>
              </w:tc>
              <w:tc>
                <w:tcPr>
                  <w:tcW w:w="1665" w:type="dxa"/>
                  <w:noWrap w:val="0"/>
                  <w:vAlign w:val="center"/>
                </w:tcPr>
                <w:p w14:paraId="79BE28A1">
                  <w:pPr>
                    <w:widowControl/>
                    <w:jc w:val="center"/>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石子</w:t>
                  </w:r>
                </w:p>
              </w:tc>
              <w:tc>
                <w:tcPr>
                  <w:tcW w:w="1402" w:type="dxa"/>
                  <w:noWrap w:val="0"/>
                  <w:vAlign w:val="center"/>
                </w:tcPr>
                <w:p w14:paraId="23031F47">
                  <w:pPr>
                    <w:keepNext w:val="0"/>
                    <w:keepLines w:val="0"/>
                    <w:pageBreakBefore w:val="0"/>
                    <w:kinsoku/>
                    <w:overflowPunct/>
                    <w:topLinePunct w:val="0"/>
                    <w:bidi w:val="0"/>
                    <w:spacing w:beforeAutospacing="0" w:afterAutospacing="0"/>
                    <w:ind w:left="0" w:leftChars="0" w:right="0"/>
                    <w:jc w:val="center"/>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lang w:val="en-US" w:eastAsia="zh-CN"/>
                    </w:rPr>
                    <w:t>t/a</w:t>
                  </w:r>
                </w:p>
              </w:tc>
              <w:tc>
                <w:tcPr>
                  <w:tcW w:w="1308" w:type="dxa"/>
                  <w:noWrap w:val="0"/>
                  <w:vAlign w:val="center"/>
                </w:tcPr>
                <w:p w14:paraId="0826A238">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lang w:val="en-US" w:eastAsia="zh-CN"/>
                    </w:rPr>
                    <w:t>12.85万</w:t>
                  </w:r>
                </w:p>
              </w:tc>
              <w:tc>
                <w:tcPr>
                  <w:tcW w:w="1611" w:type="dxa"/>
                  <w:noWrap w:val="0"/>
                  <w:vAlign w:val="center"/>
                </w:tcPr>
                <w:p w14:paraId="7C779D24">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lang w:val="en-US" w:eastAsia="zh-CN"/>
                    </w:rPr>
                    <w:t>自产</w:t>
                  </w:r>
                </w:p>
              </w:tc>
            </w:tr>
            <w:tr w14:paraId="6409E2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5" w:type="dxa"/>
                  <w:noWrap w:val="0"/>
                  <w:vAlign w:val="center"/>
                </w:tcPr>
                <w:p w14:paraId="777964E1">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lang w:val="en-US" w:eastAsia="zh-CN"/>
                    </w:rPr>
                  </w:pPr>
                  <w:r>
                    <w:rPr>
                      <w:rFonts w:hint="default" w:ascii="Times New Roman" w:hAnsi="Times New Roman" w:eastAsia="宋体" w:cs="Times New Roman"/>
                      <w:color w:val="auto"/>
                      <w:spacing w:val="0"/>
                      <w:w w:val="100"/>
                      <w:position w:val="0"/>
                      <w:highlight w:val="none"/>
                      <w:lang w:val="en-US" w:eastAsia="zh-CN"/>
                    </w:rPr>
                    <w:t>4</w:t>
                  </w:r>
                </w:p>
              </w:tc>
              <w:tc>
                <w:tcPr>
                  <w:tcW w:w="1242" w:type="dxa"/>
                  <w:vMerge w:val="continue"/>
                  <w:noWrap w:val="0"/>
                  <w:vAlign w:val="center"/>
                </w:tcPr>
                <w:p w14:paraId="17CD19F1">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sz w:val="21"/>
                      <w:szCs w:val="21"/>
                      <w:highlight w:val="none"/>
                      <w:lang w:val="en-US" w:eastAsia="zh-CN"/>
                    </w:rPr>
                  </w:pPr>
                </w:p>
              </w:tc>
              <w:tc>
                <w:tcPr>
                  <w:tcW w:w="1665" w:type="dxa"/>
                  <w:noWrap w:val="0"/>
                  <w:vAlign w:val="center"/>
                </w:tcPr>
                <w:p w14:paraId="1F2289F3">
                  <w:pPr>
                    <w:widowControl/>
                    <w:jc w:val="center"/>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白糖</w:t>
                  </w:r>
                </w:p>
              </w:tc>
              <w:tc>
                <w:tcPr>
                  <w:tcW w:w="1402" w:type="dxa"/>
                  <w:noWrap w:val="0"/>
                  <w:vAlign w:val="center"/>
                </w:tcPr>
                <w:p w14:paraId="50964943">
                  <w:pPr>
                    <w:keepNext w:val="0"/>
                    <w:keepLines w:val="0"/>
                    <w:pageBreakBefore w:val="0"/>
                    <w:kinsoku/>
                    <w:overflowPunct/>
                    <w:topLinePunct w:val="0"/>
                    <w:bidi w:val="0"/>
                    <w:spacing w:beforeAutospacing="0" w:afterAutospacing="0"/>
                    <w:ind w:left="0" w:leftChars="0" w:right="0"/>
                    <w:jc w:val="center"/>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lang w:val="en-US" w:eastAsia="zh-CN"/>
                    </w:rPr>
                    <w:t>t/a</w:t>
                  </w:r>
                </w:p>
              </w:tc>
              <w:tc>
                <w:tcPr>
                  <w:tcW w:w="1308" w:type="dxa"/>
                  <w:noWrap w:val="0"/>
                  <w:vAlign w:val="center"/>
                </w:tcPr>
                <w:p w14:paraId="3E5F61B5">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lang w:val="en-US" w:eastAsia="zh-CN"/>
                    </w:rPr>
                    <w:t>1.25万</w:t>
                  </w:r>
                </w:p>
              </w:tc>
              <w:tc>
                <w:tcPr>
                  <w:tcW w:w="1611" w:type="dxa"/>
                  <w:shd w:val="clear" w:color="auto" w:fill="auto"/>
                  <w:noWrap w:val="0"/>
                  <w:vAlign w:val="center"/>
                </w:tcPr>
                <w:p w14:paraId="44EA754D">
                  <w:pPr>
                    <w:pStyle w:val="53"/>
                    <w:keepNext w:val="0"/>
                    <w:keepLines w:val="0"/>
                    <w:pageBreakBefore w:val="0"/>
                    <w:kinsoku/>
                    <w:overflowPunct/>
                    <w:topLinePunct w:val="0"/>
                    <w:bidi w:val="0"/>
                    <w:spacing w:beforeAutospacing="0" w:afterAutospacing="0"/>
                    <w:ind w:left="0" w:leftChars="0" w:right="0" w:rightChars="0"/>
                    <w:rPr>
                      <w:rFonts w:hint="default" w:ascii="Times New Roman" w:hAnsi="Times New Roman" w:eastAsia="宋体" w:cs="Times New Roman"/>
                      <w:color w:val="auto"/>
                      <w:spacing w:val="0"/>
                      <w:w w:val="100"/>
                      <w:kern w:val="2"/>
                      <w:position w:val="0"/>
                      <w:sz w:val="21"/>
                      <w:szCs w:val="21"/>
                      <w:highlight w:val="none"/>
                      <w:lang w:val="en-US" w:eastAsia="zh-CN" w:bidi="ar-SA"/>
                    </w:rPr>
                  </w:pPr>
                  <w:r>
                    <w:rPr>
                      <w:rFonts w:hint="default" w:ascii="Times New Roman" w:hAnsi="Times New Roman" w:eastAsia="宋体" w:cs="Times New Roman"/>
                      <w:color w:val="auto"/>
                      <w:spacing w:val="0"/>
                      <w:w w:val="100"/>
                      <w:position w:val="0"/>
                      <w:sz w:val="21"/>
                      <w:szCs w:val="21"/>
                      <w:highlight w:val="none"/>
                      <w:lang w:val="en-US" w:eastAsia="zh-CN"/>
                    </w:rPr>
                    <w:t>外购</w:t>
                  </w:r>
                </w:p>
              </w:tc>
            </w:tr>
            <w:tr w14:paraId="332A2D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5" w:type="dxa"/>
                  <w:noWrap w:val="0"/>
                  <w:vAlign w:val="center"/>
                </w:tcPr>
                <w:p w14:paraId="6BD182BA">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lang w:val="en-US" w:eastAsia="zh-CN"/>
                    </w:rPr>
                  </w:pPr>
                  <w:r>
                    <w:rPr>
                      <w:rFonts w:hint="default" w:ascii="Times New Roman" w:hAnsi="Times New Roman" w:eastAsia="宋体" w:cs="Times New Roman"/>
                      <w:color w:val="auto"/>
                      <w:spacing w:val="0"/>
                      <w:w w:val="100"/>
                      <w:position w:val="0"/>
                      <w:highlight w:val="none"/>
                      <w:lang w:val="en-US" w:eastAsia="zh-CN"/>
                    </w:rPr>
                    <w:t>5</w:t>
                  </w:r>
                </w:p>
              </w:tc>
              <w:tc>
                <w:tcPr>
                  <w:tcW w:w="1242" w:type="dxa"/>
                  <w:vMerge w:val="continue"/>
                  <w:noWrap w:val="0"/>
                  <w:vAlign w:val="center"/>
                </w:tcPr>
                <w:p w14:paraId="01FB5787">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sz w:val="21"/>
                      <w:szCs w:val="21"/>
                      <w:highlight w:val="none"/>
                      <w:lang w:val="en-US" w:eastAsia="zh-CN"/>
                    </w:rPr>
                  </w:pPr>
                </w:p>
              </w:tc>
              <w:tc>
                <w:tcPr>
                  <w:tcW w:w="1665" w:type="dxa"/>
                  <w:noWrap w:val="0"/>
                  <w:vAlign w:val="center"/>
                </w:tcPr>
                <w:p w14:paraId="4AA966AC">
                  <w:pPr>
                    <w:widowControl/>
                    <w:jc w:val="center"/>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砂子</w:t>
                  </w:r>
                </w:p>
              </w:tc>
              <w:tc>
                <w:tcPr>
                  <w:tcW w:w="1402" w:type="dxa"/>
                  <w:noWrap w:val="0"/>
                  <w:vAlign w:val="center"/>
                </w:tcPr>
                <w:p w14:paraId="163A4026">
                  <w:pPr>
                    <w:keepNext w:val="0"/>
                    <w:keepLines w:val="0"/>
                    <w:pageBreakBefore w:val="0"/>
                    <w:kinsoku/>
                    <w:overflowPunct/>
                    <w:topLinePunct w:val="0"/>
                    <w:bidi w:val="0"/>
                    <w:spacing w:beforeAutospacing="0" w:afterAutospacing="0"/>
                    <w:ind w:left="0" w:leftChars="0" w:right="0"/>
                    <w:jc w:val="center"/>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lang w:val="en-US" w:eastAsia="zh-CN"/>
                    </w:rPr>
                    <w:t>t/a</w:t>
                  </w:r>
                </w:p>
              </w:tc>
              <w:tc>
                <w:tcPr>
                  <w:tcW w:w="1308" w:type="dxa"/>
                  <w:noWrap w:val="0"/>
                  <w:vAlign w:val="center"/>
                </w:tcPr>
                <w:p w14:paraId="49304AC6">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lang w:val="en-US" w:eastAsia="zh-CN"/>
                    </w:rPr>
                    <w:t>10.32万</w:t>
                  </w:r>
                </w:p>
              </w:tc>
              <w:tc>
                <w:tcPr>
                  <w:tcW w:w="1611" w:type="dxa"/>
                  <w:shd w:val="clear" w:color="auto" w:fill="auto"/>
                  <w:noWrap w:val="0"/>
                  <w:vAlign w:val="center"/>
                </w:tcPr>
                <w:p w14:paraId="73FE273B">
                  <w:pPr>
                    <w:pStyle w:val="53"/>
                    <w:keepNext w:val="0"/>
                    <w:keepLines w:val="0"/>
                    <w:pageBreakBefore w:val="0"/>
                    <w:kinsoku/>
                    <w:overflowPunct/>
                    <w:topLinePunct w:val="0"/>
                    <w:bidi w:val="0"/>
                    <w:spacing w:beforeAutospacing="0" w:afterAutospacing="0"/>
                    <w:ind w:left="0" w:leftChars="0" w:right="0" w:rightChars="0"/>
                    <w:rPr>
                      <w:rFonts w:hint="default" w:ascii="Times New Roman" w:hAnsi="Times New Roman" w:eastAsia="宋体" w:cs="Times New Roman"/>
                      <w:color w:val="auto"/>
                      <w:spacing w:val="0"/>
                      <w:w w:val="100"/>
                      <w:kern w:val="2"/>
                      <w:position w:val="0"/>
                      <w:sz w:val="21"/>
                      <w:szCs w:val="21"/>
                      <w:highlight w:val="none"/>
                      <w:lang w:val="en-US" w:eastAsia="zh-CN" w:bidi="ar-SA"/>
                    </w:rPr>
                  </w:pPr>
                  <w:r>
                    <w:rPr>
                      <w:rFonts w:hint="eastAsia" w:ascii="Times New Roman" w:hAnsi="Times New Roman" w:eastAsia="宋体" w:cs="Times New Roman"/>
                      <w:color w:val="auto"/>
                      <w:spacing w:val="0"/>
                      <w:w w:val="100"/>
                      <w:kern w:val="2"/>
                      <w:position w:val="0"/>
                      <w:sz w:val="21"/>
                      <w:szCs w:val="21"/>
                      <w:highlight w:val="none"/>
                      <w:lang w:val="en-US" w:eastAsia="zh-CN" w:bidi="ar-SA"/>
                    </w:rPr>
                    <w:t>自产</w:t>
                  </w:r>
                </w:p>
              </w:tc>
            </w:tr>
            <w:tr w14:paraId="2F5322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5" w:type="dxa"/>
                  <w:noWrap w:val="0"/>
                  <w:vAlign w:val="center"/>
                </w:tcPr>
                <w:p w14:paraId="3206CE3F">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lang w:val="en-US" w:eastAsia="zh-CN"/>
                    </w:rPr>
                  </w:pPr>
                  <w:r>
                    <w:rPr>
                      <w:rFonts w:hint="default" w:ascii="Times New Roman" w:hAnsi="Times New Roman" w:eastAsia="宋体" w:cs="Times New Roman"/>
                      <w:color w:val="auto"/>
                      <w:spacing w:val="0"/>
                      <w:w w:val="100"/>
                      <w:position w:val="0"/>
                      <w:highlight w:val="none"/>
                      <w:lang w:val="en-US" w:eastAsia="zh-CN"/>
                    </w:rPr>
                    <w:t>6</w:t>
                  </w:r>
                </w:p>
              </w:tc>
              <w:tc>
                <w:tcPr>
                  <w:tcW w:w="1242" w:type="dxa"/>
                  <w:vMerge w:val="continue"/>
                  <w:noWrap w:val="0"/>
                  <w:vAlign w:val="center"/>
                </w:tcPr>
                <w:p w14:paraId="24EF0383">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sz w:val="21"/>
                      <w:szCs w:val="21"/>
                      <w:highlight w:val="none"/>
                      <w:lang w:val="en-US" w:eastAsia="zh-CN"/>
                    </w:rPr>
                  </w:pPr>
                </w:p>
              </w:tc>
              <w:tc>
                <w:tcPr>
                  <w:tcW w:w="1665" w:type="dxa"/>
                  <w:noWrap w:val="0"/>
                  <w:vAlign w:val="center"/>
                </w:tcPr>
                <w:p w14:paraId="451A4268">
                  <w:pPr>
                    <w:widowControl/>
                    <w:jc w:val="center"/>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粉煤灰</w:t>
                  </w:r>
                </w:p>
              </w:tc>
              <w:tc>
                <w:tcPr>
                  <w:tcW w:w="1402" w:type="dxa"/>
                  <w:noWrap w:val="0"/>
                  <w:vAlign w:val="center"/>
                </w:tcPr>
                <w:p w14:paraId="5DFF0ADF">
                  <w:pPr>
                    <w:keepNext w:val="0"/>
                    <w:keepLines w:val="0"/>
                    <w:pageBreakBefore w:val="0"/>
                    <w:kinsoku/>
                    <w:overflowPunct/>
                    <w:topLinePunct w:val="0"/>
                    <w:bidi w:val="0"/>
                    <w:spacing w:beforeAutospacing="0" w:afterAutospacing="0"/>
                    <w:ind w:left="0" w:leftChars="0" w:right="0"/>
                    <w:jc w:val="center"/>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lang w:val="en-US" w:eastAsia="zh-CN"/>
                    </w:rPr>
                    <w:t>t/a</w:t>
                  </w:r>
                </w:p>
              </w:tc>
              <w:tc>
                <w:tcPr>
                  <w:tcW w:w="1308" w:type="dxa"/>
                  <w:noWrap w:val="0"/>
                  <w:vAlign w:val="center"/>
                </w:tcPr>
                <w:p w14:paraId="6205AA9F">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lang w:val="en-US" w:eastAsia="zh-CN"/>
                    </w:rPr>
                    <w:t>0.62万</w:t>
                  </w:r>
                </w:p>
              </w:tc>
              <w:tc>
                <w:tcPr>
                  <w:tcW w:w="1611" w:type="dxa"/>
                  <w:noWrap w:val="0"/>
                  <w:vAlign w:val="center"/>
                </w:tcPr>
                <w:p w14:paraId="1244E3B6">
                  <w:pPr>
                    <w:pStyle w:val="53"/>
                    <w:keepNext w:val="0"/>
                    <w:keepLines w:val="0"/>
                    <w:pageBreakBefore w:val="0"/>
                    <w:kinsoku/>
                    <w:overflowPunct/>
                    <w:topLinePunct w:val="0"/>
                    <w:bidi w:val="0"/>
                    <w:spacing w:beforeAutospacing="0" w:afterAutospacing="0"/>
                    <w:ind w:left="0" w:leftChars="0" w:right="0" w:rightChars="0"/>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lang w:val="en-US" w:eastAsia="zh-CN"/>
                    </w:rPr>
                    <w:t>外购</w:t>
                  </w:r>
                </w:p>
              </w:tc>
            </w:tr>
            <w:tr w14:paraId="24EFB3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5" w:type="dxa"/>
                  <w:noWrap w:val="0"/>
                  <w:vAlign w:val="center"/>
                </w:tcPr>
                <w:p w14:paraId="6AC939F3">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lang w:val="en-US" w:eastAsia="zh-CN"/>
                    </w:rPr>
                  </w:pPr>
                  <w:r>
                    <w:rPr>
                      <w:rFonts w:hint="default" w:ascii="Times New Roman" w:hAnsi="Times New Roman" w:eastAsia="宋体" w:cs="Times New Roman"/>
                      <w:color w:val="auto"/>
                      <w:spacing w:val="0"/>
                      <w:w w:val="100"/>
                      <w:position w:val="0"/>
                      <w:highlight w:val="none"/>
                      <w:lang w:val="en-US" w:eastAsia="zh-CN"/>
                    </w:rPr>
                    <w:t>7</w:t>
                  </w:r>
                </w:p>
              </w:tc>
              <w:tc>
                <w:tcPr>
                  <w:tcW w:w="1242" w:type="dxa"/>
                  <w:vMerge w:val="continue"/>
                  <w:noWrap w:val="0"/>
                  <w:vAlign w:val="center"/>
                </w:tcPr>
                <w:p w14:paraId="37FCE251">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sz w:val="21"/>
                      <w:szCs w:val="21"/>
                      <w:highlight w:val="none"/>
                      <w:lang w:val="en-US" w:eastAsia="zh-CN"/>
                    </w:rPr>
                  </w:pPr>
                </w:p>
              </w:tc>
              <w:tc>
                <w:tcPr>
                  <w:tcW w:w="1665" w:type="dxa"/>
                  <w:noWrap w:val="0"/>
                  <w:vAlign w:val="center"/>
                </w:tcPr>
                <w:p w14:paraId="7547CF43">
                  <w:pPr>
                    <w:widowControl/>
                    <w:jc w:val="center"/>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外加剂</w:t>
                  </w:r>
                </w:p>
              </w:tc>
              <w:tc>
                <w:tcPr>
                  <w:tcW w:w="1402" w:type="dxa"/>
                  <w:noWrap w:val="0"/>
                  <w:vAlign w:val="center"/>
                </w:tcPr>
                <w:p w14:paraId="52F7FFD2">
                  <w:pPr>
                    <w:keepNext w:val="0"/>
                    <w:keepLines w:val="0"/>
                    <w:pageBreakBefore w:val="0"/>
                    <w:kinsoku/>
                    <w:overflowPunct/>
                    <w:topLinePunct w:val="0"/>
                    <w:bidi w:val="0"/>
                    <w:spacing w:beforeAutospacing="0" w:afterAutospacing="0"/>
                    <w:ind w:left="0" w:leftChars="0" w:right="0"/>
                    <w:jc w:val="center"/>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lang w:val="en-US" w:eastAsia="zh-CN"/>
                    </w:rPr>
                    <w:t>t/a</w:t>
                  </w:r>
                </w:p>
              </w:tc>
              <w:tc>
                <w:tcPr>
                  <w:tcW w:w="1308" w:type="dxa"/>
                  <w:noWrap w:val="0"/>
                  <w:vAlign w:val="center"/>
                </w:tcPr>
                <w:p w14:paraId="48FEC865">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lang w:val="en-US" w:eastAsia="zh-CN"/>
                    </w:rPr>
                    <w:t>0.11万</w:t>
                  </w:r>
                </w:p>
              </w:tc>
              <w:tc>
                <w:tcPr>
                  <w:tcW w:w="1611" w:type="dxa"/>
                  <w:noWrap w:val="0"/>
                  <w:vAlign w:val="center"/>
                </w:tcPr>
                <w:p w14:paraId="3902C4C1">
                  <w:pPr>
                    <w:pStyle w:val="53"/>
                    <w:keepNext w:val="0"/>
                    <w:keepLines w:val="0"/>
                    <w:pageBreakBefore w:val="0"/>
                    <w:kinsoku/>
                    <w:overflowPunct/>
                    <w:topLinePunct w:val="0"/>
                    <w:bidi w:val="0"/>
                    <w:spacing w:beforeAutospacing="0" w:afterAutospacing="0"/>
                    <w:ind w:left="0" w:leftChars="0" w:right="0" w:rightChars="0"/>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lang w:val="en-US" w:eastAsia="zh-CN"/>
                    </w:rPr>
                    <w:t>外购</w:t>
                  </w:r>
                </w:p>
              </w:tc>
            </w:tr>
            <w:tr w14:paraId="7D25EA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65" w:type="dxa"/>
                  <w:noWrap w:val="0"/>
                  <w:vAlign w:val="center"/>
                </w:tcPr>
                <w:p w14:paraId="07E0DAB5">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highlight w:val="none"/>
                      <w:lang w:val="en-US" w:eastAsia="zh-CN"/>
                    </w:rPr>
                  </w:pPr>
                  <w:r>
                    <w:rPr>
                      <w:rFonts w:hint="default" w:ascii="Times New Roman" w:hAnsi="Times New Roman" w:eastAsia="宋体" w:cs="Times New Roman"/>
                      <w:color w:val="auto"/>
                      <w:spacing w:val="0"/>
                      <w:w w:val="100"/>
                      <w:position w:val="0"/>
                      <w:highlight w:val="none"/>
                      <w:lang w:val="en-US" w:eastAsia="zh-CN"/>
                    </w:rPr>
                    <w:t>8</w:t>
                  </w:r>
                </w:p>
              </w:tc>
              <w:tc>
                <w:tcPr>
                  <w:tcW w:w="1242" w:type="dxa"/>
                  <w:noWrap w:val="0"/>
                  <w:vAlign w:val="center"/>
                </w:tcPr>
                <w:p w14:paraId="0FC8706A">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lang w:val="en-US" w:eastAsia="zh-CN"/>
                    </w:rPr>
                    <w:t>/</w:t>
                  </w:r>
                </w:p>
              </w:tc>
              <w:tc>
                <w:tcPr>
                  <w:tcW w:w="1665" w:type="dxa"/>
                  <w:noWrap w:val="0"/>
                  <w:vAlign w:val="center"/>
                </w:tcPr>
                <w:p w14:paraId="220A2E3B">
                  <w:pPr>
                    <w:widowControl/>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lang w:val="en-US" w:eastAsia="zh-CN"/>
                    </w:rPr>
                    <w:t>水</w:t>
                  </w:r>
                </w:p>
              </w:tc>
              <w:tc>
                <w:tcPr>
                  <w:tcW w:w="1402" w:type="dxa"/>
                  <w:noWrap w:val="0"/>
                  <w:vAlign w:val="center"/>
                </w:tcPr>
                <w:p w14:paraId="113295B5">
                  <w:pPr>
                    <w:keepNext w:val="0"/>
                    <w:keepLines w:val="0"/>
                    <w:pageBreakBefore w:val="0"/>
                    <w:kinsoku/>
                    <w:overflowPunct/>
                    <w:topLinePunct w:val="0"/>
                    <w:bidi w:val="0"/>
                    <w:spacing w:beforeAutospacing="0" w:afterAutospacing="0"/>
                    <w:ind w:left="0" w:leftChars="0" w:right="0"/>
                    <w:jc w:val="center"/>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lang w:val="en-US" w:eastAsia="zh-CN"/>
                    </w:rPr>
                    <w:t>t/a</w:t>
                  </w:r>
                </w:p>
              </w:tc>
              <w:tc>
                <w:tcPr>
                  <w:tcW w:w="1308" w:type="dxa"/>
                  <w:noWrap w:val="0"/>
                  <w:vAlign w:val="center"/>
                </w:tcPr>
                <w:p w14:paraId="375A5BFD">
                  <w:pPr>
                    <w:pStyle w:val="53"/>
                    <w:keepNext w:val="0"/>
                    <w:keepLines w:val="0"/>
                    <w:pageBreakBefore w:val="0"/>
                    <w:kinsoku/>
                    <w:overflowPunct/>
                    <w:topLinePunct w:val="0"/>
                    <w:bidi w:val="0"/>
                    <w:spacing w:beforeAutospacing="0" w:afterAutospacing="0"/>
                    <w:ind w:left="0" w:leftChars="0" w:right="0"/>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lang w:val="en-US" w:eastAsia="zh-CN"/>
                    </w:rPr>
                    <w:t>46282</w:t>
                  </w:r>
                </w:p>
              </w:tc>
              <w:tc>
                <w:tcPr>
                  <w:tcW w:w="1611" w:type="dxa"/>
                  <w:noWrap w:val="0"/>
                  <w:vAlign w:val="center"/>
                </w:tcPr>
                <w:p w14:paraId="071419CE">
                  <w:pPr>
                    <w:pStyle w:val="53"/>
                    <w:keepNext w:val="0"/>
                    <w:keepLines w:val="0"/>
                    <w:pageBreakBefore w:val="0"/>
                    <w:kinsoku/>
                    <w:overflowPunct/>
                    <w:topLinePunct w:val="0"/>
                    <w:bidi w:val="0"/>
                    <w:spacing w:beforeAutospacing="0" w:afterAutospacing="0"/>
                    <w:ind w:left="0" w:leftChars="0" w:right="0" w:rightChars="0"/>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lang w:val="en-US" w:eastAsia="zh-CN"/>
                    </w:rPr>
                    <w:t>管网或拉运</w:t>
                  </w:r>
                </w:p>
              </w:tc>
            </w:tr>
          </w:tbl>
          <w:p w14:paraId="60B3D8C2">
            <w:pPr>
              <w:pStyle w:val="3"/>
              <w:keepNext w:val="0"/>
              <w:keepLines w:val="0"/>
              <w:pageBreakBefore w:val="0"/>
              <w:kinsoku/>
              <w:wordWrap/>
              <w:overflowPunct/>
              <w:topLinePunct w:val="0"/>
              <w:autoSpaceDE/>
              <w:autoSpaceDN/>
              <w:bidi w:val="0"/>
              <w:adjustRightInd/>
              <w:spacing w:before="0" w:after="0" w:line="360" w:lineRule="auto"/>
              <w:ind w:right="0" w:firstLine="420" w:firstLineChars="200"/>
              <w:textAlignment w:val="auto"/>
              <w:rPr>
                <w:rFonts w:hint="default" w:ascii="Times New Roman" w:hAnsi="Times New Roman" w:eastAsia="宋体" w:cs="Times New Roman"/>
                <w:color w:val="auto"/>
                <w:spacing w:val="0"/>
                <w:w w:val="100"/>
                <w:kern w:val="0"/>
                <w:position w:val="0"/>
                <w:szCs w:val="21"/>
                <w:highlight w:val="none"/>
                <w:lang w:eastAsia="zh-CN"/>
              </w:rPr>
            </w:pPr>
          </w:p>
        </w:tc>
      </w:tr>
      <w:tr w14:paraId="0A4AB3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3" w:type="dxa"/>
            <w:noWrap w:val="0"/>
            <w:vAlign w:val="center"/>
          </w:tcPr>
          <w:p w14:paraId="561BA1D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rPr>
                <w:rFonts w:hint="default" w:ascii="Times New Roman" w:hAnsi="Times New Roman" w:eastAsia="宋体" w:cs="Times New Roman"/>
                <w:color w:val="auto"/>
                <w:spacing w:val="0"/>
                <w:sz w:val="24"/>
                <w:szCs w:val="24"/>
                <w:highlight w:val="none"/>
                <w:lang w:eastAsia="zh-CN"/>
              </w:rPr>
            </w:pPr>
            <w:r>
              <w:rPr>
                <w:rFonts w:hint="default" w:ascii="Times New Roman" w:hAnsi="Times New Roman" w:eastAsia="宋体" w:cs="Times New Roman"/>
                <w:color w:val="auto"/>
                <w:spacing w:val="0"/>
                <w:sz w:val="24"/>
                <w:szCs w:val="24"/>
                <w:highlight w:val="none"/>
                <w:lang w:eastAsia="zh-CN"/>
              </w:rPr>
              <w:t>总平面及现场布置</w:t>
            </w:r>
          </w:p>
        </w:tc>
        <w:tc>
          <w:tcPr>
            <w:tcW w:w="9019" w:type="dxa"/>
            <w:noWrap w:val="0"/>
            <w:vAlign w:val="center"/>
          </w:tcPr>
          <w:p w14:paraId="5CFCD0AB">
            <w:pPr>
              <w:keepNext w:val="0"/>
              <w:keepLines w:val="0"/>
              <w:pageBreakBefore w:val="0"/>
              <w:widowControl w:val="0"/>
              <w:numPr>
                <w:ilvl w:val="0"/>
                <w:numId w:val="0"/>
              </w:numPr>
              <w:kinsoku/>
              <w:wordWrap/>
              <w:overflowPunct/>
              <w:topLinePunct w:val="0"/>
              <w:autoSpaceDE/>
              <w:autoSpaceDN/>
              <w:bidi w:val="0"/>
              <w:adjustRightInd w:val="0"/>
              <w:snapToGrid w:val="0"/>
              <w:spacing w:after="0" w:afterLines="0" w:line="360" w:lineRule="auto"/>
              <w:jc w:val="both"/>
              <w:textAlignment w:val="auto"/>
              <w:rPr>
                <w:rFonts w:hint="default" w:ascii="Times New Roman" w:hAnsi="Times New Roman" w:eastAsia="宋体" w:cs="Times New Roman"/>
                <w:b/>
                <w:bCs/>
                <w:color w:val="auto"/>
                <w:spacing w:val="0"/>
                <w:sz w:val="24"/>
                <w:szCs w:val="24"/>
                <w:highlight w:val="none"/>
                <w:lang w:eastAsia="zh-CN"/>
              </w:rPr>
            </w:pPr>
            <w:r>
              <w:rPr>
                <w:rFonts w:hint="eastAsia" w:ascii="宋体" w:hAnsi="宋体" w:eastAsia="宋体" w:cs="宋体"/>
                <w:b/>
                <w:bCs/>
                <w:color w:val="000000"/>
                <w:kern w:val="0"/>
                <w:sz w:val="24"/>
                <w:szCs w:val="24"/>
                <w:highlight w:val="none"/>
                <w:lang w:val="en-US" w:eastAsia="zh-CN" w:bidi="ar"/>
              </w:rPr>
              <w:t>施工期现场布置内容</w:t>
            </w:r>
          </w:p>
          <w:p w14:paraId="6718CAC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rPr>
                <w:rFonts w:hint="default" w:ascii="Times New Roman" w:hAnsi="Times New Roman" w:eastAsia="宋体" w:cs="Times New Roman"/>
                <w:color w:val="auto"/>
                <w:spacing w:val="0"/>
                <w:sz w:val="24"/>
                <w:szCs w:val="24"/>
                <w:highlight w:val="none"/>
                <w:lang w:eastAsia="zh-CN"/>
              </w:rPr>
            </w:pPr>
            <w:r>
              <w:rPr>
                <w:rFonts w:hint="eastAsia" w:ascii="Times New Roman" w:hAnsi="Times New Roman" w:eastAsia="宋体" w:cs="Times New Roman"/>
                <w:color w:val="auto"/>
                <w:spacing w:val="0"/>
                <w:sz w:val="24"/>
                <w:szCs w:val="24"/>
                <w:highlight w:val="none"/>
                <w:lang w:val="en-US" w:eastAsia="zh-CN"/>
              </w:rPr>
              <w:t>1、施工生产区：</w:t>
            </w:r>
            <w:r>
              <w:rPr>
                <w:rFonts w:hint="default" w:ascii="Times New Roman" w:hAnsi="Times New Roman" w:eastAsia="宋体" w:cs="Times New Roman"/>
                <w:color w:val="auto"/>
                <w:spacing w:val="0"/>
                <w:sz w:val="24"/>
                <w:szCs w:val="24"/>
                <w:highlight w:val="none"/>
                <w:lang w:val="en-US" w:eastAsia="zh-CN"/>
              </w:rPr>
              <w:t>主要布置建（构）筑物主体施工作业面、钢筋加工棚、模板加工区、焊接作业区等，集中开展土建施工、设备基础浇筑、管网开挖及安装作业，作业区域设置硬质隔离及安全防护设施。</w:t>
            </w:r>
          </w:p>
          <w:p w14:paraId="5658EFF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rPr>
                <w:rFonts w:hint="default" w:ascii="Times New Roman" w:hAnsi="Times New Roman" w:eastAsia="宋体" w:cs="Times New Roman"/>
                <w:color w:val="auto"/>
                <w:spacing w:val="0"/>
                <w:sz w:val="24"/>
                <w:szCs w:val="24"/>
                <w:highlight w:val="none"/>
                <w:lang w:eastAsia="zh-CN"/>
              </w:rPr>
            </w:pPr>
            <w:r>
              <w:rPr>
                <w:rFonts w:hint="default" w:ascii="Times New Roman" w:hAnsi="Times New Roman" w:eastAsia="宋体" w:cs="Times New Roman"/>
                <w:color w:val="auto"/>
                <w:spacing w:val="0"/>
                <w:sz w:val="24"/>
                <w:szCs w:val="24"/>
                <w:highlight w:val="none"/>
                <w:lang w:val="en-US" w:eastAsia="zh-CN"/>
              </w:rPr>
              <w:t>2、临时办公生活区：布置于施工场地上风侧、远离施工噪声及扬尘作业区域，设置临时办公室、值班室、临时休息室等配套设施，生活区域与施工生产区完全分隔，设置独立排水、保洁及垃圾收集设施，避免生活污染源影响施工生产及场地环境。</w:t>
            </w:r>
          </w:p>
          <w:p w14:paraId="0267CFC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rPr>
                <w:rFonts w:hint="default" w:ascii="Times New Roman" w:hAnsi="Times New Roman" w:eastAsia="宋体" w:cs="Times New Roman"/>
                <w:color w:val="auto"/>
                <w:spacing w:val="0"/>
                <w:sz w:val="24"/>
                <w:szCs w:val="24"/>
                <w:highlight w:val="none"/>
                <w:lang w:eastAsia="zh-CN"/>
              </w:rPr>
            </w:pPr>
            <w:r>
              <w:rPr>
                <w:rFonts w:hint="default" w:ascii="Times New Roman" w:hAnsi="Times New Roman" w:eastAsia="宋体" w:cs="Times New Roman"/>
                <w:color w:val="auto"/>
                <w:spacing w:val="0"/>
                <w:sz w:val="24"/>
                <w:szCs w:val="24"/>
                <w:highlight w:val="none"/>
                <w:lang w:val="en-US" w:eastAsia="zh-CN"/>
              </w:rPr>
              <w:t>3、材料堆放区：分区分类布置砂石料、水泥、钢材、管材、设备配件等施工物料，其中易起尘砂石料、散装物料全部采用封闭料棚或全覆盖防尘布遮盖堆放，场地采取硬化处理，设置围挡挡墙及排水沟，防止物料流失、扬尘扩散及雨水冲刷造成水土流失。</w:t>
            </w:r>
          </w:p>
          <w:p w14:paraId="455FBC1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rPr>
                <w:rFonts w:hint="default" w:ascii="Times New Roman" w:hAnsi="Times New Roman" w:eastAsia="宋体" w:cs="Times New Roman"/>
                <w:color w:val="auto"/>
                <w:spacing w:val="0"/>
                <w:sz w:val="24"/>
                <w:szCs w:val="24"/>
                <w:highlight w:val="none"/>
                <w:lang w:eastAsia="zh-CN"/>
              </w:rPr>
            </w:pPr>
            <w:r>
              <w:rPr>
                <w:rFonts w:hint="default" w:ascii="Times New Roman" w:hAnsi="Times New Roman" w:eastAsia="宋体" w:cs="Times New Roman"/>
                <w:color w:val="auto"/>
                <w:spacing w:val="0"/>
                <w:sz w:val="24"/>
                <w:szCs w:val="24"/>
                <w:highlight w:val="none"/>
                <w:lang w:val="en-US" w:eastAsia="zh-CN"/>
              </w:rPr>
              <w:t>4、机械停放及维修区：集中布置施工挖掘机、装载机、运输车等机械设备停放点位，区域地面硬化，设置简易防渗、防滴漏措施，施工机械检修、保养集中在此区域开展，避免油污漫流污染土壤及地下水。</w:t>
            </w:r>
          </w:p>
          <w:p w14:paraId="11D5CE7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rPr>
                <w:rFonts w:hint="default" w:ascii="Times New Roman" w:hAnsi="Times New Roman" w:eastAsia="宋体" w:cs="Times New Roman"/>
                <w:b/>
                <w:bCs/>
                <w:color w:val="auto"/>
                <w:spacing w:val="0"/>
                <w:sz w:val="24"/>
                <w:szCs w:val="24"/>
                <w:highlight w:val="none"/>
                <w:lang w:eastAsia="zh-CN"/>
              </w:rPr>
            </w:pPr>
            <w:r>
              <w:rPr>
                <w:rFonts w:hint="default" w:ascii="Times New Roman" w:hAnsi="Times New Roman" w:eastAsia="宋体" w:cs="Times New Roman"/>
                <w:color w:val="auto"/>
                <w:spacing w:val="0"/>
                <w:sz w:val="24"/>
                <w:szCs w:val="24"/>
                <w:highlight w:val="none"/>
                <w:lang w:val="en-US" w:eastAsia="zh-CN"/>
              </w:rPr>
              <w:t>5、土石方临时堆放区：施工开挖产生的少量土石方集中堆放在指定临时堆土区，堆土严格采取全覆盖、边坡压实、四周设置排水沟及沉淀池等防护措施，严控施工扬尘和水土流失，土石方优先场内回填利用，不外运随意堆弃。</w:t>
            </w:r>
          </w:p>
          <w:p w14:paraId="55E6D57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rPr>
                <w:rFonts w:hint="default" w:ascii="Times New Roman" w:hAnsi="Times New Roman" w:eastAsia="宋体" w:cs="Times New Roman"/>
                <w:b/>
                <w:bCs/>
                <w:color w:val="auto"/>
                <w:spacing w:val="0"/>
                <w:sz w:val="24"/>
                <w:szCs w:val="24"/>
                <w:highlight w:val="none"/>
                <w:lang w:eastAsia="zh-CN"/>
              </w:rPr>
            </w:pPr>
            <w:r>
              <w:rPr>
                <w:rFonts w:hint="default" w:ascii="Times New Roman" w:hAnsi="Times New Roman" w:eastAsia="宋体" w:cs="Times New Roman"/>
                <w:b/>
                <w:bCs/>
                <w:color w:val="auto"/>
                <w:spacing w:val="0"/>
                <w:sz w:val="24"/>
                <w:szCs w:val="24"/>
                <w:highlight w:val="none"/>
                <w:lang w:eastAsia="zh-CN"/>
              </w:rPr>
              <w:t>采矿场</w:t>
            </w:r>
          </w:p>
          <w:p w14:paraId="63AF2BB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eastAsia="zh-CN"/>
              </w:rPr>
              <w:t>全矿设一个采矿场，开采区为全矿区。设计采用凹陷露天开采方式，自上而下水平分层台阶式的采矿方法，矿区开采深度为</w:t>
            </w:r>
            <w:r>
              <w:rPr>
                <w:rFonts w:hint="eastAsia" w:ascii="Times New Roman" w:hAnsi="Times New Roman" w:eastAsia="宋体" w:cs="Times New Roman"/>
                <w:color w:val="auto"/>
                <w:spacing w:val="0"/>
                <w:sz w:val="24"/>
                <w:szCs w:val="24"/>
                <w:highlight w:val="none"/>
                <w:lang w:val="en-US" w:eastAsia="zh-CN"/>
              </w:rPr>
              <w:t>19</w:t>
            </w:r>
            <w:r>
              <w:rPr>
                <w:rFonts w:hint="default" w:ascii="Times New Roman" w:hAnsi="Times New Roman" w:eastAsia="宋体" w:cs="Times New Roman"/>
                <w:color w:val="auto"/>
                <w:spacing w:val="0"/>
                <w:sz w:val="24"/>
                <w:szCs w:val="24"/>
                <w:highlight w:val="none"/>
                <w:lang w:val="en-US" w:eastAsia="zh-CN"/>
              </w:rPr>
              <w:t>m</w:t>
            </w:r>
            <w:r>
              <w:rPr>
                <w:rFonts w:hint="default" w:ascii="Times New Roman" w:hAnsi="Times New Roman" w:eastAsia="宋体" w:cs="Times New Roman"/>
                <w:color w:val="auto"/>
                <w:spacing w:val="0"/>
                <w:sz w:val="24"/>
                <w:szCs w:val="24"/>
                <w:highlight w:val="none"/>
                <w:lang w:eastAsia="zh-CN"/>
              </w:rPr>
              <w:t>。</w:t>
            </w:r>
            <w:r>
              <w:rPr>
                <w:rFonts w:hint="default" w:ascii="Times New Roman" w:hAnsi="Times New Roman" w:eastAsia="宋体" w:cs="Times New Roman"/>
                <w:color w:val="auto"/>
                <w:spacing w:val="0"/>
                <w:sz w:val="24"/>
                <w:szCs w:val="24"/>
                <w:highlight w:val="none"/>
                <w:lang w:val="en-US" w:eastAsia="zh-CN"/>
              </w:rPr>
              <w:t>工业场地在开采区南侧，工业场地由东向西依次为水稳拌合站、破碎设备、洗砂设备、筛分设备。采矿场</w:t>
            </w:r>
            <w:r>
              <w:rPr>
                <w:rFonts w:hint="default" w:ascii="Times New Roman" w:hAnsi="Times New Roman" w:eastAsia="宋体" w:cs="Times New Roman"/>
                <w:color w:val="auto"/>
                <w:spacing w:val="0"/>
                <w:sz w:val="24"/>
                <w:szCs w:val="24"/>
                <w:highlight w:val="none"/>
                <w:lang w:eastAsia="zh-CN"/>
              </w:rPr>
              <w:t>位于远离居民区和生态敏感区的地段，可减少开采作业对居民生活和生态环境的直接影响。</w:t>
            </w:r>
            <w:r>
              <w:rPr>
                <w:rFonts w:hint="default" w:ascii="Times New Roman" w:hAnsi="Times New Roman" w:eastAsia="宋体" w:cs="Times New Roman"/>
                <w:color w:val="auto"/>
                <w:spacing w:val="0"/>
                <w:sz w:val="24"/>
                <w:szCs w:val="24"/>
                <w:highlight w:val="none"/>
                <w:lang w:val="en-US" w:eastAsia="zh-CN"/>
              </w:rPr>
              <w:t>项目平面布置图详见附图</w:t>
            </w:r>
          </w:p>
          <w:p w14:paraId="627DDA4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rPr>
                <w:rFonts w:hint="default" w:ascii="Times New Roman" w:hAnsi="Times New Roman" w:eastAsia="宋体" w:cs="Times New Roman"/>
                <w:b/>
                <w:bCs/>
                <w:color w:val="auto"/>
                <w:spacing w:val="0"/>
                <w:sz w:val="24"/>
                <w:szCs w:val="24"/>
                <w:highlight w:val="none"/>
                <w:lang w:eastAsia="zh-CN"/>
              </w:rPr>
            </w:pPr>
            <w:r>
              <w:rPr>
                <w:rFonts w:hint="default" w:ascii="Times New Roman" w:hAnsi="Times New Roman" w:eastAsia="宋体" w:cs="Times New Roman"/>
                <w:b/>
                <w:bCs/>
                <w:color w:val="auto"/>
                <w:spacing w:val="0"/>
                <w:sz w:val="24"/>
                <w:szCs w:val="24"/>
                <w:highlight w:val="none"/>
                <w:lang w:eastAsia="zh-CN"/>
              </w:rPr>
              <w:t>办公生活区</w:t>
            </w:r>
          </w:p>
          <w:p w14:paraId="31492B9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rPr>
                <w:rFonts w:hint="default" w:ascii="Times New Roman" w:hAnsi="Times New Roman" w:eastAsia="宋体" w:cs="Times New Roman"/>
                <w:color w:val="auto"/>
                <w:spacing w:val="0"/>
                <w:highlight w:val="none"/>
                <w:lang w:val="en-US" w:eastAsia="zh-CN"/>
              </w:rPr>
            </w:pPr>
            <w:r>
              <w:rPr>
                <w:rFonts w:hint="default" w:ascii="Times New Roman" w:hAnsi="Times New Roman" w:eastAsia="宋体" w:cs="Times New Roman"/>
                <w:color w:val="auto"/>
                <w:spacing w:val="0"/>
                <w:sz w:val="24"/>
                <w:szCs w:val="24"/>
                <w:highlight w:val="none"/>
                <w:lang w:eastAsia="zh-CN"/>
              </w:rPr>
              <w:t>根据</w:t>
            </w:r>
            <w:r>
              <w:rPr>
                <w:rFonts w:hint="default" w:ascii="Times New Roman" w:hAnsi="Times New Roman" w:eastAsia="宋体" w:cs="Times New Roman"/>
                <w:color w:val="auto"/>
                <w:spacing w:val="0"/>
                <w:sz w:val="24"/>
                <w:szCs w:val="24"/>
                <w:highlight w:val="none"/>
                <w:lang w:val="en-US" w:eastAsia="zh-CN"/>
              </w:rPr>
              <w:t>矿山</w:t>
            </w:r>
            <w:r>
              <w:rPr>
                <w:rFonts w:hint="default" w:ascii="Times New Roman" w:hAnsi="Times New Roman" w:eastAsia="宋体" w:cs="Times New Roman"/>
                <w:color w:val="auto"/>
                <w:spacing w:val="0"/>
                <w:sz w:val="24"/>
                <w:szCs w:val="24"/>
                <w:highlight w:val="none"/>
                <w:lang w:eastAsia="zh-CN"/>
              </w:rPr>
              <w:t>所在位置和</w:t>
            </w:r>
            <w:r>
              <w:rPr>
                <w:rFonts w:hint="default" w:ascii="Times New Roman" w:hAnsi="Times New Roman" w:eastAsia="宋体" w:cs="Times New Roman"/>
                <w:color w:val="auto"/>
                <w:spacing w:val="0"/>
                <w:sz w:val="24"/>
                <w:szCs w:val="24"/>
                <w:highlight w:val="none"/>
                <w:lang w:val="en-US" w:eastAsia="zh-CN"/>
              </w:rPr>
              <w:t>开采设计方案</w:t>
            </w:r>
            <w:r>
              <w:rPr>
                <w:rFonts w:hint="default" w:ascii="Times New Roman" w:hAnsi="Times New Roman" w:eastAsia="宋体" w:cs="Times New Roman"/>
                <w:color w:val="auto"/>
                <w:spacing w:val="0"/>
                <w:sz w:val="24"/>
                <w:szCs w:val="24"/>
                <w:highlight w:val="none"/>
                <w:lang w:eastAsia="zh-CN"/>
              </w:rPr>
              <w:t>，</w:t>
            </w:r>
            <w:r>
              <w:rPr>
                <w:rFonts w:hint="default" w:ascii="Times New Roman" w:hAnsi="Times New Roman" w:eastAsia="宋体" w:cs="Times New Roman"/>
                <w:color w:val="auto"/>
                <w:spacing w:val="0"/>
                <w:sz w:val="24"/>
                <w:szCs w:val="24"/>
                <w:highlight w:val="none"/>
                <w:lang w:val="en-US" w:eastAsia="zh-CN"/>
              </w:rPr>
              <w:t>矿山总体布局主要为规划露天采矿场、规划临时厕所及规划</w:t>
            </w:r>
            <w:r>
              <w:rPr>
                <w:rFonts w:hint="default" w:ascii="Times New Roman" w:hAnsi="Times New Roman" w:eastAsia="宋体" w:cs="Times New Roman"/>
                <w:color w:val="auto"/>
                <w:spacing w:val="0"/>
                <w:sz w:val="24"/>
                <w:szCs w:val="24"/>
                <w:highlight w:val="none"/>
                <w:lang w:eastAsia="zh-CN"/>
              </w:rPr>
              <w:t>矿山道路</w:t>
            </w:r>
            <w:r>
              <w:rPr>
                <w:rFonts w:hint="default" w:ascii="Times New Roman" w:hAnsi="Times New Roman" w:eastAsia="宋体" w:cs="Times New Roman"/>
                <w:color w:val="auto"/>
                <w:spacing w:val="0"/>
                <w:sz w:val="24"/>
                <w:szCs w:val="24"/>
                <w:highlight w:val="none"/>
                <w:lang w:val="en-US" w:eastAsia="zh-CN"/>
              </w:rPr>
              <w:t>，在开采区南部新建矿山办公、生活区。</w:t>
            </w:r>
          </w:p>
        </w:tc>
      </w:tr>
      <w:tr w14:paraId="50D2CC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3" w:type="dxa"/>
            <w:noWrap w:val="0"/>
            <w:vAlign w:val="center"/>
          </w:tcPr>
          <w:p w14:paraId="41AEF51A">
            <w:pPr>
              <w:keepNext w:val="0"/>
              <w:keepLines w:val="0"/>
              <w:pageBreakBefore w:val="0"/>
              <w:kinsoku/>
              <w:overflowPunct/>
              <w:topLinePunct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kern w:val="0"/>
                <w:position w:val="0"/>
                <w:szCs w:val="21"/>
                <w:highlight w:val="none"/>
                <w:lang w:val="en-US" w:eastAsia="zh-CN"/>
              </w:rPr>
            </w:pPr>
            <w:r>
              <w:rPr>
                <w:rFonts w:hint="default" w:ascii="Times New Roman" w:hAnsi="Times New Roman" w:eastAsia="宋体" w:cs="Times New Roman"/>
                <w:color w:val="auto"/>
                <w:spacing w:val="0"/>
                <w:w w:val="100"/>
                <w:kern w:val="0"/>
                <w:position w:val="0"/>
                <w:sz w:val="24"/>
                <w:szCs w:val="24"/>
                <w:highlight w:val="none"/>
                <w:lang w:val="en-US" w:eastAsia="zh-CN"/>
              </w:rPr>
              <w:t>工艺及产污节点</w:t>
            </w:r>
          </w:p>
        </w:tc>
        <w:tc>
          <w:tcPr>
            <w:tcW w:w="9019" w:type="dxa"/>
            <w:noWrap w:val="0"/>
            <w:vAlign w:val="center"/>
          </w:tcPr>
          <w:p w14:paraId="56E3681A">
            <w:pPr>
              <w:spacing w:line="360" w:lineRule="auto"/>
              <w:ind w:firstLine="480" w:firstLineChars="200"/>
              <w:jc w:val="left"/>
              <w:rPr>
                <w:rFonts w:hint="default" w:ascii="Times New Roman" w:hAnsi="Times New Roman" w:eastAsia="宋体" w:cs="Times New Roman"/>
                <w:color w:val="auto"/>
                <w:spacing w:val="0"/>
                <w:sz w:val="24"/>
                <w:szCs w:val="24"/>
                <w:highlight w:val="none"/>
                <w:lang w:eastAsia="zh-CN"/>
              </w:rPr>
            </w:pPr>
            <w:r>
              <w:rPr>
                <w:rFonts w:hint="default" w:ascii="Times New Roman" w:hAnsi="Times New Roman" w:eastAsia="宋体" w:cs="Times New Roman"/>
                <w:color w:val="auto"/>
                <w:spacing w:val="0"/>
                <w:sz w:val="24"/>
                <w:szCs w:val="24"/>
                <w:highlight w:val="none"/>
                <w:lang w:eastAsia="zh-CN"/>
              </w:rPr>
              <w:t>矿区采取露天开采方法，根据地勘圈定的矿体分布，确定开采的位置，由地表到矿体，分层开采矿石，最终矿区关闭后需进行治理恢复。</w:t>
            </w:r>
          </w:p>
          <w:p w14:paraId="44BB794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auto"/>
                <w:spacing w:val="0"/>
                <w:sz w:val="24"/>
                <w:szCs w:val="24"/>
                <w:highlight w:val="none"/>
                <w:lang w:eastAsia="zh-CN"/>
              </w:rPr>
            </w:pPr>
            <w:r>
              <w:rPr>
                <w:rFonts w:hint="default" w:ascii="Times New Roman" w:hAnsi="Times New Roman" w:eastAsia="宋体" w:cs="Times New Roman"/>
                <w:color w:val="auto"/>
                <w:spacing w:val="0"/>
                <w:sz w:val="24"/>
                <w:szCs w:val="24"/>
                <w:highlight w:val="none"/>
                <w:lang w:eastAsia="zh-CN"/>
              </w:rPr>
              <w:t>本项目采用露天开采方式。露天开采基础建设工程量小、基础建设投资小、基础建设期短、投产快、达产快，而且开采期生产剥采比低、成本低、安全性好，有利于提高矿区开采的经济效益。矿区沟谷较少且开阔平坦，露天采场以分段式开采，使用挖掘机或装载机直接进行铲装</w:t>
            </w:r>
            <w:r>
              <w:rPr>
                <w:rFonts w:hint="default" w:ascii="Times New Roman" w:hAnsi="Times New Roman" w:eastAsia="宋体" w:cs="Times New Roman"/>
                <w:color w:val="auto"/>
                <w:spacing w:val="0"/>
                <w:sz w:val="24"/>
                <w:szCs w:val="24"/>
                <w:highlight w:val="none"/>
                <w:lang w:val="en-US" w:eastAsia="zh-CN"/>
              </w:rPr>
              <w:t>外售</w:t>
            </w:r>
            <w:r>
              <w:rPr>
                <w:rFonts w:hint="default" w:ascii="Times New Roman" w:hAnsi="Times New Roman" w:eastAsia="宋体" w:cs="Times New Roman"/>
                <w:color w:val="auto"/>
                <w:spacing w:val="0"/>
                <w:sz w:val="24"/>
                <w:szCs w:val="24"/>
                <w:highlight w:val="none"/>
                <w:lang w:eastAsia="zh-CN"/>
              </w:rPr>
              <w:t>。</w:t>
            </w:r>
          </w:p>
          <w:p w14:paraId="047B72D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pacing w:val="0"/>
                <w:sz w:val="24"/>
                <w:szCs w:val="24"/>
                <w:highlight w:val="none"/>
                <w:lang w:eastAsia="zh-CN"/>
              </w:rPr>
            </w:pPr>
            <w:r>
              <w:rPr>
                <w:rFonts w:hint="default" w:ascii="Times New Roman" w:hAnsi="Times New Roman" w:eastAsia="宋体" w:cs="Times New Roman"/>
                <w:color w:val="auto"/>
                <w:spacing w:val="0"/>
                <w:sz w:val="24"/>
                <w:szCs w:val="24"/>
                <w:highlight w:val="none"/>
                <w:lang w:eastAsia="zh-CN"/>
              </w:rPr>
              <w:t>采矿工艺流程及产污环节见图</w:t>
            </w:r>
            <w:r>
              <w:rPr>
                <w:rFonts w:hint="default" w:ascii="Times New Roman" w:hAnsi="Times New Roman" w:eastAsia="宋体" w:cs="Times New Roman"/>
                <w:color w:val="auto"/>
                <w:spacing w:val="0"/>
                <w:sz w:val="24"/>
                <w:szCs w:val="24"/>
                <w:highlight w:val="none"/>
                <w:lang w:val="en-US" w:eastAsia="zh-CN"/>
              </w:rPr>
              <w:t>2-1</w:t>
            </w:r>
          </w:p>
          <w:p w14:paraId="46487F6E">
            <w:pPr>
              <w:ind w:firstLine="0" w:firstLineChars="0"/>
              <w:jc w:val="center"/>
              <w:rPr>
                <w:rFonts w:hint="default" w:ascii="Times New Roman" w:hAnsi="Times New Roman" w:eastAsia="宋体" w:cs="Times New Roman"/>
                <w:color w:val="auto"/>
                <w:spacing w:val="0"/>
                <w:highlight w:val="none"/>
                <w:lang w:eastAsia="zh-CN"/>
              </w:rPr>
            </w:pPr>
            <w:r>
              <w:rPr>
                <w:rFonts w:hint="default" w:ascii="Times New Roman" w:hAnsi="Times New Roman" w:eastAsia="宋体" w:cs="Times New Roman"/>
                <w:color w:val="auto"/>
                <w:spacing w:val="0"/>
                <w:highlight w:val="none"/>
                <w:lang w:eastAsia="zh-CN"/>
              </w:rPr>
              <w:drawing>
                <wp:inline distT="0" distB="0" distL="114300" distR="114300">
                  <wp:extent cx="4106545" cy="3931285"/>
                  <wp:effectExtent l="0" t="0" r="8255" b="635"/>
                  <wp:docPr id="8" name="图片 8" descr="图片2_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2_1180"/>
                          <pic:cNvPicPr>
                            <a:picLocks noChangeAspect="1"/>
                          </pic:cNvPicPr>
                        </pic:nvPicPr>
                        <pic:blipFill>
                          <a:blip r:embed="rId11"/>
                          <a:stretch>
                            <a:fillRect/>
                          </a:stretch>
                        </pic:blipFill>
                        <pic:spPr>
                          <a:xfrm>
                            <a:off x="0" y="0"/>
                            <a:ext cx="4106545" cy="3931285"/>
                          </a:xfrm>
                          <a:prstGeom prst="rect">
                            <a:avLst/>
                          </a:prstGeom>
                        </pic:spPr>
                      </pic:pic>
                    </a:graphicData>
                  </a:graphic>
                </wp:inline>
              </w:drawing>
            </w:r>
          </w:p>
          <w:p w14:paraId="554E9433">
            <w:pPr>
              <w:spacing w:line="360" w:lineRule="auto"/>
              <w:jc w:val="center"/>
              <w:rPr>
                <w:rStyle w:val="61"/>
                <w:rFonts w:hint="default" w:ascii="Times New Roman" w:hAnsi="Times New Roman" w:eastAsia="宋体" w:cs="Times New Roman"/>
                <w:color w:val="auto"/>
                <w:spacing w:val="0"/>
                <w:szCs w:val="22"/>
                <w:highlight w:val="none"/>
                <w:lang w:val="en-US" w:eastAsia="zh-CN"/>
              </w:rPr>
            </w:pPr>
            <w:r>
              <w:rPr>
                <w:rStyle w:val="61"/>
                <w:rFonts w:hint="default" w:ascii="Times New Roman" w:hAnsi="Times New Roman" w:eastAsia="宋体" w:cs="Times New Roman"/>
                <w:color w:val="auto"/>
                <w:spacing w:val="0"/>
                <w:szCs w:val="22"/>
                <w:highlight w:val="none"/>
                <w:lang w:val="en-US" w:eastAsia="zh-CN"/>
              </w:rPr>
              <w:t>图1   矿石开采过程工艺流程及产污环节图</w:t>
            </w:r>
          </w:p>
          <w:p w14:paraId="4E18078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b w:val="0"/>
                <w:bCs w:val="0"/>
                <w:color w:val="000000" w:themeColor="text1"/>
                <w:kern w:val="0"/>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14:textFill>
                  <w14:solidFill>
                    <w14:schemeClr w14:val="tx1"/>
                  </w14:solidFill>
                </w14:textFill>
              </w:rPr>
              <w:t>工艺流程简述：</w:t>
            </w:r>
          </w:p>
          <w:p w14:paraId="7570927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本项目建筑用石加工工艺生产步骤为：</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开采</w:t>
            </w:r>
            <w:r>
              <w:rPr>
                <w:rFonts w:hint="default" w:ascii="Times New Roman" w:hAnsi="Times New Roman" w:eastAsia="宋体" w:cs="Times New Roman"/>
                <w:color w:val="000000" w:themeColor="text1"/>
                <w:sz w:val="24"/>
                <w:szCs w:val="24"/>
                <w:highlight w:val="none"/>
                <w14:textFill>
                  <w14:solidFill>
                    <w14:schemeClr w14:val="tx1"/>
                  </w14:solidFill>
                </w14:textFill>
              </w:rPr>
              <w:t>、筛分</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破碎</w:t>
            </w:r>
            <w:r>
              <w:rPr>
                <w:rFonts w:hint="default" w:ascii="Times New Roman" w:hAnsi="Times New Roman" w:eastAsia="宋体" w:cs="Times New Roman"/>
                <w:color w:val="000000" w:themeColor="text1"/>
                <w:sz w:val="24"/>
                <w:szCs w:val="24"/>
                <w:highlight w:val="none"/>
                <w14:textFill>
                  <w14:solidFill>
                    <w14:schemeClr w14:val="tx1"/>
                  </w14:solidFill>
                </w14:textFill>
              </w:rPr>
              <w:t>、水洗、</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外运出售</w:t>
            </w:r>
            <w:r>
              <w:rPr>
                <w:rFonts w:hint="default" w:ascii="Times New Roman" w:hAnsi="Times New Roman" w:eastAsia="宋体" w:cs="Times New Roman"/>
                <w:color w:val="000000" w:themeColor="text1"/>
                <w:sz w:val="24"/>
                <w:szCs w:val="24"/>
                <w:highlight w:val="none"/>
                <w14:textFill>
                  <w14:solidFill>
                    <w14:schemeClr w14:val="tx1"/>
                  </w14:solidFill>
                </w14:textFill>
              </w:rPr>
              <w:t>等。</w:t>
            </w:r>
          </w:p>
          <w:p w14:paraId="2D8836D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矿山开采：开采前进行表土剥离，剥离表土运至表土堆场。根据矿体赋存特点及开采条件，设计采用露天方式开采。矿体呈层状水平分布，矿体规模及厚度稳定。矿层岩性结构疏松，易于剥采，矿体开采不需要爆破，可由挖掘机直接挖采，开采条件属简单类型。设计采用水平分层的台阶式开采方法，因此，开采顺序为自上而下开采，由中心向南北开采。采矿方法为挖掘机台阶</w:t>
            </w:r>
            <w:r>
              <w:rPr>
                <w:rFonts w:hint="default" w:ascii="Times New Roman" w:hAnsi="Times New Roman" w:eastAsia="宋体" w:cs="Times New Roman"/>
                <w:color w:val="auto"/>
                <w:sz w:val="24"/>
                <w:szCs w:val="24"/>
                <w:highlight w:val="none"/>
                <w:lang w:val="en-US" w:eastAsia="zh-CN"/>
              </w:rPr>
              <w:t>式开采。采场采出的砂卵石用汽车运至工业广场矿石堆放场经胶带输送机输入后续筛分、破碎工序。此过程会产生粉尘和噪声。</w:t>
            </w:r>
          </w:p>
          <w:p w14:paraId="5F7515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开拓运输：该矿系露天矿，砂石料内部运输采用挖掘机、运输车及胶带输送机。振动筛：开采砂石料经过振动筛，将粒径大的鹅卵石筛选掉。此过程会产生运输扬尘。</w:t>
            </w:r>
          </w:p>
          <w:p w14:paraId="0083285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破碎机：将振动筛筛选出来的鹅卵石送入颚式破碎机破碎，破碎后重新进入振动筛。筛分、破碎会产生粉尘和噪声。</w:t>
            </w:r>
          </w:p>
          <w:p w14:paraId="42BAB89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滚筒筛：经振动筛筛选后粒径小的砂石及破碎的石子经过一定规格的筛网筛选，产生不同规格的砂石。</w:t>
            </w:r>
          </w:p>
          <w:p w14:paraId="3366FE4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洗砂机：通过筛网的筛分，不同规格的砂石经过洗砂机洗去携带的泥土后，通过传送带运至产品堆场。洗砂废水经沉淀处理后循环使用，沉淀池泥沙定期清理后回用于生产。此过程会产生粉尘和噪声。</w:t>
            </w:r>
          </w:p>
          <w:p w14:paraId="07766203">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outlineLvl w:val="9"/>
              <w:rPr>
                <w:rFonts w:hint="default" w:ascii="Times New Roman" w:hAnsi="Times New Roman" w:eastAsia="宋体" w:cs="Times New Roman"/>
                <w:color w:val="auto"/>
                <w:sz w:val="24"/>
                <w:szCs w:val="24"/>
                <w:highlight w:val="none"/>
                <w:lang w:val="en-US" w:eastAsia="zh-CN"/>
              </w:rPr>
            </w:pPr>
            <w:r>
              <w:rPr>
                <w:rFonts w:hint="eastAsia" w:ascii="宋体" w:hAnsi="宋体" w:eastAsia="宋体" w:cs="宋体"/>
                <w:b/>
                <w:bCs/>
                <w:color w:val="000000"/>
                <w:kern w:val="0"/>
                <w:sz w:val="24"/>
                <w:szCs w:val="24"/>
                <w:lang w:val="en-US" w:eastAsia="zh-CN" w:bidi="ar"/>
              </w:rPr>
              <w:t>闭矿后产生的影响</w:t>
            </w:r>
          </w:p>
          <w:p w14:paraId="1DA4FA2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（1）废气</w:t>
            </w:r>
          </w:p>
          <w:p w14:paraId="433113F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①</w:t>
            </w:r>
            <w:r>
              <w:rPr>
                <w:rFonts w:hint="default" w:ascii="Times New Roman" w:hAnsi="Times New Roman" w:eastAsia="宋体" w:cs="Times New Roman"/>
                <w:color w:val="auto"/>
                <w:sz w:val="24"/>
                <w:szCs w:val="24"/>
                <w:highlight w:val="none"/>
                <w:lang w:val="en-US" w:eastAsia="zh-CN"/>
              </w:rPr>
              <w:t>采坑、堆土边坡风蚀扬尘</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闭矿后未及时覆土、植被未成活，大风天气坡面松散砂石、弃土起尘，为长期无组织扬尘；北疆大风频次高，扬尘影响时间可达 2～3 年植被稳定前。</w:t>
            </w:r>
          </w:p>
          <w:p w14:paraId="3131230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②</w:t>
            </w:r>
            <w:r>
              <w:rPr>
                <w:rFonts w:hint="default" w:ascii="Times New Roman" w:hAnsi="Times New Roman" w:eastAsia="宋体" w:cs="Times New Roman"/>
                <w:color w:val="auto"/>
                <w:sz w:val="24"/>
                <w:szCs w:val="24"/>
                <w:highlight w:val="none"/>
                <w:lang w:val="en-US" w:eastAsia="zh-CN"/>
              </w:rPr>
              <w:t>回填区土方扰动扬尘</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边坡修整、覆土平整、截排水沟开挖、客土拉运过程施工扬尘（闭矿治理工程施工期污染）。</w:t>
            </w:r>
          </w:p>
          <w:p w14:paraId="57F32FB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③</w:t>
            </w:r>
            <w:r>
              <w:rPr>
                <w:rFonts w:hint="default" w:ascii="Times New Roman" w:hAnsi="Times New Roman" w:eastAsia="宋体" w:cs="Times New Roman"/>
                <w:color w:val="auto"/>
                <w:sz w:val="24"/>
                <w:szCs w:val="24"/>
                <w:highlight w:val="none"/>
                <w:lang w:val="en-US" w:eastAsia="zh-CN"/>
              </w:rPr>
              <w:t>运输扬尘</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治理材料、苗木、覆土拉运车辆道路扬尘。</w:t>
            </w:r>
          </w:p>
          <w:p w14:paraId="7D530AB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（2）废水</w:t>
            </w:r>
          </w:p>
          <w:p w14:paraId="51899F7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①</w:t>
            </w:r>
            <w:r>
              <w:rPr>
                <w:rFonts w:hint="default" w:ascii="Times New Roman" w:hAnsi="Times New Roman" w:eastAsia="宋体" w:cs="Times New Roman"/>
                <w:color w:val="auto"/>
                <w:sz w:val="24"/>
                <w:szCs w:val="24"/>
                <w:highlight w:val="none"/>
                <w:lang w:val="en-US" w:eastAsia="zh-CN"/>
              </w:rPr>
              <w:t>无生产废水、生活污水</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闭矿后无人员常驻，食堂、宿舍、机修全部撤除，不再产生生活污水、机修含油废水。</w:t>
            </w:r>
          </w:p>
          <w:p w14:paraId="45C4ECA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（3）固废</w:t>
            </w:r>
          </w:p>
          <w:p w14:paraId="24072B4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①</w:t>
            </w:r>
            <w:r>
              <w:rPr>
                <w:rFonts w:hint="default" w:ascii="Times New Roman" w:hAnsi="Times New Roman" w:eastAsia="宋体" w:cs="Times New Roman"/>
                <w:color w:val="auto"/>
                <w:sz w:val="24"/>
                <w:szCs w:val="24"/>
                <w:highlight w:val="none"/>
                <w:lang w:val="en-US" w:eastAsia="zh-CN"/>
              </w:rPr>
              <w:t>少量零星建筑垃圾</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拆除板房、围挡、管线、沉淀池构筑物产生废钢材、废混凝土、塑料管材等</w:t>
            </w:r>
            <w:r>
              <w:rPr>
                <w:rFonts w:hint="eastAsia" w:ascii="Times New Roman" w:hAnsi="Times New Roman" w:eastAsia="宋体" w:cs="Times New Roman"/>
                <w:color w:val="auto"/>
                <w:sz w:val="24"/>
                <w:szCs w:val="24"/>
                <w:highlight w:val="none"/>
                <w:lang w:val="en-US" w:eastAsia="zh-CN"/>
              </w:rPr>
              <w:t>。</w:t>
            </w:r>
          </w:p>
          <w:p w14:paraId="7F1461D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（4）</w:t>
            </w:r>
            <w:r>
              <w:rPr>
                <w:rFonts w:ascii="宋体" w:hAnsi="宋体" w:eastAsia="宋体" w:cs="宋体"/>
                <w:sz w:val="24"/>
                <w:szCs w:val="24"/>
              </w:rPr>
              <w:t>噪声污染</w:t>
            </w:r>
          </w:p>
          <w:p w14:paraId="5AA5ECE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①：</w:t>
            </w:r>
            <w:r>
              <w:rPr>
                <w:rFonts w:hint="default" w:ascii="Times New Roman" w:hAnsi="Times New Roman" w:eastAsia="宋体" w:cs="Times New Roman"/>
                <w:color w:val="auto"/>
                <w:sz w:val="24"/>
                <w:szCs w:val="24"/>
                <w:highlight w:val="none"/>
                <w:lang w:val="en-US" w:eastAsia="zh-CN"/>
              </w:rPr>
              <w:t>仅闭矿治理施工阶段：挖掘机、推土机、运输车辆、洒水车机械噪声；治理工程完工、完全闭坑管护后，无持续性噪声源。</w:t>
            </w:r>
          </w:p>
          <w:p w14:paraId="0B4D62D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（5）生态污染</w:t>
            </w:r>
          </w:p>
          <w:p w14:paraId="64D9F1D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①</w:t>
            </w:r>
            <w:r>
              <w:rPr>
                <w:rFonts w:hint="default" w:ascii="Times New Roman" w:hAnsi="Times New Roman" w:eastAsia="宋体" w:cs="Times New Roman"/>
                <w:color w:val="auto"/>
                <w:sz w:val="24"/>
                <w:szCs w:val="24"/>
                <w:highlight w:val="none"/>
                <w:lang w:val="en-US" w:eastAsia="zh-CN"/>
              </w:rPr>
              <w:t>边坡失稳、坍塌、滑塌，加剧水土流失；</w:t>
            </w:r>
          </w:p>
          <w:p w14:paraId="1B8B34D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②</w:t>
            </w:r>
            <w:r>
              <w:rPr>
                <w:rFonts w:hint="default" w:ascii="Times New Roman" w:hAnsi="Times New Roman" w:eastAsia="宋体" w:cs="Times New Roman"/>
                <w:color w:val="auto"/>
                <w:sz w:val="24"/>
                <w:szCs w:val="24"/>
                <w:highlight w:val="none"/>
                <w:lang w:val="en-US" w:eastAsia="zh-CN"/>
              </w:rPr>
              <w:t>地表裸露加剧土壤风蚀、土地沙化（吉木萨尔区域重点）；</w:t>
            </w:r>
          </w:p>
          <w:p w14:paraId="637BF3B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③</w:t>
            </w:r>
            <w:r>
              <w:rPr>
                <w:rFonts w:hint="default" w:ascii="Times New Roman" w:hAnsi="Times New Roman" w:eastAsia="宋体" w:cs="Times New Roman"/>
                <w:color w:val="auto"/>
                <w:sz w:val="24"/>
                <w:szCs w:val="24"/>
                <w:highlight w:val="none"/>
                <w:lang w:val="en-US" w:eastAsia="zh-CN"/>
              </w:rPr>
              <w:t>原有土壤结构破坏，土层缺失，植被立地条件差；</w:t>
            </w:r>
          </w:p>
          <w:p w14:paraId="67A23F1E">
            <w:pPr>
              <w:autoSpaceDE w:val="0"/>
              <w:autoSpaceDN w:val="0"/>
              <w:adjustRightInd w:val="0"/>
              <w:snapToGrid w:val="0"/>
              <w:spacing w:line="360" w:lineRule="auto"/>
              <w:ind w:firstLine="480" w:firstLineChars="200"/>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kern w:val="0"/>
                <w:sz w:val="24"/>
                <w:highlight w:val="none"/>
              </w:rPr>
              <w:t>本项目</w:t>
            </w:r>
            <w:r>
              <w:rPr>
                <w:rFonts w:hint="default" w:ascii="Times New Roman" w:hAnsi="Times New Roman" w:eastAsia="宋体" w:cs="Times New Roman"/>
                <w:color w:val="auto"/>
                <w:kern w:val="0"/>
                <w:sz w:val="24"/>
                <w:highlight w:val="none"/>
                <w:lang w:val="en-US" w:eastAsia="zh-CN"/>
              </w:rPr>
              <w:t>水稳料</w:t>
            </w:r>
            <w:r>
              <w:rPr>
                <w:rFonts w:hint="default" w:ascii="Times New Roman" w:hAnsi="Times New Roman" w:eastAsia="宋体" w:cs="Times New Roman"/>
                <w:color w:val="auto"/>
                <w:kern w:val="0"/>
                <w:sz w:val="24"/>
                <w:highlight w:val="none"/>
              </w:rPr>
              <w:t>生产工艺流程见图2。</w:t>
            </w:r>
          </w:p>
          <w:p w14:paraId="159AE2BD">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highlight w:val="none"/>
              </w:rPr>
              <w:drawing>
                <wp:inline distT="0" distB="0" distL="114300" distR="114300">
                  <wp:extent cx="5100320" cy="1629410"/>
                  <wp:effectExtent l="0" t="0" r="5080" b="127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2"/>
                          <a:stretch>
                            <a:fillRect/>
                          </a:stretch>
                        </pic:blipFill>
                        <pic:spPr>
                          <a:xfrm>
                            <a:off x="0" y="0"/>
                            <a:ext cx="5100320" cy="1629410"/>
                          </a:xfrm>
                          <a:prstGeom prst="rect">
                            <a:avLst/>
                          </a:prstGeom>
                          <a:noFill/>
                          <a:ln>
                            <a:noFill/>
                          </a:ln>
                        </pic:spPr>
                      </pic:pic>
                    </a:graphicData>
                  </a:graphic>
                </wp:inline>
              </w:drawing>
            </w:r>
          </w:p>
          <w:p w14:paraId="1D8B39F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图2    本项目</w:t>
            </w:r>
            <w:r>
              <w:rPr>
                <w:rFonts w:hint="default" w:ascii="Times New Roman" w:hAnsi="Times New Roman" w:eastAsia="宋体" w:cs="Times New Roman"/>
                <w:b/>
                <w:bCs/>
                <w:color w:val="auto"/>
                <w:sz w:val="21"/>
                <w:szCs w:val="21"/>
                <w:highlight w:val="none"/>
                <w:lang w:val="en-US" w:eastAsia="zh-CN"/>
              </w:rPr>
              <w:t>水稳料</w:t>
            </w:r>
            <w:r>
              <w:rPr>
                <w:rFonts w:hint="default" w:ascii="Times New Roman" w:hAnsi="Times New Roman" w:eastAsia="宋体" w:cs="Times New Roman"/>
                <w:b/>
                <w:bCs/>
                <w:color w:val="auto"/>
                <w:sz w:val="21"/>
                <w:szCs w:val="21"/>
                <w:highlight w:val="none"/>
              </w:rPr>
              <w:t>生产工艺流程图</w:t>
            </w:r>
          </w:p>
          <w:p w14:paraId="691F0D6C">
            <w:pPr>
              <w:spacing w:line="360" w:lineRule="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主要工艺说明：</w:t>
            </w:r>
          </w:p>
          <w:p w14:paraId="75AD5F2F">
            <w:pPr>
              <w:pStyle w:val="56"/>
              <w:spacing w:after="0"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kern w:val="0"/>
                <w:sz w:val="24"/>
                <w:szCs w:val="24"/>
                <w:highlight w:val="none"/>
                <w:lang w:val="en-US" w:eastAsia="zh-CN" w:bidi="ar-SA"/>
              </w:rPr>
              <w:t>本项目生产工序采用物料储存、物料称量输送、搅拌工序、外运等等几部分组成，生产工艺如下：</w:t>
            </w:r>
          </w:p>
          <w:p w14:paraId="00398FDD">
            <w:pPr>
              <w:pStyle w:val="56"/>
              <w:numPr>
                <w:ilvl w:val="0"/>
                <w:numId w:val="0"/>
              </w:numPr>
              <w:spacing w:after="0"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lang w:val="en-US" w:eastAsia="zh-CN"/>
              </w:rPr>
              <w:t>1</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配料计量工艺</w:t>
            </w:r>
          </w:p>
          <w:p w14:paraId="01DCBB8A">
            <w:pPr>
              <w:pStyle w:val="56"/>
              <w:spacing w:after="0"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采用电脑自动控制系统，对各类原材料进行精确计量。砂石等散装材料在密闭库房内通过铲车把物料运至皮带上，再经过全密闭输送带定量输送，水泥、粉煤灰等粉状物料通过密封管道系统输送。计量系统精度需达到±1%以内，确保配比准确性。该过程会有无组织扬尘和噪声产生。</w:t>
            </w:r>
          </w:p>
          <w:p w14:paraId="27074BC8">
            <w:pPr>
              <w:pStyle w:val="56"/>
              <w:spacing w:after="0"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（2）搅拌工艺</w:t>
            </w:r>
          </w:p>
          <w:p w14:paraId="49B8A25B">
            <w:pPr>
              <w:autoSpaceDE w:val="0"/>
              <w:autoSpaceDN w:val="0"/>
              <w:adjustRightInd w:val="0"/>
              <w:snapToGrid w:val="0"/>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在搅拌机内进行湿法搅拌，搅拌机转速控制在30-60转/分钟，搅拌时间3-5分钟。搅拌过程中通过顶部喷淋装置按配比加入适量水分，确保物料充分混合均匀。搅拌机采用双轴强制式搅拌，确保混合物料均匀性。该过程会有噪声、无组织扬尘、废水产生。</w:t>
            </w:r>
          </w:p>
          <w:p w14:paraId="1270A4E3">
            <w:pPr>
              <w:autoSpaceDE w:val="0"/>
              <w:autoSpaceDN w:val="0"/>
              <w:adjustRightInd w:val="0"/>
              <w:snapToGrid w:val="0"/>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（3）出料检验工艺</w:t>
            </w:r>
          </w:p>
          <w:p w14:paraId="4A8C507B">
            <w:pPr>
              <w:autoSpaceDE w:val="0"/>
              <w:autoSpaceDN w:val="0"/>
              <w:adjustRightInd w:val="0"/>
              <w:snapToGrid w:val="0"/>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搅拌完成后进行取样检验，检测项目包括含水率、级配等关键指标。合格产品输送至储料仓，不合格产品进行返工处理。储料仓采用气动控制系统，确保出料过程的精确控制。该过程会有固废、无组织扬尘和噪声产生</w:t>
            </w:r>
          </w:p>
          <w:p w14:paraId="412E3CF2">
            <w:pPr>
              <w:pStyle w:val="3"/>
              <w:keepNext w:val="0"/>
              <w:keepLines w:val="0"/>
              <w:pageBreakBefore w:val="0"/>
              <w:widowControl/>
              <w:kinsoku/>
              <w:wordWrap/>
              <w:overflowPunct/>
              <w:topLinePunct w:val="0"/>
              <w:autoSpaceDE/>
              <w:autoSpaceDN/>
              <w:bidi w:val="0"/>
              <w:adjustRightInd/>
              <w:snapToGrid w:val="0"/>
              <w:spacing w:before="0" w:after="0" w:line="360" w:lineRule="auto"/>
              <w:ind w:right="0" w:firstLine="480" w:firstLineChars="200"/>
              <w:textAlignment w:val="auto"/>
              <w:rPr>
                <w:rFonts w:hint="default" w:ascii="Times New Roman" w:hAnsi="Times New Roman" w:eastAsia="宋体" w:cs="Times New Roman"/>
                <w:b w:val="0"/>
                <w:bCs/>
                <w:color w:val="auto"/>
                <w:spacing w:val="0"/>
                <w:sz w:val="24"/>
                <w:szCs w:val="24"/>
                <w:highlight w:val="none"/>
                <w:lang w:eastAsia="zh-CN"/>
              </w:rPr>
            </w:pPr>
            <w:r>
              <w:rPr>
                <w:rFonts w:hint="default" w:ascii="Times New Roman" w:hAnsi="Times New Roman" w:eastAsia="宋体" w:cs="Times New Roman"/>
                <w:b w:val="0"/>
                <w:bCs/>
                <w:color w:val="auto"/>
                <w:spacing w:val="0"/>
                <w:sz w:val="24"/>
                <w:szCs w:val="24"/>
                <w:highlight w:val="none"/>
                <w:lang w:val="en-US" w:eastAsia="zh-CN"/>
              </w:rPr>
              <w:t>运营</w:t>
            </w:r>
            <w:r>
              <w:rPr>
                <w:rFonts w:hint="default" w:ascii="Times New Roman" w:hAnsi="Times New Roman" w:eastAsia="宋体" w:cs="Times New Roman"/>
                <w:b w:val="0"/>
                <w:bCs/>
                <w:color w:val="auto"/>
                <w:spacing w:val="0"/>
                <w:sz w:val="24"/>
                <w:szCs w:val="24"/>
                <w:highlight w:val="none"/>
                <w:lang w:eastAsia="zh-CN"/>
              </w:rPr>
              <w:t>过程产污环节如下表：</w:t>
            </w:r>
          </w:p>
          <w:p w14:paraId="5829CEC2">
            <w:pPr>
              <w:pStyle w:val="62"/>
              <w:keepNext w:val="0"/>
              <w:keepLines w:val="0"/>
              <w:pageBreakBefore w:val="0"/>
              <w:widowControl/>
              <w:kinsoku/>
              <w:wordWrap/>
              <w:overflowPunct/>
              <w:topLinePunct w:val="0"/>
              <w:autoSpaceDE/>
              <w:autoSpaceDN/>
              <w:bidi w:val="0"/>
              <w:adjustRightInd/>
              <w:snapToGrid w:val="0"/>
              <w:spacing w:before="0" w:after="0" w:line="240" w:lineRule="auto"/>
              <w:ind w:right="0" w:firstLineChars="0"/>
              <w:textAlignment w:val="auto"/>
              <w:rPr>
                <w:rStyle w:val="61"/>
                <w:rFonts w:hint="default" w:ascii="Times New Roman" w:hAnsi="Times New Roman" w:eastAsia="宋体" w:cs="Times New Roman"/>
                <w:b/>
                <w:color w:val="auto"/>
                <w:spacing w:val="0"/>
                <w:sz w:val="21"/>
                <w:szCs w:val="20"/>
                <w:highlight w:val="none"/>
                <w:lang w:val="en-US" w:eastAsia="zh-CN"/>
              </w:rPr>
            </w:pPr>
            <w:r>
              <w:rPr>
                <w:rStyle w:val="61"/>
                <w:rFonts w:hint="default" w:ascii="Times New Roman" w:hAnsi="Times New Roman" w:eastAsia="宋体" w:cs="Times New Roman"/>
                <w:b/>
                <w:color w:val="auto"/>
                <w:spacing w:val="0"/>
                <w:sz w:val="21"/>
                <w:szCs w:val="20"/>
                <w:highlight w:val="none"/>
                <w:lang w:val="en-US" w:eastAsia="zh-CN"/>
              </w:rPr>
              <w:t>表2-8   运营过程产排污节点一览表</w:t>
            </w:r>
          </w:p>
          <w:tbl>
            <w:tblPr>
              <w:tblStyle w:val="38"/>
              <w:tblW w:w="4949"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010"/>
              <w:gridCol w:w="1825"/>
              <w:gridCol w:w="1393"/>
              <w:gridCol w:w="1196"/>
              <w:gridCol w:w="2668"/>
            </w:tblGrid>
            <w:tr w14:paraId="5236961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010" w:type="dxa"/>
                  <w:tcBorders>
                    <w:bottom w:val="single" w:color="auto" w:sz="12" w:space="0"/>
                  </w:tcBorders>
                  <w:noWrap w:val="0"/>
                  <w:vAlign w:val="center"/>
                </w:tcPr>
                <w:p w14:paraId="44AF322A">
                  <w:pPr>
                    <w:pStyle w:val="64"/>
                    <w:spacing w:line="240" w:lineRule="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污染物</w:t>
                  </w:r>
                </w:p>
              </w:tc>
              <w:tc>
                <w:tcPr>
                  <w:tcW w:w="1825" w:type="dxa"/>
                  <w:tcBorders>
                    <w:bottom w:val="single" w:color="auto" w:sz="12" w:space="0"/>
                  </w:tcBorders>
                  <w:noWrap w:val="0"/>
                  <w:vAlign w:val="center"/>
                </w:tcPr>
                <w:p w14:paraId="1C652A82">
                  <w:pPr>
                    <w:pStyle w:val="64"/>
                    <w:spacing w:line="240" w:lineRule="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产污环节</w:t>
                  </w:r>
                </w:p>
              </w:tc>
              <w:tc>
                <w:tcPr>
                  <w:tcW w:w="1393" w:type="dxa"/>
                  <w:tcBorders>
                    <w:bottom w:val="single" w:color="auto" w:sz="12" w:space="0"/>
                  </w:tcBorders>
                  <w:noWrap w:val="0"/>
                  <w:vAlign w:val="center"/>
                </w:tcPr>
                <w:p w14:paraId="3B49D737">
                  <w:pPr>
                    <w:pStyle w:val="64"/>
                    <w:spacing w:line="240" w:lineRule="auto"/>
                    <w:rPr>
                      <w:rFonts w:hint="default" w:ascii="Times New Roman" w:hAnsi="Times New Roman" w:eastAsia="宋体" w:cs="Times New Roman"/>
                      <w:b/>
                      <w:bCs/>
                      <w:color w:val="auto"/>
                      <w:spacing w:val="0"/>
                      <w:sz w:val="21"/>
                      <w:szCs w:val="21"/>
                      <w:highlight w:val="none"/>
                      <w:lang w:val="en-US" w:eastAsia="zh-CN"/>
                    </w:rPr>
                  </w:pPr>
                  <w:r>
                    <w:rPr>
                      <w:rFonts w:hint="default" w:ascii="Times New Roman" w:hAnsi="Times New Roman" w:eastAsia="宋体" w:cs="Times New Roman"/>
                      <w:b/>
                      <w:bCs/>
                      <w:color w:val="auto"/>
                      <w:spacing w:val="0"/>
                      <w:sz w:val="21"/>
                      <w:szCs w:val="21"/>
                      <w:highlight w:val="none"/>
                      <w:lang w:val="en-US" w:eastAsia="zh-CN"/>
                    </w:rPr>
                    <w:t>污染物名称</w:t>
                  </w:r>
                </w:p>
              </w:tc>
              <w:tc>
                <w:tcPr>
                  <w:tcW w:w="1196" w:type="dxa"/>
                  <w:tcBorders>
                    <w:bottom w:val="single" w:color="auto" w:sz="12" w:space="0"/>
                  </w:tcBorders>
                  <w:noWrap w:val="0"/>
                  <w:vAlign w:val="center"/>
                </w:tcPr>
                <w:p w14:paraId="4A60A935">
                  <w:pPr>
                    <w:pStyle w:val="64"/>
                    <w:spacing w:line="240" w:lineRule="auto"/>
                    <w:rPr>
                      <w:rFonts w:hint="default" w:ascii="Times New Roman" w:hAnsi="Times New Roman" w:eastAsia="宋体" w:cs="Times New Roman"/>
                      <w:b/>
                      <w:bCs/>
                      <w:color w:val="auto"/>
                      <w:spacing w:val="0"/>
                      <w:sz w:val="21"/>
                      <w:szCs w:val="21"/>
                      <w:highlight w:val="none"/>
                      <w:lang w:val="en-US" w:eastAsia="zh-CN"/>
                    </w:rPr>
                  </w:pPr>
                  <w:r>
                    <w:rPr>
                      <w:rFonts w:hint="default" w:ascii="Times New Roman" w:hAnsi="Times New Roman" w:eastAsia="宋体" w:cs="Times New Roman"/>
                      <w:b/>
                      <w:bCs/>
                      <w:color w:val="auto"/>
                      <w:spacing w:val="0"/>
                      <w:sz w:val="21"/>
                      <w:szCs w:val="21"/>
                      <w:highlight w:val="none"/>
                      <w:lang w:val="en-US" w:eastAsia="zh-CN"/>
                    </w:rPr>
                    <w:t>排放形式</w:t>
                  </w:r>
                </w:p>
              </w:tc>
              <w:tc>
                <w:tcPr>
                  <w:tcW w:w="2668" w:type="dxa"/>
                  <w:tcBorders>
                    <w:bottom w:val="single" w:color="auto" w:sz="12" w:space="0"/>
                  </w:tcBorders>
                  <w:noWrap w:val="0"/>
                  <w:vAlign w:val="center"/>
                </w:tcPr>
                <w:p w14:paraId="44A6155E">
                  <w:pPr>
                    <w:pStyle w:val="64"/>
                    <w:spacing w:line="240" w:lineRule="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污染治理措施</w:t>
                  </w:r>
                </w:p>
              </w:tc>
            </w:tr>
            <w:tr w14:paraId="1A2B471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010" w:type="dxa"/>
                  <w:vMerge w:val="restart"/>
                  <w:tcBorders>
                    <w:top w:val="single" w:color="auto" w:sz="12" w:space="0"/>
                  </w:tcBorders>
                  <w:noWrap w:val="0"/>
                  <w:vAlign w:val="center"/>
                </w:tcPr>
                <w:p w14:paraId="00F90794">
                  <w:pPr>
                    <w:pStyle w:val="64"/>
                    <w:spacing w:line="240" w:lineRule="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废气</w:t>
                  </w:r>
                </w:p>
              </w:tc>
              <w:tc>
                <w:tcPr>
                  <w:tcW w:w="1825" w:type="dxa"/>
                  <w:tcBorders>
                    <w:top w:val="single" w:color="auto" w:sz="12" w:space="0"/>
                    <w:bottom w:val="single" w:color="auto" w:sz="4" w:space="0"/>
                  </w:tcBorders>
                  <w:noWrap w:val="0"/>
                  <w:vAlign w:val="center"/>
                </w:tcPr>
                <w:p w14:paraId="60F44D3A">
                  <w:pPr>
                    <w:pStyle w:val="64"/>
                    <w:spacing w:line="240" w:lineRule="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破碎粉尘</w:t>
                  </w:r>
                </w:p>
              </w:tc>
              <w:tc>
                <w:tcPr>
                  <w:tcW w:w="1393" w:type="dxa"/>
                  <w:tcBorders>
                    <w:top w:val="single" w:color="auto" w:sz="12" w:space="0"/>
                    <w:bottom w:val="single" w:color="auto" w:sz="4" w:space="0"/>
                  </w:tcBorders>
                  <w:noWrap w:val="0"/>
                  <w:vAlign w:val="center"/>
                </w:tcPr>
                <w:p w14:paraId="01625502">
                  <w:pPr>
                    <w:pStyle w:val="64"/>
                    <w:spacing w:line="240" w:lineRule="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颗粒物</w:t>
                  </w:r>
                </w:p>
              </w:tc>
              <w:tc>
                <w:tcPr>
                  <w:tcW w:w="1196" w:type="dxa"/>
                  <w:tcBorders>
                    <w:top w:val="single" w:color="auto" w:sz="12" w:space="0"/>
                    <w:bottom w:val="single" w:color="auto" w:sz="4" w:space="0"/>
                  </w:tcBorders>
                  <w:noWrap w:val="0"/>
                  <w:vAlign w:val="center"/>
                </w:tcPr>
                <w:p w14:paraId="24F12726">
                  <w:pPr>
                    <w:pStyle w:val="64"/>
                    <w:spacing w:line="240" w:lineRule="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有组织</w:t>
                  </w:r>
                </w:p>
              </w:tc>
              <w:tc>
                <w:tcPr>
                  <w:tcW w:w="2668" w:type="dxa"/>
                  <w:tcBorders>
                    <w:top w:val="single" w:color="auto" w:sz="12" w:space="0"/>
                    <w:bottom w:val="single" w:color="auto" w:sz="4" w:space="0"/>
                  </w:tcBorders>
                  <w:noWrap w:val="0"/>
                  <w:vAlign w:val="center"/>
                </w:tcPr>
                <w:p w14:paraId="1F7C5723">
                  <w:pPr>
                    <w:pStyle w:val="64"/>
                    <w:spacing w:line="240" w:lineRule="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布袋除尘设备+不低于15m高排气筒（DA001）</w:t>
                  </w:r>
                </w:p>
              </w:tc>
            </w:tr>
            <w:tr w14:paraId="55004BD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010" w:type="dxa"/>
                  <w:vMerge w:val="continue"/>
                  <w:noWrap w:val="0"/>
                  <w:vAlign w:val="center"/>
                </w:tcPr>
                <w:p w14:paraId="586AD295">
                  <w:pPr>
                    <w:pStyle w:val="64"/>
                    <w:spacing w:line="240" w:lineRule="auto"/>
                    <w:rPr>
                      <w:rFonts w:hint="default" w:ascii="Times New Roman" w:hAnsi="Times New Roman" w:eastAsia="宋体" w:cs="Times New Roman"/>
                      <w:color w:val="auto"/>
                      <w:spacing w:val="0"/>
                      <w:sz w:val="21"/>
                      <w:szCs w:val="21"/>
                      <w:highlight w:val="none"/>
                    </w:rPr>
                  </w:pPr>
                </w:p>
              </w:tc>
              <w:tc>
                <w:tcPr>
                  <w:tcW w:w="1825" w:type="dxa"/>
                  <w:tcBorders>
                    <w:top w:val="single" w:color="auto" w:sz="4" w:space="0"/>
                    <w:bottom w:val="single" w:color="auto" w:sz="4" w:space="0"/>
                  </w:tcBorders>
                  <w:noWrap w:val="0"/>
                  <w:vAlign w:val="center"/>
                </w:tcPr>
                <w:p w14:paraId="4C99B87C">
                  <w:pPr>
                    <w:pStyle w:val="64"/>
                    <w:spacing w:line="240" w:lineRule="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筛分粉尘</w:t>
                  </w:r>
                </w:p>
              </w:tc>
              <w:tc>
                <w:tcPr>
                  <w:tcW w:w="1393" w:type="dxa"/>
                  <w:tcBorders>
                    <w:top w:val="single" w:color="auto" w:sz="4" w:space="0"/>
                    <w:bottom w:val="single" w:color="auto" w:sz="4" w:space="0"/>
                  </w:tcBorders>
                  <w:noWrap w:val="0"/>
                  <w:vAlign w:val="center"/>
                </w:tcPr>
                <w:p w14:paraId="4A962249">
                  <w:pPr>
                    <w:pStyle w:val="64"/>
                    <w:spacing w:line="240" w:lineRule="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颗粒物</w:t>
                  </w:r>
                </w:p>
              </w:tc>
              <w:tc>
                <w:tcPr>
                  <w:tcW w:w="1196" w:type="dxa"/>
                  <w:tcBorders>
                    <w:top w:val="single" w:color="auto" w:sz="4" w:space="0"/>
                    <w:bottom w:val="single" w:color="auto" w:sz="4" w:space="0"/>
                  </w:tcBorders>
                  <w:noWrap w:val="0"/>
                  <w:vAlign w:val="center"/>
                </w:tcPr>
                <w:p w14:paraId="19A25184">
                  <w:pPr>
                    <w:pStyle w:val="64"/>
                    <w:spacing w:line="240" w:lineRule="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有组织</w:t>
                  </w:r>
                </w:p>
              </w:tc>
              <w:tc>
                <w:tcPr>
                  <w:tcW w:w="2668" w:type="dxa"/>
                  <w:tcBorders>
                    <w:top w:val="single" w:color="auto" w:sz="4" w:space="0"/>
                    <w:bottom w:val="single" w:color="auto" w:sz="4" w:space="0"/>
                  </w:tcBorders>
                  <w:noWrap w:val="0"/>
                  <w:vAlign w:val="center"/>
                </w:tcPr>
                <w:p w14:paraId="17864028">
                  <w:pPr>
                    <w:pStyle w:val="64"/>
                    <w:spacing w:line="240" w:lineRule="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布袋除尘设备+不低于15m高排气筒（DA002）</w:t>
                  </w:r>
                </w:p>
              </w:tc>
            </w:tr>
            <w:tr w14:paraId="0A3156B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010" w:type="dxa"/>
                  <w:vMerge w:val="continue"/>
                  <w:noWrap w:val="0"/>
                  <w:vAlign w:val="center"/>
                </w:tcPr>
                <w:p w14:paraId="62EABEA9">
                  <w:pPr>
                    <w:pStyle w:val="64"/>
                    <w:spacing w:line="240" w:lineRule="auto"/>
                    <w:rPr>
                      <w:rFonts w:hint="default" w:ascii="Times New Roman" w:hAnsi="Times New Roman" w:eastAsia="宋体" w:cs="Times New Roman"/>
                      <w:color w:val="auto"/>
                      <w:spacing w:val="0"/>
                      <w:sz w:val="21"/>
                      <w:szCs w:val="21"/>
                      <w:highlight w:val="none"/>
                    </w:rPr>
                  </w:pPr>
                </w:p>
              </w:tc>
              <w:tc>
                <w:tcPr>
                  <w:tcW w:w="1825" w:type="dxa"/>
                  <w:tcBorders>
                    <w:top w:val="single" w:color="auto" w:sz="4" w:space="0"/>
                    <w:bottom w:val="single" w:color="auto" w:sz="4" w:space="0"/>
                  </w:tcBorders>
                  <w:noWrap w:val="0"/>
                  <w:vAlign w:val="center"/>
                </w:tcPr>
                <w:p w14:paraId="10677A6D">
                  <w:pPr>
                    <w:pStyle w:val="64"/>
                    <w:spacing w:line="240" w:lineRule="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水稳搅拌粉尘</w:t>
                  </w:r>
                </w:p>
              </w:tc>
              <w:tc>
                <w:tcPr>
                  <w:tcW w:w="1393" w:type="dxa"/>
                  <w:tcBorders>
                    <w:top w:val="single" w:color="auto" w:sz="4" w:space="0"/>
                    <w:bottom w:val="single" w:color="auto" w:sz="4" w:space="0"/>
                  </w:tcBorders>
                  <w:noWrap w:val="0"/>
                  <w:vAlign w:val="center"/>
                </w:tcPr>
                <w:p w14:paraId="79C31A9E">
                  <w:pPr>
                    <w:pStyle w:val="64"/>
                    <w:spacing w:line="240" w:lineRule="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颗粒物</w:t>
                  </w:r>
                </w:p>
              </w:tc>
              <w:tc>
                <w:tcPr>
                  <w:tcW w:w="1196" w:type="dxa"/>
                  <w:tcBorders>
                    <w:top w:val="single" w:color="auto" w:sz="4" w:space="0"/>
                    <w:bottom w:val="single" w:color="auto" w:sz="4" w:space="0"/>
                  </w:tcBorders>
                  <w:noWrap w:val="0"/>
                  <w:vAlign w:val="center"/>
                </w:tcPr>
                <w:p w14:paraId="364C05BE">
                  <w:pPr>
                    <w:pStyle w:val="64"/>
                    <w:spacing w:line="240" w:lineRule="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有组织</w:t>
                  </w:r>
                </w:p>
              </w:tc>
              <w:tc>
                <w:tcPr>
                  <w:tcW w:w="2668" w:type="dxa"/>
                  <w:tcBorders>
                    <w:top w:val="single" w:color="auto" w:sz="4" w:space="0"/>
                    <w:bottom w:val="single" w:color="auto" w:sz="4" w:space="0"/>
                  </w:tcBorders>
                  <w:noWrap w:val="0"/>
                  <w:vAlign w:val="center"/>
                </w:tcPr>
                <w:p w14:paraId="566FF704">
                  <w:pPr>
                    <w:pStyle w:val="64"/>
                    <w:spacing w:line="240" w:lineRule="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布袋除尘设备+不低于15m高排气筒（DA003）</w:t>
                  </w:r>
                </w:p>
              </w:tc>
            </w:tr>
            <w:tr w14:paraId="27BC7DB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010" w:type="dxa"/>
                  <w:vMerge w:val="continue"/>
                  <w:noWrap w:val="0"/>
                  <w:vAlign w:val="center"/>
                </w:tcPr>
                <w:p w14:paraId="0A345FCC">
                  <w:pPr>
                    <w:pStyle w:val="64"/>
                    <w:spacing w:line="240" w:lineRule="auto"/>
                    <w:rPr>
                      <w:rFonts w:hint="default" w:ascii="Times New Roman" w:hAnsi="Times New Roman" w:eastAsia="宋体" w:cs="Times New Roman"/>
                      <w:color w:val="auto"/>
                      <w:spacing w:val="0"/>
                      <w:sz w:val="21"/>
                      <w:szCs w:val="21"/>
                      <w:highlight w:val="none"/>
                    </w:rPr>
                  </w:pPr>
                </w:p>
              </w:tc>
              <w:tc>
                <w:tcPr>
                  <w:tcW w:w="1825" w:type="dxa"/>
                  <w:tcBorders>
                    <w:top w:val="single" w:color="auto" w:sz="4" w:space="0"/>
                    <w:bottom w:val="single" w:color="auto" w:sz="4" w:space="0"/>
                  </w:tcBorders>
                  <w:noWrap w:val="0"/>
                  <w:vAlign w:val="center"/>
                </w:tcPr>
                <w:p w14:paraId="29E5D6CB">
                  <w:pPr>
                    <w:pStyle w:val="64"/>
                    <w:spacing w:line="240" w:lineRule="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筒仓粉尘</w:t>
                  </w:r>
                </w:p>
              </w:tc>
              <w:tc>
                <w:tcPr>
                  <w:tcW w:w="1393" w:type="dxa"/>
                  <w:tcBorders>
                    <w:top w:val="single" w:color="auto" w:sz="4" w:space="0"/>
                    <w:bottom w:val="single" w:color="auto" w:sz="4" w:space="0"/>
                  </w:tcBorders>
                  <w:noWrap w:val="0"/>
                  <w:vAlign w:val="center"/>
                </w:tcPr>
                <w:p w14:paraId="12EB638F">
                  <w:pPr>
                    <w:pStyle w:val="64"/>
                    <w:spacing w:line="240" w:lineRule="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颗粒物</w:t>
                  </w:r>
                </w:p>
              </w:tc>
              <w:tc>
                <w:tcPr>
                  <w:tcW w:w="1196" w:type="dxa"/>
                  <w:tcBorders>
                    <w:top w:val="single" w:color="auto" w:sz="4" w:space="0"/>
                    <w:bottom w:val="single" w:color="auto" w:sz="4" w:space="0"/>
                  </w:tcBorders>
                  <w:noWrap w:val="0"/>
                  <w:vAlign w:val="center"/>
                </w:tcPr>
                <w:p w14:paraId="5A59E659">
                  <w:pPr>
                    <w:pStyle w:val="64"/>
                    <w:spacing w:line="240" w:lineRule="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无组织</w:t>
                  </w:r>
                </w:p>
              </w:tc>
              <w:tc>
                <w:tcPr>
                  <w:tcW w:w="2668" w:type="dxa"/>
                  <w:tcBorders>
                    <w:top w:val="single" w:color="auto" w:sz="4" w:space="0"/>
                    <w:bottom w:val="single" w:color="auto" w:sz="4" w:space="0"/>
                  </w:tcBorders>
                  <w:noWrap w:val="0"/>
                  <w:vAlign w:val="center"/>
                </w:tcPr>
                <w:p w14:paraId="19CFCB85">
                  <w:pPr>
                    <w:pStyle w:val="64"/>
                    <w:spacing w:line="240" w:lineRule="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布袋除尘设备</w:t>
                  </w:r>
                </w:p>
              </w:tc>
            </w:tr>
            <w:tr w14:paraId="4963300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010" w:type="dxa"/>
                  <w:vMerge w:val="continue"/>
                  <w:noWrap w:val="0"/>
                  <w:vAlign w:val="center"/>
                </w:tcPr>
                <w:p w14:paraId="38595EBD">
                  <w:pPr>
                    <w:pStyle w:val="64"/>
                    <w:spacing w:line="240" w:lineRule="auto"/>
                    <w:rPr>
                      <w:rFonts w:hint="default" w:ascii="Times New Roman" w:hAnsi="Times New Roman" w:eastAsia="宋体" w:cs="Times New Roman"/>
                      <w:color w:val="auto"/>
                      <w:spacing w:val="0"/>
                      <w:sz w:val="21"/>
                      <w:szCs w:val="21"/>
                      <w:highlight w:val="none"/>
                    </w:rPr>
                  </w:pPr>
                </w:p>
              </w:tc>
              <w:tc>
                <w:tcPr>
                  <w:tcW w:w="1825" w:type="dxa"/>
                  <w:tcBorders>
                    <w:top w:val="single" w:color="auto" w:sz="4" w:space="0"/>
                  </w:tcBorders>
                  <w:noWrap w:val="0"/>
                  <w:vAlign w:val="center"/>
                </w:tcPr>
                <w:p w14:paraId="22764499">
                  <w:pPr>
                    <w:pStyle w:val="64"/>
                    <w:spacing w:line="240" w:lineRule="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矿石开挖</w:t>
                  </w:r>
                  <w:r>
                    <w:rPr>
                      <w:rFonts w:hint="default" w:ascii="Times New Roman" w:hAnsi="Times New Roman" w:eastAsia="宋体" w:cs="Times New Roman"/>
                      <w:color w:val="auto"/>
                      <w:spacing w:val="0"/>
                      <w:sz w:val="21"/>
                      <w:szCs w:val="21"/>
                      <w:highlight w:val="none"/>
                    </w:rPr>
                    <w:t>粉尘</w:t>
                  </w:r>
                </w:p>
              </w:tc>
              <w:tc>
                <w:tcPr>
                  <w:tcW w:w="1393" w:type="dxa"/>
                  <w:tcBorders>
                    <w:top w:val="single" w:color="auto" w:sz="4" w:space="0"/>
                  </w:tcBorders>
                  <w:noWrap w:val="0"/>
                  <w:vAlign w:val="center"/>
                </w:tcPr>
                <w:p w14:paraId="212D9ED2">
                  <w:pPr>
                    <w:pStyle w:val="64"/>
                    <w:spacing w:line="240" w:lineRule="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颗粒物</w:t>
                  </w:r>
                </w:p>
              </w:tc>
              <w:tc>
                <w:tcPr>
                  <w:tcW w:w="1196" w:type="dxa"/>
                  <w:tcBorders>
                    <w:top w:val="single" w:color="auto" w:sz="4" w:space="0"/>
                  </w:tcBorders>
                  <w:noWrap w:val="0"/>
                  <w:vAlign w:val="center"/>
                </w:tcPr>
                <w:p w14:paraId="7556BFF0">
                  <w:pPr>
                    <w:pStyle w:val="64"/>
                    <w:spacing w:line="240" w:lineRule="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无组织</w:t>
                  </w:r>
                </w:p>
              </w:tc>
              <w:tc>
                <w:tcPr>
                  <w:tcW w:w="2668" w:type="dxa"/>
                  <w:tcBorders>
                    <w:top w:val="single" w:color="auto" w:sz="4" w:space="0"/>
                  </w:tcBorders>
                  <w:noWrap w:val="0"/>
                  <w:vAlign w:val="center"/>
                </w:tcPr>
                <w:p w14:paraId="42B84507">
                  <w:pPr>
                    <w:pStyle w:val="64"/>
                    <w:spacing w:line="240" w:lineRule="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产尘点洒水抑尘</w:t>
                  </w:r>
                </w:p>
              </w:tc>
            </w:tr>
            <w:tr w14:paraId="5985114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010" w:type="dxa"/>
                  <w:vMerge w:val="continue"/>
                  <w:noWrap w:val="0"/>
                  <w:vAlign w:val="center"/>
                </w:tcPr>
                <w:p w14:paraId="52EC67A5">
                  <w:pPr>
                    <w:pStyle w:val="64"/>
                    <w:spacing w:line="240" w:lineRule="auto"/>
                    <w:rPr>
                      <w:rFonts w:hint="default" w:ascii="Times New Roman" w:hAnsi="Times New Roman" w:eastAsia="宋体" w:cs="Times New Roman"/>
                      <w:color w:val="auto"/>
                      <w:spacing w:val="0"/>
                      <w:sz w:val="21"/>
                      <w:szCs w:val="21"/>
                      <w:highlight w:val="none"/>
                    </w:rPr>
                  </w:pPr>
                </w:p>
              </w:tc>
              <w:tc>
                <w:tcPr>
                  <w:tcW w:w="1825" w:type="dxa"/>
                  <w:noWrap w:val="0"/>
                  <w:vAlign w:val="center"/>
                </w:tcPr>
                <w:p w14:paraId="455131A4">
                  <w:pPr>
                    <w:pStyle w:val="64"/>
                    <w:spacing w:line="240" w:lineRule="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道路运输扬尘</w:t>
                  </w:r>
                </w:p>
              </w:tc>
              <w:tc>
                <w:tcPr>
                  <w:tcW w:w="1393" w:type="dxa"/>
                  <w:noWrap w:val="0"/>
                  <w:vAlign w:val="center"/>
                </w:tcPr>
                <w:p w14:paraId="1604A1CA">
                  <w:pPr>
                    <w:pStyle w:val="64"/>
                    <w:spacing w:line="240" w:lineRule="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颗粒物</w:t>
                  </w:r>
                </w:p>
              </w:tc>
              <w:tc>
                <w:tcPr>
                  <w:tcW w:w="1196" w:type="dxa"/>
                  <w:noWrap w:val="0"/>
                  <w:vAlign w:val="center"/>
                </w:tcPr>
                <w:p w14:paraId="60535784">
                  <w:pPr>
                    <w:pStyle w:val="64"/>
                    <w:spacing w:line="240" w:lineRule="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无组织</w:t>
                  </w:r>
                </w:p>
              </w:tc>
              <w:tc>
                <w:tcPr>
                  <w:tcW w:w="2668" w:type="dxa"/>
                  <w:noWrap w:val="0"/>
                  <w:vAlign w:val="center"/>
                </w:tcPr>
                <w:p w14:paraId="3158A997">
                  <w:pPr>
                    <w:pStyle w:val="64"/>
                    <w:spacing w:line="240" w:lineRule="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洒水降尘、地面硬化</w:t>
                  </w:r>
                </w:p>
              </w:tc>
            </w:tr>
            <w:tr w14:paraId="0274B4E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010" w:type="dxa"/>
                  <w:vMerge w:val="continue"/>
                  <w:noWrap w:val="0"/>
                  <w:vAlign w:val="center"/>
                </w:tcPr>
                <w:p w14:paraId="668AE272">
                  <w:pPr>
                    <w:pStyle w:val="64"/>
                    <w:spacing w:line="240" w:lineRule="auto"/>
                    <w:rPr>
                      <w:rFonts w:hint="default" w:ascii="Times New Roman" w:hAnsi="Times New Roman" w:eastAsia="宋体" w:cs="Times New Roman"/>
                      <w:color w:val="auto"/>
                      <w:spacing w:val="0"/>
                      <w:sz w:val="21"/>
                      <w:szCs w:val="21"/>
                      <w:highlight w:val="none"/>
                    </w:rPr>
                  </w:pPr>
                </w:p>
              </w:tc>
              <w:tc>
                <w:tcPr>
                  <w:tcW w:w="1825" w:type="dxa"/>
                  <w:noWrap w:val="0"/>
                  <w:vAlign w:val="center"/>
                </w:tcPr>
                <w:p w14:paraId="1C85AF11">
                  <w:pPr>
                    <w:pStyle w:val="64"/>
                    <w:spacing w:line="240" w:lineRule="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砂石料</w:t>
                  </w:r>
                  <w:r>
                    <w:rPr>
                      <w:rFonts w:hint="default" w:ascii="Times New Roman" w:hAnsi="Times New Roman" w:eastAsia="宋体" w:cs="Times New Roman"/>
                      <w:color w:val="auto"/>
                      <w:spacing w:val="0"/>
                      <w:sz w:val="21"/>
                      <w:szCs w:val="21"/>
                      <w:highlight w:val="none"/>
                    </w:rPr>
                    <w:t>运输扬尘</w:t>
                  </w:r>
                </w:p>
              </w:tc>
              <w:tc>
                <w:tcPr>
                  <w:tcW w:w="1393" w:type="dxa"/>
                  <w:noWrap w:val="0"/>
                  <w:vAlign w:val="center"/>
                </w:tcPr>
                <w:p w14:paraId="77CF3185">
                  <w:pPr>
                    <w:pStyle w:val="64"/>
                    <w:spacing w:line="240" w:lineRule="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lang w:val="en-US" w:eastAsia="zh-CN"/>
                    </w:rPr>
                    <w:t>颗粒物</w:t>
                  </w:r>
                </w:p>
              </w:tc>
              <w:tc>
                <w:tcPr>
                  <w:tcW w:w="1196" w:type="dxa"/>
                  <w:noWrap w:val="0"/>
                  <w:vAlign w:val="center"/>
                </w:tcPr>
                <w:p w14:paraId="77995F83">
                  <w:pPr>
                    <w:pStyle w:val="64"/>
                    <w:spacing w:line="240" w:lineRule="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无组织</w:t>
                  </w:r>
                </w:p>
              </w:tc>
              <w:tc>
                <w:tcPr>
                  <w:tcW w:w="2668" w:type="dxa"/>
                  <w:noWrap w:val="0"/>
                  <w:vAlign w:val="center"/>
                </w:tcPr>
                <w:p w14:paraId="4A4679F9">
                  <w:pPr>
                    <w:pStyle w:val="64"/>
                    <w:spacing w:line="240" w:lineRule="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密闭廊道</w:t>
                  </w:r>
                </w:p>
              </w:tc>
            </w:tr>
            <w:tr w14:paraId="6DDF1BE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010" w:type="dxa"/>
                  <w:vMerge w:val="restart"/>
                  <w:noWrap w:val="0"/>
                  <w:vAlign w:val="center"/>
                </w:tcPr>
                <w:p w14:paraId="4C5E5FAA">
                  <w:pPr>
                    <w:pStyle w:val="64"/>
                    <w:spacing w:line="240" w:lineRule="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废水</w:t>
                  </w:r>
                </w:p>
              </w:tc>
              <w:tc>
                <w:tcPr>
                  <w:tcW w:w="1825" w:type="dxa"/>
                  <w:noWrap w:val="0"/>
                  <w:vAlign w:val="center"/>
                </w:tcPr>
                <w:p w14:paraId="1D2063E6">
                  <w:pPr>
                    <w:pStyle w:val="64"/>
                    <w:spacing w:line="240" w:lineRule="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洗砂</w:t>
                  </w:r>
                </w:p>
              </w:tc>
              <w:tc>
                <w:tcPr>
                  <w:tcW w:w="1393" w:type="dxa"/>
                  <w:noWrap w:val="0"/>
                  <w:vAlign w:val="center"/>
                </w:tcPr>
                <w:p w14:paraId="01080FA9">
                  <w:pPr>
                    <w:pStyle w:val="64"/>
                    <w:spacing w:line="240" w:lineRule="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洗砂废水</w:t>
                  </w:r>
                </w:p>
              </w:tc>
              <w:tc>
                <w:tcPr>
                  <w:tcW w:w="1196" w:type="dxa"/>
                  <w:noWrap w:val="0"/>
                  <w:vAlign w:val="center"/>
                </w:tcPr>
                <w:p w14:paraId="2C99DC25">
                  <w:pPr>
                    <w:pStyle w:val="64"/>
                    <w:spacing w:line="240" w:lineRule="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w:t>
                  </w:r>
                </w:p>
              </w:tc>
              <w:tc>
                <w:tcPr>
                  <w:tcW w:w="2668" w:type="dxa"/>
                  <w:noWrap w:val="0"/>
                  <w:vAlign w:val="center"/>
                </w:tcPr>
                <w:p w14:paraId="2304902A">
                  <w:pPr>
                    <w:pStyle w:val="64"/>
                    <w:spacing w:line="240" w:lineRule="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bCs/>
                      <w:color w:val="auto"/>
                      <w:sz w:val="21"/>
                      <w:szCs w:val="21"/>
                      <w:highlight w:val="none"/>
                      <w:lang w:val="en-US" w:eastAsia="zh-CN"/>
                    </w:rPr>
                    <w:t>收集沉淀后回用</w:t>
                  </w:r>
                </w:p>
              </w:tc>
            </w:tr>
            <w:tr w14:paraId="6CFB5DF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010" w:type="dxa"/>
                  <w:vMerge w:val="continue"/>
                  <w:noWrap w:val="0"/>
                  <w:vAlign w:val="center"/>
                </w:tcPr>
                <w:p w14:paraId="6AF6C70D">
                  <w:pPr>
                    <w:pStyle w:val="64"/>
                    <w:spacing w:line="240" w:lineRule="auto"/>
                    <w:rPr>
                      <w:rFonts w:hint="default" w:ascii="Times New Roman" w:hAnsi="Times New Roman" w:eastAsia="宋体" w:cs="Times New Roman"/>
                      <w:color w:val="auto"/>
                      <w:spacing w:val="0"/>
                      <w:sz w:val="21"/>
                      <w:szCs w:val="21"/>
                      <w:highlight w:val="none"/>
                    </w:rPr>
                  </w:pPr>
                </w:p>
              </w:tc>
              <w:tc>
                <w:tcPr>
                  <w:tcW w:w="1825" w:type="dxa"/>
                  <w:noWrap w:val="0"/>
                  <w:vAlign w:val="center"/>
                </w:tcPr>
                <w:p w14:paraId="79B687E0">
                  <w:pPr>
                    <w:pStyle w:val="71"/>
                    <w:widowControl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bCs/>
                      <w:color w:val="auto"/>
                      <w:sz w:val="21"/>
                      <w:szCs w:val="21"/>
                      <w:highlight w:val="none"/>
                      <w:lang w:val="en-US" w:eastAsia="zh-CN"/>
                    </w:rPr>
                    <w:t>清洗设备</w:t>
                  </w:r>
                </w:p>
              </w:tc>
              <w:tc>
                <w:tcPr>
                  <w:tcW w:w="1393" w:type="dxa"/>
                  <w:noWrap w:val="0"/>
                  <w:vAlign w:val="center"/>
                </w:tcPr>
                <w:p w14:paraId="3DBDAFA5">
                  <w:pPr>
                    <w:pStyle w:val="71"/>
                    <w:widowControl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bCs/>
                      <w:color w:val="auto"/>
                      <w:sz w:val="21"/>
                      <w:szCs w:val="21"/>
                      <w:highlight w:val="none"/>
                      <w:lang w:val="en-US" w:eastAsia="zh-CN"/>
                    </w:rPr>
                    <w:t>生产废水</w:t>
                  </w:r>
                </w:p>
              </w:tc>
              <w:tc>
                <w:tcPr>
                  <w:tcW w:w="1196" w:type="dxa"/>
                  <w:noWrap w:val="0"/>
                  <w:vAlign w:val="center"/>
                </w:tcPr>
                <w:p w14:paraId="2A5546BA">
                  <w:pPr>
                    <w:pStyle w:val="71"/>
                    <w:widowControl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bCs/>
                      <w:color w:val="auto"/>
                      <w:sz w:val="21"/>
                      <w:szCs w:val="21"/>
                      <w:highlight w:val="none"/>
                      <w:lang w:val="en-US" w:eastAsia="zh-CN"/>
                    </w:rPr>
                    <w:t>/</w:t>
                  </w:r>
                </w:p>
              </w:tc>
              <w:tc>
                <w:tcPr>
                  <w:tcW w:w="2668" w:type="dxa"/>
                  <w:noWrap w:val="0"/>
                  <w:vAlign w:val="center"/>
                </w:tcPr>
                <w:p w14:paraId="1150DCBC">
                  <w:pPr>
                    <w:pStyle w:val="71"/>
                    <w:widowControl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bCs/>
                      <w:color w:val="auto"/>
                      <w:sz w:val="21"/>
                      <w:szCs w:val="21"/>
                      <w:highlight w:val="none"/>
                      <w:lang w:val="en-US" w:eastAsia="zh-CN"/>
                    </w:rPr>
                    <w:t>收集回用</w:t>
                  </w:r>
                </w:p>
              </w:tc>
            </w:tr>
            <w:tr w14:paraId="37CFF8B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010" w:type="dxa"/>
                  <w:vMerge w:val="continue"/>
                  <w:noWrap w:val="0"/>
                  <w:vAlign w:val="center"/>
                </w:tcPr>
                <w:p w14:paraId="179D06F0">
                  <w:pPr>
                    <w:pStyle w:val="64"/>
                    <w:spacing w:line="240" w:lineRule="auto"/>
                    <w:rPr>
                      <w:rFonts w:hint="default" w:ascii="Times New Roman" w:hAnsi="Times New Roman" w:eastAsia="宋体" w:cs="Times New Roman"/>
                      <w:color w:val="auto"/>
                      <w:spacing w:val="0"/>
                      <w:sz w:val="21"/>
                      <w:szCs w:val="21"/>
                      <w:highlight w:val="none"/>
                    </w:rPr>
                  </w:pPr>
                </w:p>
              </w:tc>
              <w:tc>
                <w:tcPr>
                  <w:tcW w:w="1825" w:type="dxa"/>
                  <w:noWrap w:val="0"/>
                  <w:vAlign w:val="center"/>
                </w:tcPr>
                <w:p w14:paraId="6C34B2FB">
                  <w:pPr>
                    <w:pStyle w:val="71"/>
                    <w:widowControl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bCs/>
                      <w:color w:val="auto"/>
                      <w:sz w:val="21"/>
                      <w:szCs w:val="21"/>
                      <w:highlight w:val="none"/>
                    </w:rPr>
                    <w:t>生活污水</w:t>
                  </w:r>
                </w:p>
              </w:tc>
              <w:tc>
                <w:tcPr>
                  <w:tcW w:w="1393" w:type="dxa"/>
                  <w:noWrap w:val="0"/>
                  <w:vAlign w:val="center"/>
                </w:tcPr>
                <w:p w14:paraId="4F26E849">
                  <w:pPr>
                    <w:pStyle w:val="71"/>
                    <w:widowControl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bCs/>
                      <w:color w:val="auto"/>
                      <w:sz w:val="21"/>
                      <w:szCs w:val="21"/>
                      <w:highlight w:val="none"/>
                    </w:rPr>
                    <w:t>生活污水</w:t>
                  </w:r>
                </w:p>
              </w:tc>
              <w:tc>
                <w:tcPr>
                  <w:tcW w:w="1196" w:type="dxa"/>
                  <w:noWrap w:val="0"/>
                  <w:vAlign w:val="center"/>
                </w:tcPr>
                <w:p w14:paraId="71E8D2FE">
                  <w:pPr>
                    <w:pStyle w:val="71"/>
                    <w:widowControl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bCs/>
                      <w:color w:val="auto"/>
                      <w:sz w:val="21"/>
                      <w:szCs w:val="21"/>
                      <w:highlight w:val="none"/>
                      <w:lang w:val="en-US" w:eastAsia="zh-CN"/>
                    </w:rPr>
                    <w:t>/</w:t>
                  </w:r>
                </w:p>
              </w:tc>
              <w:tc>
                <w:tcPr>
                  <w:tcW w:w="2668" w:type="dxa"/>
                  <w:noWrap w:val="0"/>
                  <w:vAlign w:val="center"/>
                </w:tcPr>
                <w:p w14:paraId="31B159EC">
                  <w:pPr>
                    <w:pStyle w:val="71"/>
                    <w:widowControl w:val="0"/>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排入化粪池定期委托拉运</w:t>
                  </w:r>
                </w:p>
              </w:tc>
            </w:tr>
            <w:tr w14:paraId="2A0C2C8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010" w:type="dxa"/>
                  <w:vMerge w:val="restart"/>
                  <w:noWrap w:val="0"/>
                  <w:vAlign w:val="center"/>
                </w:tcPr>
                <w:p w14:paraId="5EFD0543">
                  <w:pPr>
                    <w:pStyle w:val="64"/>
                    <w:spacing w:line="240" w:lineRule="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噪声</w:t>
                  </w:r>
                </w:p>
              </w:tc>
              <w:tc>
                <w:tcPr>
                  <w:tcW w:w="1825" w:type="dxa"/>
                  <w:noWrap w:val="0"/>
                  <w:vAlign w:val="center"/>
                </w:tcPr>
                <w:p w14:paraId="4614A889">
                  <w:pPr>
                    <w:pStyle w:val="64"/>
                    <w:spacing w:line="240" w:lineRule="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破碎、筛分</w:t>
                  </w:r>
                </w:p>
              </w:tc>
              <w:tc>
                <w:tcPr>
                  <w:tcW w:w="1393" w:type="dxa"/>
                  <w:noWrap w:val="0"/>
                  <w:vAlign w:val="center"/>
                </w:tcPr>
                <w:p w14:paraId="35A1A76E">
                  <w:pPr>
                    <w:pStyle w:val="64"/>
                    <w:spacing w:line="240" w:lineRule="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噪声</w:t>
                  </w:r>
                </w:p>
              </w:tc>
              <w:tc>
                <w:tcPr>
                  <w:tcW w:w="1196" w:type="dxa"/>
                  <w:noWrap w:val="0"/>
                  <w:vAlign w:val="center"/>
                </w:tcPr>
                <w:p w14:paraId="274C5DDD">
                  <w:pPr>
                    <w:pStyle w:val="64"/>
                    <w:spacing w:line="240" w:lineRule="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w:t>
                  </w:r>
                </w:p>
              </w:tc>
              <w:tc>
                <w:tcPr>
                  <w:tcW w:w="2668" w:type="dxa"/>
                  <w:noWrap w:val="0"/>
                  <w:vAlign w:val="center"/>
                </w:tcPr>
                <w:p w14:paraId="0FDCF23D">
                  <w:pPr>
                    <w:pStyle w:val="64"/>
                    <w:spacing w:line="240" w:lineRule="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基础减震</w:t>
                  </w:r>
                </w:p>
              </w:tc>
            </w:tr>
            <w:tr w14:paraId="27C26D4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010" w:type="dxa"/>
                  <w:vMerge w:val="continue"/>
                  <w:noWrap w:val="0"/>
                  <w:vAlign w:val="center"/>
                </w:tcPr>
                <w:p w14:paraId="059E33EE">
                  <w:pPr>
                    <w:pStyle w:val="64"/>
                    <w:spacing w:line="240" w:lineRule="auto"/>
                    <w:rPr>
                      <w:rFonts w:hint="default" w:ascii="Times New Roman" w:hAnsi="Times New Roman" w:eastAsia="宋体" w:cs="Times New Roman"/>
                      <w:color w:val="auto"/>
                      <w:spacing w:val="0"/>
                      <w:sz w:val="21"/>
                      <w:szCs w:val="21"/>
                      <w:highlight w:val="none"/>
                    </w:rPr>
                  </w:pPr>
                </w:p>
              </w:tc>
              <w:tc>
                <w:tcPr>
                  <w:tcW w:w="1825" w:type="dxa"/>
                  <w:noWrap w:val="0"/>
                  <w:vAlign w:val="center"/>
                </w:tcPr>
                <w:p w14:paraId="0DF68C98">
                  <w:pPr>
                    <w:pStyle w:val="64"/>
                    <w:spacing w:line="240" w:lineRule="auto"/>
                    <w:rPr>
                      <w:rFonts w:hint="default" w:ascii="Times New Roman" w:hAnsi="Times New Roman" w:eastAsia="宋体" w:cs="Times New Roman"/>
                      <w:color w:val="auto"/>
                      <w:spacing w:val="0"/>
                      <w:sz w:val="21"/>
                      <w:szCs w:val="21"/>
                      <w:highlight w:val="none"/>
                      <w:lang w:eastAsia="zh-CN"/>
                    </w:rPr>
                  </w:pPr>
                  <w:r>
                    <w:rPr>
                      <w:rFonts w:hint="default" w:ascii="Times New Roman" w:hAnsi="Times New Roman" w:eastAsia="宋体" w:cs="Times New Roman"/>
                      <w:color w:val="auto"/>
                      <w:spacing w:val="0"/>
                      <w:sz w:val="21"/>
                      <w:szCs w:val="21"/>
                      <w:highlight w:val="none"/>
                      <w:lang w:val="en-US" w:eastAsia="zh-CN"/>
                    </w:rPr>
                    <w:t>搅拌</w:t>
                  </w:r>
                </w:p>
              </w:tc>
              <w:tc>
                <w:tcPr>
                  <w:tcW w:w="1393" w:type="dxa"/>
                  <w:noWrap w:val="0"/>
                  <w:vAlign w:val="center"/>
                </w:tcPr>
                <w:p w14:paraId="4981DEF8">
                  <w:pPr>
                    <w:pStyle w:val="64"/>
                    <w:spacing w:line="240" w:lineRule="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噪声</w:t>
                  </w:r>
                </w:p>
              </w:tc>
              <w:tc>
                <w:tcPr>
                  <w:tcW w:w="1196" w:type="dxa"/>
                  <w:noWrap w:val="0"/>
                  <w:vAlign w:val="center"/>
                </w:tcPr>
                <w:p w14:paraId="0980A456">
                  <w:pPr>
                    <w:pStyle w:val="64"/>
                    <w:spacing w:line="240" w:lineRule="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w:t>
                  </w:r>
                </w:p>
              </w:tc>
              <w:tc>
                <w:tcPr>
                  <w:tcW w:w="2668" w:type="dxa"/>
                  <w:noWrap w:val="0"/>
                  <w:vAlign w:val="center"/>
                </w:tcPr>
                <w:p w14:paraId="421714A7">
                  <w:pPr>
                    <w:pStyle w:val="64"/>
                    <w:spacing w:line="240" w:lineRule="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基础减震</w:t>
                  </w:r>
                </w:p>
              </w:tc>
            </w:tr>
            <w:tr w14:paraId="3289BF0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010" w:type="dxa"/>
                  <w:vMerge w:val="restart"/>
                  <w:noWrap w:val="0"/>
                  <w:vAlign w:val="center"/>
                </w:tcPr>
                <w:p w14:paraId="7CA75CAD">
                  <w:pPr>
                    <w:pStyle w:val="64"/>
                    <w:spacing w:line="240" w:lineRule="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固废</w:t>
                  </w:r>
                </w:p>
              </w:tc>
              <w:tc>
                <w:tcPr>
                  <w:tcW w:w="1825" w:type="dxa"/>
                  <w:noWrap w:val="0"/>
                  <w:vAlign w:val="center"/>
                </w:tcPr>
                <w:p w14:paraId="0F7964A5">
                  <w:pPr>
                    <w:pStyle w:val="64"/>
                    <w:spacing w:line="240" w:lineRule="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rPr>
                    <w:t>表层剥离物</w:t>
                  </w:r>
                </w:p>
              </w:tc>
              <w:tc>
                <w:tcPr>
                  <w:tcW w:w="1393" w:type="dxa"/>
                  <w:noWrap w:val="0"/>
                  <w:vAlign w:val="center"/>
                </w:tcPr>
                <w:p w14:paraId="472B971D">
                  <w:pPr>
                    <w:pStyle w:val="64"/>
                    <w:spacing w:line="240" w:lineRule="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表层土</w:t>
                  </w:r>
                </w:p>
              </w:tc>
              <w:tc>
                <w:tcPr>
                  <w:tcW w:w="1196" w:type="dxa"/>
                  <w:noWrap w:val="0"/>
                  <w:vAlign w:val="center"/>
                </w:tcPr>
                <w:p w14:paraId="59A6FE05">
                  <w:pPr>
                    <w:pStyle w:val="64"/>
                    <w:spacing w:line="240" w:lineRule="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w:t>
                  </w:r>
                </w:p>
              </w:tc>
              <w:tc>
                <w:tcPr>
                  <w:tcW w:w="2668" w:type="dxa"/>
                  <w:noWrap w:val="0"/>
                  <w:vAlign w:val="center"/>
                </w:tcPr>
                <w:p w14:paraId="6C228456">
                  <w:pPr>
                    <w:pStyle w:val="64"/>
                    <w:spacing w:line="240" w:lineRule="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随时回填采坑</w:t>
                  </w:r>
                </w:p>
              </w:tc>
            </w:tr>
            <w:tr w14:paraId="5419815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010" w:type="dxa"/>
                  <w:vMerge w:val="continue"/>
                  <w:noWrap w:val="0"/>
                  <w:vAlign w:val="center"/>
                </w:tcPr>
                <w:p w14:paraId="4721ECDC">
                  <w:pPr>
                    <w:pStyle w:val="64"/>
                    <w:spacing w:line="240" w:lineRule="auto"/>
                    <w:rPr>
                      <w:rFonts w:hint="default" w:ascii="Times New Roman" w:hAnsi="Times New Roman" w:eastAsia="宋体" w:cs="Times New Roman"/>
                      <w:color w:val="auto"/>
                      <w:spacing w:val="0"/>
                      <w:sz w:val="21"/>
                      <w:szCs w:val="21"/>
                      <w:highlight w:val="none"/>
                    </w:rPr>
                  </w:pPr>
                </w:p>
              </w:tc>
              <w:tc>
                <w:tcPr>
                  <w:tcW w:w="1825" w:type="dxa"/>
                  <w:noWrap w:val="0"/>
                  <w:vAlign w:val="center"/>
                </w:tcPr>
                <w:p w14:paraId="005FEED9">
                  <w:pPr>
                    <w:pStyle w:val="71"/>
                    <w:widowControl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bCs/>
                      <w:color w:val="auto"/>
                      <w:sz w:val="21"/>
                      <w:szCs w:val="21"/>
                      <w:highlight w:val="none"/>
                    </w:rPr>
                    <w:t>不合格</w:t>
                  </w:r>
                  <w:r>
                    <w:rPr>
                      <w:rFonts w:hint="default" w:ascii="Times New Roman" w:hAnsi="Times New Roman" w:eastAsia="宋体" w:cs="Times New Roman"/>
                      <w:bCs/>
                      <w:color w:val="auto"/>
                      <w:sz w:val="21"/>
                      <w:szCs w:val="21"/>
                      <w:highlight w:val="none"/>
                      <w:lang w:val="en-US" w:eastAsia="zh-CN"/>
                    </w:rPr>
                    <w:t>产品</w:t>
                  </w:r>
                </w:p>
              </w:tc>
              <w:tc>
                <w:tcPr>
                  <w:tcW w:w="1393" w:type="dxa"/>
                  <w:noWrap w:val="0"/>
                  <w:vAlign w:val="center"/>
                </w:tcPr>
                <w:p w14:paraId="3D6FA3DF">
                  <w:pPr>
                    <w:pStyle w:val="71"/>
                    <w:widowControl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bCs/>
                      <w:color w:val="auto"/>
                      <w:sz w:val="21"/>
                      <w:szCs w:val="21"/>
                      <w:highlight w:val="none"/>
                    </w:rPr>
                    <w:t>不合格</w:t>
                  </w:r>
                  <w:r>
                    <w:rPr>
                      <w:rFonts w:hint="default" w:ascii="Times New Roman" w:hAnsi="Times New Roman" w:eastAsia="宋体" w:cs="Times New Roman"/>
                      <w:bCs/>
                      <w:color w:val="auto"/>
                      <w:sz w:val="21"/>
                      <w:szCs w:val="21"/>
                      <w:highlight w:val="none"/>
                      <w:lang w:val="en-US" w:eastAsia="zh-CN"/>
                    </w:rPr>
                    <w:t>产品</w:t>
                  </w:r>
                </w:p>
              </w:tc>
              <w:tc>
                <w:tcPr>
                  <w:tcW w:w="1196" w:type="dxa"/>
                  <w:noWrap w:val="0"/>
                  <w:vAlign w:val="center"/>
                </w:tcPr>
                <w:p w14:paraId="0A4CCF9E">
                  <w:pPr>
                    <w:pStyle w:val="71"/>
                    <w:widowControl w:val="0"/>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w:t>
                  </w:r>
                </w:p>
              </w:tc>
              <w:tc>
                <w:tcPr>
                  <w:tcW w:w="2668" w:type="dxa"/>
                  <w:noWrap w:val="0"/>
                  <w:vAlign w:val="center"/>
                </w:tcPr>
                <w:p w14:paraId="3C010F54">
                  <w:pPr>
                    <w:pStyle w:val="71"/>
                    <w:widowControl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bCs/>
                      <w:color w:val="auto"/>
                      <w:sz w:val="21"/>
                      <w:szCs w:val="21"/>
                      <w:highlight w:val="none"/>
                      <w:lang w:val="en-US" w:eastAsia="zh-CN"/>
                    </w:rPr>
                    <w:t>回用生产</w:t>
                  </w:r>
                </w:p>
              </w:tc>
            </w:tr>
            <w:tr w14:paraId="59AD1AB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010" w:type="dxa"/>
                  <w:vMerge w:val="continue"/>
                  <w:noWrap w:val="0"/>
                  <w:vAlign w:val="center"/>
                </w:tcPr>
                <w:p w14:paraId="14EA5C3B">
                  <w:pPr>
                    <w:pStyle w:val="64"/>
                    <w:spacing w:line="240" w:lineRule="auto"/>
                    <w:rPr>
                      <w:rFonts w:hint="default" w:ascii="Times New Roman" w:hAnsi="Times New Roman" w:eastAsia="宋体" w:cs="Times New Roman"/>
                      <w:color w:val="auto"/>
                      <w:spacing w:val="0"/>
                      <w:sz w:val="21"/>
                      <w:szCs w:val="21"/>
                      <w:highlight w:val="none"/>
                    </w:rPr>
                  </w:pPr>
                </w:p>
              </w:tc>
              <w:tc>
                <w:tcPr>
                  <w:tcW w:w="1825" w:type="dxa"/>
                  <w:noWrap w:val="0"/>
                  <w:vAlign w:val="center"/>
                </w:tcPr>
                <w:p w14:paraId="78DD6A63">
                  <w:pPr>
                    <w:pStyle w:val="71"/>
                    <w:widowControl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bCs/>
                      <w:color w:val="auto"/>
                      <w:sz w:val="21"/>
                      <w:szCs w:val="21"/>
                      <w:highlight w:val="none"/>
                    </w:rPr>
                    <w:t>除尘灰</w:t>
                  </w:r>
                </w:p>
              </w:tc>
              <w:tc>
                <w:tcPr>
                  <w:tcW w:w="1393" w:type="dxa"/>
                  <w:noWrap w:val="0"/>
                  <w:vAlign w:val="center"/>
                </w:tcPr>
                <w:p w14:paraId="60055298">
                  <w:pPr>
                    <w:pStyle w:val="71"/>
                    <w:widowControl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bCs/>
                      <w:color w:val="auto"/>
                      <w:sz w:val="21"/>
                      <w:szCs w:val="21"/>
                      <w:highlight w:val="none"/>
                    </w:rPr>
                    <w:t>除尘灰</w:t>
                  </w:r>
                </w:p>
              </w:tc>
              <w:tc>
                <w:tcPr>
                  <w:tcW w:w="1196" w:type="dxa"/>
                  <w:noWrap w:val="0"/>
                  <w:vAlign w:val="center"/>
                </w:tcPr>
                <w:p w14:paraId="4088645F">
                  <w:pPr>
                    <w:pStyle w:val="71"/>
                    <w:widowControl w:val="0"/>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w:t>
                  </w:r>
                </w:p>
              </w:tc>
              <w:tc>
                <w:tcPr>
                  <w:tcW w:w="2668" w:type="dxa"/>
                  <w:noWrap w:val="0"/>
                  <w:vAlign w:val="center"/>
                </w:tcPr>
                <w:p w14:paraId="62310526">
                  <w:pPr>
                    <w:pStyle w:val="71"/>
                    <w:widowControl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bCs/>
                      <w:color w:val="auto"/>
                      <w:sz w:val="21"/>
                      <w:szCs w:val="21"/>
                      <w:highlight w:val="none"/>
                      <w:lang w:val="en-US" w:eastAsia="zh-CN"/>
                    </w:rPr>
                    <w:t>收集回用</w:t>
                  </w:r>
                </w:p>
              </w:tc>
            </w:tr>
            <w:tr w14:paraId="5D27D7F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010" w:type="dxa"/>
                  <w:vMerge w:val="continue"/>
                  <w:noWrap w:val="0"/>
                  <w:vAlign w:val="center"/>
                </w:tcPr>
                <w:p w14:paraId="20F765F5">
                  <w:pPr>
                    <w:pStyle w:val="64"/>
                    <w:spacing w:line="240" w:lineRule="auto"/>
                    <w:rPr>
                      <w:rFonts w:hint="default" w:ascii="Times New Roman" w:hAnsi="Times New Roman" w:eastAsia="宋体" w:cs="Times New Roman"/>
                      <w:color w:val="auto"/>
                      <w:spacing w:val="0"/>
                      <w:sz w:val="21"/>
                      <w:szCs w:val="21"/>
                      <w:highlight w:val="none"/>
                    </w:rPr>
                  </w:pPr>
                </w:p>
              </w:tc>
              <w:tc>
                <w:tcPr>
                  <w:tcW w:w="1825" w:type="dxa"/>
                  <w:noWrap w:val="0"/>
                  <w:vAlign w:val="center"/>
                </w:tcPr>
                <w:p w14:paraId="4B6176B3">
                  <w:pPr>
                    <w:pStyle w:val="71"/>
                    <w:widowControl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bCs/>
                      <w:color w:val="auto"/>
                      <w:sz w:val="21"/>
                      <w:szCs w:val="21"/>
                      <w:highlight w:val="none"/>
                    </w:rPr>
                    <w:t>沉淀池</w:t>
                  </w:r>
                </w:p>
              </w:tc>
              <w:tc>
                <w:tcPr>
                  <w:tcW w:w="1393" w:type="dxa"/>
                  <w:noWrap w:val="0"/>
                  <w:vAlign w:val="center"/>
                </w:tcPr>
                <w:p w14:paraId="0CDF9A0B">
                  <w:pPr>
                    <w:pStyle w:val="71"/>
                    <w:widowControl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bCs/>
                      <w:color w:val="auto"/>
                      <w:sz w:val="21"/>
                      <w:szCs w:val="21"/>
                      <w:highlight w:val="none"/>
                    </w:rPr>
                    <w:t>沉淀池沉渣</w:t>
                  </w:r>
                </w:p>
              </w:tc>
              <w:tc>
                <w:tcPr>
                  <w:tcW w:w="1196" w:type="dxa"/>
                  <w:noWrap w:val="0"/>
                  <w:vAlign w:val="center"/>
                </w:tcPr>
                <w:p w14:paraId="285AE338">
                  <w:pPr>
                    <w:pStyle w:val="71"/>
                    <w:widowControl w:val="0"/>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w:t>
                  </w:r>
                </w:p>
              </w:tc>
              <w:tc>
                <w:tcPr>
                  <w:tcW w:w="2668" w:type="dxa"/>
                  <w:noWrap w:val="0"/>
                  <w:vAlign w:val="center"/>
                </w:tcPr>
                <w:p w14:paraId="6D5BE522">
                  <w:pPr>
                    <w:pStyle w:val="71"/>
                    <w:widowControl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bCs/>
                      <w:color w:val="auto"/>
                      <w:sz w:val="21"/>
                      <w:szCs w:val="21"/>
                      <w:highlight w:val="none"/>
                      <w:lang w:val="en-US" w:eastAsia="zh-CN"/>
                    </w:rPr>
                    <w:t>收集回用</w:t>
                  </w:r>
                </w:p>
              </w:tc>
            </w:tr>
            <w:tr w14:paraId="74E153E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010" w:type="dxa"/>
                  <w:vMerge w:val="continue"/>
                  <w:noWrap w:val="0"/>
                  <w:vAlign w:val="center"/>
                </w:tcPr>
                <w:p w14:paraId="600EAD0E">
                  <w:pPr>
                    <w:pStyle w:val="64"/>
                    <w:spacing w:line="240" w:lineRule="auto"/>
                    <w:rPr>
                      <w:rFonts w:hint="default" w:ascii="Times New Roman" w:hAnsi="Times New Roman" w:eastAsia="宋体" w:cs="Times New Roman"/>
                      <w:color w:val="auto"/>
                      <w:spacing w:val="0"/>
                      <w:sz w:val="21"/>
                      <w:szCs w:val="21"/>
                      <w:highlight w:val="none"/>
                    </w:rPr>
                  </w:pPr>
                </w:p>
              </w:tc>
              <w:tc>
                <w:tcPr>
                  <w:tcW w:w="1825" w:type="dxa"/>
                  <w:noWrap w:val="0"/>
                  <w:vAlign w:val="center"/>
                </w:tcPr>
                <w:p w14:paraId="4C042D14">
                  <w:pPr>
                    <w:pStyle w:val="71"/>
                    <w:widowControl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bCs/>
                      <w:color w:val="auto"/>
                      <w:sz w:val="21"/>
                      <w:szCs w:val="21"/>
                      <w:highlight w:val="none"/>
                    </w:rPr>
                    <w:t>生活垃圾</w:t>
                  </w:r>
                </w:p>
              </w:tc>
              <w:tc>
                <w:tcPr>
                  <w:tcW w:w="1393" w:type="dxa"/>
                  <w:noWrap w:val="0"/>
                  <w:vAlign w:val="center"/>
                </w:tcPr>
                <w:p w14:paraId="648AF358">
                  <w:pPr>
                    <w:pStyle w:val="71"/>
                    <w:widowControl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bCs/>
                      <w:color w:val="auto"/>
                      <w:sz w:val="21"/>
                      <w:szCs w:val="21"/>
                      <w:highlight w:val="none"/>
                    </w:rPr>
                    <w:t>生活垃圾</w:t>
                  </w:r>
                </w:p>
              </w:tc>
              <w:tc>
                <w:tcPr>
                  <w:tcW w:w="1196" w:type="dxa"/>
                  <w:noWrap w:val="0"/>
                  <w:vAlign w:val="center"/>
                </w:tcPr>
                <w:p w14:paraId="44CB26E0">
                  <w:pPr>
                    <w:pStyle w:val="71"/>
                    <w:widowControl w:val="0"/>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w:t>
                  </w:r>
                </w:p>
              </w:tc>
              <w:tc>
                <w:tcPr>
                  <w:tcW w:w="2668" w:type="dxa"/>
                  <w:noWrap w:val="0"/>
                  <w:vAlign w:val="center"/>
                </w:tcPr>
                <w:p w14:paraId="6E614B05">
                  <w:pPr>
                    <w:pStyle w:val="71"/>
                    <w:widowControl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bCs/>
                      <w:color w:val="auto"/>
                      <w:sz w:val="21"/>
                      <w:szCs w:val="21"/>
                      <w:highlight w:val="none"/>
                      <w:lang w:val="en-US" w:eastAsia="zh-CN"/>
                    </w:rPr>
                    <w:t>环卫部门定期清运</w:t>
                  </w:r>
                </w:p>
              </w:tc>
            </w:tr>
            <w:tr w14:paraId="03E55FE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1010" w:type="dxa"/>
                  <w:vMerge w:val="continue"/>
                  <w:noWrap w:val="0"/>
                  <w:vAlign w:val="center"/>
                </w:tcPr>
                <w:p w14:paraId="146AB432">
                  <w:pPr>
                    <w:pStyle w:val="64"/>
                    <w:spacing w:line="240" w:lineRule="auto"/>
                    <w:rPr>
                      <w:rFonts w:hint="default" w:ascii="Times New Roman" w:hAnsi="Times New Roman" w:eastAsia="宋体" w:cs="Times New Roman"/>
                      <w:color w:val="auto"/>
                      <w:spacing w:val="0"/>
                      <w:sz w:val="21"/>
                      <w:szCs w:val="21"/>
                      <w:highlight w:val="none"/>
                    </w:rPr>
                  </w:pPr>
                </w:p>
              </w:tc>
              <w:tc>
                <w:tcPr>
                  <w:tcW w:w="1825" w:type="dxa"/>
                  <w:noWrap w:val="0"/>
                  <w:vAlign w:val="center"/>
                </w:tcPr>
                <w:p w14:paraId="30750A41">
                  <w:pPr>
                    <w:pStyle w:val="71"/>
                    <w:widowControl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bCs/>
                      <w:color w:val="auto"/>
                      <w:sz w:val="21"/>
                      <w:szCs w:val="21"/>
                      <w:highlight w:val="none"/>
                      <w:lang w:val="en-US" w:eastAsia="zh-CN"/>
                    </w:rPr>
                    <w:t>危险废物</w:t>
                  </w:r>
                </w:p>
              </w:tc>
              <w:tc>
                <w:tcPr>
                  <w:tcW w:w="1393" w:type="dxa"/>
                  <w:noWrap w:val="0"/>
                  <w:vAlign w:val="center"/>
                </w:tcPr>
                <w:p w14:paraId="2498BA7E">
                  <w:pPr>
                    <w:pStyle w:val="71"/>
                    <w:widowControl w:val="0"/>
                    <w:jc w:val="center"/>
                    <w:rPr>
                      <w:rFonts w:hint="default" w:ascii="Times New Roman" w:hAnsi="Times New Roman" w:eastAsia="宋体" w:cs="Times New Roman"/>
                      <w:color w:val="auto"/>
                      <w:spacing w:val="0"/>
                      <w:sz w:val="21"/>
                      <w:szCs w:val="21"/>
                      <w:highlight w:val="none"/>
                      <w:lang w:val="en-US"/>
                    </w:rPr>
                  </w:pPr>
                  <w:r>
                    <w:rPr>
                      <w:rFonts w:hint="default" w:ascii="Times New Roman" w:hAnsi="Times New Roman" w:eastAsia="宋体" w:cs="Times New Roman"/>
                      <w:bCs/>
                      <w:color w:val="auto"/>
                      <w:sz w:val="21"/>
                      <w:szCs w:val="21"/>
                      <w:highlight w:val="none"/>
                    </w:rPr>
                    <w:t>废机油</w:t>
                  </w:r>
                  <w:r>
                    <w:rPr>
                      <w:rFonts w:hint="default" w:ascii="Times New Roman" w:hAnsi="Times New Roman" w:eastAsia="宋体" w:cs="Times New Roman"/>
                      <w:bCs/>
                      <w:color w:val="auto"/>
                      <w:sz w:val="21"/>
                      <w:szCs w:val="21"/>
                      <w:highlight w:val="none"/>
                      <w:lang w:val="en-US" w:eastAsia="zh-CN"/>
                    </w:rPr>
                    <w:t>及油桶</w:t>
                  </w:r>
                </w:p>
              </w:tc>
              <w:tc>
                <w:tcPr>
                  <w:tcW w:w="1196" w:type="dxa"/>
                  <w:noWrap w:val="0"/>
                  <w:vAlign w:val="center"/>
                </w:tcPr>
                <w:p w14:paraId="5D15E2FF">
                  <w:pPr>
                    <w:pStyle w:val="71"/>
                    <w:widowControl w:val="0"/>
                    <w:jc w:val="center"/>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w:t>
                  </w:r>
                </w:p>
              </w:tc>
              <w:tc>
                <w:tcPr>
                  <w:tcW w:w="2668" w:type="dxa"/>
                  <w:noWrap w:val="0"/>
                  <w:vAlign w:val="center"/>
                </w:tcPr>
                <w:p w14:paraId="6D00D70C">
                  <w:pPr>
                    <w:pStyle w:val="71"/>
                    <w:widowControl w:val="0"/>
                    <w:jc w:val="center"/>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bCs/>
                      <w:color w:val="auto"/>
                      <w:sz w:val="21"/>
                      <w:szCs w:val="21"/>
                      <w:highlight w:val="none"/>
                      <w:lang w:val="en-US" w:eastAsia="zh-CN"/>
                    </w:rPr>
                    <w:t>危废贮存库暂存并委托有资质的部门定期拉运</w:t>
                  </w:r>
                </w:p>
              </w:tc>
            </w:tr>
          </w:tbl>
          <w:p w14:paraId="644EB7F5">
            <w:pPr>
              <w:pStyle w:val="49"/>
              <w:keepNext w:val="0"/>
              <w:keepLines w:val="0"/>
              <w:pageBreakBefore w:val="0"/>
              <w:kinsoku/>
              <w:overflowPunct/>
              <w:topLinePunct w:val="0"/>
              <w:bidi w:val="0"/>
              <w:snapToGrid w:val="0"/>
              <w:spacing w:beforeAutospacing="0" w:afterAutospacing="0" w:line="360" w:lineRule="auto"/>
              <w:ind w:left="0" w:leftChars="0" w:right="0" w:firstLine="480" w:firstLineChars="200"/>
              <w:jc w:val="left"/>
              <w:rPr>
                <w:rFonts w:hint="default" w:ascii="Times New Roman" w:hAnsi="Times New Roman" w:eastAsia="宋体" w:cs="Times New Roman"/>
                <w:color w:val="auto"/>
                <w:spacing w:val="0"/>
                <w:w w:val="100"/>
                <w:position w:val="0"/>
                <w:sz w:val="24"/>
                <w:highlight w:val="none"/>
                <w:lang w:val="en-US" w:eastAsia="zh-CN"/>
              </w:rPr>
            </w:pPr>
          </w:p>
        </w:tc>
      </w:tr>
      <w:tr w14:paraId="4321EB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93" w:type="dxa"/>
            <w:noWrap w:val="0"/>
            <w:vAlign w:val="center"/>
          </w:tcPr>
          <w:p w14:paraId="51A25D9B">
            <w:pPr>
              <w:keepNext w:val="0"/>
              <w:keepLines w:val="0"/>
              <w:pageBreakBefore w:val="0"/>
              <w:kinsoku/>
              <w:overflowPunct/>
              <w:topLinePunct w:val="0"/>
              <w:bidi w:val="0"/>
              <w:adjustRightInd w:val="0"/>
              <w:snapToGrid w:val="0"/>
              <w:spacing w:beforeAutospacing="0" w:afterAutospacing="0"/>
              <w:ind w:left="0" w:leftChars="0" w:right="0"/>
              <w:jc w:val="center"/>
              <w:rPr>
                <w:rFonts w:hint="default" w:ascii="Times New Roman" w:hAnsi="Times New Roman" w:eastAsia="宋体" w:cs="Times New Roman"/>
                <w:color w:val="auto"/>
                <w:spacing w:val="0"/>
                <w:w w:val="100"/>
                <w:kern w:val="0"/>
                <w:position w:val="0"/>
                <w:sz w:val="24"/>
                <w:szCs w:val="24"/>
                <w:highlight w:val="none"/>
              </w:rPr>
            </w:pPr>
            <w:r>
              <w:rPr>
                <w:rFonts w:hint="default" w:ascii="Times New Roman" w:hAnsi="Times New Roman" w:eastAsia="宋体" w:cs="Times New Roman"/>
                <w:color w:val="auto"/>
                <w:spacing w:val="0"/>
                <w:w w:val="100"/>
                <w:kern w:val="0"/>
                <w:position w:val="0"/>
                <w:sz w:val="24"/>
                <w:szCs w:val="24"/>
                <w:highlight w:val="none"/>
              </w:rPr>
              <w:t>其他</w:t>
            </w:r>
          </w:p>
        </w:tc>
        <w:tc>
          <w:tcPr>
            <w:tcW w:w="9019" w:type="dxa"/>
            <w:noWrap w:val="0"/>
            <w:vAlign w:val="center"/>
          </w:tcPr>
          <w:p w14:paraId="4DD01CEA">
            <w:pPr>
              <w:keepNext w:val="0"/>
              <w:keepLines w:val="0"/>
              <w:pageBreakBefore w:val="0"/>
              <w:kinsoku/>
              <w:overflowPunct/>
              <w:topLinePunct w:val="0"/>
              <w:bidi w:val="0"/>
              <w:adjustRightInd w:val="0"/>
              <w:snapToGrid w:val="0"/>
              <w:spacing w:beforeAutospacing="0" w:afterAutospacing="0" w:line="360" w:lineRule="auto"/>
              <w:ind w:left="0" w:leftChars="0" w:right="0"/>
              <w:jc w:val="center"/>
              <w:rPr>
                <w:rFonts w:hint="default" w:ascii="Times New Roman" w:hAnsi="Times New Roman" w:eastAsia="宋体" w:cs="Times New Roman"/>
                <w:color w:val="auto"/>
                <w:spacing w:val="0"/>
                <w:position w:val="0"/>
                <w:sz w:val="24"/>
                <w:szCs w:val="32"/>
                <w:highlight w:val="none"/>
                <w:lang w:val="en-US" w:eastAsia="zh-CN"/>
              </w:rPr>
            </w:pPr>
            <w:r>
              <w:rPr>
                <w:rFonts w:hint="default" w:ascii="Times New Roman" w:hAnsi="Times New Roman" w:eastAsia="宋体" w:cs="Times New Roman"/>
                <w:color w:val="auto"/>
                <w:spacing w:val="0"/>
                <w:position w:val="0"/>
                <w:sz w:val="24"/>
                <w:szCs w:val="32"/>
                <w:highlight w:val="none"/>
                <w:lang w:val="en-US" w:eastAsia="zh-CN"/>
              </w:rPr>
              <w:t>无</w:t>
            </w:r>
          </w:p>
        </w:tc>
      </w:tr>
    </w:tbl>
    <w:p w14:paraId="40A0487A">
      <w:pPr>
        <w:rPr>
          <w:rFonts w:hint="default" w:ascii="Times New Roman" w:hAnsi="Times New Roman" w:eastAsia="宋体" w:cs="Times New Roman"/>
          <w:snapToGrid w:val="0"/>
          <w:color w:val="000000" w:themeColor="text1"/>
          <w:sz w:val="30"/>
          <w:szCs w:val="30"/>
          <w:highlight w:val="none"/>
          <w14:textFill>
            <w14:solidFill>
              <w14:schemeClr w14:val="tx1"/>
            </w14:solidFill>
          </w14:textFill>
        </w:rPr>
      </w:pPr>
      <w:r>
        <w:rPr>
          <w:rFonts w:hint="default" w:ascii="Times New Roman" w:hAnsi="Times New Roman" w:eastAsia="宋体" w:cs="Times New Roman"/>
          <w:snapToGrid w:val="0"/>
          <w:color w:val="000000" w:themeColor="text1"/>
          <w:sz w:val="30"/>
          <w:szCs w:val="30"/>
          <w:highlight w:val="none"/>
          <w14:textFill>
            <w14:solidFill>
              <w14:schemeClr w14:val="tx1"/>
            </w14:solidFill>
          </w14:textFill>
        </w:rPr>
        <w:br w:type="page"/>
      </w:r>
    </w:p>
    <w:p w14:paraId="54F8ED23">
      <w:pPr>
        <w:pStyle w:val="34"/>
        <w:spacing w:beforeLines="-2147483648" w:afterLines="-2147483648" w:line="240" w:lineRule="auto"/>
        <w:ind w:firstLine="0" w:firstLineChars="0"/>
        <w:jc w:val="center"/>
        <w:outlineLvl w:val="0"/>
        <w:rPr>
          <w:rFonts w:hint="default" w:ascii="Times New Roman" w:hAnsi="Times New Roman" w:eastAsia="宋体" w:cs="Times New Roman"/>
          <w:b/>
          <w:bCs/>
          <w:snapToGrid w:val="0"/>
          <w:color w:val="000000" w:themeColor="text1"/>
          <w:sz w:val="30"/>
          <w:szCs w:val="30"/>
          <w:highlight w:val="none"/>
          <w14:textFill>
            <w14:solidFill>
              <w14:schemeClr w14:val="tx1"/>
            </w14:solidFill>
          </w14:textFill>
        </w:rPr>
      </w:pPr>
      <w:r>
        <w:rPr>
          <w:rFonts w:hint="default" w:ascii="Times New Roman" w:hAnsi="Times New Roman" w:eastAsia="宋体" w:cs="Times New Roman"/>
          <w:b/>
          <w:bCs/>
          <w:snapToGrid w:val="0"/>
          <w:color w:val="000000" w:themeColor="text1"/>
          <w:sz w:val="30"/>
          <w:szCs w:val="30"/>
          <w:highlight w:val="none"/>
          <w14:textFill>
            <w14:solidFill>
              <w14:schemeClr w14:val="tx1"/>
            </w14:solidFill>
          </w14:textFill>
        </w:rPr>
        <w:t>三、</w:t>
      </w:r>
      <w:r>
        <w:rPr>
          <w:rFonts w:hint="default" w:ascii="Times New Roman" w:hAnsi="Times New Roman" w:eastAsia="宋体" w:cs="Times New Roman"/>
          <w:b/>
          <w:bCs/>
          <w:snapToGrid w:val="0"/>
          <w:color w:val="000000" w:themeColor="text1"/>
          <w:sz w:val="30"/>
          <w:szCs w:val="30"/>
          <w:highlight w:val="none"/>
          <w:lang w:val="en-US" w:eastAsia="zh-CN"/>
          <w14:textFill>
            <w14:solidFill>
              <w14:schemeClr w14:val="tx1"/>
            </w14:solidFill>
          </w14:textFill>
        </w:rPr>
        <w:t>生态环境现状</w:t>
      </w:r>
      <w:r>
        <w:rPr>
          <w:rFonts w:hint="default" w:ascii="Times New Roman" w:hAnsi="Times New Roman" w:eastAsia="宋体" w:cs="Times New Roman"/>
          <w:b/>
          <w:bCs/>
          <w:snapToGrid w:val="0"/>
          <w:color w:val="000000" w:themeColor="text1"/>
          <w:sz w:val="30"/>
          <w:szCs w:val="30"/>
          <w:highlight w:val="none"/>
          <w14:textFill>
            <w14:solidFill>
              <w14:schemeClr w14:val="tx1"/>
            </w14:solidFill>
          </w14:textFill>
        </w:rPr>
        <w:t>、保护目标及评价标准</w:t>
      </w:r>
    </w:p>
    <w:tbl>
      <w:tblPr>
        <w:tblStyle w:val="38"/>
        <w:tblW w:w="84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7"/>
        <w:gridCol w:w="7917"/>
      </w:tblGrid>
      <w:tr w14:paraId="332EA2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57" w:type="dxa"/>
            <w:tcBorders>
              <w:tl2br w:val="nil"/>
              <w:tr2bl w:val="nil"/>
            </w:tcBorders>
            <w:noWrap w:val="0"/>
            <w:vAlign w:val="center"/>
          </w:tcPr>
          <w:p w14:paraId="0E5EB949">
            <w:pPr>
              <w:pStyle w:val="72"/>
              <w:bidi w:val="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生态环境</w:t>
            </w:r>
            <w:r>
              <w:rPr>
                <w:rFonts w:hint="default" w:ascii="Times New Roman" w:hAnsi="Times New Roman" w:eastAsia="宋体" w:cs="Times New Roman"/>
                <w:color w:val="000000" w:themeColor="text1"/>
                <w:highlight w:val="none"/>
                <w14:textFill>
                  <w14:solidFill>
                    <w14:schemeClr w14:val="tx1"/>
                  </w14:solidFill>
                </w14:textFill>
              </w:rPr>
              <w:t>现状</w:t>
            </w:r>
          </w:p>
        </w:tc>
        <w:tc>
          <w:tcPr>
            <w:tcW w:w="7917" w:type="dxa"/>
            <w:tcBorders>
              <w:tl2br w:val="nil"/>
              <w:tr2bl w:val="nil"/>
            </w:tcBorders>
            <w:noWrap w:val="0"/>
            <w:vAlign w:val="center"/>
          </w:tcPr>
          <w:p w14:paraId="06546DCF">
            <w:pPr>
              <w:keepNext w:val="0"/>
              <w:keepLines w:val="0"/>
              <w:widowControl w:val="0"/>
              <w:suppressLineNumbers w:val="0"/>
              <w:topLinePunct/>
              <w:autoSpaceDE w:val="0"/>
              <w:autoSpaceDN/>
              <w:spacing w:before="0" w:beforeAutospacing="0" w:after="0" w:afterAutospacing="0" w:line="360" w:lineRule="auto"/>
              <w:ind w:left="0" w:leftChars="0" w:right="0" w:rightChars="0" w:firstLine="0" w:firstLineChars="0"/>
              <w:jc w:val="both"/>
              <w:rPr>
                <w:rFonts w:hint="default" w:ascii="Times New Roman" w:hAnsi="Times New Roman" w:eastAsia="宋体" w:cs="Times New Roman"/>
                <w:b/>
                <w:bCs/>
                <w:color w:val="000000" w:themeColor="text1"/>
                <w:kern w:val="2"/>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kern w:val="2"/>
                <w:sz w:val="24"/>
                <w:szCs w:val="24"/>
                <w:highlight w:val="none"/>
                <w:lang w:val="en-US" w:eastAsia="zh-CN" w:bidi="ar"/>
                <w14:textFill>
                  <w14:solidFill>
                    <w14:schemeClr w14:val="tx1"/>
                  </w14:solidFill>
                </w14:textFill>
              </w:rPr>
              <w:t>1、生态环境质量现状调查</w:t>
            </w:r>
          </w:p>
          <w:p w14:paraId="6AB02EB5">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both"/>
              <w:rPr>
                <w:rFonts w:hint="default" w:ascii="Times New Roman" w:hAnsi="Times New Roman" w:eastAsia="宋体" w:cs="Times New Roman"/>
                <w:b/>
                <w:bCs/>
                <w:color w:val="000000" w:themeColor="text1"/>
                <w:kern w:val="2"/>
                <w:sz w:val="24"/>
                <w:szCs w:val="24"/>
                <w:highlight w:val="none"/>
                <w:lang w:val="en-US"/>
                <w14:textFill>
                  <w14:solidFill>
                    <w14:schemeClr w14:val="tx1"/>
                  </w14:solidFill>
                </w14:textFill>
              </w:rPr>
            </w:pPr>
            <w:r>
              <w:rPr>
                <w:rFonts w:hint="default" w:ascii="Times New Roman" w:hAnsi="Times New Roman" w:eastAsia="宋体" w:cs="Times New Roman"/>
                <w:b/>
                <w:bCs/>
                <w:color w:val="000000" w:themeColor="text1"/>
                <w:kern w:val="2"/>
                <w:sz w:val="24"/>
                <w:szCs w:val="24"/>
                <w:highlight w:val="none"/>
                <w:lang w:val="en-US" w:eastAsia="zh-CN" w:bidi="ar"/>
                <w14:textFill>
                  <w14:solidFill>
                    <w14:schemeClr w14:val="tx1"/>
                  </w14:solidFill>
                </w14:textFill>
              </w:rPr>
              <w:t>1.1 主体功能区规划情况</w:t>
            </w:r>
          </w:p>
          <w:p w14:paraId="66636BE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依据《新疆维吾尔自治区主体功能区规划》：主体功能区与能源和矿产资源开发的关系。一些能源和矿产资源富集的区域往往同时是生态脆弱或生态重要的区域，被划分为限制进行大规模高强度工业化城镇化开发的重点生态功能区或农产品主产区，并不是限制能源和矿产资源的开发，这类区域中的能源和矿产资源，仍然可以依法开发，资源开采的地点仍然可以定义为能源或矿产资源的重点开发基地，但应该按照该区域的主体功能定位实行</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点上开发、面上保护</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w:t>
            </w:r>
          </w:p>
          <w:p w14:paraId="3DC5DC8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形成资源点状开发，生态面上保护的空间结构。针对阿尔泰山、塔里木盆地、准噶尔盆地等地的矿产资源富集区域的开发，要在科学规划的基础上，以点状开发方式有序进行，其开发强度控制在规划目标之内，尽可能减少对生态环境的扰动和破坏，同时加强对矿产开发区迹地的生态修复。</w:t>
            </w:r>
          </w:p>
          <w:p w14:paraId="31A0645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限制开发区域是指关系国家农产品供给安全和生态安全，不应该或不适宜进行大规模、高强度工业化城镇化开发的农产品主产区和重点生态功能区。限制开发区域分为两类：一类是农产品主产区，即耕地较多、农业发展条件较好，尽管也适宜工业化城镇化开发，但从保障国家农产品安全以及国家永续发展的需要出发，必须把增强农业综合生产能力作为发展的首要任务，从而应该限制大规模高强度工业化城镇化开发的地区；一类是重点生态功能区，即生态系统脆弱或生态功能重要，资源环境承载能力较低，不具备大规模高强度工业化城镇化开发的条件，必须把增强生态产品生产能力作为首要任务，从而应该限制进行大规模高强度工业化城镇化开发的地区。</w:t>
            </w:r>
          </w:p>
          <w:p w14:paraId="2B0A70B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禁止开发区域是指依法设立的各级各类自然文化资源保护区域，以及其他禁止进行工业化城镇化开发、需要特殊保护的重点生态功能区。国家层面的禁止开发区域包括国家级自然保护区、世界文化自然遗产、国家级风景名胜区、国家森林公园、国家地质公园。省级层面的禁止开发区域，包括省级及以下各级各类自然文化资源保护区域、重要水源地、重要湿地以及其他省级人民政府根据需要确定的禁止开发区域。</w:t>
            </w:r>
          </w:p>
          <w:p w14:paraId="20E3E44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本项目</w:t>
            </w:r>
            <w:r>
              <w:rPr>
                <w:rFonts w:hint="default" w:ascii="Times New Roman" w:hAnsi="Times New Roman" w:eastAsia="宋体" w:cs="Times New Roman"/>
                <w:color w:val="auto"/>
                <w:sz w:val="24"/>
                <w:highlight w:val="none"/>
                <w:lang w:val="en-US" w:eastAsia="zh-CN"/>
              </w:rPr>
              <w:t>位于新疆昌吉回族自治州吉木萨尔县，属于国家级农产品主产区，项目所在区域属于限制开发区，项目所在区域不属于禁止开发区，项目</w:t>
            </w:r>
            <w:r>
              <w:rPr>
                <w:rFonts w:hint="default" w:ascii="Times New Roman" w:hAnsi="Times New Roman" w:eastAsia="宋体" w:cs="Times New Roman"/>
                <w:color w:val="auto"/>
                <w:sz w:val="24"/>
                <w:highlight w:val="none"/>
              </w:rPr>
              <w:t>为建筑用砂矿建设项目，</w:t>
            </w:r>
            <w:r>
              <w:rPr>
                <w:rFonts w:hint="default" w:ascii="Times New Roman" w:hAnsi="Times New Roman" w:eastAsia="宋体" w:cs="Times New Roman"/>
                <w:color w:val="auto"/>
                <w:sz w:val="24"/>
                <w:szCs w:val="24"/>
                <w:highlight w:val="none"/>
              </w:rPr>
              <w:t>不属于大规模高度工业化城镇化开发，</w:t>
            </w:r>
            <w:r>
              <w:rPr>
                <w:rFonts w:hint="default" w:ascii="Times New Roman" w:hAnsi="Times New Roman" w:eastAsia="宋体" w:cs="Times New Roman"/>
                <w:color w:val="auto"/>
                <w:sz w:val="24"/>
                <w:szCs w:val="24"/>
                <w:highlight w:val="none"/>
                <w:lang w:val="en-US" w:eastAsia="zh-CN"/>
              </w:rPr>
              <w:t>项目建成后为当地基础设施建设提供原料，矿区不涉及</w:t>
            </w:r>
            <w:r>
              <w:rPr>
                <w:rFonts w:hint="default" w:ascii="Times New Roman" w:hAnsi="Times New Roman" w:eastAsia="宋体" w:cs="Times New Roman"/>
                <w:color w:val="auto"/>
                <w:sz w:val="24"/>
                <w:highlight w:val="none"/>
              </w:rPr>
              <w:t>农产品主产区</w:t>
            </w:r>
            <w:r>
              <w:rPr>
                <w:rFonts w:hint="default" w:ascii="Times New Roman" w:hAnsi="Times New Roman" w:eastAsia="宋体" w:cs="Times New Roman"/>
                <w:color w:val="auto"/>
                <w:sz w:val="24"/>
                <w:highlight w:val="none"/>
                <w:lang w:val="en-US" w:eastAsia="zh-CN"/>
              </w:rPr>
              <w:t>及</w:t>
            </w:r>
            <w:r>
              <w:rPr>
                <w:rFonts w:hint="default" w:ascii="Times New Roman" w:hAnsi="Times New Roman" w:eastAsia="宋体" w:cs="Times New Roman"/>
                <w:color w:val="auto"/>
                <w:sz w:val="24"/>
                <w:highlight w:val="none"/>
              </w:rPr>
              <w:t>重点生态功能区</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本工程符合《新疆维吾尔自治区主体功能区规划》相关要求</w:t>
            </w:r>
            <w:r>
              <w:rPr>
                <w:rFonts w:hint="default" w:ascii="Times New Roman" w:hAnsi="Times New Roman" w:eastAsia="宋体" w:cs="Times New Roman"/>
                <w:color w:val="auto"/>
                <w:sz w:val="24"/>
                <w:highlight w:val="none"/>
                <w:lang w:eastAsia="zh-CN"/>
              </w:rPr>
              <w:t>。</w:t>
            </w:r>
          </w:p>
          <w:p w14:paraId="028D8A3F">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both"/>
              <w:rPr>
                <w:rFonts w:hint="default" w:ascii="Times New Roman" w:hAnsi="Times New Roman" w:eastAsia="宋体" w:cs="Times New Roman"/>
                <w:b/>
                <w:bCs/>
                <w:color w:val="000000" w:themeColor="text1"/>
                <w:kern w:val="2"/>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kern w:val="2"/>
                <w:sz w:val="24"/>
                <w:szCs w:val="24"/>
                <w:highlight w:val="none"/>
                <w:lang w:val="en-US" w:eastAsia="zh-CN" w:bidi="ar"/>
                <w14:textFill>
                  <w14:solidFill>
                    <w14:schemeClr w14:val="tx1"/>
                  </w14:solidFill>
                </w14:textFill>
              </w:rPr>
              <w:t>1.2 本项目在生态功能区划中的位置</w:t>
            </w:r>
          </w:p>
          <w:p w14:paraId="1CD7130D">
            <w:pPr>
              <w:pStyle w:val="73"/>
              <w:keepNext w:val="0"/>
              <w:keepLines w:val="0"/>
              <w:widowControl w:val="0"/>
              <w:suppressLineNumbers w:val="0"/>
              <w:autoSpaceDE w:val="0"/>
              <w:autoSpaceDN/>
              <w:spacing w:line="360" w:lineRule="auto"/>
              <w:ind w:left="0" w:leftChars="0" w:right="0" w:rightChars="0" w:firstLine="480" w:firstLineChars="200"/>
              <w:jc w:val="both"/>
              <w:rPr>
                <w:rFonts w:hint="default" w:ascii="Times New Roman" w:hAnsi="Times New Roman" w:eastAsia="宋体" w:cs="Times New Roman"/>
                <w:color w:val="000000" w:themeColor="text1"/>
                <w:kern w:val="2"/>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根据《新疆生态功能区划》，用地区域属于Ⅱ</w:t>
            </w:r>
            <w:r>
              <w:rPr>
                <w:rFonts w:hint="default"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准噶尔盆地温性荒漠与绿洲农业生态区</w:t>
            </w:r>
            <w:r>
              <w:rPr>
                <w:rFonts w:hint="default" w:ascii="Times New Roman" w:hAnsi="Times New Roman" w:eastAsia="宋体" w:cs="Times New Roman"/>
                <w:color w:val="000000" w:themeColor="text1"/>
                <w:kern w:val="2"/>
                <w:sz w:val="24"/>
                <w:szCs w:val="24"/>
                <w:highlight w:val="none"/>
                <w14:textFill>
                  <w14:solidFill>
                    <w14:schemeClr w14:val="tx1"/>
                  </w14:solidFill>
                </w14:textFill>
              </w:rPr>
              <w:t>。</w:t>
            </w:r>
          </w:p>
          <w:p w14:paraId="1EAD4C74">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color w:val="000000" w:themeColor="text1"/>
                <w:kern w:val="2"/>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kern w:val="2"/>
                <w:sz w:val="21"/>
                <w:szCs w:val="21"/>
                <w:highlight w:val="none"/>
                <w:lang w:val="en-US" w:eastAsia="zh-CN" w:bidi="ar"/>
                <w14:textFill>
                  <w14:solidFill>
                    <w14:schemeClr w14:val="tx1"/>
                  </w14:solidFill>
                </w14:textFill>
              </w:rPr>
              <w:t>表3-1   项目区生态功能区划</w:t>
            </w:r>
          </w:p>
          <w:tbl>
            <w:tblPr>
              <w:tblStyle w:val="38"/>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181"/>
              <w:gridCol w:w="5617"/>
            </w:tblGrid>
            <w:tr w14:paraId="21FFFC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5" w:type="pct"/>
                  <w:vMerge w:val="restart"/>
                  <w:tcBorders>
                    <w:tl2br w:val="nil"/>
                    <w:tr2bl w:val="nil"/>
                  </w:tcBorders>
                  <w:shd w:val="clear" w:color="auto" w:fill="auto"/>
                  <w:noWrap w:val="0"/>
                  <w:vAlign w:val="center"/>
                </w:tcPr>
                <w:p w14:paraId="40AAFE6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生态功能分区单元</w:t>
                  </w:r>
                </w:p>
              </w:tc>
              <w:tc>
                <w:tcPr>
                  <w:tcW w:w="767" w:type="pct"/>
                  <w:tcBorders>
                    <w:tl2br w:val="nil"/>
                    <w:tr2bl w:val="nil"/>
                  </w:tcBorders>
                  <w:shd w:val="clear" w:color="auto" w:fill="auto"/>
                  <w:noWrap w:val="0"/>
                  <w:vAlign w:val="center"/>
                </w:tcPr>
                <w:p w14:paraId="5B2B512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生态区</w:t>
                  </w:r>
                </w:p>
              </w:tc>
              <w:tc>
                <w:tcPr>
                  <w:tcW w:w="6082" w:type="dxa"/>
                  <w:tcBorders>
                    <w:tl2br w:val="nil"/>
                    <w:tr2bl w:val="nil"/>
                  </w:tcBorders>
                  <w:shd w:val="clear" w:color="auto" w:fill="auto"/>
                  <w:noWrap w:val="0"/>
                  <w:vAlign w:val="center"/>
                </w:tcPr>
                <w:p w14:paraId="785DBF5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Ⅱ 准噶尔盆地温性荒漠与绿洲农业生态区</w:t>
                  </w:r>
                </w:p>
              </w:tc>
            </w:tr>
            <w:tr w14:paraId="594F3C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5" w:type="pct"/>
                  <w:vMerge w:val="continue"/>
                  <w:tcBorders>
                    <w:tl2br w:val="nil"/>
                    <w:tr2bl w:val="nil"/>
                  </w:tcBorders>
                  <w:shd w:val="clear" w:color="auto" w:fill="auto"/>
                  <w:noWrap w:val="0"/>
                  <w:vAlign w:val="center"/>
                </w:tcPr>
                <w:p w14:paraId="1AE99CA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p>
              </w:tc>
              <w:tc>
                <w:tcPr>
                  <w:tcW w:w="767" w:type="pct"/>
                  <w:tcBorders>
                    <w:tl2br w:val="nil"/>
                    <w:tr2bl w:val="nil"/>
                  </w:tcBorders>
                  <w:shd w:val="clear" w:color="auto" w:fill="auto"/>
                  <w:noWrap w:val="0"/>
                  <w:vAlign w:val="center"/>
                </w:tcPr>
                <w:p w14:paraId="6EB43E7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生态亚区</w:t>
                  </w:r>
                </w:p>
              </w:tc>
              <w:tc>
                <w:tcPr>
                  <w:tcW w:w="6082" w:type="dxa"/>
                  <w:tcBorders>
                    <w:tl2br w:val="nil"/>
                    <w:tr2bl w:val="nil"/>
                  </w:tcBorders>
                  <w:shd w:val="clear" w:color="auto" w:fill="auto"/>
                  <w:noWrap w:val="0"/>
                  <w:vAlign w:val="center"/>
                </w:tcPr>
                <w:p w14:paraId="3BE928C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Ⅱ</w:t>
                  </w:r>
                  <w:r>
                    <w:rPr>
                      <w:rFonts w:hint="default" w:ascii="Times New Roman" w:hAnsi="Times New Roman" w:eastAsia="宋体" w:cs="Times New Roman"/>
                      <w:b w:val="0"/>
                      <w:bCs w:val="0"/>
                      <w:color w:val="000000" w:themeColor="text1"/>
                      <w:sz w:val="21"/>
                      <w:szCs w:val="21"/>
                      <w:highlight w:val="none"/>
                      <w:vertAlign w:val="sub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 xml:space="preserve"> 准噶尔盆地中部固定、半固定沙漠生态亚区</w:t>
                  </w:r>
                </w:p>
              </w:tc>
            </w:tr>
            <w:tr w14:paraId="3F0B70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5" w:type="pct"/>
                  <w:vMerge w:val="continue"/>
                  <w:tcBorders>
                    <w:tl2br w:val="nil"/>
                    <w:tr2bl w:val="nil"/>
                  </w:tcBorders>
                  <w:shd w:val="clear" w:color="auto" w:fill="auto"/>
                  <w:noWrap w:val="0"/>
                  <w:vAlign w:val="center"/>
                </w:tcPr>
                <w:p w14:paraId="1CFFBE1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p>
              </w:tc>
              <w:tc>
                <w:tcPr>
                  <w:tcW w:w="767" w:type="pct"/>
                  <w:tcBorders>
                    <w:tl2br w:val="nil"/>
                    <w:tr2bl w:val="nil"/>
                  </w:tcBorders>
                  <w:shd w:val="clear" w:color="auto" w:fill="auto"/>
                  <w:noWrap w:val="0"/>
                  <w:vAlign w:val="center"/>
                </w:tcPr>
                <w:p w14:paraId="602772E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生态功能区</w:t>
                  </w:r>
                </w:p>
              </w:tc>
              <w:tc>
                <w:tcPr>
                  <w:tcW w:w="6082" w:type="dxa"/>
                  <w:tcBorders>
                    <w:tl2br w:val="nil"/>
                    <w:tr2bl w:val="nil"/>
                  </w:tcBorders>
                  <w:shd w:val="clear" w:color="auto" w:fill="auto"/>
                  <w:noWrap w:val="0"/>
                  <w:vAlign w:val="center"/>
                </w:tcPr>
                <w:p w14:paraId="0F9B412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23．古尔班通古特沙漠化敏感及植被保护生态功能区</w:t>
                  </w:r>
                </w:p>
              </w:tc>
            </w:tr>
            <w:tr w14:paraId="0E4138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52" w:type="pct"/>
                  <w:gridSpan w:val="2"/>
                  <w:tcBorders>
                    <w:tl2br w:val="nil"/>
                    <w:tr2bl w:val="nil"/>
                  </w:tcBorders>
                  <w:noWrap w:val="0"/>
                  <w:vAlign w:val="center"/>
                </w:tcPr>
                <w:p w14:paraId="785FAB1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隶属行政</w:t>
                  </w:r>
                </w:p>
              </w:tc>
              <w:tc>
                <w:tcPr>
                  <w:tcW w:w="3647" w:type="pct"/>
                  <w:tcBorders>
                    <w:tl2br w:val="nil"/>
                    <w:tr2bl w:val="nil"/>
                  </w:tcBorders>
                  <w:noWrap w:val="0"/>
                  <w:vAlign w:val="center"/>
                </w:tcPr>
                <w:p w14:paraId="25198D5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布克赛尔县、福海县、沙湾县、玛纳斯县、呼图壁县、昌吉市、米泉市、阜康市、吉木萨尔县、奇台县、木垒县</w:t>
                  </w:r>
                </w:p>
              </w:tc>
            </w:tr>
            <w:tr w14:paraId="35444D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52" w:type="pct"/>
                  <w:gridSpan w:val="2"/>
                  <w:tcBorders>
                    <w:tl2br w:val="nil"/>
                    <w:tr2bl w:val="nil"/>
                  </w:tcBorders>
                  <w:noWrap w:val="0"/>
                  <w:vAlign w:val="center"/>
                </w:tcPr>
                <w:p w14:paraId="309BB7D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主要生态服务功能</w:t>
                  </w:r>
                </w:p>
              </w:tc>
              <w:tc>
                <w:tcPr>
                  <w:tcW w:w="6082" w:type="dxa"/>
                  <w:tcBorders>
                    <w:tl2br w:val="nil"/>
                    <w:tr2bl w:val="nil"/>
                  </w:tcBorders>
                  <w:noWrap w:val="0"/>
                  <w:vAlign w:val="center"/>
                </w:tcPr>
                <w:p w14:paraId="24AC7B8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沙漠化控制、生物多样性维护</w:t>
                  </w:r>
                </w:p>
              </w:tc>
            </w:tr>
            <w:tr w14:paraId="318BA3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52" w:type="pct"/>
                  <w:gridSpan w:val="2"/>
                  <w:tcBorders>
                    <w:tl2br w:val="nil"/>
                    <w:tr2bl w:val="nil"/>
                  </w:tcBorders>
                  <w:noWrap w:val="0"/>
                  <w:vAlign w:val="center"/>
                </w:tcPr>
                <w:p w14:paraId="111CC4E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主要生态环境问题</w:t>
                  </w:r>
                </w:p>
              </w:tc>
              <w:tc>
                <w:tcPr>
                  <w:tcW w:w="6082" w:type="dxa"/>
                  <w:tcBorders>
                    <w:tl2br w:val="nil"/>
                    <w:tr2bl w:val="nil"/>
                  </w:tcBorders>
                  <w:noWrap w:val="0"/>
                  <w:vAlign w:val="center"/>
                </w:tcPr>
                <w:p w14:paraId="14A50F2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人为干扰范围扩大、工程建设引起沙漠植被破坏、鼠害严重、植被退化、沙漠化构成对南缘绿洲的威胁</w:t>
                  </w:r>
                </w:p>
              </w:tc>
            </w:tr>
            <w:tr w14:paraId="07B0C7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52" w:type="pct"/>
                  <w:gridSpan w:val="2"/>
                  <w:tcBorders>
                    <w:tl2br w:val="nil"/>
                    <w:tr2bl w:val="nil"/>
                  </w:tcBorders>
                  <w:noWrap w:val="0"/>
                  <w:vAlign w:val="center"/>
                </w:tcPr>
                <w:p w14:paraId="0D86737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主要生态敏感因子、</w:t>
                  </w:r>
                </w:p>
                <w:p w14:paraId="5E29077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敏感程度</w:t>
                  </w:r>
                </w:p>
              </w:tc>
              <w:tc>
                <w:tcPr>
                  <w:tcW w:w="6082" w:type="dxa"/>
                  <w:tcBorders>
                    <w:tl2br w:val="nil"/>
                    <w:tr2bl w:val="nil"/>
                  </w:tcBorders>
                  <w:noWrap w:val="0"/>
                  <w:vAlign w:val="center"/>
                </w:tcPr>
                <w:p w14:paraId="61A5D31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生物多样性及其生境高度敏感，土地沙漠化极度敏感，土壤侵蚀高度敏感、土壤盐渍化轻度敏感</w:t>
                  </w:r>
                </w:p>
              </w:tc>
            </w:tr>
            <w:tr w14:paraId="2976B3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52" w:type="pct"/>
                  <w:gridSpan w:val="2"/>
                  <w:tcBorders>
                    <w:tl2br w:val="nil"/>
                    <w:tr2bl w:val="nil"/>
                  </w:tcBorders>
                  <w:noWrap w:val="0"/>
                  <w:vAlign w:val="center"/>
                </w:tcPr>
                <w:p w14:paraId="4B8CEF4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主要保护目标</w:t>
                  </w:r>
                </w:p>
              </w:tc>
              <w:tc>
                <w:tcPr>
                  <w:tcW w:w="6082" w:type="dxa"/>
                  <w:tcBorders>
                    <w:tl2br w:val="nil"/>
                    <w:tr2bl w:val="nil"/>
                  </w:tcBorders>
                  <w:noWrap w:val="0"/>
                  <w:vAlign w:val="center"/>
                </w:tcPr>
                <w:p w14:paraId="0D5C8BF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保护沙漠植被、防止沙丘活化</w:t>
                  </w:r>
                </w:p>
              </w:tc>
            </w:tr>
            <w:tr w14:paraId="0880BB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52" w:type="pct"/>
                  <w:gridSpan w:val="2"/>
                  <w:tcBorders>
                    <w:tl2br w:val="nil"/>
                    <w:tr2bl w:val="nil"/>
                  </w:tcBorders>
                  <w:noWrap w:val="0"/>
                  <w:vAlign w:val="center"/>
                </w:tcPr>
                <w:p w14:paraId="5FEE9057">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主要保护措施</w:t>
                  </w:r>
                </w:p>
              </w:tc>
              <w:tc>
                <w:tcPr>
                  <w:tcW w:w="6082" w:type="dxa"/>
                  <w:tcBorders>
                    <w:tl2br w:val="nil"/>
                    <w:tr2bl w:val="nil"/>
                  </w:tcBorders>
                  <w:noWrap w:val="0"/>
                  <w:vAlign w:val="center"/>
                </w:tcPr>
                <w:p w14:paraId="0652956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对沙漠边缘流动沙丘、活化沙地进行封沙育林、退耕还林（草），禁止憔采和放牧，禁止开荒</w:t>
                  </w:r>
                </w:p>
              </w:tc>
            </w:tr>
            <w:tr w14:paraId="3E861D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52" w:type="pct"/>
                  <w:gridSpan w:val="2"/>
                  <w:tcBorders>
                    <w:tl2br w:val="nil"/>
                    <w:tr2bl w:val="nil"/>
                  </w:tcBorders>
                  <w:noWrap w:val="0"/>
                  <w:vAlign w:val="center"/>
                </w:tcPr>
                <w:p w14:paraId="2D4FDB9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适宜发展方向</w:t>
                  </w:r>
                </w:p>
              </w:tc>
              <w:tc>
                <w:tcPr>
                  <w:tcW w:w="6082" w:type="dxa"/>
                  <w:tcBorders>
                    <w:tl2br w:val="nil"/>
                    <w:tr2bl w:val="nil"/>
                  </w:tcBorders>
                  <w:noWrap w:val="0"/>
                  <w:vAlign w:val="center"/>
                </w:tcPr>
                <w:p w14:paraId="03332C4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维护固定、半固定沙漠景观与植被，治理活化沙丘，遏制蔓延</w:t>
                  </w:r>
                </w:p>
              </w:tc>
            </w:tr>
          </w:tbl>
          <w:p w14:paraId="12FB642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firstLine="0" w:firstLineChars="0"/>
              <w:jc w:val="both"/>
              <w:textAlignment w:val="auto"/>
              <w:rPr>
                <w:rFonts w:hint="default" w:ascii="Times New Roman" w:hAnsi="Times New Roman" w:eastAsia="宋体" w:cs="Times New Roman"/>
                <w:b/>
                <w:bCs w:val="0"/>
                <w:color w:val="auto"/>
                <w:kern w:val="2"/>
                <w:sz w:val="24"/>
                <w:szCs w:val="24"/>
                <w:highlight w:val="none"/>
                <w:lang w:val="en-US" w:eastAsia="zh-CN" w:bidi="ar"/>
              </w:rPr>
            </w:pPr>
            <w:r>
              <w:rPr>
                <w:rFonts w:hint="default" w:ascii="Times New Roman" w:hAnsi="Times New Roman" w:eastAsia="宋体" w:cs="Times New Roman"/>
                <w:b/>
                <w:bCs w:val="0"/>
                <w:color w:val="auto"/>
                <w:kern w:val="2"/>
                <w:sz w:val="24"/>
                <w:szCs w:val="24"/>
                <w:highlight w:val="none"/>
                <w:lang w:val="en-US" w:eastAsia="zh-CN" w:bidi="ar"/>
              </w:rPr>
              <w:t>1.3 土地利用类型</w:t>
            </w:r>
          </w:p>
          <w:p w14:paraId="63E1494F">
            <w:pPr>
              <w:pStyle w:val="51"/>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该矿区位于</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吉木萨尔县庆阳湖乡，吉木萨尔</w:t>
            </w:r>
            <w:r>
              <w:rPr>
                <w:rFonts w:hint="default" w:ascii="Times New Roman" w:hAnsi="Times New Roman" w:eastAsia="宋体" w:cs="Times New Roman"/>
                <w:color w:val="000000" w:themeColor="text1"/>
                <w:sz w:val="24"/>
                <w:highlight w:val="none"/>
                <w14:textFill>
                  <w14:solidFill>
                    <w14:schemeClr w14:val="tx1"/>
                  </w14:solidFill>
                </w14:textFill>
              </w:rPr>
              <w:t>县城</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273</w:t>
            </w:r>
            <w:r>
              <w:rPr>
                <w:rFonts w:hint="default" w:ascii="Times New Roman" w:hAnsi="Times New Roman" w:eastAsia="宋体" w:cs="Times New Roman"/>
                <w:color w:val="000000" w:themeColor="text1"/>
                <w:sz w:val="24"/>
                <w:highlight w:val="none"/>
                <w14:textFill>
                  <w14:solidFill>
                    <w14:schemeClr w14:val="tx1"/>
                  </w14:solidFill>
                </w14:textFill>
              </w:rPr>
              <w:t>°方位，直距约</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14</w:t>
            </w:r>
            <w:r>
              <w:rPr>
                <w:rFonts w:hint="default" w:ascii="Times New Roman" w:hAnsi="Times New Roman" w:eastAsia="宋体" w:cs="Times New Roman"/>
                <w:color w:val="000000" w:themeColor="text1"/>
                <w:sz w:val="24"/>
                <w:highlight w:val="none"/>
                <w14:textFill>
                  <w14:solidFill>
                    <w14:schemeClr w14:val="tx1"/>
                  </w14:solidFill>
                </w14:textFill>
              </w:rPr>
              <w:t>km，矿山未被开垦，土地利用类型为</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其他草地和林地，详见附图土地利用现状图</w:t>
            </w:r>
            <w:r>
              <w:rPr>
                <w:rFonts w:hint="default" w:ascii="Times New Roman" w:hAnsi="Times New Roman" w:eastAsia="宋体" w:cs="Times New Roman"/>
                <w:color w:val="000000" w:themeColor="text1"/>
                <w:sz w:val="24"/>
                <w:highlight w:val="none"/>
                <w14:textFill>
                  <w14:solidFill>
                    <w14:schemeClr w14:val="tx1"/>
                  </w14:solidFill>
                </w14:textFill>
              </w:rPr>
              <w:t>。</w:t>
            </w:r>
          </w:p>
          <w:p w14:paraId="5F0C64BB">
            <w:pPr>
              <w:pStyle w:val="51"/>
              <w:ind w:left="0" w:leftChars="0" w:firstLine="0" w:firstLineChars="0"/>
              <w:rPr>
                <w:rFonts w:hint="default"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b/>
                <w:bCs/>
                <w:color w:val="auto"/>
                <w:sz w:val="24"/>
                <w:highlight w:val="none"/>
                <w:lang w:val="en-US" w:eastAsia="zh-CN"/>
              </w:rPr>
              <w:t>1.4 动植物现状调查与评价</w:t>
            </w:r>
          </w:p>
          <w:p w14:paraId="347EF82E">
            <w:pPr>
              <w:pStyle w:val="51"/>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zh-CN" w:eastAsia="zh-CN"/>
                <w14:textFill>
                  <w14:solidFill>
                    <w14:schemeClr w14:val="tx1"/>
                  </w14:solidFill>
                </w14:textFill>
              </w:rPr>
              <w:t>本项目矿区所在区域生长植物以旱生碱蓬、骆驼刺、铃铛刺为主，植物群落高度一般2～20厘米，覆盖度15-20%左右</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，根据《新疆国家重点保护野生植物名录》（2022年）、《新疆维吾尔自治区重点保护野生植物名录》（第一批）（新政办发〔2007〕175 号）可知，项目评价区无保护植物。</w:t>
            </w:r>
          </w:p>
          <w:p w14:paraId="455EBFF1">
            <w:pPr>
              <w:pStyle w:val="51"/>
              <w:rPr>
                <w:rFonts w:hint="default" w:ascii="Times New Roman" w:hAnsi="Times New Roman" w:eastAsia="宋体" w:cs="Times New Roman"/>
                <w:color w:val="000000" w:themeColor="text1"/>
                <w:sz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highlight w:val="none"/>
                <w:lang w:eastAsia="zh-CN"/>
                <w14:textFill>
                  <w14:solidFill>
                    <w14:schemeClr w14:val="tx1"/>
                  </w14:solidFill>
                </w14:textFill>
              </w:rPr>
              <w:t>项目区人为活动较多，目前，在矿区周边只能见到一些小型的哺乳动物，如小家鼠(Musmusculus)、五趾跳鼠(Allactagasibirica)、普通田鼠等，爬行类动物如蜥蜴(Lizard)，常见的野生动物有蛇、野兔、山鸡等，矿区周边未见珍稀野生动物、国家保护动植物</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p>
          <w:p w14:paraId="7BF1020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firstLine="0" w:firstLineChars="0"/>
              <w:jc w:val="both"/>
              <w:textAlignment w:val="auto"/>
              <w:rPr>
                <w:rFonts w:hint="default" w:ascii="Times New Roman" w:hAnsi="Times New Roman" w:eastAsia="宋体" w:cs="Times New Roman"/>
                <w:b/>
                <w:bCs w:val="0"/>
                <w:color w:val="auto"/>
                <w:kern w:val="2"/>
                <w:sz w:val="24"/>
                <w:szCs w:val="24"/>
                <w:highlight w:val="none"/>
                <w:lang w:val="en-US" w:eastAsia="zh-CN" w:bidi="ar"/>
              </w:rPr>
            </w:pPr>
            <w:r>
              <w:rPr>
                <w:rFonts w:hint="default" w:ascii="Times New Roman" w:hAnsi="Times New Roman" w:eastAsia="宋体" w:cs="Times New Roman"/>
                <w:b/>
                <w:bCs w:val="0"/>
                <w:color w:val="auto"/>
                <w:kern w:val="2"/>
                <w:sz w:val="24"/>
                <w:szCs w:val="24"/>
                <w:highlight w:val="none"/>
                <w:lang w:val="en-US" w:eastAsia="zh-CN" w:bidi="ar"/>
              </w:rPr>
              <w:t>1.5 土壤类型</w:t>
            </w:r>
          </w:p>
          <w:p w14:paraId="3FF8869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color w:val="000000" w:themeColor="text1"/>
                <w:highlight w:val="none"/>
                <w:lang w:val="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zh-CN"/>
                <w14:textFill>
                  <w14:solidFill>
                    <w14:schemeClr w14:val="tx1"/>
                  </w14:solidFill>
                </w14:textFill>
              </w:rPr>
              <w:t>项目区所在地土壤的分布以</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灰褐土</w:t>
            </w:r>
            <w:r>
              <w:rPr>
                <w:rFonts w:hint="default" w:ascii="Times New Roman" w:hAnsi="Times New Roman" w:eastAsia="宋体" w:cs="Times New Roman"/>
                <w:color w:val="000000" w:themeColor="text1"/>
                <w:sz w:val="24"/>
                <w:szCs w:val="24"/>
                <w:highlight w:val="none"/>
                <w:lang w:val="zh-CN"/>
                <w14:textFill>
                  <w14:solidFill>
                    <w14:schemeClr w14:val="tx1"/>
                  </w14:solidFill>
                </w14:textFill>
              </w:rPr>
              <w:t>为主，</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灰褐土是天山北麓低山、中山地带垂直带上的地带性土壤，项目区发育石灰性灰褐土，成土母质以冲洪积、坡积砂砾质沉积物为主。</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土壤呈微碱性，pH7.8～8.4；土体富含碳酸钙，剖面中下部可见钙积现象，无明显酸化、碱化特征。山前丘陵区排水条件良好，淋溶作用相对较强，土壤水溶性总含盐量0.40～1.80g/kg，属于非盐渍化土壤，不存在原生盐化问题</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原生地表覆盖荒漠草原植被，表层具备一定腐殖质；土壤结构稳定性一般，一旦植被剥离、土体裸露，在区域大风作用下易遭受风蚀，降雨时节易发生水力侵蚀。详见附图土壤类型图</w:t>
            </w:r>
            <w:r>
              <w:rPr>
                <w:rFonts w:hint="default" w:ascii="Times New Roman" w:hAnsi="Times New Roman" w:eastAsia="宋体" w:cs="Times New Roman"/>
                <w:color w:val="000000" w:themeColor="text1"/>
                <w:sz w:val="24"/>
                <w:szCs w:val="24"/>
                <w:highlight w:val="none"/>
                <w:lang w:val="zh-CN"/>
                <w14:textFill>
                  <w14:solidFill>
                    <w14:schemeClr w14:val="tx1"/>
                  </w14:solidFill>
                </w14:textFill>
              </w:rPr>
              <w:t>。</w:t>
            </w:r>
          </w:p>
          <w:p w14:paraId="2323AE6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firstLine="0" w:firstLineChars="0"/>
              <w:jc w:val="both"/>
              <w:textAlignment w:val="auto"/>
              <w:rPr>
                <w:rFonts w:hint="default" w:ascii="Times New Roman" w:hAnsi="Times New Roman" w:eastAsia="宋体" w:cs="Times New Roman"/>
                <w:b/>
                <w:bCs w:val="0"/>
                <w:color w:val="auto"/>
                <w:kern w:val="2"/>
                <w:sz w:val="24"/>
                <w:szCs w:val="24"/>
                <w:highlight w:val="none"/>
                <w:lang w:val="zh-CN" w:eastAsia="zh-CN" w:bidi="ar"/>
              </w:rPr>
            </w:pPr>
            <w:r>
              <w:rPr>
                <w:rFonts w:hint="default" w:ascii="Times New Roman" w:hAnsi="Times New Roman" w:eastAsia="宋体" w:cs="Times New Roman"/>
                <w:b/>
                <w:bCs w:val="0"/>
                <w:color w:val="auto"/>
                <w:kern w:val="2"/>
                <w:sz w:val="24"/>
                <w:szCs w:val="24"/>
                <w:highlight w:val="none"/>
                <w:lang w:val="en-US" w:eastAsia="zh-CN" w:bidi="ar"/>
              </w:rPr>
              <w:t>1.6区域</w:t>
            </w:r>
            <w:r>
              <w:rPr>
                <w:rFonts w:hint="default" w:ascii="Times New Roman" w:hAnsi="Times New Roman" w:eastAsia="宋体" w:cs="Times New Roman"/>
                <w:b/>
                <w:bCs w:val="0"/>
                <w:color w:val="auto"/>
                <w:kern w:val="2"/>
                <w:sz w:val="24"/>
                <w:szCs w:val="24"/>
                <w:highlight w:val="none"/>
                <w:lang w:val="zh-CN" w:eastAsia="zh-CN" w:bidi="ar"/>
              </w:rPr>
              <w:t>水土流失现状</w:t>
            </w:r>
          </w:p>
          <w:p w14:paraId="35EA7CC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庆阳湖乡隶属于吉木萨尔县，地处天山北坡、准噶尔盆地南缘，项目所在区域属于II</w:t>
            </w:r>
            <w:r>
              <w:rPr>
                <w:rFonts w:hint="default" w:ascii="Times New Roman" w:hAnsi="Times New Roman" w:eastAsia="宋体" w:cs="Times New Roman"/>
                <w:sz w:val="24"/>
                <w:szCs w:val="24"/>
                <w:highlight w:val="none"/>
                <w:vertAlign w:val="subscript"/>
              </w:rPr>
              <w:t>2</w:t>
            </w:r>
            <w:r>
              <w:rPr>
                <w:rFonts w:hint="default" w:ascii="Times New Roman" w:hAnsi="Times New Roman" w:eastAsia="宋体" w:cs="Times New Roman"/>
                <w:sz w:val="24"/>
                <w:szCs w:val="24"/>
                <w:highlight w:val="none"/>
              </w:rPr>
              <w:t>天山北坡诸小河流域重点治理区</w:t>
            </w:r>
            <w:r>
              <w:rPr>
                <w:rFonts w:hint="default" w:ascii="Times New Roman" w:hAnsi="Times New Roman" w:eastAsia="宋体" w:cs="Times New Roman"/>
                <w:sz w:val="24"/>
                <w:szCs w:val="24"/>
                <w:highlight w:val="none"/>
                <w:lang w:val="en-US" w:eastAsia="zh-CN"/>
              </w:rPr>
              <w:t>,</w:t>
            </w:r>
            <w:r>
              <w:rPr>
                <w:rFonts w:hint="default" w:ascii="Times New Roman" w:hAnsi="Times New Roman" w:eastAsia="宋体" w:cs="Times New Roman"/>
                <w:sz w:val="24"/>
                <w:szCs w:val="24"/>
                <w:highlight w:val="none"/>
              </w:rPr>
              <w:t>区域以轻度风力侵蚀为主，主要分布在北部平原及绿洲荒漠过渡地带，局部区域存在水力侵蚀，集中于南部低山丘陵与沟谷区域，中部山前平原受风蚀、水蚀共同影响。当地气候干旱、土壤抗蚀能力弱，加之人为活动扰动，水土流失问题客观存在，目前通过生态治理、植被建设等措施，区域侵蚀强度已逐步减弱。</w:t>
            </w:r>
          </w:p>
          <w:p w14:paraId="2597CF6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firstLine="0" w:firstLineChars="0"/>
              <w:jc w:val="both"/>
              <w:textAlignment w:val="auto"/>
              <w:rPr>
                <w:rFonts w:hint="eastAsia" w:ascii="Times New Roman" w:hAnsi="Times New Roman" w:eastAsia="宋体" w:cs="Times New Roman"/>
                <w:b/>
                <w:bCs w:val="0"/>
                <w:color w:val="auto"/>
                <w:kern w:val="2"/>
                <w:sz w:val="24"/>
                <w:szCs w:val="24"/>
                <w:highlight w:val="none"/>
                <w:lang w:val="en-US" w:eastAsia="zh-CN" w:bidi="ar"/>
              </w:rPr>
            </w:pPr>
            <w:r>
              <w:rPr>
                <w:rFonts w:hint="eastAsia" w:ascii="Times New Roman" w:hAnsi="Times New Roman" w:eastAsia="宋体" w:cs="Times New Roman"/>
                <w:b/>
                <w:bCs w:val="0"/>
                <w:color w:val="auto"/>
                <w:kern w:val="2"/>
                <w:sz w:val="24"/>
                <w:szCs w:val="24"/>
                <w:highlight w:val="none"/>
                <w:lang w:val="en-US" w:eastAsia="zh-CN" w:bidi="ar"/>
              </w:rPr>
              <w:t>1.7土地沙化现状</w:t>
            </w:r>
          </w:p>
          <w:p w14:paraId="42D0A85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吉木萨尔县地势南高北低，土地沙化空间分异特征显著：县域北部为准噶尔盆地古尔班通古特沙漠南缘，大面积分布沙化土地，属于县域防风固沙、沙化防控重点区域；中部冲洪积平原零星存在轻度沙化土地；南部天山北麓山前低山丘陵地带（本项目所在区域）不属于沙化土地集中分布区。</w:t>
            </w:r>
          </w:p>
          <w:p w14:paraId="3088455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项目矿区地处吉木萨尔县南部山前丘陵，土壤类型为灰褐土，地形存在一定坡度，地表径流条件较好，土壤母质以冲洪积坡积砾石、砂质沉积物为主；区域年降水量高于北部荒漠区，原生植被为荒漠草原，现状地表具备一定植被覆盖，无流动沙丘、半固定沙丘发育。对照《沙化土地监测技术规程》（GB/T 24255-2009）现场判别标准，项目评价范围内无明显风积沙层、地表结皮沙化现象，评价区不属于沙化土地，不存在原生土地沙化问题。</w:t>
            </w:r>
          </w:p>
          <w:p w14:paraId="44C049A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firstLine="480" w:firstLineChars="200"/>
              <w:jc w:val="both"/>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区域沙化土地主要分布于县城以北北部荒漠区，距离本矿区较远，北部防风固沙植被带形成天然阻隔，北部沙化土地向南扩张至本项目区的自然风险较低。但露天开采将扰动地表土层，剥离作业形成裸露创面，若管控不当，裸露松散沉积物在大风天气下易产生风蚀扬尘，存在人为加剧局部风蚀、诱发次生沙化的潜在风险。</w:t>
            </w:r>
          </w:p>
          <w:p w14:paraId="1E828EFD">
            <w:pPr>
              <w:keepNext w:val="0"/>
              <w:keepLines w:val="0"/>
              <w:pageBreakBefore w:val="0"/>
              <w:widowControl w:val="0"/>
              <w:suppressLineNumbers w:val="0"/>
              <w:kinsoku/>
              <w:wordWrap/>
              <w:overflowPunct/>
              <w:topLinePunct w:val="0"/>
              <w:autoSpaceDE w:val="0"/>
              <w:autoSpaceDN/>
              <w:bidi w:val="0"/>
              <w:adjustRightInd/>
              <w:snapToGrid/>
              <w:spacing w:beforeAutospacing="0" w:afterAutospacing="0" w:line="360" w:lineRule="auto"/>
              <w:ind w:left="0" w:leftChars="0" w:right="0" w:rightChars="0" w:firstLine="0" w:firstLineChars="0"/>
              <w:jc w:val="both"/>
              <w:textAlignment w:val="auto"/>
              <w:outlineLvl w:val="9"/>
              <w:rPr>
                <w:rFonts w:hint="default" w:ascii="Times New Roman" w:hAnsi="Times New Roman" w:eastAsia="宋体" w:cs="Times New Roman"/>
                <w:b/>
                <w:color w:val="000000" w:themeColor="text1"/>
                <w:kern w:val="2"/>
                <w:sz w:val="24"/>
                <w:szCs w:val="24"/>
                <w:highlight w:val="none"/>
                <w:lang w:val="en-US" w:eastAsia="zh-CN" w:bidi="ar"/>
                <w14:textFill>
                  <w14:solidFill>
                    <w14:schemeClr w14:val="tx1"/>
                  </w14:solidFill>
                </w14:textFill>
              </w:rPr>
            </w:pPr>
            <w:r>
              <w:rPr>
                <w:rFonts w:hint="default" w:ascii="Times New Roman" w:hAnsi="Times New Roman" w:eastAsia="宋体" w:cs="Times New Roman"/>
                <w:b/>
                <w:color w:val="000000" w:themeColor="text1"/>
                <w:kern w:val="2"/>
                <w:sz w:val="24"/>
                <w:szCs w:val="24"/>
                <w:highlight w:val="none"/>
                <w:lang w:val="en-US" w:eastAsia="zh-CN" w:bidi="ar"/>
                <w14:textFill>
                  <w14:solidFill>
                    <w14:schemeClr w14:val="tx1"/>
                  </w14:solidFill>
                </w14:textFill>
              </w:rPr>
              <w:t>2、环境空气质量现状</w:t>
            </w:r>
          </w:p>
          <w:p w14:paraId="78E7BE77">
            <w:pPr>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b/>
                <w:color w:val="000000" w:themeColor="text1"/>
                <w:szCs w:val="22"/>
                <w:highlight w:val="none"/>
                <w:lang w:val="en-US" w:eastAsia="zh-CN"/>
                <w14:textFill>
                  <w14:solidFill>
                    <w14:schemeClr w14:val="tx1"/>
                  </w14:solidFill>
                </w14:textFill>
              </w:rPr>
              <w:t>2</w:t>
            </w:r>
            <w:r>
              <w:rPr>
                <w:rFonts w:hint="default" w:ascii="Times New Roman" w:hAnsi="Times New Roman" w:eastAsia="宋体" w:cs="Times New Roman"/>
                <w:b/>
                <w:color w:val="000000" w:themeColor="text1"/>
                <w:szCs w:val="22"/>
                <w:highlight w:val="none"/>
                <w14:textFill>
                  <w14:solidFill>
                    <w14:schemeClr w14:val="tx1"/>
                  </w14:solidFill>
                </w14:textFill>
              </w:rPr>
              <w:t xml:space="preserve">.1 </w:t>
            </w:r>
            <w:r>
              <w:rPr>
                <w:rFonts w:hint="default" w:ascii="Times New Roman" w:hAnsi="Times New Roman" w:eastAsia="宋体" w:cs="Times New Roman"/>
                <w:b/>
                <w:bCs/>
                <w:color w:val="000000" w:themeColor="text1"/>
                <w:kern w:val="0"/>
                <w:highlight w:val="none"/>
                <w14:textFill>
                  <w14:solidFill>
                    <w14:schemeClr w14:val="tx1"/>
                  </w14:solidFill>
                </w14:textFill>
              </w:rPr>
              <w:t>基本污染物环境质量现状评价</w:t>
            </w:r>
          </w:p>
          <w:p w14:paraId="229AF703">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360" w:lineRule="auto"/>
              <w:ind w:left="0" w:leftChars="0" w:right="0" w:firstLine="480" w:firstLineChars="200"/>
              <w:textAlignment w:val="auto"/>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（1）</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数据来源</w:t>
            </w:r>
          </w:p>
          <w:p w14:paraId="2A381E2B">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根据</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建设项目环境影响报告表编制技术指南（</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生态</w:t>
            </w:r>
            <w:r>
              <w:rPr>
                <w:rFonts w:hint="default" w:ascii="Times New Roman" w:hAnsi="Times New Roman" w:eastAsia="宋体" w:cs="Times New Roman"/>
                <w:color w:val="000000" w:themeColor="text1"/>
                <w:sz w:val="24"/>
                <w:szCs w:val="24"/>
                <w:highlight w:val="none"/>
                <w14:textFill>
                  <w14:solidFill>
                    <w14:schemeClr w14:val="tx1"/>
                  </w14:solidFill>
                </w14:textFill>
              </w:rPr>
              <w:t>影响类）（试行）</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要求：生态环境现状：不开展专项评价的环境要素，引用与项目距离近的有效数据和调查资料，包括符合时限要求的规划环境影响评价监测数据和调查资料，国家、地方环境质量监测网数据或生态环境主管部门公开发布的生态环境质量数据等。本次评价选取离本项目最近的吉木萨尔县大气环境在线监测站点(生态环境局站点)2024年的监测数据，</w:t>
            </w:r>
            <w:r>
              <w:rPr>
                <w:rFonts w:hint="default" w:ascii="Times New Roman" w:hAnsi="Times New Roman" w:eastAsia="宋体" w:cs="Times New Roman"/>
                <w:color w:val="000000" w:themeColor="text1"/>
                <w:sz w:val="24"/>
                <w:szCs w:val="24"/>
                <w:highlight w:val="none"/>
                <w14:textFill>
                  <w14:solidFill>
                    <w14:schemeClr w14:val="tx1"/>
                  </w14:solidFill>
                </w14:textFill>
              </w:rPr>
              <w:t>作为本项目环境空气现状评价基本污染物SO</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2</w:t>
            </w:r>
            <w:r>
              <w:rPr>
                <w:rFonts w:hint="default" w:ascii="Times New Roman" w:hAnsi="Times New Roman" w:eastAsia="宋体" w:cs="Times New Roman"/>
                <w:color w:val="000000" w:themeColor="text1"/>
                <w:sz w:val="24"/>
                <w:szCs w:val="24"/>
                <w:highlight w:val="none"/>
                <w14:textFill>
                  <w14:solidFill>
                    <w14:schemeClr w14:val="tx1"/>
                  </w14:solidFill>
                </w14:textFill>
              </w:rPr>
              <w:t>、NO</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2</w:t>
            </w:r>
            <w:r>
              <w:rPr>
                <w:rFonts w:hint="default" w:ascii="Times New Roman" w:hAnsi="Times New Roman" w:eastAsia="宋体" w:cs="Times New Roman"/>
                <w:color w:val="000000" w:themeColor="text1"/>
                <w:sz w:val="24"/>
                <w:szCs w:val="24"/>
                <w:highlight w:val="none"/>
                <w14:textFill>
                  <w14:solidFill>
                    <w14:schemeClr w14:val="tx1"/>
                  </w14:solidFill>
                </w14:textFill>
              </w:rPr>
              <w:t>、PM</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10</w:t>
            </w:r>
            <w:r>
              <w:rPr>
                <w:rFonts w:hint="default" w:ascii="Times New Roman" w:hAnsi="Times New Roman" w:eastAsia="宋体" w:cs="Times New Roman"/>
                <w:color w:val="000000" w:themeColor="text1"/>
                <w:sz w:val="24"/>
                <w:szCs w:val="24"/>
                <w:highlight w:val="none"/>
                <w14:textFill>
                  <w14:solidFill>
                    <w14:schemeClr w14:val="tx1"/>
                  </w14:solidFill>
                </w14:textFill>
              </w:rPr>
              <w:t>、PM</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2.5</w:t>
            </w:r>
            <w:r>
              <w:rPr>
                <w:rFonts w:hint="default" w:ascii="Times New Roman" w:hAnsi="Times New Roman" w:eastAsia="宋体" w:cs="Times New Roman"/>
                <w:color w:val="000000" w:themeColor="text1"/>
                <w:sz w:val="24"/>
                <w:szCs w:val="24"/>
                <w:highlight w:val="none"/>
                <w14:textFill>
                  <w14:solidFill>
                    <w14:schemeClr w14:val="tx1"/>
                  </w14:solidFill>
                </w14:textFill>
              </w:rPr>
              <w:t>、CO和O</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的数据来源。</w:t>
            </w:r>
          </w:p>
          <w:p w14:paraId="75B8B4F8">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360" w:lineRule="auto"/>
              <w:ind w:left="0" w:leftChars="0" w:right="0" w:firstLine="480" w:firstLineChars="200"/>
              <w:textAlignment w:val="auto"/>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评价标准</w:t>
            </w:r>
          </w:p>
          <w:p w14:paraId="7147C23B">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基本污染物SO</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2</w:t>
            </w:r>
            <w:r>
              <w:rPr>
                <w:rFonts w:hint="default" w:ascii="Times New Roman" w:hAnsi="Times New Roman" w:eastAsia="宋体" w:cs="Times New Roman"/>
                <w:color w:val="000000" w:themeColor="text1"/>
                <w:sz w:val="24"/>
                <w:szCs w:val="24"/>
                <w:highlight w:val="none"/>
                <w14:textFill>
                  <w14:solidFill>
                    <w14:schemeClr w14:val="tx1"/>
                  </w14:solidFill>
                </w14:textFill>
              </w:rPr>
              <w:t>、NO</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2</w:t>
            </w:r>
            <w:r>
              <w:rPr>
                <w:rFonts w:hint="default" w:ascii="Times New Roman" w:hAnsi="Times New Roman" w:eastAsia="宋体" w:cs="Times New Roman"/>
                <w:color w:val="000000" w:themeColor="text1"/>
                <w:sz w:val="24"/>
                <w:szCs w:val="24"/>
                <w:highlight w:val="none"/>
                <w14:textFill>
                  <w14:solidFill>
                    <w14:schemeClr w14:val="tx1"/>
                  </w14:solidFill>
                </w14:textFill>
              </w:rPr>
              <w:t>、PM</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10</w:t>
            </w:r>
            <w:r>
              <w:rPr>
                <w:rFonts w:hint="default" w:ascii="Times New Roman" w:hAnsi="Times New Roman" w:eastAsia="宋体" w:cs="Times New Roman"/>
                <w:color w:val="000000" w:themeColor="text1"/>
                <w:sz w:val="24"/>
                <w:szCs w:val="24"/>
                <w:highlight w:val="none"/>
                <w14:textFill>
                  <w14:solidFill>
                    <w14:schemeClr w14:val="tx1"/>
                  </w14:solidFill>
                </w14:textFill>
              </w:rPr>
              <w:t>、PM</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2.5</w:t>
            </w:r>
            <w:r>
              <w:rPr>
                <w:rFonts w:hint="default" w:ascii="Times New Roman" w:hAnsi="Times New Roman" w:eastAsia="宋体" w:cs="Times New Roman"/>
                <w:color w:val="000000" w:themeColor="text1"/>
                <w:sz w:val="24"/>
                <w:szCs w:val="24"/>
                <w:highlight w:val="none"/>
                <w14:textFill>
                  <w14:solidFill>
                    <w14:schemeClr w14:val="tx1"/>
                  </w14:solidFill>
                </w14:textFill>
              </w:rPr>
              <w:t>、CO和O</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执行《环境空气质量标准》（GB3095-20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26</w:t>
            </w:r>
            <w:r>
              <w:rPr>
                <w:rFonts w:hint="default" w:ascii="Times New Roman" w:hAnsi="Times New Roman" w:eastAsia="宋体" w:cs="Times New Roman"/>
                <w:color w:val="000000" w:themeColor="text1"/>
                <w:sz w:val="24"/>
                <w:szCs w:val="24"/>
                <w:highlight w:val="none"/>
                <w14:textFill>
                  <w14:solidFill>
                    <w14:schemeClr w14:val="tx1"/>
                  </w14:solidFill>
                </w14:textFill>
              </w:rPr>
              <w:t>）中</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过渡阶段浓度限值</w:t>
            </w:r>
            <w:r>
              <w:rPr>
                <w:rFonts w:hint="default" w:ascii="Times New Roman" w:hAnsi="Times New Roman" w:eastAsia="宋体" w:cs="Times New Roman"/>
                <w:color w:val="000000" w:themeColor="text1"/>
                <w:sz w:val="24"/>
                <w:szCs w:val="24"/>
                <w:highlight w:val="none"/>
                <w14:textFill>
                  <w14:solidFill>
                    <w14:schemeClr w14:val="tx1"/>
                  </w14:solidFill>
                </w14:textFill>
              </w:rPr>
              <w:t>的二级标准。</w:t>
            </w:r>
          </w:p>
          <w:p w14:paraId="3031806A">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360" w:lineRule="auto"/>
              <w:ind w:left="0" w:leftChars="0" w:right="0" w:firstLine="480" w:firstLineChars="200"/>
              <w:textAlignment w:val="auto"/>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评价方法</w:t>
            </w:r>
          </w:p>
          <w:p w14:paraId="321AEF12">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评价方法：基本污染物按照《环境空气质量评价技术规范（试行）》（HJ 663-2013）中各评价项目的年评价指标进行判定。年评价指标中的年均浓度和相应百分位数24h平均或8h平均质量浓度满足GB3095中浓度限值要求的即为达标。</w:t>
            </w:r>
          </w:p>
          <w:p w14:paraId="5722A3B1">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b/>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达标判定结果见表</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3-2</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39571B23">
            <w:pPr>
              <w:pStyle w:val="52"/>
              <w:keepNext w:val="0"/>
              <w:keepLines w:val="0"/>
              <w:pageBreakBefore w:val="0"/>
              <w:widowControl w:val="0"/>
              <w:suppressLineNumbers w:val="0"/>
              <w:kinsoku/>
              <w:wordWrap/>
              <w:overflowPunct w:val="0"/>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color w:val="000000" w:themeColor="text1"/>
                <w:ker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b/>
                <w:color w:val="000000" w:themeColor="text1"/>
                <w:kern w:val="0"/>
                <w:sz w:val="21"/>
                <w:szCs w:val="21"/>
                <w:highlight w:val="none"/>
                <w:lang w:val="en-US" w:eastAsia="zh-CN" w:bidi="ar"/>
                <w14:textFill>
                  <w14:solidFill>
                    <w14:schemeClr w14:val="tx1"/>
                  </w14:solidFill>
                </w14:textFill>
              </w:rPr>
              <w:t>表3-2  吉木萨尔县环境空气主要污染物监测结果统计</w:t>
            </w:r>
          </w:p>
          <w:tbl>
            <w:tblPr>
              <w:tblStyle w:val="38"/>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515"/>
              <w:gridCol w:w="2277"/>
              <w:gridCol w:w="842"/>
              <w:gridCol w:w="960"/>
              <w:gridCol w:w="1089"/>
              <w:gridCol w:w="1013"/>
            </w:tblGrid>
            <w:tr w14:paraId="5BCD87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9" w:hRule="atLeast"/>
                <w:jc w:val="center"/>
              </w:trPr>
              <w:tc>
                <w:tcPr>
                  <w:tcW w:w="984" w:type="pct"/>
                  <w:vMerge w:val="restart"/>
                  <w:tcBorders>
                    <w:bottom w:val="single" w:color="000000" w:sz="12" w:space="0"/>
                    <w:tl2br w:val="nil"/>
                    <w:tr2bl w:val="nil"/>
                  </w:tcBorders>
                  <w:shd w:val="clear" w:color="auto" w:fill="auto"/>
                  <w:noWrap w:val="0"/>
                  <w:vAlign w:val="center"/>
                </w:tcPr>
                <w:p w14:paraId="6C1A2D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项目</w:t>
                  </w:r>
                </w:p>
              </w:tc>
              <w:tc>
                <w:tcPr>
                  <w:tcW w:w="1479" w:type="pct"/>
                  <w:tcBorders>
                    <w:tl2br w:val="nil"/>
                    <w:tr2bl w:val="nil"/>
                  </w:tcBorders>
                  <w:shd w:val="clear" w:color="auto" w:fill="auto"/>
                  <w:noWrap w:val="0"/>
                  <w:vAlign w:val="center"/>
                </w:tcPr>
                <w:p w14:paraId="1256B7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年均值</w:t>
                  </w:r>
                </w:p>
              </w:tc>
              <w:tc>
                <w:tcPr>
                  <w:tcW w:w="547" w:type="pct"/>
                  <w:vMerge w:val="restart"/>
                  <w:tcBorders>
                    <w:bottom w:val="single" w:color="000000" w:sz="12" w:space="0"/>
                    <w:tl2br w:val="nil"/>
                    <w:tr2bl w:val="nil"/>
                  </w:tcBorders>
                  <w:shd w:val="clear" w:color="auto" w:fill="auto"/>
                  <w:noWrap w:val="0"/>
                  <w:vAlign w:val="center"/>
                </w:tcPr>
                <w:p w14:paraId="589B72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现状</w:t>
                  </w:r>
                </w:p>
                <w:p w14:paraId="3E6517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浓度</w:t>
                  </w:r>
                </w:p>
              </w:tc>
              <w:tc>
                <w:tcPr>
                  <w:tcW w:w="623" w:type="pct"/>
                  <w:vMerge w:val="restart"/>
                  <w:tcBorders>
                    <w:bottom w:val="single" w:color="000000" w:sz="12" w:space="0"/>
                    <w:tl2br w:val="nil"/>
                    <w:tr2bl w:val="nil"/>
                  </w:tcBorders>
                  <w:shd w:val="clear" w:color="auto" w:fill="auto"/>
                  <w:noWrap w:val="0"/>
                  <w:vAlign w:val="center"/>
                </w:tcPr>
                <w:p w14:paraId="58673B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标准</w:t>
                  </w:r>
                </w:p>
                <w:p w14:paraId="5B4AD6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限值</w:t>
                  </w:r>
                </w:p>
              </w:tc>
              <w:tc>
                <w:tcPr>
                  <w:tcW w:w="707" w:type="pct"/>
                  <w:vMerge w:val="restart"/>
                  <w:tcBorders>
                    <w:bottom w:val="single" w:color="000000" w:sz="12" w:space="0"/>
                    <w:tl2br w:val="nil"/>
                    <w:tr2bl w:val="nil"/>
                  </w:tcBorders>
                  <w:shd w:val="clear" w:color="auto" w:fill="auto"/>
                  <w:noWrap w:val="0"/>
                  <w:vAlign w:val="center"/>
                </w:tcPr>
                <w:p w14:paraId="53DA9B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占标率%</w:t>
                  </w:r>
                </w:p>
              </w:tc>
              <w:tc>
                <w:tcPr>
                  <w:tcW w:w="658" w:type="pct"/>
                  <w:vMerge w:val="restart"/>
                  <w:tcBorders>
                    <w:bottom w:val="single" w:color="000000" w:sz="12" w:space="0"/>
                    <w:tl2br w:val="nil"/>
                    <w:tr2bl w:val="nil"/>
                  </w:tcBorders>
                  <w:shd w:val="clear" w:color="auto" w:fill="auto"/>
                  <w:noWrap w:val="0"/>
                  <w:vAlign w:val="center"/>
                </w:tcPr>
                <w:p w14:paraId="3F15C2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达标</w:t>
                  </w:r>
                </w:p>
                <w:p w14:paraId="3C1E98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情况</w:t>
                  </w:r>
                </w:p>
              </w:tc>
            </w:tr>
            <w:tr w14:paraId="01C87B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9" w:hRule="atLeast"/>
                <w:jc w:val="center"/>
              </w:trPr>
              <w:tc>
                <w:tcPr>
                  <w:tcW w:w="984" w:type="pct"/>
                  <w:vMerge w:val="continue"/>
                  <w:tcBorders>
                    <w:top w:val="single" w:color="000000" w:sz="12" w:space="0"/>
                    <w:bottom w:val="single" w:color="000000" w:sz="12" w:space="0"/>
                    <w:tl2br w:val="nil"/>
                    <w:tr2bl w:val="nil"/>
                  </w:tcBorders>
                  <w:shd w:val="clear" w:color="auto" w:fill="auto"/>
                  <w:noWrap w:val="0"/>
                  <w:vAlign w:val="center"/>
                </w:tcPr>
                <w:p w14:paraId="0830B8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p>
              </w:tc>
              <w:tc>
                <w:tcPr>
                  <w:tcW w:w="1479" w:type="pct"/>
                  <w:tcBorders>
                    <w:bottom w:val="single" w:color="000000" w:sz="12" w:space="0"/>
                    <w:tl2br w:val="nil"/>
                    <w:tr2bl w:val="nil"/>
                  </w:tcBorders>
                  <w:shd w:val="clear" w:color="auto" w:fill="auto"/>
                  <w:noWrap w:val="0"/>
                  <w:vAlign w:val="center"/>
                </w:tcPr>
                <w:p w14:paraId="16E444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浓度</w:t>
                  </w:r>
                </w:p>
              </w:tc>
              <w:tc>
                <w:tcPr>
                  <w:tcW w:w="547" w:type="pct"/>
                  <w:vMerge w:val="continue"/>
                  <w:tcBorders>
                    <w:top w:val="single" w:color="000000" w:sz="12" w:space="0"/>
                    <w:bottom w:val="single" w:color="000000" w:sz="12" w:space="0"/>
                    <w:tl2br w:val="nil"/>
                    <w:tr2bl w:val="nil"/>
                  </w:tcBorders>
                  <w:shd w:val="clear" w:color="auto" w:fill="auto"/>
                  <w:noWrap w:val="0"/>
                  <w:vAlign w:val="center"/>
                </w:tcPr>
                <w:p w14:paraId="1E5408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p>
              </w:tc>
              <w:tc>
                <w:tcPr>
                  <w:tcW w:w="623" w:type="pct"/>
                  <w:vMerge w:val="continue"/>
                  <w:tcBorders>
                    <w:top w:val="single" w:color="000000" w:sz="12" w:space="0"/>
                    <w:bottom w:val="single" w:color="000000" w:sz="12" w:space="0"/>
                    <w:tl2br w:val="nil"/>
                    <w:tr2bl w:val="nil"/>
                  </w:tcBorders>
                  <w:shd w:val="clear" w:color="auto" w:fill="auto"/>
                  <w:noWrap w:val="0"/>
                  <w:vAlign w:val="center"/>
                </w:tcPr>
                <w:p w14:paraId="3E50CC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p>
              </w:tc>
              <w:tc>
                <w:tcPr>
                  <w:tcW w:w="707" w:type="pct"/>
                  <w:vMerge w:val="continue"/>
                  <w:tcBorders>
                    <w:top w:val="single" w:color="000000" w:sz="12" w:space="0"/>
                    <w:bottom w:val="single" w:color="000000" w:sz="12" w:space="0"/>
                    <w:tl2br w:val="nil"/>
                    <w:tr2bl w:val="nil"/>
                  </w:tcBorders>
                  <w:shd w:val="clear" w:color="auto" w:fill="auto"/>
                  <w:noWrap w:val="0"/>
                  <w:vAlign w:val="center"/>
                </w:tcPr>
                <w:p w14:paraId="228B7F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p>
              </w:tc>
              <w:tc>
                <w:tcPr>
                  <w:tcW w:w="658" w:type="pct"/>
                  <w:vMerge w:val="continue"/>
                  <w:tcBorders>
                    <w:top w:val="single" w:color="000000" w:sz="12" w:space="0"/>
                    <w:bottom w:val="single" w:color="000000" w:sz="12" w:space="0"/>
                    <w:tl2br w:val="nil"/>
                    <w:tr2bl w:val="nil"/>
                  </w:tcBorders>
                  <w:shd w:val="clear" w:color="auto" w:fill="auto"/>
                  <w:noWrap w:val="0"/>
                  <w:vAlign w:val="center"/>
                </w:tcPr>
                <w:p w14:paraId="1AA87F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p>
              </w:tc>
            </w:tr>
            <w:tr w14:paraId="43B328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984" w:type="pct"/>
                  <w:tcBorders>
                    <w:top w:val="single" w:color="000000" w:sz="12" w:space="0"/>
                    <w:tl2br w:val="nil"/>
                    <w:tr2bl w:val="nil"/>
                  </w:tcBorders>
                  <w:shd w:val="clear" w:color="auto" w:fill="auto"/>
                  <w:noWrap w:val="0"/>
                  <w:vAlign w:val="center"/>
                </w:tcPr>
                <w:p w14:paraId="6CD659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SO</w:t>
                  </w:r>
                  <w:r>
                    <w:rPr>
                      <w:rFonts w:hint="default" w:ascii="Times New Roman" w:hAnsi="Times New Roman" w:eastAsia="宋体" w:cs="Times New Roman"/>
                      <w:b w:val="0"/>
                      <w:bCs w:val="0"/>
                      <w:color w:val="000000" w:themeColor="text1"/>
                      <w:sz w:val="21"/>
                      <w:szCs w:val="21"/>
                      <w:highlight w:val="none"/>
                      <w:vertAlign w:val="subscript"/>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（μg/m</w:t>
                  </w:r>
                  <w:r>
                    <w:rPr>
                      <w:rFonts w:hint="default" w:ascii="Times New Roman" w:hAnsi="Times New Roman" w:eastAsia="宋体" w:cs="Times New Roman"/>
                      <w:b w:val="0"/>
                      <w:bCs w:val="0"/>
                      <w:color w:val="000000" w:themeColor="text1"/>
                      <w:sz w:val="21"/>
                      <w:szCs w:val="21"/>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w:t>
                  </w:r>
                </w:p>
              </w:tc>
              <w:tc>
                <w:tcPr>
                  <w:tcW w:w="1479" w:type="pct"/>
                  <w:tcBorders>
                    <w:top w:val="single" w:color="000000" w:sz="12" w:space="0"/>
                    <w:tl2br w:val="nil"/>
                    <w:tr2bl w:val="nil"/>
                  </w:tcBorders>
                  <w:shd w:val="clear" w:color="auto" w:fill="auto"/>
                  <w:noWrap w:val="0"/>
                  <w:vAlign w:val="center"/>
                </w:tcPr>
                <w:p w14:paraId="6A33E9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年平均</w:t>
                  </w:r>
                </w:p>
              </w:tc>
              <w:tc>
                <w:tcPr>
                  <w:tcW w:w="547" w:type="pct"/>
                  <w:tcBorders>
                    <w:top w:val="single" w:color="000000" w:sz="12" w:space="0"/>
                    <w:tl2br w:val="nil"/>
                    <w:tr2bl w:val="nil"/>
                  </w:tcBorders>
                  <w:shd w:val="clear" w:color="auto" w:fill="auto"/>
                  <w:noWrap w:val="0"/>
                  <w:vAlign w:val="center"/>
                </w:tcPr>
                <w:p w14:paraId="708093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8</w:t>
                  </w:r>
                </w:p>
              </w:tc>
              <w:tc>
                <w:tcPr>
                  <w:tcW w:w="623" w:type="pct"/>
                  <w:tcBorders>
                    <w:top w:val="single" w:color="000000" w:sz="12" w:space="0"/>
                    <w:tl2br w:val="nil"/>
                    <w:tr2bl w:val="nil"/>
                  </w:tcBorders>
                  <w:shd w:val="clear" w:color="auto" w:fill="auto"/>
                  <w:noWrap w:val="0"/>
                  <w:vAlign w:val="center"/>
                </w:tcPr>
                <w:p w14:paraId="1CC232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60</w:t>
                  </w:r>
                </w:p>
              </w:tc>
              <w:tc>
                <w:tcPr>
                  <w:tcW w:w="707" w:type="pct"/>
                  <w:tcBorders>
                    <w:top w:val="single" w:color="000000" w:sz="12" w:space="0"/>
                    <w:tl2br w:val="nil"/>
                    <w:tr2bl w:val="nil"/>
                  </w:tcBorders>
                  <w:shd w:val="clear" w:color="auto" w:fill="auto"/>
                  <w:noWrap w:val="0"/>
                  <w:vAlign w:val="center"/>
                </w:tcPr>
                <w:p w14:paraId="24B041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13.33</w:t>
                  </w:r>
                </w:p>
              </w:tc>
              <w:tc>
                <w:tcPr>
                  <w:tcW w:w="658" w:type="pct"/>
                  <w:tcBorders>
                    <w:top w:val="single" w:color="000000" w:sz="12" w:space="0"/>
                    <w:tl2br w:val="nil"/>
                    <w:tr2bl w:val="nil"/>
                  </w:tcBorders>
                  <w:shd w:val="clear" w:color="auto" w:fill="auto"/>
                  <w:noWrap w:val="0"/>
                  <w:vAlign w:val="center"/>
                </w:tcPr>
                <w:p w14:paraId="0D283F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达标</w:t>
                  </w:r>
                </w:p>
              </w:tc>
            </w:tr>
            <w:tr w14:paraId="30347D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8" w:hRule="atLeast"/>
                <w:jc w:val="center"/>
              </w:trPr>
              <w:tc>
                <w:tcPr>
                  <w:tcW w:w="984" w:type="pct"/>
                  <w:tcBorders>
                    <w:tl2br w:val="nil"/>
                    <w:tr2bl w:val="nil"/>
                  </w:tcBorders>
                  <w:shd w:val="clear" w:color="auto" w:fill="auto"/>
                  <w:noWrap w:val="0"/>
                  <w:vAlign w:val="center"/>
                </w:tcPr>
                <w:p w14:paraId="66BCB0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NO</w:t>
                  </w:r>
                  <w:r>
                    <w:rPr>
                      <w:rFonts w:hint="default" w:ascii="Times New Roman" w:hAnsi="Times New Roman" w:eastAsia="宋体" w:cs="Times New Roman"/>
                      <w:b w:val="0"/>
                      <w:bCs w:val="0"/>
                      <w:color w:val="000000" w:themeColor="text1"/>
                      <w:sz w:val="21"/>
                      <w:szCs w:val="21"/>
                      <w:highlight w:val="none"/>
                      <w:vertAlign w:val="subscript"/>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（μg/m</w:t>
                  </w:r>
                  <w:r>
                    <w:rPr>
                      <w:rFonts w:hint="default" w:ascii="Times New Roman" w:hAnsi="Times New Roman" w:eastAsia="宋体" w:cs="Times New Roman"/>
                      <w:b w:val="0"/>
                      <w:bCs w:val="0"/>
                      <w:color w:val="000000" w:themeColor="text1"/>
                      <w:sz w:val="21"/>
                      <w:szCs w:val="21"/>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w:t>
                  </w:r>
                </w:p>
              </w:tc>
              <w:tc>
                <w:tcPr>
                  <w:tcW w:w="1479" w:type="pct"/>
                  <w:tcBorders>
                    <w:tl2br w:val="nil"/>
                    <w:tr2bl w:val="nil"/>
                  </w:tcBorders>
                  <w:shd w:val="clear" w:color="auto" w:fill="auto"/>
                  <w:noWrap w:val="0"/>
                  <w:vAlign w:val="center"/>
                </w:tcPr>
                <w:p w14:paraId="4669EF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年平均</w:t>
                  </w:r>
                </w:p>
              </w:tc>
              <w:tc>
                <w:tcPr>
                  <w:tcW w:w="547" w:type="pct"/>
                  <w:tcBorders>
                    <w:tl2br w:val="nil"/>
                    <w:tr2bl w:val="nil"/>
                  </w:tcBorders>
                  <w:shd w:val="clear" w:color="auto" w:fill="auto"/>
                  <w:noWrap w:val="0"/>
                  <w:vAlign w:val="center"/>
                </w:tcPr>
                <w:p w14:paraId="4234DC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22</w:t>
                  </w:r>
                </w:p>
              </w:tc>
              <w:tc>
                <w:tcPr>
                  <w:tcW w:w="623" w:type="pct"/>
                  <w:tcBorders>
                    <w:tl2br w:val="nil"/>
                    <w:tr2bl w:val="nil"/>
                  </w:tcBorders>
                  <w:shd w:val="clear" w:color="auto" w:fill="auto"/>
                  <w:noWrap w:val="0"/>
                  <w:vAlign w:val="center"/>
                </w:tcPr>
                <w:p w14:paraId="469DC2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40</w:t>
                  </w:r>
                </w:p>
              </w:tc>
              <w:tc>
                <w:tcPr>
                  <w:tcW w:w="707" w:type="pct"/>
                  <w:tcBorders>
                    <w:tl2br w:val="nil"/>
                    <w:tr2bl w:val="nil"/>
                  </w:tcBorders>
                  <w:shd w:val="clear" w:color="auto" w:fill="auto"/>
                  <w:noWrap w:val="0"/>
                  <w:vAlign w:val="center"/>
                </w:tcPr>
                <w:p w14:paraId="65475C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55</w:t>
                  </w:r>
                </w:p>
              </w:tc>
              <w:tc>
                <w:tcPr>
                  <w:tcW w:w="658" w:type="pct"/>
                  <w:tcBorders>
                    <w:tl2br w:val="nil"/>
                    <w:tr2bl w:val="nil"/>
                  </w:tcBorders>
                  <w:shd w:val="clear" w:color="auto" w:fill="auto"/>
                  <w:noWrap w:val="0"/>
                  <w:vAlign w:val="center"/>
                </w:tcPr>
                <w:p w14:paraId="43CF1F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达标</w:t>
                  </w:r>
                </w:p>
              </w:tc>
            </w:tr>
            <w:tr w14:paraId="2AF0D7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984" w:type="pct"/>
                  <w:tcBorders>
                    <w:tl2br w:val="nil"/>
                    <w:tr2bl w:val="nil"/>
                  </w:tcBorders>
                  <w:shd w:val="clear" w:color="auto" w:fill="auto"/>
                  <w:noWrap w:val="0"/>
                  <w:vAlign w:val="center"/>
                </w:tcPr>
                <w:p w14:paraId="751276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CO（mg/m</w:t>
                  </w:r>
                  <w:r>
                    <w:rPr>
                      <w:rFonts w:hint="default" w:ascii="Times New Roman" w:hAnsi="Times New Roman" w:eastAsia="宋体" w:cs="Times New Roman"/>
                      <w:b w:val="0"/>
                      <w:bCs w:val="0"/>
                      <w:color w:val="000000" w:themeColor="text1"/>
                      <w:sz w:val="21"/>
                      <w:szCs w:val="21"/>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w:t>
                  </w:r>
                </w:p>
              </w:tc>
              <w:tc>
                <w:tcPr>
                  <w:tcW w:w="1479" w:type="pct"/>
                  <w:tcBorders>
                    <w:tl2br w:val="nil"/>
                    <w:tr2bl w:val="nil"/>
                  </w:tcBorders>
                  <w:shd w:val="clear" w:color="auto" w:fill="auto"/>
                  <w:noWrap w:val="0"/>
                  <w:vAlign w:val="center"/>
                </w:tcPr>
                <w:p w14:paraId="2FDD08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第95百分位数日平均</w:t>
                  </w:r>
                </w:p>
              </w:tc>
              <w:tc>
                <w:tcPr>
                  <w:tcW w:w="547" w:type="pct"/>
                  <w:tcBorders>
                    <w:tl2br w:val="nil"/>
                    <w:tr2bl w:val="nil"/>
                  </w:tcBorders>
                  <w:shd w:val="clear" w:color="auto" w:fill="auto"/>
                  <w:noWrap w:val="0"/>
                  <w:vAlign w:val="center"/>
                </w:tcPr>
                <w:p w14:paraId="37C56D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1.6</w:t>
                  </w:r>
                </w:p>
              </w:tc>
              <w:tc>
                <w:tcPr>
                  <w:tcW w:w="623" w:type="pct"/>
                  <w:tcBorders>
                    <w:tl2br w:val="nil"/>
                    <w:tr2bl w:val="nil"/>
                  </w:tcBorders>
                  <w:shd w:val="clear" w:color="auto" w:fill="auto"/>
                  <w:noWrap w:val="0"/>
                  <w:vAlign w:val="center"/>
                </w:tcPr>
                <w:p w14:paraId="3F1E19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4</w:t>
                  </w:r>
                </w:p>
              </w:tc>
              <w:tc>
                <w:tcPr>
                  <w:tcW w:w="707" w:type="pct"/>
                  <w:tcBorders>
                    <w:tl2br w:val="nil"/>
                    <w:tr2bl w:val="nil"/>
                  </w:tcBorders>
                  <w:shd w:val="clear" w:color="auto" w:fill="auto"/>
                  <w:noWrap w:val="0"/>
                  <w:vAlign w:val="center"/>
                </w:tcPr>
                <w:p w14:paraId="212EB3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40</w:t>
                  </w:r>
                </w:p>
              </w:tc>
              <w:tc>
                <w:tcPr>
                  <w:tcW w:w="658" w:type="pct"/>
                  <w:tcBorders>
                    <w:tl2br w:val="nil"/>
                    <w:tr2bl w:val="nil"/>
                  </w:tcBorders>
                  <w:shd w:val="clear" w:color="auto" w:fill="auto"/>
                  <w:noWrap w:val="0"/>
                  <w:vAlign w:val="center"/>
                </w:tcPr>
                <w:p w14:paraId="21048A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达标</w:t>
                  </w:r>
                </w:p>
              </w:tc>
            </w:tr>
            <w:tr w14:paraId="0D3655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9" w:hRule="atLeast"/>
                <w:jc w:val="center"/>
              </w:trPr>
              <w:tc>
                <w:tcPr>
                  <w:tcW w:w="984" w:type="pct"/>
                  <w:tcBorders>
                    <w:tl2br w:val="nil"/>
                    <w:tr2bl w:val="nil"/>
                  </w:tcBorders>
                  <w:shd w:val="clear" w:color="auto" w:fill="auto"/>
                  <w:noWrap w:val="0"/>
                  <w:vAlign w:val="center"/>
                </w:tcPr>
                <w:p w14:paraId="5B402C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O</w:t>
                  </w:r>
                  <w:r>
                    <w:rPr>
                      <w:rFonts w:hint="default" w:ascii="Times New Roman" w:hAnsi="Times New Roman" w:eastAsia="宋体" w:cs="Times New Roman"/>
                      <w:b w:val="0"/>
                      <w:bCs w:val="0"/>
                      <w:color w:val="000000" w:themeColor="text1"/>
                      <w:sz w:val="21"/>
                      <w:szCs w:val="21"/>
                      <w:highlight w:val="none"/>
                      <w:vertAlign w:val="sub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（μg/m</w:t>
                  </w:r>
                  <w:r>
                    <w:rPr>
                      <w:rFonts w:hint="default" w:ascii="Times New Roman" w:hAnsi="Times New Roman" w:eastAsia="宋体" w:cs="Times New Roman"/>
                      <w:b w:val="0"/>
                      <w:bCs w:val="0"/>
                      <w:color w:val="000000" w:themeColor="text1"/>
                      <w:sz w:val="21"/>
                      <w:szCs w:val="21"/>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w:t>
                  </w:r>
                </w:p>
              </w:tc>
              <w:tc>
                <w:tcPr>
                  <w:tcW w:w="1479" w:type="pct"/>
                  <w:tcBorders>
                    <w:tl2br w:val="nil"/>
                    <w:tr2bl w:val="nil"/>
                  </w:tcBorders>
                  <w:shd w:val="clear" w:color="auto" w:fill="auto"/>
                  <w:noWrap w:val="0"/>
                  <w:vAlign w:val="center"/>
                </w:tcPr>
                <w:p w14:paraId="2BDE28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第90百分位数日平均</w:t>
                  </w:r>
                </w:p>
              </w:tc>
              <w:tc>
                <w:tcPr>
                  <w:tcW w:w="547" w:type="pct"/>
                  <w:tcBorders>
                    <w:tl2br w:val="nil"/>
                    <w:tr2bl w:val="nil"/>
                  </w:tcBorders>
                  <w:shd w:val="clear" w:color="auto" w:fill="auto"/>
                  <w:noWrap w:val="0"/>
                  <w:vAlign w:val="center"/>
                </w:tcPr>
                <w:p w14:paraId="087132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115</w:t>
                  </w:r>
                </w:p>
              </w:tc>
              <w:tc>
                <w:tcPr>
                  <w:tcW w:w="623" w:type="pct"/>
                  <w:tcBorders>
                    <w:tl2br w:val="nil"/>
                    <w:tr2bl w:val="nil"/>
                  </w:tcBorders>
                  <w:shd w:val="clear" w:color="auto" w:fill="auto"/>
                  <w:noWrap w:val="0"/>
                  <w:vAlign w:val="center"/>
                </w:tcPr>
                <w:p w14:paraId="7D8CED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160</w:t>
                  </w:r>
                </w:p>
              </w:tc>
              <w:tc>
                <w:tcPr>
                  <w:tcW w:w="707" w:type="pct"/>
                  <w:tcBorders>
                    <w:tl2br w:val="nil"/>
                    <w:tr2bl w:val="nil"/>
                  </w:tcBorders>
                  <w:shd w:val="clear" w:color="auto" w:fill="auto"/>
                  <w:noWrap w:val="0"/>
                  <w:vAlign w:val="center"/>
                </w:tcPr>
                <w:p w14:paraId="19D65E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71.88</w:t>
                  </w:r>
                </w:p>
              </w:tc>
              <w:tc>
                <w:tcPr>
                  <w:tcW w:w="658" w:type="pct"/>
                  <w:tcBorders>
                    <w:tl2br w:val="nil"/>
                    <w:tr2bl w:val="nil"/>
                  </w:tcBorders>
                  <w:shd w:val="clear" w:color="auto" w:fill="auto"/>
                  <w:noWrap w:val="0"/>
                  <w:vAlign w:val="center"/>
                </w:tcPr>
                <w:p w14:paraId="541CC5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达标</w:t>
                  </w:r>
                </w:p>
              </w:tc>
            </w:tr>
            <w:tr w14:paraId="2FF0AD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984" w:type="pct"/>
                  <w:tcBorders>
                    <w:tl2br w:val="nil"/>
                    <w:tr2bl w:val="nil"/>
                  </w:tcBorders>
                  <w:shd w:val="clear" w:color="auto" w:fill="auto"/>
                  <w:noWrap w:val="0"/>
                  <w:vAlign w:val="center"/>
                </w:tcPr>
                <w:p w14:paraId="361A06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PM</w:t>
                  </w:r>
                  <w:r>
                    <w:rPr>
                      <w:rFonts w:hint="default" w:ascii="Times New Roman" w:hAnsi="Times New Roman" w:eastAsia="宋体" w:cs="Times New Roman"/>
                      <w:b w:val="0"/>
                      <w:bCs w:val="0"/>
                      <w:color w:val="000000" w:themeColor="text1"/>
                      <w:sz w:val="21"/>
                      <w:szCs w:val="21"/>
                      <w:highlight w:val="none"/>
                      <w:vertAlign w:val="subscript"/>
                      <w:lang w:val="en-US" w:eastAsia="zh-CN"/>
                      <w14:textFill>
                        <w14:solidFill>
                          <w14:schemeClr w14:val="tx1"/>
                        </w14:solidFill>
                      </w14:textFill>
                    </w:rPr>
                    <w:t>10</w:t>
                  </w: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（μg/m</w:t>
                  </w:r>
                  <w:r>
                    <w:rPr>
                      <w:rFonts w:hint="default" w:ascii="Times New Roman" w:hAnsi="Times New Roman" w:eastAsia="宋体" w:cs="Times New Roman"/>
                      <w:b w:val="0"/>
                      <w:bCs w:val="0"/>
                      <w:color w:val="000000" w:themeColor="text1"/>
                      <w:sz w:val="21"/>
                      <w:szCs w:val="21"/>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w:t>
                  </w:r>
                </w:p>
              </w:tc>
              <w:tc>
                <w:tcPr>
                  <w:tcW w:w="1479" w:type="pct"/>
                  <w:tcBorders>
                    <w:tl2br w:val="nil"/>
                    <w:tr2bl w:val="nil"/>
                  </w:tcBorders>
                  <w:shd w:val="clear" w:color="auto" w:fill="auto"/>
                  <w:noWrap w:val="0"/>
                  <w:vAlign w:val="center"/>
                </w:tcPr>
                <w:p w14:paraId="667B4E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年平均</w:t>
                  </w:r>
                </w:p>
              </w:tc>
              <w:tc>
                <w:tcPr>
                  <w:tcW w:w="547" w:type="pct"/>
                  <w:tcBorders>
                    <w:tl2br w:val="nil"/>
                    <w:tr2bl w:val="nil"/>
                  </w:tcBorders>
                  <w:shd w:val="clear" w:color="auto" w:fill="auto"/>
                  <w:noWrap w:val="0"/>
                  <w:vAlign w:val="center"/>
                </w:tcPr>
                <w:p w14:paraId="0E4B8D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64</w:t>
                  </w:r>
                </w:p>
              </w:tc>
              <w:tc>
                <w:tcPr>
                  <w:tcW w:w="623" w:type="pct"/>
                  <w:tcBorders>
                    <w:tl2br w:val="nil"/>
                    <w:tr2bl w:val="nil"/>
                  </w:tcBorders>
                  <w:shd w:val="clear" w:color="auto" w:fill="auto"/>
                  <w:noWrap w:val="0"/>
                  <w:vAlign w:val="center"/>
                </w:tcPr>
                <w:p w14:paraId="7D4203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60</w:t>
                  </w:r>
                </w:p>
              </w:tc>
              <w:tc>
                <w:tcPr>
                  <w:tcW w:w="707" w:type="pct"/>
                  <w:tcBorders>
                    <w:tl2br w:val="nil"/>
                    <w:tr2bl w:val="nil"/>
                  </w:tcBorders>
                  <w:shd w:val="clear" w:color="auto" w:fill="auto"/>
                  <w:noWrap w:val="0"/>
                  <w:vAlign w:val="center"/>
                </w:tcPr>
                <w:p w14:paraId="4C8862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106.67</w:t>
                  </w:r>
                </w:p>
              </w:tc>
              <w:tc>
                <w:tcPr>
                  <w:tcW w:w="658" w:type="pct"/>
                  <w:tcBorders>
                    <w:tl2br w:val="nil"/>
                    <w:tr2bl w:val="nil"/>
                  </w:tcBorders>
                  <w:shd w:val="clear" w:color="auto" w:fill="auto"/>
                  <w:noWrap w:val="0"/>
                  <w:vAlign w:val="center"/>
                </w:tcPr>
                <w:p w14:paraId="42D49E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超标</w:t>
                  </w:r>
                </w:p>
              </w:tc>
            </w:tr>
            <w:tr w14:paraId="6C9CB2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984" w:type="pct"/>
                  <w:tcBorders>
                    <w:tl2br w:val="nil"/>
                    <w:tr2bl w:val="nil"/>
                  </w:tcBorders>
                  <w:shd w:val="clear" w:color="auto" w:fill="auto"/>
                  <w:noWrap w:val="0"/>
                  <w:vAlign w:val="center"/>
                </w:tcPr>
                <w:p w14:paraId="1DBB70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PM</w:t>
                  </w:r>
                  <w:r>
                    <w:rPr>
                      <w:rFonts w:hint="default" w:ascii="Times New Roman" w:hAnsi="Times New Roman" w:eastAsia="宋体" w:cs="Times New Roman"/>
                      <w:b w:val="0"/>
                      <w:bCs w:val="0"/>
                      <w:color w:val="000000" w:themeColor="text1"/>
                      <w:sz w:val="21"/>
                      <w:szCs w:val="21"/>
                      <w:highlight w:val="none"/>
                      <w:vertAlign w:val="subscript"/>
                      <w:lang w:val="en-US" w:eastAsia="zh-CN"/>
                      <w14:textFill>
                        <w14:solidFill>
                          <w14:schemeClr w14:val="tx1"/>
                        </w14:solidFill>
                      </w14:textFill>
                    </w:rPr>
                    <w:t>2.5</w:t>
                  </w: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（μg/m</w:t>
                  </w:r>
                  <w:r>
                    <w:rPr>
                      <w:rFonts w:hint="default" w:ascii="Times New Roman" w:hAnsi="Times New Roman" w:eastAsia="宋体" w:cs="Times New Roman"/>
                      <w:b w:val="0"/>
                      <w:bCs w:val="0"/>
                      <w:color w:val="000000" w:themeColor="text1"/>
                      <w:sz w:val="21"/>
                      <w:szCs w:val="21"/>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w:t>
                  </w:r>
                </w:p>
              </w:tc>
              <w:tc>
                <w:tcPr>
                  <w:tcW w:w="1479" w:type="pct"/>
                  <w:tcBorders>
                    <w:tl2br w:val="nil"/>
                    <w:tr2bl w:val="nil"/>
                  </w:tcBorders>
                  <w:shd w:val="clear" w:color="auto" w:fill="auto"/>
                  <w:noWrap w:val="0"/>
                  <w:vAlign w:val="center"/>
                </w:tcPr>
                <w:p w14:paraId="6FF81E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年平均</w:t>
                  </w:r>
                </w:p>
              </w:tc>
              <w:tc>
                <w:tcPr>
                  <w:tcW w:w="547" w:type="pct"/>
                  <w:tcBorders>
                    <w:tl2br w:val="nil"/>
                    <w:tr2bl w:val="nil"/>
                  </w:tcBorders>
                  <w:shd w:val="clear" w:color="auto" w:fill="auto"/>
                  <w:noWrap w:val="0"/>
                  <w:vAlign w:val="center"/>
                </w:tcPr>
                <w:p w14:paraId="2C087A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32</w:t>
                  </w:r>
                </w:p>
              </w:tc>
              <w:tc>
                <w:tcPr>
                  <w:tcW w:w="623" w:type="pct"/>
                  <w:tcBorders>
                    <w:tl2br w:val="nil"/>
                    <w:tr2bl w:val="nil"/>
                  </w:tcBorders>
                  <w:shd w:val="clear" w:color="auto" w:fill="auto"/>
                  <w:noWrap w:val="0"/>
                  <w:vAlign w:val="center"/>
                </w:tcPr>
                <w:p w14:paraId="49843E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30</w:t>
                  </w:r>
                </w:p>
              </w:tc>
              <w:tc>
                <w:tcPr>
                  <w:tcW w:w="707" w:type="pct"/>
                  <w:tcBorders>
                    <w:tl2br w:val="nil"/>
                    <w:tr2bl w:val="nil"/>
                  </w:tcBorders>
                  <w:shd w:val="clear" w:color="auto" w:fill="auto"/>
                  <w:noWrap w:val="0"/>
                  <w:vAlign w:val="center"/>
                </w:tcPr>
                <w:p w14:paraId="052745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106.67</w:t>
                  </w:r>
                </w:p>
              </w:tc>
              <w:tc>
                <w:tcPr>
                  <w:tcW w:w="658" w:type="pct"/>
                  <w:tcBorders>
                    <w:tl2br w:val="nil"/>
                    <w:tr2bl w:val="nil"/>
                  </w:tcBorders>
                  <w:shd w:val="clear" w:color="auto" w:fill="auto"/>
                  <w:noWrap w:val="0"/>
                  <w:vAlign w:val="center"/>
                </w:tcPr>
                <w:p w14:paraId="49CA0A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超标</w:t>
                  </w:r>
                </w:p>
              </w:tc>
            </w:tr>
          </w:tbl>
          <w:p w14:paraId="30F8012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firstLine="480"/>
              <w:jc w:val="both"/>
              <w:textAlignment w:val="auto"/>
              <w:rPr>
                <w:rFonts w:hint="default" w:ascii="Times New Roman" w:hAnsi="Times New Roman" w:eastAsia="宋体" w:cs="Times New Roman"/>
                <w:b w:val="0"/>
                <w:bCs w:val="0"/>
                <w:color w:val="000000" w:themeColor="text1"/>
                <w:kern w:val="0"/>
                <w:sz w:val="24"/>
                <w:szCs w:val="24"/>
                <w:highlight w:val="none"/>
                <w:lang w:bidi="ar"/>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由上表可知，</w:t>
            </w:r>
            <w:r>
              <w:rPr>
                <w:rFonts w:hint="default" w:ascii="Times New Roman" w:hAnsi="Times New Roman" w:eastAsia="宋体" w:cs="Times New Roman"/>
                <w:b w:val="0"/>
                <w:bCs w:val="0"/>
                <w:color w:val="000000" w:themeColor="text1"/>
                <w:kern w:val="0"/>
                <w:sz w:val="24"/>
                <w:szCs w:val="24"/>
                <w:highlight w:val="none"/>
                <w:lang w:bidi="ar"/>
                <w14:textFill>
                  <w14:solidFill>
                    <w14:schemeClr w14:val="tx1"/>
                  </w14:solidFill>
                </w14:textFill>
              </w:rPr>
              <w:t>本项目所在区域SO</w:t>
            </w:r>
            <w:r>
              <w:rPr>
                <w:rFonts w:hint="default" w:ascii="Times New Roman" w:hAnsi="Times New Roman" w:eastAsia="宋体" w:cs="Times New Roman"/>
                <w:b w:val="0"/>
                <w:bCs w:val="0"/>
                <w:color w:val="000000" w:themeColor="text1"/>
                <w:kern w:val="0"/>
                <w:sz w:val="24"/>
                <w:szCs w:val="24"/>
                <w:highlight w:val="none"/>
                <w:vertAlign w:val="subscript"/>
                <w:lang w:bidi="ar"/>
                <w14:textFill>
                  <w14:solidFill>
                    <w14:schemeClr w14:val="tx1"/>
                  </w14:solidFill>
                </w14:textFill>
              </w:rPr>
              <w:t>2</w:t>
            </w:r>
            <w:r>
              <w:rPr>
                <w:rFonts w:hint="default" w:ascii="Times New Roman" w:hAnsi="Times New Roman" w:eastAsia="宋体" w:cs="Times New Roman"/>
                <w:b w:val="0"/>
                <w:bCs w:val="0"/>
                <w:color w:val="000000" w:themeColor="text1"/>
                <w:kern w:val="0"/>
                <w:sz w:val="24"/>
                <w:szCs w:val="24"/>
                <w:highlight w:val="none"/>
                <w:lang w:bidi="ar"/>
                <w14:textFill>
                  <w14:solidFill>
                    <w14:schemeClr w14:val="tx1"/>
                  </w14:solidFill>
                </w14:textFill>
              </w:rPr>
              <w:t>、NO</w:t>
            </w:r>
            <w:r>
              <w:rPr>
                <w:rFonts w:hint="default" w:ascii="Times New Roman" w:hAnsi="Times New Roman" w:eastAsia="宋体" w:cs="Times New Roman"/>
                <w:b w:val="0"/>
                <w:bCs w:val="0"/>
                <w:color w:val="000000" w:themeColor="text1"/>
                <w:kern w:val="0"/>
                <w:sz w:val="24"/>
                <w:szCs w:val="24"/>
                <w:highlight w:val="none"/>
                <w:vertAlign w:val="subscript"/>
                <w:lang w:bidi="ar"/>
                <w14:textFill>
                  <w14:solidFill>
                    <w14:schemeClr w14:val="tx1"/>
                  </w14:solidFill>
                </w14:textFill>
              </w:rPr>
              <w:t>2</w:t>
            </w:r>
            <w:r>
              <w:rPr>
                <w:rFonts w:hint="default" w:ascii="Times New Roman" w:hAnsi="Times New Roman" w:eastAsia="宋体" w:cs="Times New Roman"/>
                <w:b w:val="0"/>
                <w:bCs w:val="0"/>
                <w:color w:val="000000" w:themeColor="text1"/>
                <w:kern w:val="0"/>
                <w:sz w:val="24"/>
                <w:szCs w:val="24"/>
                <w:highlight w:val="none"/>
                <w:lang w:bidi="ar"/>
                <w14:textFill>
                  <w14:solidFill>
                    <w14:schemeClr w14:val="tx1"/>
                  </w14:solidFill>
                </w14:textFill>
              </w:rPr>
              <w:t>的年评价指标为达标；CO</w:t>
            </w:r>
            <w:r>
              <w:rPr>
                <w:rFonts w:hint="default" w:ascii="Times New Roman" w:hAnsi="Times New Roman" w:eastAsia="宋体" w:cs="Times New Roman"/>
                <w:b w:val="0"/>
                <w:bCs w:val="0"/>
                <w:color w:val="000000" w:themeColor="text1"/>
                <w:kern w:val="0"/>
                <w:sz w:val="24"/>
                <w:szCs w:val="24"/>
                <w:highlight w:val="none"/>
                <w:lang w:eastAsia="zh-CN" w:bidi="ar"/>
                <w14:textFill>
                  <w14:solidFill>
                    <w14:schemeClr w14:val="tx1"/>
                  </w14:solidFill>
                </w14:textFill>
              </w:rPr>
              <w:t>的百分位上日平均质量浓度为达标；</w:t>
            </w:r>
            <w:r>
              <w:rPr>
                <w:rFonts w:hint="default" w:ascii="Times New Roman" w:hAnsi="Times New Roman" w:eastAsia="宋体" w:cs="Times New Roman"/>
                <w:b w:val="0"/>
                <w:bCs w:val="0"/>
                <w:color w:val="000000" w:themeColor="text1"/>
                <w:position w:val="2"/>
                <w:sz w:val="24"/>
                <w:szCs w:val="24"/>
                <w:highlight w:val="none"/>
                <w14:textFill>
                  <w14:solidFill>
                    <w14:schemeClr w14:val="tx1"/>
                  </w14:solidFill>
                </w14:textFill>
              </w:rPr>
              <w:t>O</w:t>
            </w:r>
            <w:r>
              <w:rPr>
                <w:rFonts w:hint="default" w:ascii="Times New Roman" w:hAnsi="Times New Roman" w:eastAsia="宋体" w:cs="Times New Roman"/>
                <w:b w:val="0"/>
                <w:bCs w:val="0"/>
                <w:color w:val="000000" w:themeColor="text1"/>
                <w:position w:val="2"/>
                <w:sz w:val="24"/>
                <w:szCs w:val="24"/>
                <w:highlight w:val="none"/>
                <w:vertAlign w:val="subscript"/>
                <w14:textFill>
                  <w14:solidFill>
                    <w14:schemeClr w14:val="tx1"/>
                  </w14:solidFill>
                </w14:textFill>
              </w:rPr>
              <w:t>3</w:t>
            </w:r>
            <w:r>
              <w:rPr>
                <w:rFonts w:hint="default" w:ascii="Times New Roman" w:hAnsi="Times New Roman" w:eastAsia="宋体" w:cs="Times New Roman"/>
                <w:b w:val="0"/>
                <w:bCs w:val="0"/>
                <w:color w:val="000000" w:themeColor="text1"/>
                <w:position w:val="2"/>
                <w:sz w:val="24"/>
                <w:szCs w:val="24"/>
                <w:highlight w:val="none"/>
                <w:vertAlign w:val="baseline"/>
                <w:lang w:eastAsia="zh-CN"/>
                <w14:textFill>
                  <w14:solidFill>
                    <w14:schemeClr w14:val="tx1"/>
                  </w14:solidFill>
                </w14:textFill>
              </w:rPr>
              <w:t>的百分位上</w:t>
            </w:r>
            <w:r>
              <w:rPr>
                <w:rFonts w:hint="default" w:ascii="Times New Roman" w:hAnsi="Times New Roman" w:eastAsia="宋体" w:cs="Times New Roman"/>
                <w:b w:val="0"/>
                <w:bCs w:val="0"/>
                <w:color w:val="000000" w:themeColor="text1"/>
                <w:position w:val="2"/>
                <w:sz w:val="24"/>
                <w:szCs w:val="24"/>
                <w:highlight w:val="none"/>
                <w:vertAlign w:val="baseline"/>
                <w:lang w:val="en-US" w:eastAsia="zh-CN"/>
                <w14:textFill>
                  <w14:solidFill>
                    <w14:schemeClr w14:val="tx1"/>
                  </w14:solidFill>
                </w14:textFill>
              </w:rPr>
              <w:t>8h平均质量浓度为达标；</w:t>
            </w:r>
            <w:r>
              <w:rPr>
                <w:rFonts w:hint="default" w:ascii="Times New Roman" w:hAnsi="Times New Roman" w:eastAsia="宋体" w:cs="Times New Roman"/>
                <w:b w:val="0"/>
                <w:bCs w:val="0"/>
                <w:color w:val="000000" w:themeColor="text1"/>
                <w:kern w:val="0"/>
                <w:sz w:val="24"/>
                <w:szCs w:val="24"/>
                <w:highlight w:val="none"/>
                <w:lang w:bidi="ar"/>
                <w14:textFill>
                  <w14:solidFill>
                    <w14:schemeClr w14:val="tx1"/>
                  </w14:solidFill>
                </w14:textFill>
              </w:rPr>
              <w:t>颗粒物PM</w:t>
            </w:r>
            <w:r>
              <w:rPr>
                <w:rFonts w:hint="default" w:ascii="Times New Roman" w:hAnsi="Times New Roman" w:eastAsia="宋体" w:cs="Times New Roman"/>
                <w:b w:val="0"/>
                <w:bCs w:val="0"/>
                <w:color w:val="000000" w:themeColor="text1"/>
                <w:kern w:val="0"/>
                <w:sz w:val="24"/>
                <w:szCs w:val="24"/>
                <w:highlight w:val="none"/>
                <w:vertAlign w:val="subscript"/>
                <w:lang w:bidi="ar"/>
                <w14:textFill>
                  <w14:solidFill>
                    <w14:schemeClr w14:val="tx1"/>
                  </w14:solidFill>
                </w14:textFill>
              </w:rPr>
              <w:t>2.5</w:t>
            </w:r>
            <w:r>
              <w:rPr>
                <w:rFonts w:hint="default" w:ascii="Times New Roman" w:hAnsi="Times New Roman" w:eastAsia="宋体" w:cs="Times New Roman"/>
                <w:b w:val="0"/>
                <w:bCs w:val="0"/>
                <w:color w:val="000000" w:themeColor="text1"/>
                <w:kern w:val="0"/>
                <w:sz w:val="24"/>
                <w:szCs w:val="24"/>
                <w:highlight w:val="none"/>
                <w:lang w:bidi="ar"/>
                <w14:textFill>
                  <w14:solidFill>
                    <w14:schemeClr w14:val="tx1"/>
                  </w14:solidFill>
                </w14:textFill>
              </w:rPr>
              <w:t>、PM</w:t>
            </w:r>
            <w:r>
              <w:rPr>
                <w:rFonts w:hint="default" w:ascii="Times New Roman" w:hAnsi="Times New Roman" w:eastAsia="宋体" w:cs="Times New Roman"/>
                <w:b w:val="0"/>
                <w:bCs w:val="0"/>
                <w:color w:val="000000" w:themeColor="text1"/>
                <w:kern w:val="0"/>
                <w:sz w:val="24"/>
                <w:szCs w:val="24"/>
                <w:highlight w:val="none"/>
                <w:vertAlign w:val="subscript"/>
                <w:lang w:bidi="ar"/>
                <w14:textFill>
                  <w14:solidFill>
                    <w14:schemeClr w14:val="tx1"/>
                  </w14:solidFill>
                </w14:textFill>
              </w:rPr>
              <w:t>10</w:t>
            </w:r>
            <w:r>
              <w:rPr>
                <w:rFonts w:hint="default" w:ascii="Times New Roman" w:hAnsi="Times New Roman" w:eastAsia="宋体" w:cs="Times New Roman"/>
                <w:b w:val="0"/>
                <w:bCs w:val="0"/>
                <w:color w:val="000000" w:themeColor="text1"/>
                <w:kern w:val="0"/>
                <w:sz w:val="24"/>
                <w:szCs w:val="24"/>
                <w:highlight w:val="none"/>
                <w:lang w:bidi="ar"/>
                <w14:textFill>
                  <w14:solidFill>
                    <w14:schemeClr w14:val="tx1"/>
                  </w14:solidFill>
                </w14:textFill>
              </w:rPr>
              <w:t>的年评价指标均为超标，因此本项目区域为不达标区。</w:t>
            </w:r>
          </w:p>
          <w:p w14:paraId="1A49274D">
            <w:pPr>
              <w:keepNext/>
              <w:keepLines/>
              <w:numPr>
                <w:ilvl w:val="0"/>
                <w:numId w:val="0"/>
              </w:numPr>
              <w:suppressLineNumbers w:val="0"/>
              <w:spacing w:before="0" w:beforeAutospacing="0" w:after="0" w:afterAutospacing="0" w:line="360" w:lineRule="auto"/>
              <w:ind w:left="0" w:right="0" w:rightChars="0"/>
              <w:outlineLvl w:val="2"/>
              <w:rPr>
                <w:rFonts w:hint="default" w:ascii="Times New Roman" w:hAnsi="Times New Roman" w:eastAsia="宋体" w:cs="Times New Roman"/>
                <w:b/>
                <w:bCs/>
                <w:color w:val="000000" w:themeColor="text1"/>
                <w:kern w:val="0"/>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kern w:val="0"/>
                <w:sz w:val="24"/>
                <w:szCs w:val="24"/>
                <w:highlight w:val="none"/>
                <w:lang w:val="en-US" w:eastAsia="zh-CN"/>
                <w14:textFill>
                  <w14:solidFill>
                    <w14:schemeClr w14:val="tx1"/>
                  </w14:solidFill>
                </w14:textFill>
              </w:rPr>
              <w:t>2.2</w:t>
            </w:r>
            <w:r>
              <w:rPr>
                <w:rFonts w:hint="default" w:ascii="Times New Roman" w:hAnsi="Times New Roman" w:eastAsia="宋体" w:cs="Times New Roman"/>
                <w:b/>
                <w:bCs/>
                <w:color w:val="000000" w:themeColor="text1"/>
                <w:kern w:val="0"/>
                <w:sz w:val="24"/>
                <w:szCs w:val="24"/>
                <w:highlight w:val="none"/>
                <w14:textFill>
                  <w14:solidFill>
                    <w14:schemeClr w14:val="tx1"/>
                  </w14:solidFill>
                </w14:textFill>
              </w:rPr>
              <w:t xml:space="preserve"> </w:t>
            </w:r>
            <w:r>
              <w:rPr>
                <w:rFonts w:hint="default" w:ascii="Times New Roman" w:hAnsi="Times New Roman" w:eastAsia="宋体" w:cs="Times New Roman"/>
                <w:b/>
                <w:bCs/>
                <w:color w:val="000000" w:themeColor="text1"/>
                <w:kern w:val="0"/>
                <w:sz w:val="24"/>
                <w:szCs w:val="24"/>
                <w:highlight w:val="none"/>
                <w:lang w:val="en-US" w:eastAsia="zh-CN"/>
                <w14:textFill>
                  <w14:solidFill>
                    <w14:schemeClr w14:val="tx1"/>
                  </w14:solidFill>
                </w14:textFill>
              </w:rPr>
              <w:t>其他污染物环境质量现状</w:t>
            </w:r>
          </w:p>
          <w:p w14:paraId="061FAA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为了解项目所在地区环境空气中特征因子现状，本次</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委托新疆科霖检测技术服务有限公司对项目区进行了大气监测，监测时间为2026年5月26日~5月28日，监测点位于项目区下风向1#，</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监测统计结果见下表，监测点位图详见附图。</w:t>
            </w:r>
          </w:p>
          <w:p w14:paraId="459189D7">
            <w:pPr>
              <w:keepNext w:val="0"/>
              <w:keepLines w:val="0"/>
              <w:widowControl w:val="0"/>
              <w:suppressLineNumbers w:val="0"/>
              <w:autoSpaceDE w:val="0"/>
              <w:autoSpaceDN w:val="0"/>
              <w:spacing w:before="0" w:beforeAutospacing="0" w:after="0" w:afterAutospacing="0" w:line="240" w:lineRule="auto"/>
              <w:ind w:left="0" w:right="0" w:firstLine="0" w:firstLineChars="0"/>
              <w:jc w:val="center"/>
              <w:rPr>
                <w:rFonts w:hint="default" w:ascii="Times New Roman" w:hAnsi="Times New Roman" w:eastAsia="宋体" w:cs="Times New Roman"/>
                <w:b/>
                <w:i w:val="0"/>
                <w:color w:val="000000" w:themeColor="text1"/>
                <w:kern w:val="2"/>
                <w:sz w:val="21"/>
                <w:szCs w:val="21"/>
                <w:highlight w:val="none"/>
                <w:lang w:val="en-US" w:eastAsia="zh-CN" w:bidi="ar"/>
                <w14:textFill>
                  <w14:solidFill>
                    <w14:schemeClr w14:val="tx1"/>
                  </w14:solidFill>
                </w14:textFill>
              </w:rPr>
            </w:pPr>
            <w:r>
              <w:rPr>
                <w:rFonts w:hint="default" w:ascii="Times New Roman" w:hAnsi="Times New Roman" w:eastAsia="宋体" w:cs="Times New Roman"/>
                <w:b/>
                <w:i w:val="0"/>
                <w:color w:val="000000" w:themeColor="text1"/>
                <w:kern w:val="2"/>
                <w:sz w:val="21"/>
                <w:szCs w:val="21"/>
                <w:highlight w:val="none"/>
                <w:lang w:val="en-US" w:eastAsia="zh-CN" w:bidi="ar"/>
                <w14:textFill>
                  <w14:solidFill>
                    <w14:schemeClr w14:val="tx1"/>
                  </w14:solidFill>
                </w14:textFill>
              </w:rPr>
              <w:t>表3-3    环境空气监测数据</w:t>
            </w:r>
          </w:p>
          <w:tbl>
            <w:tblPr>
              <w:tblStyle w:val="39"/>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14"/>
              <w:gridCol w:w="3069"/>
              <w:gridCol w:w="1124"/>
              <w:gridCol w:w="956"/>
              <w:gridCol w:w="1234"/>
            </w:tblGrid>
            <w:tr w14:paraId="10E4B7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853" w:type="pct"/>
                  <w:tcBorders>
                    <w:bottom w:val="single" w:color="000000" w:sz="12" w:space="0"/>
                    <w:tl2br w:val="nil"/>
                    <w:tr2bl w:val="nil"/>
                  </w:tcBorders>
                  <w:noWrap w:val="0"/>
                  <w:vAlign w:val="center"/>
                </w:tcPr>
                <w:p w14:paraId="3CA79F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zh-TW" w:eastAsia="zh-TW"/>
                      <w14:textFill>
                        <w14:solidFill>
                          <w14:schemeClr w14:val="tx1"/>
                        </w14:solidFill>
                      </w14:textFill>
                    </w:rPr>
                    <w:t>采样点位</w:t>
                  </w:r>
                </w:p>
              </w:tc>
              <w:tc>
                <w:tcPr>
                  <w:tcW w:w="1993" w:type="pct"/>
                  <w:tcBorders>
                    <w:bottom w:val="single" w:color="000000" w:sz="12" w:space="0"/>
                    <w:tl2br w:val="nil"/>
                    <w:tr2bl w:val="nil"/>
                  </w:tcBorders>
                  <w:noWrap w:val="0"/>
                  <w:vAlign w:val="center"/>
                </w:tcPr>
                <w:p w14:paraId="060E68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zh-TW" w:eastAsia="zh-TW"/>
                      <w14:textFill>
                        <w14:solidFill>
                          <w14:schemeClr w14:val="tx1"/>
                        </w14:solidFill>
                      </w14:textFill>
                    </w:rPr>
                    <w:t>采样日期</w:t>
                  </w:r>
                </w:p>
              </w:tc>
              <w:tc>
                <w:tcPr>
                  <w:tcW w:w="730" w:type="pct"/>
                  <w:tcBorders>
                    <w:bottom w:val="single" w:color="000000" w:sz="12" w:space="0"/>
                    <w:tl2br w:val="nil"/>
                    <w:tr2bl w:val="nil"/>
                  </w:tcBorders>
                  <w:noWrap w:val="0"/>
                  <w:vAlign w:val="center"/>
                </w:tcPr>
                <w:p w14:paraId="3A5F12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zh-TW" w:eastAsia="zh-TW"/>
                      <w14:textFill>
                        <w14:solidFill>
                          <w14:schemeClr w14:val="tx1"/>
                        </w14:solidFill>
                      </w14:textFill>
                    </w:rPr>
                    <w:t>检测项目</w:t>
                  </w:r>
                </w:p>
              </w:tc>
              <w:tc>
                <w:tcPr>
                  <w:tcW w:w="620" w:type="pct"/>
                  <w:tcBorders>
                    <w:bottom w:val="single" w:color="000000" w:sz="12" w:space="0"/>
                    <w:tl2br w:val="nil"/>
                    <w:tr2bl w:val="nil"/>
                  </w:tcBorders>
                  <w:noWrap w:val="0"/>
                  <w:vAlign w:val="center"/>
                </w:tcPr>
                <w:p w14:paraId="064E99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zh-TW" w:eastAsia="zh-TW"/>
                      <w14:textFill>
                        <w14:solidFill>
                          <w14:schemeClr w14:val="tx1"/>
                        </w14:solidFill>
                      </w14:textFill>
                    </w:rPr>
                    <w:t>单位</w:t>
                  </w:r>
                </w:p>
              </w:tc>
              <w:tc>
                <w:tcPr>
                  <w:tcW w:w="802" w:type="pct"/>
                  <w:tcBorders>
                    <w:bottom w:val="single" w:color="000000" w:sz="12" w:space="0"/>
                    <w:tl2br w:val="nil"/>
                    <w:tr2bl w:val="nil"/>
                  </w:tcBorders>
                  <w:noWrap w:val="0"/>
                  <w:vAlign w:val="center"/>
                </w:tcPr>
                <w:p w14:paraId="24B68B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zh-TW" w:eastAsia="zh-TW"/>
                      <w14:textFill>
                        <w14:solidFill>
                          <w14:schemeClr w14:val="tx1"/>
                        </w14:solidFill>
                      </w14:textFill>
                    </w:rPr>
                    <w:t>检测结果</w:t>
                  </w:r>
                </w:p>
              </w:tc>
            </w:tr>
            <w:tr w14:paraId="512648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421" w:type="dxa"/>
                  <w:vMerge w:val="restart"/>
                  <w:tcBorders>
                    <w:top w:val="single" w:color="000000" w:sz="12" w:space="0"/>
                    <w:tl2br w:val="nil"/>
                    <w:tr2bl w:val="nil"/>
                  </w:tcBorders>
                  <w:noWrap w:val="0"/>
                  <w:vAlign w:val="center"/>
                </w:tcPr>
                <w:p w14:paraId="413318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项目区下风向 1#</w:t>
                  </w:r>
                </w:p>
              </w:tc>
              <w:tc>
                <w:tcPr>
                  <w:tcW w:w="3320" w:type="dxa"/>
                  <w:tcBorders>
                    <w:top w:val="single" w:color="000000" w:sz="12" w:space="0"/>
                    <w:tl2br w:val="nil"/>
                    <w:tr2bl w:val="nil"/>
                  </w:tcBorders>
                  <w:noWrap w:val="0"/>
                  <w:vAlign w:val="center"/>
                </w:tcPr>
                <w:p w14:paraId="0F0F4E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en-US"/>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2026年5月26日</w:t>
                  </w:r>
                </w:p>
              </w:tc>
              <w:tc>
                <w:tcPr>
                  <w:tcW w:w="1216" w:type="dxa"/>
                  <w:vMerge w:val="restart"/>
                  <w:tcBorders>
                    <w:top w:val="single" w:color="000000" w:sz="12" w:space="0"/>
                    <w:tl2br w:val="nil"/>
                    <w:tr2bl w:val="nil"/>
                  </w:tcBorders>
                  <w:noWrap w:val="0"/>
                  <w:vAlign w:val="center"/>
                </w:tcPr>
                <w:p w14:paraId="4973A9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TSP</w:t>
                  </w:r>
                </w:p>
              </w:tc>
              <w:tc>
                <w:tcPr>
                  <w:tcW w:w="1034" w:type="dxa"/>
                  <w:vMerge w:val="restart"/>
                  <w:tcBorders>
                    <w:top w:val="single" w:color="000000" w:sz="12" w:space="0"/>
                    <w:tl2br w:val="nil"/>
                    <w:tr2bl w:val="nil"/>
                  </w:tcBorders>
                  <w:noWrap w:val="0"/>
                  <w:vAlign w:val="center"/>
                </w:tcPr>
                <w:p w14:paraId="16D37C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mg/m</w:t>
                  </w:r>
                  <w:r>
                    <w:rPr>
                      <w:rFonts w:hint="default" w:ascii="Times New Roman" w:hAnsi="Times New Roman" w:eastAsia="宋体" w:cs="Times New Roman"/>
                      <w:color w:val="000000" w:themeColor="text1"/>
                      <w:sz w:val="21"/>
                      <w:szCs w:val="21"/>
                      <w:highlight w:val="none"/>
                      <w:vertAlign w:val="superscript"/>
                      <w:lang w:val="en-US" w:eastAsia="zh-CN"/>
                      <w14:textFill>
                        <w14:solidFill>
                          <w14:schemeClr w14:val="tx1"/>
                        </w14:solidFill>
                      </w14:textFill>
                    </w:rPr>
                    <w:t>3</w:t>
                  </w:r>
                </w:p>
              </w:tc>
              <w:tc>
                <w:tcPr>
                  <w:tcW w:w="1336" w:type="dxa"/>
                  <w:tcBorders>
                    <w:top w:val="single" w:color="000000" w:sz="12" w:space="0"/>
                    <w:tl2br w:val="nil"/>
                    <w:tr2bl w:val="nil"/>
                  </w:tcBorders>
                  <w:noWrap w:val="0"/>
                  <w:vAlign w:val="center"/>
                </w:tcPr>
                <w:p w14:paraId="5182E5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0.121</w:t>
                  </w:r>
                </w:p>
              </w:tc>
            </w:tr>
            <w:tr w14:paraId="2FB9F0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421" w:type="dxa"/>
                  <w:vMerge w:val="continue"/>
                  <w:tcBorders>
                    <w:tl2br w:val="nil"/>
                    <w:tr2bl w:val="nil"/>
                  </w:tcBorders>
                  <w:noWrap w:val="0"/>
                  <w:vAlign w:val="center"/>
                </w:tcPr>
                <w:p w14:paraId="5ECA1B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3320" w:type="dxa"/>
                  <w:tcBorders>
                    <w:tl2br w:val="nil"/>
                    <w:tr2bl w:val="nil"/>
                  </w:tcBorders>
                  <w:noWrap w:val="0"/>
                  <w:vAlign w:val="center"/>
                </w:tcPr>
                <w:p w14:paraId="7387C7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en-US"/>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2026年5月27日</w:t>
                  </w:r>
                </w:p>
              </w:tc>
              <w:tc>
                <w:tcPr>
                  <w:tcW w:w="1216" w:type="dxa"/>
                  <w:vMerge w:val="continue"/>
                  <w:tcBorders>
                    <w:tl2br w:val="nil"/>
                    <w:tr2bl w:val="nil"/>
                  </w:tcBorders>
                  <w:noWrap w:val="0"/>
                  <w:vAlign w:val="center"/>
                </w:tcPr>
                <w:p w14:paraId="067ACA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034" w:type="dxa"/>
                  <w:vMerge w:val="continue"/>
                  <w:tcBorders>
                    <w:tl2br w:val="nil"/>
                    <w:tr2bl w:val="nil"/>
                  </w:tcBorders>
                  <w:noWrap w:val="0"/>
                  <w:vAlign w:val="center"/>
                </w:tcPr>
                <w:p w14:paraId="77A143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336" w:type="dxa"/>
                  <w:tcBorders>
                    <w:tl2br w:val="nil"/>
                    <w:tr2bl w:val="nil"/>
                  </w:tcBorders>
                  <w:noWrap w:val="0"/>
                  <w:vAlign w:val="center"/>
                </w:tcPr>
                <w:p w14:paraId="4AB2DC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0.096</w:t>
                  </w:r>
                </w:p>
              </w:tc>
            </w:tr>
            <w:tr w14:paraId="63B50C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421" w:type="dxa"/>
                  <w:vMerge w:val="continue"/>
                  <w:tcBorders>
                    <w:tl2br w:val="nil"/>
                    <w:tr2bl w:val="nil"/>
                  </w:tcBorders>
                  <w:noWrap w:val="0"/>
                  <w:vAlign w:val="center"/>
                </w:tcPr>
                <w:p w14:paraId="68B52E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3320" w:type="dxa"/>
                  <w:tcBorders>
                    <w:tl2br w:val="nil"/>
                    <w:tr2bl w:val="nil"/>
                  </w:tcBorders>
                  <w:noWrap w:val="0"/>
                  <w:vAlign w:val="center"/>
                </w:tcPr>
                <w:p w14:paraId="547EAA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en-US"/>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2026年5月28日</w:t>
                  </w:r>
                </w:p>
              </w:tc>
              <w:tc>
                <w:tcPr>
                  <w:tcW w:w="1216" w:type="dxa"/>
                  <w:vMerge w:val="continue"/>
                  <w:tcBorders>
                    <w:tl2br w:val="nil"/>
                    <w:tr2bl w:val="nil"/>
                  </w:tcBorders>
                  <w:noWrap w:val="0"/>
                  <w:vAlign w:val="center"/>
                </w:tcPr>
                <w:p w14:paraId="32B33F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034" w:type="dxa"/>
                  <w:vMerge w:val="continue"/>
                  <w:tcBorders>
                    <w:tl2br w:val="nil"/>
                    <w:tr2bl w:val="nil"/>
                  </w:tcBorders>
                  <w:noWrap w:val="0"/>
                  <w:vAlign w:val="center"/>
                </w:tcPr>
                <w:p w14:paraId="5ABB62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336" w:type="dxa"/>
                  <w:tcBorders>
                    <w:tl2br w:val="nil"/>
                    <w:tr2bl w:val="nil"/>
                  </w:tcBorders>
                  <w:noWrap w:val="0"/>
                  <w:vAlign w:val="center"/>
                </w:tcPr>
                <w:p w14:paraId="42A734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0.104</w:t>
                  </w:r>
                </w:p>
              </w:tc>
            </w:tr>
            <w:tr w14:paraId="3273C3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4197" w:type="pct"/>
                  <w:gridSpan w:val="4"/>
                  <w:tcBorders>
                    <w:tl2br w:val="nil"/>
                    <w:tr2bl w:val="nil"/>
                  </w:tcBorders>
                  <w:noWrap w:val="0"/>
                  <w:vAlign w:val="center"/>
                </w:tcPr>
                <w:p w14:paraId="6BB64F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 xml:space="preserve"> 《环境空气质量标准》(GB 3095-2012)二级标准浓度限值（mg/m</w:t>
                  </w:r>
                  <w:r>
                    <w:rPr>
                      <w:rFonts w:hint="default" w:ascii="Times New Roman" w:hAnsi="Times New Roman" w:eastAsia="宋体" w:cs="Times New Roman"/>
                      <w:color w:val="000000" w:themeColor="text1"/>
                      <w:sz w:val="21"/>
                      <w:szCs w:val="21"/>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802" w:type="pct"/>
                  <w:tcBorders>
                    <w:tl2br w:val="nil"/>
                    <w:tr2bl w:val="nil"/>
                  </w:tcBorders>
                  <w:noWrap w:val="0"/>
                  <w:vAlign w:val="center"/>
                </w:tcPr>
                <w:p w14:paraId="1CBE7A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0.3</w:t>
                  </w:r>
                </w:p>
              </w:tc>
            </w:tr>
          </w:tbl>
          <w:p w14:paraId="5881416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leftChars="0" w:right="0" w:rightChars="0" w:firstLine="480"/>
              <w:jc w:val="both"/>
              <w:textAlignment w:val="auto"/>
              <w:rPr>
                <w:rFonts w:hint="default" w:ascii="Times New Roman" w:hAnsi="Times New Roman" w:eastAsia="宋体" w:cs="Times New Roman"/>
                <w:b w:val="0"/>
                <w:bCs w:val="0"/>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由上述监测结果可知，项目区域现状TSP污染物浓度可以满足《环境空气质量标准》（GB3095-2012）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过渡阶段</w:t>
            </w:r>
            <w:r>
              <w:rPr>
                <w:rFonts w:hint="default" w:ascii="Times New Roman" w:hAnsi="Times New Roman" w:eastAsia="宋体" w:cs="Times New Roman"/>
                <w:color w:val="000000" w:themeColor="text1"/>
                <w:sz w:val="24"/>
                <w:szCs w:val="24"/>
                <w:highlight w:val="none"/>
                <w14:textFill>
                  <w14:solidFill>
                    <w14:schemeClr w14:val="tx1"/>
                  </w14:solidFill>
                </w14:textFill>
              </w:rPr>
              <w:t>的二级标准。</w:t>
            </w:r>
          </w:p>
          <w:p w14:paraId="1C6A0EE7">
            <w:pPr>
              <w:keepNext w:val="0"/>
              <w:keepLines w:val="0"/>
              <w:pageBreakBefore w:val="0"/>
              <w:widowControl w:val="0"/>
              <w:numPr>
                <w:ilvl w:val="0"/>
                <w:numId w:val="4"/>
              </w:numPr>
              <w:suppressLineNumbers w:val="0"/>
              <w:kinsoku/>
              <w:wordWrap/>
              <w:overflowPunct/>
              <w:topLinePunct w:val="0"/>
              <w:autoSpaceDE w:val="0"/>
              <w:autoSpaceDN/>
              <w:bidi w:val="0"/>
              <w:adjustRightInd/>
              <w:snapToGrid/>
              <w:spacing w:beforeAutospacing="0" w:afterAutospacing="0" w:line="360" w:lineRule="auto"/>
              <w:ind w:left="0" w:leftChars="0" w:right="0" w:rightChars="0" w:firstLine="0" w:firstLineChars="0"/>
              <w:jc w:val="both"/>
              <w:textAlignment w:val="auto"/>
              <w:outlineLvl w:val="9"/>
              <w:rPr>
                <w:rFonts w:hint="default" w:ascii="Times New Roman" w:hAnsi="Times New Roman" w:eastAsia="宋体" w:cs="Times New Roman"/>
                <w:b/>
                <w:color w:val="000000" w:themeColor="text1"/>
                <w:kern w:val="2"/>
                <w:sz w:val="24"/>
                <w:szCs w:val="24"/>
                <w:highlight w:val="none"/>
                <w:lang w:val="en-US" w:eastAsia="zh-CN" w:bidi="ar"/>
                <w14:textFill>
                  <w14:solidFill>
                    <w14:schemeClr w14:val="tx1"/>
                  </w14:solidFill>
                </w14:textFill>
              </w:rPr>
            </w:pPr>
            <w:r>
              <w:rPr>
                <w:rFonts w:hint="default" w:ascii="Times New Roman" w:hAnsi="Times New Roman" w:eastAsia="宋体" w:cs="Times New Roman"/>
                <w:b/>
                <w:color w:val="000000" w:themeColor="text1"/>
                <w:kern w:val="2"/>
                <w:sz w:val="24"/>
                <w:szCs w:val="24"/>
                <w:highlight w:val="none"/>
                <w:lang w:val="en-US" w:eastAsia="zh-CN" w:bidi="ar"/>
                <w14:textFill>
                  <w14:solidFill>
                    <w14:schemeClr w14:val="tx1"/>
                  </w14:solidFill>
                </w14:textFill>
              </w:rPr>
              <w:t>地表水环境质量现状</w:t>
            </w:r>
          </w:p>
          <w:p w14:paraId="4B8A97A0">
            <w:pPr>
              <w:keepNext w:val="0"/>
              <w:keepLines w:val="0"/>
              <w:pageBreakBefore w:val="0"/>
              <w:widowControl w:val="0"/>
              <w:suppressLineNumbers w:val="0"/>
              <w:tabs>
                <w:tab w:val="left" w:pos="5252"/>
              </w:tabs>
              <w:kinsoku/>
              <w:wordWrap/>
              <w:overflowPunct/>
              <w:topLinePunct w:val="0"/>
              <w:autoSpaceDE/>
              <w:autoSpaceDN/>
              <w:bidi w:val="0"/>
              <w:adjustRightInd/>
              <w:snapToGrid/>
              <w:spacing w:before="0" w:beforeAutospacing="0" w:after="0" w:afterAutospacing="0" w:line="360" w:lineRule="auto"/>
              <w:ind w:left="0" w:right="0" w:firstLine="480"/>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本项目周边3.0km范围内无地表水分布，生产废水循环利用，不外排。生活污水排入化粪池后委托拉运。</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根据《环境影响评价技术导则 地表水环境》（HJ2.3-2018）中水污染影响型及水文要素影响型，本项目可不开展区域污染源调查。</w:t>
            </w:r>
          </w:p>
          <w:p w14:paraId="078B0E76">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Autospacing="0" w:afterAutospacing="0" w:line="360" w:lineRule="auto"/>
              <w:ind w:leftChars="0" w:right="0" w:rightChars="0"/>
              <w:jc w:val="both"/>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color w:val="000000" w:themeColor="text1"/>
                <w:kern w:val="2"/>
                <w:sz w:val="24"/>
                <w:szCs w:val="24"/>
                <w:highlight w:val="none"/>
                <w:lang w:val="en-US" w:eastAsia="zh-CN" w:bidi="ar"/>
                <w14:textFill>
                  <w14:solidFill>
                    <w14:schemeClr w14:val="tx1"/>
                  </w14:solidFill>
                </w14:textFill>
              </w:rPr>
              <w:t>4、地下水环境质量现状</w:t>
            </w:r>
          </w:p>
          <w:p w14:paraId="303B61C4">
            <w:pPr>
              <w:keepNext w:val="0"/>
              <w:keepLines w:val="0"/>
              <w:pageBreakBefore w:val="0"/>
              <w:widowControl w:val="0"/>
              <w:suppressLineNumbers w:val="0"/>
              <w:tabs>
                <w:tab w:val="left" w:pos="5252"/>
              </w:tabs>
              <w:kinsoku/>
              <w:wordWrap/>
              <w:overflowPunct/>
              <w:topLinePunct w:val="0"/>
              <w:autoSpaceDE/>
              <w:autoSpaceDN/>
              <w:bidi w:val="0"/>
              <w:adjustRightInd/>
              <w:snapToGrid/>
              <w:spacing w:before="0" w:beforeAutospacing="0" w:after="0" w:afterAutospacing="0" w:line="360" w:lineRule="auto"/>
              <w:ind w:left="0" w:right="0" w:firstLine="480"/>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根据建设项目对地下水环境影响的程度，结合《建设项目环境影响评价分类管理名录》，将建设项目分为四类。Ⅰ类、Ⅱ类、Ⅲ类建设项目地下水环境影响评价应执行《环境影响评价技术导则地下水导则》（HJ610-2016）要求，Ⅳ类建设项目不开展地下水环境影响评价。</w:t>
            </w:r>
          </w:p>
          <w:p w14:paraId="6211295A">
            <w:pPr>
              <w:keepNext w:val="0"/>
              <w:keepLines w:val="0"/>
              <w:pageBreakBefore w:val="0"/>
              <w:widowControl w:val="0"/>
              <w:suppressLineNumbers w:val="0"/>
              <w:tabs>
                <w:tab w:val="left" w:pos="5252"/>
              </w:tabs>
              <w:kinsoku/>
              <w:wordWrap/>
              <w:overflowPunct/>
              <w:topLinePunct w:val="0"/>
              <w:autoSpaceDE/>
              <w:autoSpaceDN/>
              <w:bidi w:val="0"/>
              <w:adjustRightInd/>
              <w:snapToGrid/>
              <w:spacing w:before="0" w:beforeAutospacing="0" w:after="0" w:afterAutospacing="0" w:line="360" w:lineRule="auto"/>
              <w:ind w:left="0" w:right="0" w:firstLine="480"/>
              <w:textAlignment w:val="auto"/>
              <w:outlineLvl w:val="9"/>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依据《环境影响评价技术导则地下水导则》（HJ610-2016）附录表A的规定，本项目地下水环境影响评价项目类别为Ⅳ类，因此不开展相关地下水环境影响评价。</w:t>
            </w:r>
          </w:p>
          <w:p w14:paraId="084C2C4E">
            <w:pPr>
              <w:keepNext/>
              <w:keepLines/>
              <w:suppressLineNumbers w:val="0"/>
              <w:spacing w:before="0" w:beforeAutospacing="0" w:after="0" w:afterAutospacing="0" w:line="360" w:lineRule="auto"/>
              <w:ind w:left="0" w:leftChars="0" w:right="0" w:firstLine="0" w:firstLineChars="0"/>
              <w:outlineLvl w:val="1"/>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声环境质量现状</w:t>
            </w:r>
          </w:p>
          <w:p w14:paraId="07F1DC32">
            <w:pPr>
              <w:keepNext/>
              <w:keepLines/>
              <w:suppressLineNumbers w:val="0"/>
              <w:spacing w:before="0" w:beforeAutospacing="0" w:after="0" w:afterAutospacing="0" w:line="360" w:lineRule="auto"/>
              <w:ind w:left="0" w:right="0" w:firstLine="480" w:firstLineChars="200"/>
              <w:outlineLvl w:val="1"/>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项目区周边50m范围内不存在声环境保护目标，无需开展声环境质量现状评价，不设声环境评价范围</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582AD921">
            <w:pPr>
              <w:keepNext/>
              <w:keepLines/>
              <w:suppressLineNumbers w:val="0"/>
              <w:spacing w:before="0" w:beforeAutospacing="0" w:after="0" w:afterAutospacing="0" w:line="360" w:lineRule="auto"/>
              <w:ind w:left="0" w:leftChars="0" w:right="0" w:firstLine="0" w:firstLineChars="0"/>
              <w:outlineLvl w:val="1"/>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6、土壤</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环境质量现状</w:t>
            </w:r>
          </w:p>
          <w:p w14:paraId="6B6EC8FC">
            <w:pPr>
              <w:keepNext/>
              <w:keepLines/>
              <w:suppressLineNumbers w:val="0"/>
              <w:spacing w:before="0" w:beforeAutospacing="0" w:after="0" w:afterAutospacing="0" w:line="360" w:lineRule="auto"/>
              <w:ind w:left="0" w:right="0" w:firstLine="480" w:firstLineChars="200"/>
              <w:outlineLvl w:val="1"/>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本次土壤理化指标采用类比分析法，参数依据《新疆土壤》、第二次全国土壤普查天山北麓东段土壤调查成果，并参考吉木萨尔县南部山前同地貌灰褐土区域已批复露天矿山环评资料。区域灰褐土土壤pH值范围7.8～8.4，土壤水溶性总含盐量0.40～1.80g/kg。对照导则生态影响型敏感程度判别指标：区域土壤5.5＜pH＜8.5，不存在酸化、轻度及以上碱化风险；土壤含盐量≤2g/kg，矿区地处山前丘陵，地形坡度较大、地表排水通畅，地下水位埋深较大，不存在盐分持续富集形成土壤盐化的条件。根据《环境影响评价技术导则—土壤环境（试行）》（HJ964-2018）本项目属于土壤评价行业分类中的“采矿业”中的其他，类别为III类，土壤敏感程度为不敏感，故本项目可不开展土壤环境影响评价。</w:t>
            </w:r>
          </w:p>
        </w:tc>
      </w:tr>
      <w:tr w14:paraId="358178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557" w:type="dxa"/>
            <w:tcBorders>
              <w:tl2br w:val="nil"/>
              <w:tr2bl w:val="nil"/>
            </w:tcBorders>
            <w:noWrap w:val="0"/>
            <w:vAlign w:val="center"/>
          </w:tcPr>
          <w:p w14:paraId="0A0CCBD8">
            <w:pPr>
              <w:pStyle w:val="72"/>
              <w:bidi w:val="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与项目有关的原有环境污染和生态破坏问题</w:t>
            </w:r>
          </w:p>
        </w:tc>
        <w:tc>
          <w:tcPr>
            <w:tcW w:w="7917" w:type="dxa"/>
            <w:tcBorders>
              <w:tl2br w:val="nil"/>
              <w:tr2bl w:val="nil"/>
            </w:tcBorders>
            <w:noWrap w:val="0"/>
            <w:vAlign w:val="center"/>
          </w:tcPr>
          <w:p w14:paraId="28B4CF9D">
            <w:pPr>
              <w:keepNext/>
              <w:keepLines/>
              <w:suppressLineNumbers w:val="0"/>
              <w:spacing w:before="0" w:beforeAutospacing="0" w:after="0" w:afterAutospacing="0" w:line="360" w:lineRule="auto"/>
              <w:ind w:left="0" w:right="0" w:firstLine="480" w:firstLineChars="200"/>
              <w:outlineLvl w:val="1"/>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本项目为新建项目，无与本项目有关的原有环境污染</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和生</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态破坏问题。</w:t>
            </w:r>
          </w:p>
        </w:tc>
      </w:tr>
      <w:tr w14:paraId="6F3731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557" w:type="dxa"/>
            <w:tcBorders>
              <w:tl2br w:val="nil"/>
              <w:tr2bl w:val="nil"/>
            </w:tcBorders>
            <w:noWrap w:val="0"/>
            <w:vAlign w:val="center"/>
          </w:tcPr>
          <w:p w14:paraId="608AFEAF">
            <w:pPr>
              <w:pStyle w:val="72"/>
              <w:bidi w:val="0"/>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生态</w:t>
            </w:r>
            <w:r>
              <w:rPr>
                <w:rFonts w:hint="default" w:ascii="Times New Roman" w:hAnsi="Times New Roman" w:eastAsia="宋体" w:cs="Times New Roman"/>
                <w:color w:val="000000" w:themeColor="text1"/>
                <w:highlight w:val="none"/>
                <w14:textFill>
                  <w14:solidFill>
                    <w14:schemeClr w14:val="tx1"/>
                  </w14:solidFill>
                </w14:textFill>
              </w:rPr>
              <w:t>环境保护目标</w:t>
            </w:r>
          </w:p>
        </w:tc>
        <w:tc>
          <w:tcPr>
            <w:tcW w:w="7917" w:type="dxa"/>
            <w:tcBorders>
              <w:tl2br w:val="nil"/>
              <w:tr2bl w:val="nil"/>
            </w:tcBorders>
            <w:noWrap w:val="0"/>
            <w:vAlign w:val="center"/>
          </w:tcPr>
          <w:p w14:paraId="29241138">
            <w:pPr>
              <w:keepNext w:val="0"/>
              <w:keepLines w:val="0"/>
              <w:pageBreakBefore w:val="0"/>
              <w:widowControl w:val="0"/>
              <w:numPr>
                <w:ilvl w:val="0"/>
                <w:numId w:val="0"/>
              </w:numPr>
              <w:kinsoku/>
              <w:wordWrap/>
              <w:overflowPunct/>
              <w:topLinePunct w:val="0"/>
              <w:autoSpaceDE/>
              <w:autoSpaceDN/>
              <w:bidi w:val="0"/>
              <w:snapToGrid/>
              <w:spacing w:line="360" w:lineRule="auto"/>
              <w:textAlignment w:val="auto"/>
              <w:rPr>
                <w:rFonts w:hint="default" w:ascii="Times New Roman" w:hAnsi="Times New Roman" w:eastAsia="宋体" w:cs="Times New Roman"/>
                <w:b/>
                <w:bCs/>
                <w:color w:val="auto"/>
                <w:spacing w:val="0"/>
                <w:sz w:val="24"/>
                <w:szCs w:val="24"/>
                <w:highlight w:val="none"/>
                <w:lang w:val="en-US" w:eastAsia="zh-CN"/>
              </w:rPr>
            </w:pPr>
            <w:r>
              <w:rPr>
                <w:rFonts w:hint="default" w:ascii="Times New Roman" w:hAnsi="Times New Roman" w:eastAsia="宋体" w:cs="Times New Roman"/>
                <w:b/>
                <w:bCs/>
                <w:color w:val="auto"/>
                <w:spacing w:val="0"/>
                <w:sz w:val="24"/>
                <w:szCs w:val="24"/>
                <w:highlight w:val="none"/>
                <w:lang w:val="en-US" w:eastAsia="zh-CN"/>
              </w:rPr>
              <w:t>1.大气环境</w:t>
            </w:r>
          </w:p>
          <w:p w14:paraId="41612AF8">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80" w:firstLineChars="200"/>
              <w:textAlignment w:val="auto"/>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根据《环境空气质量标准》(GB3095-2026)中的二级标准保护要求，项目场地厂界外500米范围内无自然保护区、风景名胜区、居住区、文化区和农村地区中人群较集中的区域等保护目标，无敏感目标。·</w:t>
            </w:r>
          </w:p>
          <w:p w14:paraId="0B619456">
            <w:pPr>
              <w:keepNext w:val="0"/>
              <w:keepLines w:val="0"/>
              <w:pageBreakBefore w:val="0"/>
              <w:widowControl w:val="0"/>
              <w:numPr>
                <w:ilvl w:val="0"/>
                <w:numId w:val="0"/>
              </w:numPr>
              <w:kinsoku/>
              <w:wordWrap/>
              <w:overflowPunct/>
              <w:topLinePunct w:val="0"/>
              <w:autoSpaceDE/>
              <w:autoSpaceDN/>
              <w:bidi w:val="0"/>
              <w:snapToGrid/>
              <w:spacing w:line="360" w:lineRule="auto"/>
              <w:textAlignment w:val="auto"/>
              <w:rPr>
                <w:rFonts w:hint="default" w:ascii="Times New Roman" w:hAnsi="Times New Roman" w:eastAsia="宋体" w:cs="Times New Roman"/>
                <w:b/>
                <w:bCs/>
                <w:color w:val="auto"/>
                <w:spacing w:val="0"/>
                <w:sz w:val="24"/>
                <w:szCs w:val="24"/>
                <w:highlight w:val="none"/>
                <w:lang w:val="en-US" w:eastAsia="zh-CN"/>
              </w:rPr>
            </w:pPr>
            <w:r>
              <w:rPr>
                <w:rFonts w:hint="default" w:ascii="Times New Roman" w:hAnsi="Times New Roman" w:eastAsia="宋体" w:cs="Times New Roman"/>
                <w:b/>
                <w:bCs/>
                <w:color w:val="auto"/>
                <w:spacing w:val="0"/>
                <w:sz w:val="24"/>
                <w:szCs w:val="24"/>
                <w:highlight w:val="none"/>
                <w:lang w:val="en-US" w:eastAsia="zh-CN"/>
              </w:rPr>
              <w:t>2.声环境</w:t>
            </w:r>
          </w:p>
          <w:p w14:paraId="4671ED9D">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80" w:firstLineChars="200"/>
              <w:textAlignment w:val="auto"/>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根据《声环境质量标准》(GB3096-2008)中的2类标准，项目周边无企业，项目场地厂界外50米范围内无声环境保护目标。</w:t>
            </w:r>
          </w:p>
          <w:p w14:paraId="4AD6DAFE">
            <w:pPr>
              <w:keepNext w:val="0"/>
              <w:keepLines w:val="0"/>
              <w:pageBreakBefore w:val="0"/>
              <w:widowControl w:val="0"/>
              <w:numPr>
                <w:ilvl w:val="0"/>
                <w:numId w:val="0"/>
              </w:numPr>
              <w:kinsoku/>
              <w:wordWrap/>
              <w:overflowPunct/>
              <w:topLinePunct w:val="0"/>
              <w:autoSpaceDE/>
              <w:autoSpaceDN/>
              <w:bidi w:val="0"/>
              <w:snapToGrid/>
              <w:spacing w:line="360" w:lineRule="auto"/>
              <w:textAlignment w:val="auto"/>
              <w:rPr>
                <w:rFonts w:hint="default" w:ascii="Times New Roman" w:hAnsi="Times New Roman" w:eastAsia="宋体" w:cs="Times New Roman"/>
                <w:b/>
                <w:bCs/>
                <w:color w:val="auto"/>
                <w:spacing w:val="0"/>
                <w:sz w:val="24"/>
                <w:szCs w:val="24"/>
                <w:highlight w:val="none"/>
                <w:lang w:val="en-US" w:eastAsia="zh-CN"/>
              </w:rPr>
            </w:pPr>
            <w:r>
              <w:rPr>
                <w:rFonts w:hint="default" w:ascii="Times New Roman" w:hAnsi="Times New Roman" w:eastAsia="宋体" w:cs="Times New Roman"/>
                <w:b/>
                <w:bCs/>
                <w:color w:val="auto"/>
                <w:spacing w:val="0"/>
                <w:sz w:val="24"/>
                <w:szCs w:val="24"/>
                <w:highlight w:val="none"/>
                <w:lang w:val="en-US" w:eastAsia="zh-CN"/>
              </w:rPr>
              <w:t>3.地下水环境</w:t>
            </w:r>
          </w:p>
          <w:p w14:paraId="58059D87">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80" w:firstLineChars="200"/>
              <w:textAlignment w:val="auto"/>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本项目厂界外500米范围内无地下水集中式饮用水水源和热水、矿泉水、温泉等特殊地下水资源。</w:t>
            </w:r>
          </w:p>
          <w:p w14:paraId="72745BF7">
            <w:pPr>
              <w:keepNext w:val="0"/>
              <w:keepLines w:val="0"/>
              <w:pageBreakBefore w:val="0"/>
              <w:widowControl w:val="0"/>
              <w:numPr>
                <w:ilvl w:val="0"/>
                <w:numId w:val="0"/>
              </w:numPr>
              <w:kinsoku/>
              <w:wordWrap/>
              <w:overflowPunct/>
              <w:topLinePunct w:val="0"/>
              <w:autoSpaceDE/>
              <w:autoSpaceDN/>
              <w:bidi w:val="0"/>
              <w:adjustRightInd/>
              <w:snapToGrid/>
              <w:spacing w:after="0" w:afterLines="0" w:line="360" w:lineRule="auto"/>
              <w:textAlignment w:val="auto"/>
              <w:rPr>
                <w:rFonts w:hint="default" w:ascii="Times New Roman" w:hAnsi="Times New Roman" w:eastAsia="宋体" w:cs="Times New Roman"/>
                <w:b/>
                <w:bCs/>
                <w:color w:val="auto"/>
                <w:spacing w:val="0"/>
                <w:sz w:val="24"/>
                <w:szCs w:val="24"/>
                <w:highlight w:val="none"/>
              </w:rPr>
            </w:pPr>
            <w:r>
              <w:rPr>
                <w:rFonts w:hint="default" w:ascii="Times New Roman" w:hAnsi="Times New Roman" w:eastAsia="宋体" w:cs="Times New Roman"/>
                <w:b/>
                <w:bCs/>
                <w:color w:val="auto"/>
                <w:spacing w:val="0"/>
                <w:sz w:val="24"/>
                <w:szCs w:val="24"/>
                <w:highlight w:val="none"/>
                <w:lang w:val="en-US" w:eastAsia="zh-CN"/>
              </w:rPr>
              <w:t>4.</w:t>
            </w:r>
            <w:r>
              <w:rPr>
                <w:rFonts w:hint="default" w:ascii="Times New Roman" w:hAnsi="Times New Roman" w:eastAsia="宋体" w:cs="Times New Roman"/>
                <w:b/>
                <w:bCs/>
                <w:color w:val="auto"/>
                <w:spacing w:val="0"/>
                <w:sz w:val="24"/>
                <w:szCs w:val="24"/>
                <w:highlight w:val="none"/>
              </w:rPr>
              <w:t>生态环境：</w:t>
            </w:r>
          </w:p>
          <w:tbl>
            <w:tblPr>
              <w:tblStyle w:val="39"/>
              <w:tblW w:w="77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3"/>
              <w:gridCol w:w="5018"/>
            </w:tblGrid>
            <w:tr w14:paraId="0933E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3" w:type="dxa"/>
                </w:tcPr>
                <w:p w14:paraId="16968A02">
                  <w:pPr>
                    <w:keepNext w:val="0"/>
                    <w:keepLines w:val="0"/>
                    <w:pageBreakBefore w:val="0"/>
                    <w:widowControl w:val="0"/>
                    <w:numPr>
                      <w:ilvl w:val="0"/>
                      <w:numId w:val="0"/>
                    </w:numPr>
                    <w:kinsoku/>
                    <w:wordWrap/>
                    <w:overflowPunct/>
                    <w:topLinePunct w:val="0"/>
                    <w:autoSpaceDE/>
                    <w:autoSpaceDN/>
                    <w:bidi w:val="0"/>
                    <w:adjustRightInd/>
                    <w:snapToGrid/>
                    <w:spacing w:after="0" w:afterLines="0" w:line="240" w:lineRule="auto"/>
                    <w:textAlignment w:val="auto"/>
                    <w:rPr>
                      <w:rFonts w:hint="default" w:ascii="Times New Roman" w:hAnsi="Times New Roman" w:eastAsia="宋体" w:cs="Times New Roman"/>
                      <w:b/>
                      <w:bCs/>
                      <w:color w:val="auto"/>
                      <w:spacing w:val="0"/>
                      <w:sz w:val="24"/>
                      <w:szCs w:val="24"/>
                      <w:highlight w:val="none"/>
                      <w:vertAlign w:val="baseline"/>
                      <w:lang w:val="en-US" w:eastAsia="zh-CN"/>
                    </w:rPr>
                  </w:pPr>
                  <w:r>
                    <w:rPr>
                      <w:rFonts w:hint="eastAsia" w:ascii="宋体" w:hAnsi="宋体" w:eastAsia="宋体" w:cs="宋体"/>
                      <w:b/>
                      <w:bCs/>
                      <w:i w:val="0"/>
                      <w:iCs w:val="0"/>
                      <w:caps w:val="0"/>
                      <w:spacing w:val="0"/>
                      <w:sz w:val="21"/>
                      <w:szCs w:val="21"/>
                      <w:shd w:val="clear" w:fill="FFFFFF"/>
                    </w:rPr>
                    <w:t>环境保护目标名称</w:t>
                  </w:r>
                </w:p>
              </w:tc>
              <w:tc>
                <w:tcPr>
                  <w:tcW w:w="5018" w:type="dxa"/>
                </w:tcPr>
                <w:p w14:paraId="46F4AECA">
                  <w:pPr>
                    <w:keepNext w:val="0"/>
                    <w:keepLines w:val="0"/>
                    <w:pageBreakBefore w:val="0"/>
                    <w:widowControl w:val="0"/>
                    <w:numPr>
                      <w:ilvl w:val="0"/>
                      <w:numId w:val="0"/>
                    </w:numPr>
                    <w:kinsoku/>
                    <w:wordWrap/>
                    <w:overflowPunct/>
                    <w:topLinePunct w:val="0"/>
                    <w:autoSpaceDE/>
                    <w:autoSpaceDN/>
                    <w:bidi w:val="0"/>
                    <w:adjustRightInd/>
                    <w:snapToGrid/>
                    <w:spacing w:after="0" w:afterLines="0" w:line="240" w:lineRule="auto"/>
                    <w:textAlignment w:val="auto"/>
                    <w:rPr>
                      <w:rFonts w:hint="default" w:ascii="Times New Roman" w:hAnsi="Times New Roman" w:eastAsia="宋体" w:cs="Times New Roman"/>
                      <w:color w:val="auto"/>
                      <w:spacing w:val="0"/>
                      <w:sz w:val="24"/>
                      <w:szCs w:val="24"/>
                      <w:highlight w:val="none"/>
                      <w:vertAlign w:val="baseline"/>
                      <w:lang w:val="en-US" w:eastAsia="zh-CN"/>
                    </w:rPr>
                  </w:pPr>
                  <w:r>
                    <w:rPr>
                      <w:rFonts w:hint="eastAsia" w:ascii="Times New Roman" w:hAnsi="Times New Roman" w:eastAsia="宋体" w:cs="Times New Roman"/>
                      <w:color w:val="auto"/>
                      <w:spacing w:val="0"/>
                      <w:sz w:val="21"/>
                      <w:szCs w:val="21"/>
                      <w:highlight w:val="none"/>
                      <w:vertAlign w:val="baseline"/>
                      <w:lang w:val="en-US" w:eastAsia="zh-CN"/>
                    </w:rPr>
                    <w:t>地方公益林</w:t>
                  </w:r>
                </w:p>
              </w:tc>
            </w:tr>
            <w:tr w14:paraId="6AE4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3" w:type="dxa"/>
                </w:tcPr>
                <w:p w14:paraId="568D9C96">
                  <w:pPr>
                    <w:keepNext w:val="0"/>
                    <w:keepLines w:val="0"/>
                    <w:pageBreakBefore w:val="0"/>
                    <w:widowControl w:val="0"/>
                    <w:numPr>
                      <w:ilvl w:val="0"/>
                      <w:numId w:val="0"/>
                    </w:numPr>
                    <w:kinsoku/>
                    <w:wordWrap/>
                    <w:overflowPunct/>
                    <w:topLinePunct w:val="0"/>
                    <w:autoSpaceDE/>
                    <w:autoSpaceDN/>
                    <w:bidi w:val="0"/>
                    <w:adjustRightInd/>
                    <w:snapToGrid/>
                    <w:spacing w:after="0" w:afterLines="0" w:line="240" w:lineRule="auto"/>
                    <w:textAlignment w:val="auto"/>
                    <w:rPr>
                      <w:rFonts w:hint="default" w:ascii="宋体" w:hAnsi="宋体" w:eastAsia="宋体" w:cs="宋体"/>
                      <w:b/>
                      <w:bCs/>
                      <w:i w:val="0"/>
                      <w:iCs w:val="0"/>
                      <w:caps w:val="0"/>
                      <w:spacing w:val="0"/>
                      <w:sz w:val="21"/>
                      <w:szCs w:val="21"/>
                      <w:shd w:val="clear" w:fill="FFFFFF"/>
                      <w:lang w:val="en-US" w:eastAsia="zh-CN"/>
                    </w:rPr>
                  </w:pPr>
                  <w:r>
                    <w:rPr>
                      <w:rFonts w:hint="eastAsia" w:ascii="宋体" w:hAnsi="宋体" w:eastAsia="宋体" w:cs="宋体"/>
                      <w:b/>
                      <w:bCs/>
                      <w:i w:val="0"/>
                      <w:iCs w:val="0"/>
                      <w:caps w:val="0"/>
                      <w:spacing w:val="0"/>
                      <w:sz w:val="21"/>
                      <w:szCs w:val="21"/>
                      <w:shd w:val="clear" w:fill="FFFFFF"/>
                      <w:lang w:val="en-US" w:eastAsia="zh-CN"/>
                    </w:rPr>
                    <w:t>与建设项目位置关系</w:t>
                  </w:r>
                </w:p>
              </w:tc>
              <w:tc>
                <w:tcPr>
                  <w:tcW w:w="5018" w:type="dxa"/>
                </w:tcPr>
                <w:p w14:paraId="07621260">
                  <w:pPr>
                    <w:keepNext w:val="0"/>
                    <w:keepLines w:val="0"/>
                    <w:pageBreakBefore w:val="0"/>
                    <w:widowControl w:val="0"/>
                    <w:numPr>
                      <w:ilvl w:val="0"/>
                      <w:numId w:val="0"/>
                    </w:numPr>
                    <w:kinsoku/>
                    <w:wordWrap/>
                    <w:overflowPunct/>
                    <w:topLinePunct w:val="0"/>
                    <w:autoSpaceDE/>
                    <w:autoSpaceDN/>
                    <w:bidi w:val="0"/>
                    <w:adjustRightInd/>
                    <w:snapToGrid/>
                    <w:spacing w:after="0" w:afterLines="0" w:line="240" w:lineRule="auto"/>
                    <w:textAlignment w:val="auto"/>
                    <w:rPr>
                      <w:rFonts w:hint="default" w:ascii="宋体" w:hAnsi="宋体" w:eastAsia="宋体" w:cs="宋体"/>
                      <w:i w:val="0"/>
                      <w:iCs w:val="0"/>
                      <w:caps w:val="0"/>
                      <w:spacing w:val="0"/>
                      <w:sz w:val="21"/>
                      <w:szCs w:val="21"/>
                      <w:shd w:val="clear" w:fill="FFFFFF"/>
                      <w:lang w:val="en-US" w:eastAsia="zh-CN"/>
                    </w:rPr>
                  </w:pPr>
                  <w:r>
                    <w:rPr>
                      <w:rFonts w:hint="eastAsia" w:ascii="宋体" w:hAnsi="宋体" w:eastAsia="宋体" w:cs="宋体"/>
                      <w:i w:val="0"/>
                      <w:iCs w:val="0"/>
                      <w:caps w:val="0"/>
                      <w:spacing w:val="0"/>
                      <w:sz w:val="21"/>
                      <w:szCs w:val="21"/>
                      <w:shd w:val="clear" w:fill="FFFFFF"/>
                      <w:lang w:val="en-US" w:eastAsia="zh-CN"/>
                    </w:rPr>
                    <w:t>位于项目区内东南角边界处</w:t>
                  </w:r>
                </w:p>
              </w:tc>
            </w:tr>
            <w:tr w14:paraId="5FF82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3" w:type="dxa"/>
                </w:tcPr>
                <w:p w14:paraId="12A0292E">
                  <w:pPr>
                    <w:keepNext w:val="0"/>
                    <w:keepLines w:val="0"/>
                    <w:pageBreakBefore w:val="0"/>
                    <w:widowControl w:val="0"/>
                    <w:numPr>
                      <w:ilvl w:val="0"/>
                      <w:numId w:val="0"/>
                    </w:numPr>
                    <w:kinsoku/>
                    <w:wordWrap/>
                    <w:overflowPunct/>
                    <w:topLinePunct w:val="0"/>
                    <w:autoSpaceDE/>
                    <w:autoSpaceDN/>
                    <w:bidi w:val="0"/>
                    <w:adjustRightInd/>
                    <w:snapToGrid/>
                    <w:spacing w:after="0" w:afterLines="0" w:line="240" w:lineRule="auto"/>
                    <w:textAlignment w:val="auto"/>
                    <w:rPr>
                      <w:rFonts w:hint="default" w:ascii="宋体" w:hAnsi="宋体" w:eastAsia="宋体" w:cs="宋体"/>
                      <w:b/>
                      <w:bCs/>
                      <w:i w:val="0"/>
                      <w:iCs w:val="0"/>
                      <w:caps w:val="0"/>
                      <w:spacing w:val="0"/>
                      <w:sz w:val="21"/>
                      <w:szCs w:val="21"/>
                      <w:shd w:val="clear" w:fill="FFFFFF"/>
                      <w:lang w:val="en-US" w:eastAsia="zh-CN"/>
                    </w:rPr>
                  </w:pPr>
                  <w:r>
                    <w:rPr>
                      <w:rFonts w:hint="eastAsia" w:ascii="宋体" w:hAnsi="宋体" w:eastAsia="宋体" w:cs="宋体"/>
                      <w:b/>
                      <w:bCs/>
                      <w:i w:val="0"/>
                      <w:iCs w:val="0"/>
                      <w:caps w:val="0"/>
                      <w:spacing w:val="0"/>
                      <w:sz w:val="21"/>
                      <w:szCs w:val="21"/>
                      <w:shd w:val="clear" w:fill="FFFFFF"/>
                      <w:lang w:val="en-US" w:eastAsia="zh-CN"/>
                    </w:rPr>
                    <w:t>规模</w:t>
                  </w:r>
                </w:p>
              </w:tc>
              <w:tc>
                <w:tcPr>
                  <w:tcW w:w="5018" w:type="dxa"/>
                </w:tcPr>
                <w:p w14:paraId="350F4541">
                  <w:pPr>
                    <w:keepNext w:val="0"/>
                    <w:keepLines w:val="0"/>
                    <w:pageBreakBefore w:val="0"/>
                    <w:widowControl w:val="0"/>
                    <w:numPr>
                      <w:ilvl w:val="0"/>
                      <w:numId w:val="0"/>
                    </w:numPr>
                    <w:kinsoku/>
                    <w:wordWrap/>
                    <w:overflowPunct/>
                    <w:topLinePunct w:val="0"/>
                    <w:autoSpaceDE/>
                    <w:autoSpaceDN/>
                    <w:bidi w:val="0"/>
                    <w:adjustRightInd/>
                    <w:snapToGrid/>
                    <w:spacing w:after="0" w:afterLines="0" w:line="240" w:lineRule="auto"/>
                    <w:textAlignment w:val="auto"/>
                    <w:rPr>
                      <w:rFonts w:hint="default" w:ascii="宋体" w:hAnsi="宋体" w:eastAsia="宋体" w:cs="宋体"/>
                      <w:i w:val="0"/>
                      <w:iCs w:val="0"/>
                      <w:caps w:val="0"/>
                      <w:spacing w:val="0"/>
                      <w:sz w:val="21"/>
                      <w:szCs w:val="21"/>
                      <w:shd w:val="clear" w:fill="FFFFFF"/>
                      <w:lang w:val="en-US" w:eastAsia="zh-CN"/>
                    </w:rPr>
                  </w:pPr>
                  <w:r>
                    <w:rPr>
                      <w:rFonts w:hint="eastAsia" w:ascii="宋体" w:hAnsi="宋体" w:eastAsia="宋体" w:cs="宋体"/>
                      <w:i w:val="0"/>
                      <w:iCs w:val="0"/>
                      <w:caps w:val="0"/>
                      <w:spacing w:val="0"/>
                      <w:sz w:val="21"/>
                      <w:szCs w:val="21"/>
                      <w:shd w:val="clear" w:fill="FFFFFF"/>
                      <w:lang w:val="en-US" w:eastAsia="zh-CN"/>
                    </w:rPr>
                    <w:t>294株榆树</w:t>
                  </w:r>
                </w:p>
              </w:tc>
            </w:tr>
            <w:tr w14:paraId="375CD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3" w:type="dxa"/>
                </w:tcPr>
                <w:p w14:paraId="4D9E99ED">
                  <w:pPr>
                    <w:keepNext w:val="0"/>
                    <w:keepLines w:val="0"/>
                    <w:pageBreakBefore w:val="0"/>
                    <w:widowControl w:val="0"/>
                    <w:numPr>
                      <w:ilvl w:val="0"/>
                      <w:numId w:val="0"/>
                    </w:numPr>
                    <w:kinsoku/>
                    <w:wordWrap/>
                    <w:overflowPunct/>
                    <w:topLinePunct w:val="0"/>
                    <w:autoSpaceDE/>
                    <w:autoSpaceDN/>
                    <w:bidi w:val="0"/>
                    <w:adjustRightInd/>
                    <w:snapToGrid/>
                    <w:spacing w:after="0" w:afterLines="0" w:line="240" w:lineRule="auto"/>
                    <w:textAlignment w:val="auto"/>
                    <w:rPr>
                      <w:rFonts w:hint="default" w:ascii="宋体" w:hAnsi="宋体" w:eastAsia="宋体" w:cs="宋体"/>
                      <w:b/>
                      <w:bCs/>
                      <w:i w:val="0"/>
                      <w:iCs w:val="0"/>
                      <w:caps w:val="0"/>
                      <w:spacing w:val="0"/>
                      <w:sz w:val="21"/>
                      <w:szCs w:val="21"/>
                      <w:shd w:val="clear" w:fill="FFFFFF"/>
                      <w:lang w:val="en-US" w:eastAsia="zh-CN"/>
                    </w:rPr>
                  </w:pPr>
                  <w:r>
                    <w:rPr>
                      <w:rFonts w:hint="eastAsia" w:ascii="宋体" w:hAnsi="宋体" w:eastAsia="宋体" w:cs="宋体"/>
                      <w:b/>
                      <w:bCs/>
                      <w:i w:val="0"/>
                      <w:iCs w:val="0"/>
                      <w:caps w:val="0"/>
                      <w:spacing w:val="0"/>
                      <w:sz w:val="21"/>
                      <w:szCs w:val="21"/>
                      <w:shd w:val="clear" w:fill="FFFFFF"/>
                      <w:lang w:val="en-US" w:eastAsia="zh-CN"/>
                    </w:rPr>
                    <w:t>主要保护对象</w:t>
                  </w:r>
                </w:p>
              </w:tc>
              <w:tc>
                <w:tcPr>
                  <w:tcW w:w="5018" w:type="dxa"/>
                </w:tcPr>
                <w:p w14:paraId="36C985A5">
                  <w:pPr>
                    <w:keepNext w:val="0"/>
                    <w:keepLines w:val="0"/>
                    <w:pageBreakBefore w:val="0"/>
                    <w:widowControl w:val="0"/>
                    <w:numPr>
                      <w:ilvl w:val="0"/>
                      <w:numId w:val="0"/>
                    </w:numPr>
                    <w:kinsoku/>
                    <w:wordWrap/>
                    <w:overflowPunct/>
                    <w:topLinePunct w:val="0"/>
                    <w:autoSpaceDE/>
                    <w:autoSpaceDN/>
                    <w:bidi w:val="0"/>
                    <w:adjustRightInd/>
                    <w:snapToGrid/>
                    <w:spacing w:after="0" w:afterLines="0" w:line="240" w:lineRule="auto"/>
                    <w:textAlignment w:val="auto"/>
                    <w:rPr>
                      <w:rFonts w:hint="default" w:ascii="宋体" w:hAnsi="宋体" w:eastAsia="宋体" w:cs="宋体"/>
                      <w:i w:val="0"/>
                      <w:iCs w:val="0"/>
                      <w:caps w:val="0"/>
                      <w:spacing w:val="0"/>
                      <w:sz w:val="21"/>
                      <w:szCs w:val="21"/>
                      <w:shd w:val="clear" w:fill="FFFFFF"/>
                      <w:lang w:val="en-US" w:eastAsia="zh-CN"/>
                    </w:rPr>
                  </w:pPr>
                  <w:r>
                    <w:rPr>
                      <w:rFonts w:hint="eastAsia" w:ascii="宋体" w:hAnsi="宋体" w:eastAsia="宋体" w:cs="宋体"/>
                      <w:i w:val="0"/>
                      <w:iCs w:val="0"/>
                      <w:caps w:val="0"/>
                      <w:spacing w:val="0"/>
                      <w:sz w:val="21"/>
                      <w:szCs w:val="21"/>
                      <w:shd w:val="clear" w:fill="FFFFFF"/>
                      <w:lang w:val="en-US" w:eastAsia="zh-CN"/>
                    </w:rPr>
                    <w:t>公益林</w:t>
                  </w:r>
                </w:p>
              </w:tc>
            </w:tr>
            <w:tr w14:paraId="563C4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3" w:type="dxa"/>
                </w:tcPr>
                <w:p w14:paraId="53C59E53">
                  <w:pPr>
                    <w:keepNext w:val="0"/>
                    <w:keepLines w:val="0"/>
                    <w:pageBreakBefore w:val="0"/>
                    <w:widowControl w:val="0"/>
                    <w:numPr>
                      <w:ilvl w:val="0"/>
                      <w:numId w:val="0"/>
                    </w:numPr>
                    <w:kinsoku/>
                    <w:wordWrap/>
                    <w:overflowPunct/>
                    <w:topLinePunct w:val="0"/>
                    <w:autoSpaceDE/>
                    <w:autoSpaceDN/>
                    <w:bidi w:val="0"/>
                    <w:adjustRightInd/>
                    <w:snapToGrid/>
                    <w:spacing w:after="0" w:afterLines="0" w:line="240" w:lineRule="auto"/>
                    <w:textAlignment w:val="auto"/>
                    <w:rPr>
                      <w:rFonts w:hint="default" w:ascii="宋体" w:hAnsi="宋体" w:eastAsia="宋体" w:cs="宋体"/>
                      <w:b/>
                      <w:bCs/>
                      <w:i w:val="0"/>
                      <w:iCs w:val="0"/>
                      <w:caps w:val="0"/>
                      <w:spacing w:val="0"/>
                      <w:sz w:val="21"/>
                      <w:szCs w:val="21"/>
                      <w:shd w:val="clear" w:fill="FFFFFF"/>
                      <w:lang w:val="en-US" w:eastAsia="zh-CN"/>
                    </w:rPr>
                  </w:pPr>
                  <w:r>
                    <w:rPr>
                      <w:rFonts w:hint="eastAsia" w:ascii="宋体" w:hAnsi="宋体" w:eastAsia="宋体" w:cs="宋体"/>
                      <w:b/>
                      <w:bCs/>
                      <w:i w:val="0"/>
                      <w:iCs w:val="0"/>
                      <w:caps w:val="0"/>
                      <w:spacing w:val="0"/>
                      <w:sz w:val="21"/>
                      <w:szCs w:val="21"/>
                      <w:shd w:val="clear" w:fill="FFFFFF"/>
                      <w:lang w:val="en-US" w:eastAsia="zh-CN"/>
                    </w:rPr>
                    <w:t>保护等级</w:t>
                  </w:r>
                </w:p>
              </w:tc>
              <w:tc>
                <w:tcPr>
                  <w:tcW w:w="5018" w:type="dxa"/>
                </w:tcPr>
                <w:p w14:paraId="40979087">
                  <w:pPr>
                    <w:keepNext w:val="0"/>
                    <w:keepLines w:val="0"/>
                    <w:pageBreakBefore w:val="0"/>
                    <w:widowControl w:val="0"/>
                    <w:numPr>
                      <w:ilvl w:val="0"/>
                      <w:numId w:val="0"/>
                    </w:numPr>
                    <w:kinsoku/>
                    <w:wordWrap/>
                    <w:overflowPunct/>
                    <w:topLinePunct w:val="0"/>
                    <w:autoSpaceDE/>
                    <w:autoSpaceDN/>
                    <w:bidi w:val="0"/>
                    <w:adjustRightInd/>
                    <w:snapToGrid/>
                    <w:spacing w:after="0" w:afterLines="0" w:line="240" w:lineRule="auto"/>
                    <w:textAlignment w:val="auto"/>
                    <w:rPr>
                      <w:rFonts w:hint="default" w:ascii="宋体" w:hAnsi="宋体" w:eastAsia="宋体" w:cs="宋体"/>
                      <w:i w:val="0"/>
                      <w:iCs w:val="0"/>
                      <w:caps w:val="0"/>
                      <w:spacing w:val="0"/>
                      <w:sz w:val="21"/>
                      <w:szCs w:val="21"/>
                      <w:shd w:val="clear" w:fill="FFFFFF"/>
                      <w:lang w:val="en-US" w:eastAsia="zh-CN"/>
                    </w:rPr>
                  </w:pPr>
                  <w:r>
                    <w:rPr>
                      <w:rFonts w:hint="eastAsia" w:ascii="宋体" w:hAnsi="宋体" w:eastAsia="宋体" w:cs="宋体"/>
                      <w:i w:val="0"/>
                      <w:iCs w:val="0"/>
                      <w:caps w:val="0"/>
                      <w:spacing w:val="0"/>
                      <w:sz w:val="21"/>
                      <w:szCs w:val="21"/>
                      <w:shd w:val="clear" w:fill="FFFFFF"/>
                      <w:lang w:val="en-US" w:eastAsia="zh-CN"/>
                    </w:rPr>
                    <w:t>Ⅳ级保护林地</w:t>
                  </w:r>
                </w:p>
              </w:tc>
            </w:tr>
            <w:tr w14:paraId="75BBA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3" w:type="dxa"/>
                </w:tcPr>
                <w:p w14:paraId="11208E2C">
                  <w:pPr>
                    <w:keepNext w:val="0"/>
                    <w:keepLines w:val="0"/>
                    <w:pageBreakBefore w:val="0"/>
                    <w:widowControl w:val="0"/>
                    <w:numPr>
                      <w:ilvl w:val="0"/>
                      <w:numId w:val="0"/>
                    </w:numPr>
                    <w:kinsoku/>
                    <w:wordWrap/>
                    <w:overflowPunct/>
                    <w:topLinePunct w:val="0"/>
                    <w:autoSpaceDE/>
                    <w:autoSpaceDN/>
                    <w:bidi w:val="0"/>
                    <w:adjustRightInd/>
                    <w:snapToGrid/>
                    <w:spacing w:after="0" w:afterLines="0" w:line="240" w:lineRule="auto"/>
                    <w:textAlignment w:val="auto"/>
                    <w:rPr>
                      <w:rFonts w:hint="default" w:ascii="宋体" w:hAnsi="宋体" w:eastAsia="宋体" w:cs="宋体"/>
                      <w:b/>
                      <w:bCs/>
                      <w:i w:val="0"/>
                      <w:iCs w:val="0"/>
                      <w:caps w:val="0"/>
                      <w:spacing w:val="0"/>
                      <w:sz w:val="21"/>
                      <w:szCs w:val="21"/>
                      <w:shd w:val="clear" w:fill="FFFFFF"/>
                      <w:lang w:val="en-US" w:eastAsia="zh-CN"/>
                    </w:rPr>
                  </w:pPr>
                  <w:r>
                    <w:rPr>
                      <w:rFonts w:hint="eastAsia" w:ascii="宋体" w:hAnsi="宋体" w:eastAsia="宋体" w:cs="宋体"/>
                      <w:b/>
                      <w:bCs/>
                      <w:i w:val="0"/>
                      <w:iCs w:val="0"/>
                      <w:caps w:val="0"/>
                      <w:spacing w:val="0"/>
                      <w:sz w:val="21"/>
                      <w:szCs w:val="21"/>
                      <w:shd w:val="clear" w:fill="FFFFFF"/>
                      <w:lang w:val="en-US" w:eastAsia="zh-CN"/>
                    </w:rPr>
                    <w:t>保护要求</w:t>
                  </w:r>
                </w:p>
              </w:tc>
              <w:tc>
                <w:tcPr>
                  <w:tcW w:w="5018" w:type="dxa"/>
                </w:tcPr>
                <w:p w14:paraId="2E865D81">
                  <w:pPr>
                    <w:keepNext w:val="0"/>
                    <w:keepLines w:val="0"/>
                    <w:pageBreakBefore w:val="0"/>
                    <w:widowControl w:val="0"/>
                    <w:numPr>
                      <w:ilvl w:val="0"/>
                      <w:numId w:val="0"/>
                    </w:numPr>
                    <w:kinsoku/>
                    <w:wordWrap/>
                    <w:overflowPunct/>
                    <w:topLinePunct w:val="0"/>
                    <w:autoSpaceDE/>
                    <w:autoSpaceDN/>
                    <w:bidi w:val="0"/>
                    <w:adjustRightInd/>
                    <w:snapToGrid/>
                    <w:spacing w:after="0" w:afterLines="0" w:line="240" w:lineRule="auto"/>
                    <w:textAlignment w:val="auto"/>
                    <w:rPr>
                      <w:rFonts w:hint="eastAsia" w:ascii="宋体" w:hAnsi="宋体" w:eastAsia="宋体" w:cs="宋体"/>
                      <w:i w:val="0"/>
                      <w:iCs w:val="0"/>
                      <w:caps w:val="0"/>
                      <w:spacing w:val="0"/>
                      <w:sz w:val="21"/>
                      <w:szCs w:val="21"/>
                      <w:shd w:val="clear" w:fill="FFFFFF"/>
                      <w:lang w:val="en-US" w:eastAsia="zh-CN"/>
                    </w:rPr>
                  </w:pPr>
                  <w:r>
                    <w:rPr>
                      <w:rFonts w:hint="eastAsia" w:ascii="宋体" w:hAnsi="宋体" w:eastAsia="宋体" w:cs="宋体"/>
                      <w:i w:val="0"/>
                      <w:iCs w:val="0"/>
                      <w:caps w:val="0"/>
                      <w:spacing w:val="0"/>
                      <w:sz w:val="21"/>
                      <w:szCs w:val="21"/>
                      <w:shd w:val="clear" w:fill="FFFFFF"/>
                      <w:lang w:val="en-US" w:eastAsia="zh-CN"/>
                    </w:rPr>
                    <w:t>（1）严格控制施工扰动范围，禁止超红线采伐、损毁公益林植被；</w:t>
                  </w:r>
                </w:p>
                <w:p w14:paraId="46CCE37B">
                  <w:pPr>
                    <w:keepNext w:val="0"/>
                    <w:keepLines w:val="0"/>
                    <w:pageBreakBefore w:val="0"/>
                    <w:widowControl w:val="0"/>
                    <w:numPr>
                      <w:ilvl w:val="0"/>
                      <w:numId w:val="0"/>
                    </w:numPr>
                    <w:kinsoku/>
                    <w:wordWrap/>
                    <w:overflowPunct/>
                    <w:topLinePunct w:val="0"/>
                    <w:autoSpaceDE/>
                    <w:autoSpaceDN/>
                    <w:bidi w:val="0"/>
                    <w:adjustRightInd/>
                    <w:snapToGrid/>
                    <w:spacing w:after="0" w:afterLines="0" w:line="240" w:lineRule="auto"/>
                    <w:textAlignment w:val="auto"/>
                    <w:rPr>
                      <w:rFonts w:hint="eastAsia" w:ascii="宋体" w:hAnsi="宋体" w:eastAsia="宋体" w:cs="宋体"/>
                      <w:i w:val="0"/>
                      <w:iCs w:val="0"/>
                      <w:caps w:val="0"/>
                      <w:spacing w:val="0"/>
                      <w:sz w:val="21"/>
                      <w:szCs w:val="21"/>
                      <w:shd w:val="clear" w:fill="FFFFFF"/>
                      <w:lang w:val="en-US" w:eastAsia="zh-CN"/>
                    </w:rPr>
                  </w:pPr>
                  <w:r>
                    <w:rPr>
                      <w:rFonts w:hint="eastAsia" w:ascii="宋体" w:hAnsi="宋体" w:eastAsia="宋体" w:cs="宋体"/>
                      <w:i w:val="0"/>
                      <w:iCs w:val="0"/>
                      <w:caps w:val="0"/>
                      <w:spacing w:val="0"/>
                      <w:sz w:val="21"/>
                      <w:szCs w:val="21"/>
                      <w:shd w:val="clear" w:fill="FFFFFF"/>
                      <w:lang w:val="en-US" w:eastAsia="zh-CN"/>
                    </w:rPr>
                    <w:t>（2）施工期减少扬尘、土石方流失，降低对林地土壤、原生植被破坏；</w:t>
                  </w:r>
                </w:p>
                <w:p w14:paraId="6952DCA8">
                  <w:pPr>
                    <w:keepNext w:val="0"/>
                    <w:keepLines w:val="0"/>
                    <w:pageBreakBefore w:val="0"/>
                    <w:widowControl w:val="0"/>
                    <w:numPr>
                      <w:ilvl w:val="0"/>
                      <w:numId w:val="0"/>
                    </w:numPr>
                    <w:kinsoku/>
                    <w:wordWrap/>
                    <w:overflowPunct/>
                    <w:topLinePunct w:val="0"/>
                    <w:autoSpaceDE/>
                    <w:autoSpaceDN/>
                    <w:bidi w:val="0"/>
                    <w:adjustRightInd/>
                    <w:snapToGrid/>
                    <w:spacing w:after="0" w:afterLines="0" w:line="240" w:lineRule="auto"/>
                    <w:textAlignment w:val="auto"/>
                    <w:rPr>
                      <w:rFonts w:hint="eastAsia" w:ascii="宋体" w:hAnsi="宋体" w:eastAsia="宋体" w:cs="宋体"/>
                      <w:i w:val="0"/>
                      <w:iCs w:val="0"/>
                      <w:caps w:val="0"/>
                      <w:spacing w:val="0"/>
                      <w:sz w:val="21"/>
                      <w:szCs w:val="21"/>
                      <w:shd w:val="clear" w:fill="FFFFFF"/>
                      <w:lang w:val="en-US" w:eastAsia="zh-CN"/>
                    </w:rPr>
                  </w:pPr>
                  <w:r>
                    <w:rPr>
                      <w:rFonts w:hint="eastAsia" w:ascii="宋体" w:hAnsi="宋体" w:eastAsia="宋体" w:cs="宋体"/>
                      <w:i w:val="0"/>
                      <w:iCs w:val="0"/>
                      <w:caps w:val="0"/>
                      <w:spacing w:val="0"/>
                      <w:sz w:val="21"/>
                      <w:szCs w:val="21"/>
                      <w:shd w:val="clear" w:fill="FFFFFF"/>
                      <w:lang w:val="en-US" w:eastAsia="zh-CN"/>
                    </w:rPr>
                    <w:t>（3）落实异地植被恢复、公益林生态补偿，弥补林地占用生态损失；</w:t>
                  </w:r>
                </w:p>
                <w:p w14:paraId="7BA2E491">
                  <w:pPr>
                    <w:keepNext w:val="0"/>
                    <w:keepLines w:val="0"/>
                    <w:pageBreakBefore w:val="0"/>
                    <w:widowControl w:val="0"/>
                    <w:numPr>
                      <w:ilvl w:val="0"/>
                      <w:numId w:val="0"/>
                    </w:numPr>
                    <w:kinsoku/>
                    <w:wordWrap/>
                    <w:overflowPunct/>
                    <w:topLinePunct w:val="0"/>
                    <w:autoSpaceDE/>
                    <w:autoSpaceDN/>
                    <w:bidi w:val="0"/>
                    <w:adjustRightInd/>
                    <w:snapToGrid/>
                    <w:spacing w:after="0" w:afterLines="0" w:line="240" w:lineRule="auto"/>
                    <w:textAlignment w:val="auto"/>
                    <w:rPr>
                      <w:rFonts w:hint="eastAsia" w:ascii="宋体" w:hAnsi="宋体" w:eastAsia="宋体" w:cs="宋体"/>
                      <w:i w:val="0"/>
                      <w:iCs w:val="0"/>
                      <w:caps w:val="0"/>
                      <w:spacing w:val="0"/>
                      <w:sz w:val="21"/>
                      <w:szCs w:val="21"/>
                      <w:shd w:val="clear" w:fill="FFFFFF"/>
                      <w:lang w:val="en-US" w:eastAsia="zh-CN"/>
                    </w:rPr>
                  </w:pPr>
                  <w:r>
                    <w:rPr>
                      <w:rFonts w:hint="eastAsia" w:ascii="宋体" w:hAnsi="宋体" w:eastAsia="宋体" w:cs="宋体"/>
                      <w:i w:val="0"/>
                      <w:iCs w:val="0"/>
                      <w:caps w:val="0"/>
                      <w:spacing w:val="0"/>
                      <w:sz w:val="21"/>
                      <w:szCs w:val="21"/>
                      <w:shd w:val="clear" w:fill="FFFFFF"/>
                      <w:lang w:val="en-US" w:eastAsia="zh-CN"/>
                    </w:rPr>
                    <w:t>（4）运营期做好区域水土保持、林地迹地修复，维持区域生态系统稳定。</w:t>
                  </w:r>
                </w:p>
              </w:tc>
            </w:tr>
          </w:tbl>
          <w:p w14:paraId="591D86A8">
            <w:pPr>
              <w:pStyle w:val="4"/>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Lines="0" w:beforeAutospacing="0" w:after="0" w:afterLines="0" w:afterAutospacing="0" w:line="360" w:lineRule="auto"/>
              <w:ind w:leftChars="0" w:right="0" w:rightChars="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施工期生态影响</w:t>
            </w:r>
          </w:p>
          <w:p w14:paraId="2746B036">
            <w:pPr>
              <w:pStyle w:val="5"/>
              <w:keepNext w:val="0"/>
              <w:keepLines w:val="0"/>
              <w:pageBreakBefore w:val="0"/>
              <w:widowControl/>
              <w:numPr>
                <w:ilvl w:val="2"/>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Lines="0" w:beforeAutospacing="0" w:after="0" w:afterLines="0" w:afterAutospacing="0" w:line="360" w:lineRule="auto"/>
              <w:ind w:left="0" w:leftChars="0" w:right="0" w:rightChars="0" w:firstLine="0" w:firstLineChars="0"/>
              <w:textAlignment w:val="auto"/>
              <w:rPr>
                <w:rFonts w:hint="eastAsia" w:ascii="宋体" w:hAnsi="宋体" w:eastAsia="宋体" w:cs="宋体"/>
                <w:color w:val="000000"/>
                <w:sz w:val="24"/>
                <w:szCs w:val="24"/>
              </w:rPr>
            </w:pPr>
            <w:r>
              <w:rPr>
                <w:rFonts w:hint="eastAsia" w:ascii="宋体" w:hAnsi="宋体" w:eastAsia="宋体" w:cs="宋体"/>
                <w:b/>
                <w:bCs/>
                <w:color w:val="000000"/>
                <w:kern w:val="2"/>
                <w:sz w:val="24"/>
                <w:szCs w:val="24"/>
                <w:lang w:val="en-US" w:eastAsia="zh-CN" w:bidi="ar-SA"/>
              </w:rPr>
              <w:t>1．</w:t>
            </w:r>
            <w:r>
              <w:rPr>
                <w:rFonts w:hint="eastAsia" w:ascii="宋体" w:hAnsi="宋体" w:eastAsia="宋体" w:cs="宋体"/>
                <w:color w:val="000000"/>
                <w:sz w:val="24"/>
                <w:szCs w:val="24"/>
              </w:rPr>
              <w:t>1.不利影响分析</w:t>
            </w:r>
          </w:p>
          <w:p w14:paraId="30ACB812">
            <w:pPr>
              <w:keepNext w:val="0"/>
              <w:keepLines w:val="0"/>
              <w:pageBreakBefore w:val="0"/>
              <w:widowControl w:val="0"/>
              <w:numPr>
                <w:ilvl w:val="0"/>
                <w:numId w:val="0"/>
              </w:numPr>
              <w:kinsoku/>
              <w:wordWrap/>
              <w:overflowPunct/>
              <w:topLinePunct w:val="0"/>
              <w:autoSpaceDE/>
              <w:autoSpaceDN/>
              <w:bidi w:val="0"/>
              <w:adjustRightInd/>
              <w:snapToGrid/>
              <w:spacing w:after="0" w:afterLines="0" w:line="360" w:lineRule="auto"/>
              <w:ind w:leftChars="0" w:firstLine="480" w:firstLineChars="200"/>
              <w:textAlignment w:val="auto"/>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项目永久占用 3.5702hm²Ⅳ 级地方公益林，原生灌木、草本植被永久清除，局部区域防风固沙能力短期下降，小型野生动物局部生境缩减；施工开挖、堆土易引发局部水土流失，扬尘覆盖剩余林地植被，抑制植物生长。</w:t>
            </w:r>
          </w:p>
          <w:p w14:paraId="784BCC19">
            <w:pPr>
              <w:pStyle w:val="5"/>
              <w:keepNext w:val="0"/>
              <w:keepLines w:val="0"/>
              <w:pageBreakBefore w:val="0"/>
              <w:widowControl/>
              <w:numPr>
                <w:ilvl w:val="2"/>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Lines="0" w:beforeAutospacing="0" w:after="0" w:afterLines="0" w:afterAutospacing="0" w:line="360" w:lineRule="auto"/>
              <w:ind w:left="0" w:leftChars="0" w:right="0" w:rightChars="0" w:firstLine="0" w:firstLineChars="0"/>
              <w:textAlignment w:val="auto"/>
              <w:rPr>
                <w:rFonts w:hint="eastAsia" w:ascii="宋体" w:hAnsi="宋体" w:eastAsia="宋体" w:cs="宋体"/>
                <w:color w:val="000000"/>
                <w:sz w:val="24"/>
                <w:szCs w:val="24"/>
              </w:rPr>
            </w:pPr>
            <w:r>
              <w:rPr>
                <w:rFonts w:hint="eastAsia" w:ascii="宋体" w:hAnsi="宋体" w:eastAsia="宋体" w:cs="宋体"/>
                <w:b/>
                <w:bCs/>
                <w:color w:val="000000"/>
                <w:kern w:val="2"/>
                <w:sz w:val="24"/>
                <w:szCs w:val="24"/>
                <w:lang w:val="en-US" w:eastAsia="zh-CN" w:bidi="ar-SA"/>
              </w:rPr>
              <w:t>2．</w:t>
            </w:r>
            <w:r>
              <w:rPr>
                <w:rFonts w:hint="eastAsia" w:ascii="宋体" w:hAnsi="宋体" w:eastAsia="宋体" w:cs="宋体"/>
                <w:color w:val="000000"/>
                <w:sz w:val="24"/>
                <w:szCs w:val="24"/>
              </w:rPr>
              <w:t>2.减缓影响措施（逐条对应审查要求）</w:t>
            </w:r>
          </w:p>
          <w:p w14:paraId="654E4BCE">
            <w:pPr>
              <w:keepNext w:val="0"/>
              <w:keepLines w:val="0"/>
              <w:pageBreakBefore w:val="0"/>
              <w:widowControl w:val="0"/>
              <w:numPr>
                <w:ilvl w:val="0"/>
                <w:numId w:val="0"/>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kern w:val="2"/>
                <w:sz w:val="24"/>
                <w:szCs w:val="24"/>
                <w:lang w:val="en-US" w:eastAsia="zh-CN" w:bidi="ar-SA"/>
              </w:rPr>
              <w:t>（1）</w:t>
            </w:r>
            <w:r>
              <w:rPr>
                <w:rFonts w:hint="default" w:ascii="Times New Roman" w:hAnsi="Times New Roman" w:eastAsia="宋体" w:cs="Times New Roman"/>
                <w:color w:val="auto"/>
                <w:spacing w:val="0"/>
                <w:sz w:val="24"/>
                <w:szCs w:val="24"/>
                <w:highlight w:val="none"/>
                <w:lang w:val="en-US" w:eastAsia="zh-CN"/>
              </w:rPr>
              <w:t>边界管控：公益林占地边界设置彩钢板围挡、警示牌，划定施工红线，严禁超范围开挖、碾压公益林；</w:t>
            </w:r>
          </w:p>
          <w:p w14:paraId="2AA520AA">
            <w:pPr>
              <w:keepNext w:val="0"/>
              <w:keepLines w:val="0"/>
              <w:pageBreakBefore w:val="0"/>
              <w:widowControl w:val="0"/>
              <w:numPr>
                <w:ilvl w:val="0"/>
                <w:numId w:val="0"/>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（2）分区分批采伐：仅永久占地范围内林木依法采伐，临时工程全部避让公益林；</w:t>
            </w:r>
          </w:p>
          <w:p w14:paraId="36B29394">
            <w:pPr>
              <w:keepNext w:val="0"/>
              <w:keepLines w:val="0"/>
              <w:pageBreakBefore w:val="0"/>
              <w:widowControl w:val="0"/>
              <w:numPr>
                <w:ilvl w:val="0"/>
                <w:numId w:val="0"/>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（3）水土防控：公益林周边布设截排水沟、沙袋拦挡，土石方集中堆放并覆盖抑尘网，大风天气停止土方作业；</w:t>
            </w:r>
          </w:p>
          <w:p w14:paraId="0F1C410B">
            <w:pPr>
              <w:keepNext w:val="0"/>
              <w:keepLines w:val="0"/>
              <w:pageBreakBefore w:val="0"/>
              <w:widowControl w:val="0"/>
              <w:numPr>
                <w:ilvl w:val="0"/>
                <w:numId w:val="0"/>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（4）森林防火：公益林周边配备灭火器材，严禁野外明火，施工垃圾日产日清；</w:t>
            </w:r>
          </w:p>
          <w:p w14:paraId="38EE56C1">
            <w:pPr>
              <w:pStyle w:val="4"/>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Lines="0" w:beforeAutospacing="0" w:after="0" w:afterLines="0" w:afterAutospacing="0" w:line="360" w:lineRule="auto"/>
              <w:ind w:leftChars="0" w:right="0" w:rightChars="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运营期生态影响与措施补充</w:t>
            </w:r>
          </w:p>
          <w:p w14:paraId="72B61255">
            <w:pPr>
              <w:keepNext w:val="0"/>
              <w:keepLines w:val="0"/>
              <w:pageBreakBefore w:val="0"/>
              <w:widowControl w:val="0"/>
              <w:numPr>
                <w:ilvl w:val="0"/>
                <w:numId w:val="0"/>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运营期厂区/场区边界保留原生林地缓冲带，定期开展植被养护；</w:t>
            </w:r>
          </w:p>
          <w:p w14:paraId="2A50F7C3">
            <w:pPr>
              <w:keepNext w:val="0"/>
              <w:keepLines w:val="0"/>
              <w:pageBreakBefore w:val="0"/>
              <w:widowControl w:val="0"/>
              <w:numPr>
                <w:ilvl w:val="0"/>
                <w:numId w:val="0"/>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建立林地占用后长期生态监测，每年度委托林草技术人员核查异地恢复林地成活率、植被覆盖度；</w:t>
            </w:r>
          </w:p>
          <w:p w14:paraId="708ACEA3">
            <w:pPr>
              <w:keepNext w:val="0"/>
              <w:keepLines w:val="0"/>
              <w:pageBreakBefore w:val="0"/>
              <w:widowControl w:val="0"/>
              <w:numPr>
                <w:ilvl w:val="0"/>
                <w:numId w:val="0"/>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ascii="Times New Roman" w:hAnsi="Times New Roman" w:eastAsia="宋体" w:cs="Times New Roman"/>
                <w:color w:val="auto"/>
                <w:spacing w:val="0"/>
                <w:sz w:val="24"/>
                <w:szCs w:val="24"/>
                <w:highlight w:val="none"/>
                <w:lang w:val="en-US" w:eastAsia="zh-CN"/>
              </w:rPr>
            </w:pPr>
            <w:r>
              <w:rPr>
                <w:rFonts w:hint="default" w:ascii="Times New Roman" w:hAnsi="Times New Roman" w:eastAsia="宋体" w:cs="Times New Roman"/>
                <w:color w:val="auto"/>
                <w:spacing w:val="0"/>
                <w:sz w:val="24"/>
                <w:szCs w:val="24"/>
                <w:highlight w:val="none"/>
                <w:lang w:val="en-US" w:eastAsia="zh-CN"/>
              </w:rPr>
              <w:t>厂区污水、废液严禁排入周边公益林地块，避免土壤盐渍化、植被死亡。</w:t>
            </w:r>
          </w:p>
          <w:p w14:paraId="7479184E">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80" w:firstLineChars="200"/>
              <w:textAlignment w:val="auto"/>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auto"/>
                <w:spacing w:val="0"/>
                <w:sz w:val="24"/>
                <w:szCs w:val="24"/>
                <w:highlight w:val="none"/>
                <w:lang w:val="en-US" w:eastAsia="zh-CN"/>
              </w:rPr>
              <w:t>运营期保护项目所在区域原有地表植被和土壤，降低水土流失，确保项目所在区域生态环境不受到较大影响；开采结束后，进行边坡防护，通过回填采坑、覆盖表土，撒播草籽恢复种植叉毛蓬、猪毛菜、木地肤、粉苞苣等植物，保护区域生态多样性。</w:t>
            </w:r>
          </w:p>
        </w:tc>
      </w:tr>
      <w:tr w14:paraId="0D30D5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4" w:hRule="atLeast"/>
          <w:jc w:val="center"/>
        </w:trPr>
        <w:tc>
          <w:tcPr>
            <w:tcW w:w="557" w:type="dxa"/>
            <w:tcBorders>
              <w:tl2br w:val="nil"/>
              <w:tr2bl w:val="nil"/>
            </w:tcBorders>
            <w:noWrap w:val="0"/>
            <w:tcMar>
              <w:left w:w="28" w:type="dxa"/>
              <w:right w:w="28" w:type="dxa"/>
            </w:tcMar>
            <w:vAlign w:val="center"/>
          </w:tcPr>
          <w:p w14:paraId="7DA1AA60">
            <w:pPr>
              <w:pStyle w:val="72"/>
              <w:bidi w:val="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评价</w:t>
            </w:r>
          </w:p>
          <w:p w14:paraId="46E3EFB1">
            <w:pPr>
              <w:pStyle w:val="72"/>
              <w:bidi w:val="0"/>
              <w:rPr>
                <w:rFonts w:hint="default" w:ascii="Times New Roman" w:hAnsi="Times New Roman" w:eastAsia="宋体" w:cs="Times New Roman"/>
                <w:color w:val="000000" w:themeColor="text1"/>
                <w:highlight w:val="none"/>
                <w:lang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标准</w:t>
            </w:r>
          </w:p>
        </w:tc>
        <w:tc>
          <w:tcPr>
            <w:tcW w:w="7917" w:type="dxa"/>
            <w:tcBorders>
              <w:tl2br w:val="nil"/>
              <w:tr2bl w:val="nil"/>
            </w:tcBorders>
            <w:noWrap w:val="0"/>
            <w:vAlign w:val="center"/>
          </w:tcPr>
          <w:p w14:paraId="73031388">
            <w:pPr>
              <w:widowControl/>
              <w:snapToGrid w:val="0"/>
              <w:spacing w:before="0" w:after="0" w:line="500" w:lineRule="exact"/>
              <w:ind w:left="0" w:leftChars="0" w:right="0" w:firstLine="0" w:firstLineChars="0"/>
              <w:jc w:val="both"/>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highlight w:val="none"/>
                <w:lang w:val="en-US" w:eastAsia="zh-CN" w:bidi="ar-SA"/>
                <w14:textFill>
                  <w14:solidFill>
                    <w14:schemeClr w14:val="tx1"/>
                  </w14:solidFill>
                </w14:textFill>
              </w:rPr>
              <w:t>1、污染物排放标准</w:t>
            </w:r>
          </w:p>
          <w:p w14:paraId="65B6E97E">
            <w:pPr>
              <w:spacing w:line="500" w:lineRule="exact"/>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（1）</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本项目破碎筛分执行</w:t>
            </w:r>
            <w:r>
              <w:rPr>
                <w:rFonts w:hint="default" w:ascii="Times New Roman" w:hAnsi="Times New Roman" w:eastAsia="宋体" w:cs="Times New Roman"/>
                <w:color w:val="000000" w:themeColor="text1"/>
                <w:sz w:val="24"/>
                <w:szCs w:val="24"/>
                <w:highlight w:val="none"/>
                <w14:textFill>
                  <w14:solidFill>
                    <w14:schemeClr w14:val="tx1"/>
                  </w14:solidFill>
                </w14:textFill>
              </w:rPr>
              <w:t>《大气污染物综合排放标准》（GB16297-1996）中</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表2颗粒物</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二级</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排放标准</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，水稳站执行</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《水泥工业大气污染物排放标准》（GB4915-2013）表1现有与新建企业大气污染物排放限值</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，无组织废气执行</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《水泥工业大气污染物排放标准》（GB4915-2013）表3监控点与参照点总悬浮颗粒物(TSP)1小时浓度值的差值≤0.5</w:t>
            </w:r>
            <w:r>
              <w:rPr>
                <w:rFonts w:hint="default" w:ascii="Times New Roman" w:hAnsi="Times New Roman" w:eastAsia="宋体" w:cs="Times New Roman"/>
                <w:b w:val="0"/>
                <w:bCs w:val="0"/>
                <w:color w:val="auto"/>
                <w:sz w:val="24"/>
                <w:szCs w:val="24"/>
                <w:highlight w:val="none"/>
              </w:rPr>
              <w:t>mg/m</w:t>
            </w:r>
            <w:r>
              <w:rPr>
                <w:rFonts w:hint="default" w:ascii="Times New Roman" w:hAnsi="Times New Roman" w:eastAsia="宋体" w:cs="Times New Roman"/>
                <w:b w:val="0"/>
                <w:bCs w:val="0"/>
                <w:color w:val="auto"/>
                <w:sz w:val="24"/>
                <w:szCs w:val="24"/>
                <w:highlight w:val="none"/>
                <w:vertAlign w:val="superscript"/>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p>
          <w:p w14:paraId="7CEA15F9">
            <w:pPr>
              <w:pStyle w:val="3"/>
              <w:keepNext w:val="0"/>
              <w:keepLines w:val="0"/>
              <w:pageBreakBefore w:val="0"/>
              <w:widowControl/>
              <w:kinsoku/>
              <w:wordWrap/>
              <w:overflowPunct/>
              <w:topLinePunct w:val="0"/>
              <w:autoSpaceDE/>
              <w:autoSpaceDN/>
              <w:bidi w:val="0"/>
              <w:adjustRightInd/>
              <w:snapToGrid/>
              <w:spacing w:before="0" w:after="0" w:line="240" w:lineRule="auto"/>
              <w:ind w:right="113" w:firstLine="422" w:firstLineChars="200"/>
              <w:jc w:val="center"/>
              <w:textAlignment w:val="auto"/>
              <w:rPr>
                <w:rFonts w:hint="default" w:ascii="Times New Roman" w:hAnsi="Times New Roman" w:eastAsia="宋体" w:cs="Times New Roman"/>
                <w:b/>
                <w:bCs/>
                <w:kern w:val="0"/>
                <w:sz w:val="21"/>
                <w:szCs w:val="21"/>
                <w:highlight w:val="none"/>
                <w:lang w:val="en-US" w:eastAsia="zh-CN"/>
              </w:rPr>
            </w:pPr>
            <w:r>
              <w:rPr>
                <w:rFonts w:hint="default" w:ascii="Times New Roman" w:hAnsi="Times New Roman" w:eastAsia="宋体" w:cs="Times New Roman"/>
                <w:b/>
                <w:bCs/>
                <w:kern w:val="0"/>
                <w:sz w:val="21"/>
                <w:szCs w:val="21"/>
                <w:highlight w:val="none"/>
                <w:lang w:val="en-US" w:eastAsia="zh-CN"/>
              </w:rPr>
              <w:t>表3-4  大气污染物排放限值</w:t>
            </w:r>
          </w:p>
          <w:tbl>
            <w:tblPr>
              <w:tblStyle w:val="38"/>
              <w:tblW w:w="4961" w:type="pct"/>
              <w:jc w:val="center"/>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Layout w:type="fixed"/>
              <w:tblCellMar>
                <w:top w:w="0" w:type="dxa"/>
                <w:left w:w="108" w:type="dxa"/>
                <w:bottom w:w="0" w:type="dxa"/>
                <w:right w:w="108" w:type="dxa"/>
              </w:tblCellMar>
            </w:tblPr>
            <w:tblGrid>
              <w:gridCol w:w="842"/>
              <w:gridCol w:w="482"/>
              <w:gridCol w:w="848"/>
              <w:gridCol w:w="1123"/>
              <w:gridCol w:w="1097"/>
              <w:gridCol w:w="3238"/>
            </w:tblGrid>
            <w:tr w14:paraId="4A0586CE">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51" w:type="pct"/>
                  <w:tcBorders>
                    <w:top w:val="single" w:color="000000" w:sz="12" w:space="0"/>
                    <w:left w:val="nil"/>
                    <w:bottom w:val="single" w:color="auto" w:sz="12" w:space="0"/>
                  </w:tcBorders>
                  <w:noWrap w:val="0"/>
                  <w:vAlign w:val="center"/>
                </w:tcPr>
                <w:p w14:paraId="71E702C9">
                  <w:pPr>
                    <w:overflowPunct w:val="0"/>
                    <w:autoSpaceDE w:val="0"/>
                    <w:autoSpaceDN w:val="0"/>
                    <w:adjustRightInd w:val="0"/>
                    <w:snapToGrid w:val="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污染源</w:t>
                  </w:r>
                </w:p>
              </w:tc>
              <w:tc>
                <w:tcPr>
                  <w:tcW w:w="871" w:type="pct"/>
                  <w:gridSpan w:val="2"/>
                  <w:tcBorders>
                    <w:top w:val="single" w:color="000000" w:sz="12" w:space="0"/>
                    <w:bottom w:val="single" w:color="auto" w:sz="12" w:space="0"/>
                  </w:tcBorders>
                  <w:noWrap w:val="0"/>
                  <w:vAlign w:val="center"/>
                </w:tcPr>
                <w:p w14:paraId="0A9D734D">
                  <w:pPr>
                    <w:overflowPunct w:val="0"/>
                    <w:autoSpaceDE w:val="0"/>
                    <w:autoSpaceDN w:val="0"/>
                    <w:adjustRightInd w:val="0"/>
                    <w:snapToGrid w:val="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污染物</w:t>
                  </w:r>
                </w:p>
              </w:tc>
              <w:tc>
                <w:tcPr>
                  <w:tcW w:w="736" w:type="pct"/>
                  <w:tcBorders>
                    <w:top w:val="single" w:color="000000" w:sz="12" w:space="0"/>
                    <w:bottom w:val="single" w:color="auto" w:sz="12" w:space="0"/>
                  </w:tcBorders>
                  <w:noWrap w:val="0"/>
                  <w:vAlign w:val="center"/>
                </w:tcPr>
                <w:p w14:paraId="7D739268">
                  <w:pPr>
                    <w:overflowPunct w:val="0"/>
                    <w:autoSpaceDE w:val="0"/>
                    <w:autoSpaceDN w:val="0"/>
                    <w:adjustRightInd w:val="0"/>
                    <w:snapToGrid w:val="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排放浓度mg/m</w:t>
                  </w:r>
                  <w:r>
                    <w:rPr>
                      <w:rFonts w:hint="default" w:ascii="Times New Roman" w:hAnsi="Times New Roman" w:eastAsia="宋体" w:cs="Times New Roman"/>
                      <w:b/>
                      <w:bCs/>
                      <w:color w:val="auto"/>
                      <w:szCs w:val="21"/>
                      <w:highlight w:val="none"/>
                      <w:vertAlign w:val="superscript"/>
                    </w:rPr>
                    <w:t>3</w:t>
                  </w:r>
                </w:p>
              </w:tc>
              <w:tc>
                <w:tcPr>
                  <w:tcW w:w="719" w:type="pct"/>
                  <w:tcBorders>
                    <w:top w:val="single" w:color="000000" w:sz="12" w:space="0"/>
                    <w:bottom w:val="single" w:color="auto" w:sz="12" w:space="0"/>
                  </w:tcBorders>
                  <w:shd w:val="clear" w:color="auto" w:fill="auto"/>
                  <w:noWrap w:val="0"/>
                  <w:vAlign w:val="center"/>
                </w:tcPr>
                <w:p w14:paraId="6EF13897">
                  <w:pPr>
                    <w:pageBreakBefore w:val="0"/>
                    <w:shd w:val="clear"/>
                    <w:bidi w:val="0"/>
                    <w:snapToGrid w:val="0"/>
                    <w:spacing w:beforeAutospacing="0" w:afterAutospacing="0" w:line="240" w:lineRule="auto"/>
                    <w:ind w:left="0" w:leftChars="0" w:right="0" w:rightChars="0" w:firstLine="0" w:firstLineChars="0"/>
                    <w:jc w:val="center"/>
                    <w:rPr>
                      <w:rFonts w:hint="default" w:ascii="Times New Roman" w:hAnsi="Times New Roman" w:eastAsia="宋体" w:cs="Times New Roman"/>
                      <w:b/>
                      <w:bCs/>
                      <w:color w:val="auto"/>
                      <w:spacing w:val="0"/>
                      <w:w w:val="100"/>
                      <w:kern w:val="2"/>
                      <w:position w:val="0"/>
                      <w:sz w:val="21"/>
                      <w:szCs w:val="21"/>
                      <w:highlight w:val="none"/>
                      <w:lang w:val="en-US" w:eastAsia="zh-CN" w:bidi="ar-SA"/>
                    </w:rPr>
                  </w:pPr>
                  <w:r>
                    <w:rPr>
                      <w:rFonts w:hint="default" w:ascii="Times New Roman" w:hAnsi="Times New Roman" w:eastAsia="宋体" w:cs="Times New Roman"/>
                      <w:b/>
                      <w:bCs/>
                      <w:color w:val="auto"/>
                      <w:spacing w:val="0"/>
                      <w:w w:val="100"/>
                      <w:position w:val="0"/>
                      <w:sz w:val="21"/>
                      <w:szCs w:val="21"/>
                      <w:highlight w:val="none"/>
                      <w:lang w:eastAsia="zh-CN"/>
                    </w:rPr>
                    <w:t>排放速率（</w:t>
                  </w:r>
                  <w:r>
                    <w:rPr>
                      <w:rFonts w:hint="default" w:ascii="Times New Roman" w:hAnsi="Times New Roman" w:eastAsia="宋体" w:cs="Times New Roman"/>
                      <w:b/>
                      <w:snapToGrid w:val="0"/>
                      <w:color w:val="auto"/>
                      <w:spacing w:val="0"/>
                      <w:w w:val="100"/>
                      <w:position w:val="0"/>
                      <w:sz w:val="21"/>
                      <w:szCs w:val="21"/>
                      <w:highlight w:val="none"/>
                      <w:lang w:eastAsia="zh-CN"/>
                    </w:rPr>
                    <w:t>kg/h</w:t>
                  </w:r>
                  <w:r>
                    <w:rPr>
                      <w:rFonts w:hint="default" w:ascii="Times New Roman" w:hAnsi="Times New Roman" w:eastAsia="宋体" w:cs="Times New Roman"/>
                      <w:b/>
                      <w:bCs/>
                      <w:color w:val="auto"/>
                      <w:spacing w:val="0"/>
                      <w:w w:val="100"/>
                      <w:position w:val="0"/>
                      <w:sz w:val="21"/>
                      <w:szCs w:val="21"/>
                      <w:highlight w:val="none"/>
                      <w:lang w:eastAsia="zh-CN"/>
                    </w:rPr>
                    <w:t>）</w:t>
                  </w:r>
                </w:p>
              </w:tc>
              <w:tc>
                <w:tcPr>
                  <w:tcW w:w="2121" w:type="pct"/>
                  <w:tcBorders>
                    <w:top w:val="single" w:color="000000" w:sz="12" w:space="0"/>
                    <w:bottom w:val="single" w:color="auto" w:sz="12" w:space="0"/>
                    <w:right w:val="nil"/>
                  </w:tcBorders>
                  <w:noWrap w:val="0"/>
                  <w:vAlign w:val="center"/>
                </w:tcPr>
                <w:p w14:paraId="23470660">
                  <w:pPr>
                    <w:overflowPunct w:val="0"/>
                    <w:autoSpaceDE w:val="0"/>
                    <w:autoSpaceDN w:val="0"/>
                    <w:adjustRightInd w:val="0"/>
                    <w:snapToGrid w:val="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标准来源</w:t>
                  </w:r>
                </w:p>
              </w:tc>
            </w:tr>
            <w:tr w14:paraId="1A1908B3">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551" w:type="pct"/>
                  <w:tcBorders>
                    <w:left w:val="nil"/>
                    <w:tl2br w:val="nil"/>
                    <w:tr2bl w:val="nil"/>
                  </w:tcBorders>
                  <w:noWrap w:val="0"/>
                  <w:vAlign w:val="center"/>
                </w:tcPr>
                <w:p w14:paraId="65EB5C81">
                  <w:pPr>
                    <w:overflowPunct w:val="0"/>
                    <w:autoSpaceDE w:val="0"/>
                    <w:autoSpaceDN w:val="0"/>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水稳料搅拌</w:t>
                  </w:r>
                </w:p>
              </w:tc>
              <w:tc>
                <w:tcPr>
                  <w:tcW w:w="316" w:type="pct"/>
                  <w:vMerge w:val="restart"/>
                  <w:tcBorders>
                    <w:tl2br w:val="nil"/>
                    <w:tr2bl w:val="nil"/>
                  </w:tcBorders>
                  <w:noWrap w:val="0"/>
                  <w:vAlign w:val="center"/>
                </w:tcPr>
                <w:p w14:paraId="627099D3">
                  <w:pPr>
                    <w:overflowPunct w:val="0"/>
                    <w:autoSpaceDE w:val="0"/>
                    <w:autoSpaceDN w:val="0"/>
                    <w:adjustRightInd w:val="0"/>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有</w:t>
                  </w:r>
                  <w:r>
                    <w:rPr>
                      <w:rFonts w:hint="default" w:ascii="Times New Roman" w:hAnsi="Times New Roman" w:eastAsia="宋体" w:cs="Times New Roman"/>
                      <w:color w:val="auto"/>
                      <w:szCs w:val="21"/>
                      <w:highlight w:val="none"/>
                    </w:rPr>
                    <w:t>组织</w:t>
                  </w:r>
                </w:p>
              </w:tc>
              <w:tc>
                <w:tcPr>
                  <w:tcW w:w="555" w:type="pct"/>
                  <w:tcBorders>
                    <w:tl2br w:val="nil"/>
                    <w:tr2bl w:val="nil"/>
                  </w:tcBorders>
                  <w:noWrap w:val="0"/>
                  <w:vAlign w:val="center"/>
                </w:tcPr>
                <w:p w14:paraId="17626036">
                  <w:pPr>
                    <w:overflowPunct w:val="0"/>
                    <w:autoSpaceDE w:val="0"/>
                    <w:autoSpaceDN w:val="0"/>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颗粒物</w:t>
                  </w:r>
                </w:p>
              </w:tc>
              <w:tc>
                <w:tcPr>
                  <w:tcW w:w="736" w:type="pct"/>
                  <w:tcBorders>
                    <w:tl2br w:val="nil"/>
                    <w:tr2bl w:val="nil"/>
                  </w:tcBorders>
                  <w:noWrap w:val="0"/>
                  <w:vAlign w:val="center"/>
                </w:tcPr>
                <w:p w14:paraId="7313958A">
                  <w:pPr>
                    <w:overflowPunct w:val="0"/>
                    <w:autoSpaceDE w:val="0"/>
                    <w:autoSpaceDN w:val="0"/>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20</w:t>
                  </w:r>
                </w:p>
              </w:tc>
              <w:tc>
                <w:tcPr>
                  <w:tcW w:w="719" w:type="pct"/>
                  <w:tcBorders>
                    <w:tl2br w:val="nil"/>
                    <w:tr2bl w:val="nil"/>
                  </w:tcBorders>
                  <w:noWrap w:val="0"/>
                  <w:vAlign w:val="center"/>
                </w:tcPr>
                <w:p w14:paraId="796B1953">
                  <w:pPr>
                    <w:overflowPunct w:val="0"/>
                    <w:autoSpaceDE w:val="0"/>
                    <w:autoSpaceDN w:val="0"/>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w:t>
                  </w:r>
                </w:p>
              </w:tc>
              <w:tc>
                <w:tcPr>
                  <w:tcW w:w="2121" w:type="pct"/>
                  <w:tcBorders>
                    <w:right w:val="nil"/>
                    <w:tl2br w:val="nil"/>
                    <w:tr2bl w:val="nil"/>
                  </w:tcBorders>
                  <w:noWrap w:val="0"/>
                  <w:vAlign w:val="center"/>
                </w:tcPr>
                <w:p w14:paraId="536E83D3">
                  <w:pPr>
                    <w:overflowPunct w:val="0"/>
                    <w:autoSpaceDE w:val="0"/>
                    <w:autoSpaceDN w:val="0"/>
                    <w:adjustRightInd w:val="0"/>
                    <w:snapToGrid w:val="0"/>
                    <w:jc w:val="center"/>
                    <w:rPr>
                      <w:rFonts w:hint="default" w:ascii="Times New Roman" w:hAnsi="Times New Roman" w:eastAsia="宋体" w:cs="Times New Roman"/>
                      <w:color w:val="auto"/>
                      <w:kern w:val="21"/>
                      <w:szCs w:val="21"/>
                      <w:highlight w:val="none"/>
                      <w:lang w:bidi="ar"/>
                    </w:rPr>
                  </w:pPr>
                  <w:r>
                    <w:rPr>
                      <w:rFonts w:hint="default" w:ascii="Times New Roman" w:hAnsi="Times New Roman" w:eastAsia="宋体" w:cs="Times New Roman"/>
                      <w:kern w:val="0"/>
                      <w:sz w:val="21"/>
                      <w:szCs w:val="21"/>
                      <w:highlight w:val="none"/>
                      <w:lang w:val="en-US" w:eastAsia="zh-CN"/>
                    </w:rPr>
                    <w:t>《水泥工业大气污染物排放标准》（GB4915-2013）表1现有与新建企业大气污染物排放限值</w:t>
                  </w:r>
                </w:p>
              </w:tc>
            </w:tr>
            <w:tr w14:paraId="27F8D273">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551" w:type="pct"/>
                  <w:tcBorders>
                    <w:left w:val="nil"/>
                    <w:tl2br w:val="nil"/>
                    <w:tr2bl w:val="nil"/>
                  </w:tcBorders>
                  <w:noWrap w:val="0"/>
                  <w:vAlign w:val="center"/>
                </w:tcPr>
                <w:p w14:paraId="70868AEF">
                  <w:pPr>
                    <w:overflowPunct w:val="0"/>
                    <w:autoSpaceDE w:val="0"/>
                    <w:autoSpaceDN w:val="0"/>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破碎</w:t>
                  </w:r>
                </w:p>
              </w:tc>
              <w:tc>
                <w:tcPr>
                  <w:tcW w:w="316" w:type="pct"/>
                  <w:vMerge w:val="continue"/>
                  <w:tcBorders>
                    <w:tl2br w:val="nil"/>
                    <w:tr2bl w:val="nil"/>
                  </w:tcBorders>
                  <w:noWrap w:val="0"/>
                  <w:vAlign w:val="center"/>
                </w:tcPr>
                <w:p w14:paraId="200C3073">
                  <w:pPr>
                    <w:overflowPunct w:val="0"/>
                    <w:autoSpaceDE w:val="0"/>
                    <w:autoSpaceDN w:val="0"/>
                    <w:adjustRightInd w:val="0"/>
                    <w:snapToGrid w:val="0"/>
                    <w:jc w:val="center"/>
                    <w:rPr>
                      <w:rFonts w:hint="default" w:ascii="Times New Roman" w:hAnsi="Times New Roman" w:eastAsia="宋体" w:cs="Times New Roman"/>
                      <w:color w:val="auto"/>
                      <w:szCs w:val="21"/>
                      <w:highlight w:val="none"/>
                    </w:rPr>
                  </w:pPr>
                </w:p>
              </w:tc>
              <w:tc>
                <w:tcPr>
                  <w:tcW w:w="555" w:type="pct"/>
                  <w:vMerge w:val="restart"/>
                  <w:tcBorders>
                    <w:tl2br w:val="nil"/>
                    <w:tr2bl w:val="nil"/>
                  </w:tcBorders>
                  <w:noWrap w:val="0"/>
                  <w:vAlign w:val="center"/>
                </w:tcPr>
                <w:p w14:paraId="1453C8C1">
                  <w:pPr>
                    <w:overflowPunct w:val="0"/>
                    <w:autoSpaceDE w:val="0"/>
                    <w:autoSpaceDN w:val="0"/>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颗粒物</w:t>
                  </w:r>
                </w:p>
              </w:tc>
              <w:tc>
                <w:tcPr>
                  <w:tcW w:w="736" w:type="pct"/>
                  <w:vMerge w:val="restart"/>
                  <w:tcBorders>
                    <w:tl2br w:val="nil"/>
                    <w:tr2bl w:val="nil"/>
                  </w:tcBorders>
                  <w:noWrap w:val="0"/>
                  <w:vAlign w:val="center"/>
                </w:tcPr>
                <w:p w14:paraId="4BADD7ED">
                  <w:pPr>
                    <w:overflowPunct w:val="0"/>
                    <w:autoSpaceDE w:val="0"/>
                    <w:autoSpaceDN w:val="0"/>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120</w:t>
                  </w:r>
                </w:p>
              </w:tc>
              <w:tc>
                <w:tcPr>
                  <w:tcW w:w="719" w:type="pct"/>
                  <w:vMerge w:val="restart"/>
                  <w:tcBorders>
                    <w:tl2br w:val="nil"/>
                    <w:tr2bl w:val="nil"/>
                  </w:tcBorders>
                  <w:noWrap w:val="0"/>
                  <w:vAlign w:val="center"/>
                </w:tcPr>
                <w:p w14:paraId="296D1EE4">
                  <w:pPr>
                    <w:overflowPunct w:val="0"/>
                    <w:autoSpaceDE w:val="0"/>
                    <w:autoSpaceDN w:val="0"/>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3.5</w:t>
                  </w:r>
                </w:p>
              </w:tc>
              <w:tc>
                <w:tcPr>
                  <w:tcW w:w="2121" w:type="pct"/>
                  <w:vMerge w:val="restart"/>
                  <w:tcBorders>
                    <w:right w:val="nil"/>
                    <w:tl2br w:val="nil"/>
                    <w:tr2bl w:val="nil"/>
                  </w:tcBorders>
                  <w:noWrap w:val="0"/>
                  <w:vAlign w:val="center"/>
                </w:tcPr>
                <w:p w14:paraId="7B300E2D">
                  <w:pPr>
                    <w:overflowPunct w:val="0"/>
                    <w:autoSpaceDE w:val="0"/>
                    <w:autoSpaceDN w:val="0"/>
                    <w:adjustRightInd w:val="0"/>
                    <w:snapToGrid w:val="0"/>
                    <w:jc w:val="center"/>
                    <w:rPr>
                      <w:rFonts w:hint="default" w:ascii="Times New Roman" w:hAnsi="Times New Roman" w:eastAsia="宋体" w:cs="Times New Roman"/>
                      <w:color w:val="auto"/>
                      <w:kern w:val="21"/>
                      <w:szCs w:val="21"/>
                      <w:highlight w:val="none"/>
                      <w:lang w:bidi="ar"/>
                    </w:rPr>
                  </w:pPr>
                  <w:r>
                    <w:rPr>
                      <w:rFonts w:hint="default" w:ascii="Times New Roman" w:hAnsi="Times New Roman" w:eastAsia="宋体" w:cs="Times New Roman"/>
                      <w:bCs/>
                      <w:color w:val="auto"/>
                      <w:spacing w:val="0"/>
                      <w:w w:val="100"/>
                      <w:position w:val="0"/>
                      <w:sz w:val="21"/>
                      <w:szCs w:val="21"/>
                      <w:highlight w:val="none"/>
                      <w:lang w:eastAsia="zh-CN"/>
                    </w:rPr>
                    <w:t>《大气污染物综合排放标准》（GB16297-1996）</w:t>
                  </w:r>
                  <w:r>
                    <w:rPr>
                      <w:rFonts w:hint="eastAsia" w:ascii="Times New Roman" w:hAnsi="Times New Roman" w:eastAsia="宋体" w:cs="Times New Roman"/>
                      <w:bCs/>
                      <w:color w:val="auto"/>
                      <w:spacing w:val="0"/>
                      <w:w w:val="100"/>
                      <w:position w:val="0"/>
                      <w:sz w:val="21"/>
                      <w:szCs w:val="21"/>
                      <w:highlight w:val="none"/>
                      <w:lang w:val="en-US" w:eastAsia="zh-CN"/>
                    </w:rPr>
                    <w:t>中表2</w:t>
                  </w:r>
                  <w:r>
                    <w:rPr>
                      <w:rFonts w:hint="default" w:ascii="Times New Roman" w:hAnsi="Times New Roman" w:eastAsia="宋体" w:cs="Times New Roman"/>
                      <w:bCs/>
                      <w:color w:val="auto"/>
                      <w:spacing w:val="0"/>
                      <w:w w:val="100"/>
                      <w:position w:val="0"/>
                      <w:sz w:val="21"/>
                      <w:szCs w:val="21"/>
                      <w:highlight w:val="none"/>
                      <w:lang w:eastAsia="zh-CN"/>
                    </w:rPr>
                    <w:t>二级标准</w:t>
                  </w:r>
                </w:p>
              </w:tc>
            </w:tr>
            <w:tr w14:paraId="475F8C69">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1" w:type="pct"/>
                  <w:tcBorders>
                    <w:left w:val="nil"/>
                    <w:tl2br w:val="nil"/>
                    <w:tr2bl w:val="nil"/>
                  </w:tcBorders>
                  <w:noWrap w:val="0"/>
                  <w:vAlign w:val="center"/>
                </w:tcPr>
                <w:p w14:paraId="527833D5">
                  <w:pPr>
                    <w:overflowPunct w:val="0"/>
                    <w:autoSpaceDE w:val="0"/>
                    <w:autoSpaceDN w:val="0"/>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筛分</w:t>
                  </w:r>
                </w:p>
              </w:tc>
              <w:tc>
                <w:tcPr>
                  <w:tcW w:w="316" w:type="pct"/>
                  <w:vMerge w:val="continue"/>
                  <w:tcBorders>
                    <w:tl2br w:val="nil"/>
                    <w:tr2bl w:val="nil"/>
                  </w:tcBorders>
                  <w:noWrap w:val="0"/>
                  <w:vAlign w:val="center"/>
                </w:tcPr>
                <w:p w14:paraId="41168F63">
                  <w:pPr>
                    <w:overflowPunct w:val="0"/>
                    <w:autoSpaceDE w:val="0"/>
                    <w:autoSpaceDN w:val="0"/>
                    <w:adjustRightInd w:val="0"/>
                    <w:snapToGrid w:val="0"/>
                    <w:jc w:val="center"/>
                    <w:rPr>
                      <w:rFonts w:hint="default" w:ascii="Times New Roman" w:hAnsi="Times New Roman" w:eastAsia="宋体" w:cs="Times New Roman"/>
                      <w:color w:val="auto"/>
                      <w:szCs w:val="21"/>
                      <w:highlight w:val="none"/>
                      <w:lang w:val="en-US" w:eastAsia="zh-CN"/>
                    </w:rPr>
                  </w:pPr>
                </w:p>
              </w:tc>
              <w:tc>
                <w:tcPr>
                  <w:tcW w:w="555" w:type="pct"/>
                  <w:vMerge w:val="continue"/>
                  <w:tcBorders>
                    <w:tl2br w:val="nil"/>
                    <w:tr2bl w:val="nil"/>
                  </w:tcBorders>
                  <w:noWrap w:val="0"/>
                  <w:vAlign w:val="center"/>
                </w:tcPr>
                <w:p w14:paraId="3C9A62E2">
                  <w:pPr>
                    <w:overflowPunct w:val="0"/>
                    <w:autoSpaceDE w:val="0"/>
                    <w:autoSpaceDN w:val="0"/>
                    <w:adjustRightInd w:val="0"/>
                    <w:snapToGrid w:val="0"/>
                    <w:jc w:val="center"/>
                    <w:rPr>
                      <w:rFonts w:hint="default" w:ascii="Times New Roman" w:hAnsi="Times New Roman" w:eastAsia="宋体" w:cs="Times New Roman"/>
                      <w:color w:val="auto"/>
                      <w:szCs w:val="21"/>
                      <w:highlight w:val="none"/>
                      <w:lang w:val="en-US" w:eastAsia="zh-CN"/>
                    </w:rPr>
                  </w:pPr>
                </w:p>
              </w:tc>
              <w:tc>
                <w:tcPr>
                  <w:tcW w:w="736" w:type="pct"/>
                  <w:vMerge w:val="continue"/>
                  <w:tcBorders>
                    <w:tl2br w:val="nil"/>
                    <w:tr2bl w:val="nil"/>
                  </w:tcBorders>
                  <w:noWrap w:val="0"/>
                  <w:vAlign w:val="center"/>
                </w:tcPr>
                <w:p w14:paraId="26F49799">
                  <w:pPr>
                    <w:overflowPunct w:val="0"/>
                    <w:autoSpaceDE w:val="0"/>
                    <w:autoSpaceDN w:val="0"/>
                    <w:adjustRightInd w:val="0"/>
                    <w:snapToGrid w:val="0"/>
                    <w:jc w:val="center"/>
                    <w:rPr>
                      <w:rFonts w:hint="default" w:ascii="Times New Roman" w:hAnsi="Times New Roman" w:eastAsia="宋体" w:cs="Times New Roman"/>
                      <w:color w:val="auto"/>
                      <w:szCs w:val="21"/>
                      <w:highlight w:val="none"/>
                      <w:lang w:val="en-US" w:eastAsia="zh-CN"/>
                    </w:rPr>
                  </w:pPr>
                </w:p>
              </w:tc>
              <w:tc>
                <w:tcPr>
                  <w:tcW w:w="719" w:type="pct"/>
                  <w:vMerge w:val="continue"/>
                  <w:tcBorders>
                    <w:tl2br w:val="nil"/>
                    <w:tr2bl w:val="nil"/>
                  </w:tcBorders>
                  <w:noWrap w:val="0"/>
                  <w:vAlign w:val="center"/>
                </w:tcPr>
                <w:p w14:paraId="0872C63F">
                  <w:pPr>
                    <w:overflowPunct w:val="0"/>
                    <w:autoSpaceDE w:val="0"/>
                    <w:autoSpaceDN w:val="0"/>
                    <w:adjustRightInd w:val="0"/>
                    <w:snapToGrid w:val="0"/>
                    <w:jc w:val="center"/>
                    <w:rPr>
                      <w:rFonts w:hint="default" w:ascii="Times New Roman" w:hAnsi="Times New Roman" w:eastAsia="宋体" w:cs="Times New Roman"/>
                      <w:color w:val="auto"/>
                      <w:szCs w:val="21"/>
                      <w:highlight w:val="none"/>
                      <w:lang w:val="en-US" w:eastAsia="zh-CN"/>
                    </w:rPr>
                  </w:pPr>
                </w:p>
              </w:tc>
              <w:tc>
                <w:tcPr>
                  <w:tcW w:w="2121" w:type="pct"/>
                  <w:vMerge w:val="continue"/>
                  <w:tcBorders>
                    <w:right w:val="nil"/>
                    <w:tl2br w:val="nil"/>
                    <w:tr2bl w:val="nil"/>
                  </w:tcBorders>
                  <w:noWrap w:val="0"/>
                  <w:vAlign w:val="center"/>
                </w:tcPr>
                <w:p w14:paraId="78A76C69">
                  <w:pPr>
                    <w:overflowPunct w:val="0"/>
                    <w:autoSpaceDE w:val="0"/>
                    <w:autoSpaceDN w:val="0"/>
                    <w:adjustRightInd w:val="0"/>
                    <w:snapToGrid w:val="0"/>
                    <w:jc w:val="center"/>
                    <w:rPr>
                      <w:rFonts w:hint="default" w:ascii="Times New Roman" w:hAnsi="Times New Roman" w:eastAsia="宋体" w:cs="Times New Roman"/>
                      <w:color w:val="auto"/>
                      <w:szCs w:val="21"/>
                      <w:highlight w:val="none"/>
                      <w:lang w:val="en-US" w:eastAsia="zh-CN"/>
                    </w:rPr>
                  </w:pPr>
                </w:p>
              </w:tc>
            </w:tr>
            <w:tr w14:paraId="69ED456A">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551" w:type="pct"/>
                  <w:tcBorders>
                    <w:left w:val="nil"/>
                    <w:bottom w:val="single" w:color="auto" w:sz="12" w:space="0"/>
                  </w:tcBorders>
                  <w:noWrap w:val="0"/>
                  <w:vAlign w:val="center"/>
                </w:tcPr>
                <w:p w14:paraId="5147317D">
                  <w:pPr>
                    <w:overflowPunct w:val="0"/>
                    <w:autoSpaceDE w:val="0"/>
                    <w:autoSpaceDN w:val="0"/>
                    <w:adjustRightInd w:val="0"/>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厂界</w:t>
                  </w:r>
                </w:p>
              </w:tc>
              <w:tc>
                <w:tcPr>
                  <w:tcW w:w="316" w:type="pct"/>
                  <w:tcBorders>
                    <w:bottom w:val="single" w:color="auto" w:sz="12" w:space="0"/>
                  </w:tcBorders>
                  <w:noWrap w:val="0"/>
                  <w:vAlign w:val="center"/>
                </w:tcPr>
                <w:p w14:paraId="409FCBC3">
                  <w:pPr>
                    <w:overflowPunct w:val="0"/>
                    <w:autoSpaceDE w:val="0"/>
                    <w:autoSpaceDN w:val="0"/>
                    <w:adjustRightInd w:val="0"/>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无组织</w:t>
                  </w:r>
                </w:p>
              </w:tc>
              <w:tc>
                <w:tcPr>
                  <w:tcW w:w="555" w:type="pct"/>
                  <w:tcBorders>
                    <w:bottom w:val="single" w:color="auto" w:sz="12" w:space="0"/>
                  </w:tcBorders>
                  <w:noWrap w:val="0"/>
                  <w:vAlign w:val="center"/>
                </w:tcPr>
                <w:p w14:paraId="31B138AC">
                  <w:pPr>
                    <w:overflowPunct w:val="0"/>
                    <w:autoSpaceDE w:val="0"/>
                    <w:autoSpaceDN w:val="0"/>
                    <w:adjustRightInd w:val="0"/>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筒仓</w:t>
                  </w:r>
                  <w:r>
                    <w:rPr>
                      <w:rFonts w:hint="default" w:ascii="Times New Roman" w:hAnsi="Times New Roman" w:eastAsia="宋体" w:cs="Times New Roman"/>
                      <w:color w:val="auto"/>
                      <w:szCs w:val="21"/>
                      <w:highlight w:val="none"/>
                    </w:rPr>
                    <w:t>颗粒物</w:t>
                  </w:r>
                </w:p>
              </w:tc>
              <w:tc>
                <w:tcPr>
                  <w:tcW w:w="736" w:type="pct"/>
                  <w:tcBorders>
                    <w:bottom w:val="single" w:color="auto" w:sz="12" w:space="0"/>
                  </w:tcBorders>
                  <w:noWrap w:val="0"/>
                  <w:vAlign w:val="center"/>
                </w:tcPr>
                <w:p w14:paraId="6FCDC04A">
                  <w:pPr>
                    <w:overflowPunct w:val="0"/>
                    <w:autoSpaceDE w:val="0"/>
                    <w:autoSpaceDN w:val="0"/>
                    <w:adjustRightInd w:val="0"/>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0.5</w:t>
                  </w:r>
                </w:p>
              </w:tc>
              <w:tc>
                <w:tcPr>
                  <w:tcW w:w="719" w:type="pct"/>
                  <w:tcBorders>
                    <w:bottom w:val="single" w:color="auto" w:sz="12" w:space="0"/>
                  </w:tcBorders>
                  <w:noWrap w:val="0"/>
                  <w:vAlign w:val="center"/>
                </w:tcPr>
                <w:p w14:paraId="475DA2BD">
                  <w:pPr>
                    <w:overflowPunct w:val="0"/>
                    <w:autoSpaceDE w:val="0"/>
                    <w:autoSpaceDN w:val="0"/>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w:t>
                  </w:r>
                </w:p>
              </w:tc>
              <w:tc>
                <w:tcPr>
                  <w:tcW w:w="2121" w:type="pct"/>
                  <w:tcBorders>
                    <w:bottom w:val="single" w:color="auto" w:sz="12" w:space="0"/>
                    <w:right w:val="nil"/>
                  </w:tcBorders>
                  <w:noWrap w:val="0"/>
                  <w:vAlign w:val="center"/>
                </w:tcPr>
                <w:p w14:paraId="42270677">
                  <w:pPr>
                    <w:overflowPunct w:val="0"/>
                    <w:autoSpaceDE w:val="0"/>
                    <w:autoSpaceDN w:val="0"/>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kern w:val="21"/>
                      <w:szCs w:val="21"/>
                      <w:highlight w:val="none"/>
                      <w:lang w:bidi="ar"/>
                    </w:rPr>
                    <w:t>《水泥工业大气污染物排放标准》（GB4915-2013）</w:t>
                  </w:r>
                  <w:r>
                    <w:rPr>
                      <w:rFonts w:hint="default" w:ascii="Times New Roman" w:hAnsi="Times New Roman" w:eastAsia="宋体" w:cs="Times New Roman"/>
                      <w:color w:val="auto"/>
                      <w:kern w:val="21"/>
                      <w:szCs w:val="21"/>
                      <w:highlight w:val="none"/>
                      <w:lang w:val="en-US" w:eastAsia="zh-CN" w:bidi="ar"/>
                    </w:rPr>
                    <w:t>表3监控点与参照点总悬浮颗粒物(TSP) 1小时浓度值的差值≤0.5</w:t>
                  </w:r>
                </w:p>
              </w:tc>
            </w:tr>
          </w:tbl>
          <w:p w14:paraId="4C96A407">
            <w:pPr>
              <w:adjustRightInd w:val="0"/>
              <w:snapToGrid w:val="0"/>
              <w:jc w:val="center"/>
              <w:rPr>
                <w:rFonts w:hint="default" w:ascii="Times New Roman" w:hAnsi="Times New Roman" w:eastAsia="宋体" w:cs="Times New Roman"/>
                <w:b/>
                <w:bCs/>
                <w:kern w:val="0"/>
                <w:szCs w:val="21"/>
                <w:highlight w:val="none"/>
                <w:lang w:val="en-US" w:eastAsia="zh-CN"/>
              </w:rPr>
            </w:pPr>
            <w:r>
              <w:rPr>
                <w:rFonts w:hint="default" w:ascii="Times New Roman" w:hAnsi="Times New Roman" w:eastAsia="宋体" w:cs="Times New Roman"/>
                <w:b/>
                <w:bCs/>
                <w:kern w:val="0"/>
                <w:szCs w:val="21"/>
                <w:highlight w:val="none"/>
                <w:lang w:val="en-US" w:eastAsia="zh-CN"/>
              </w:rPr>
              <w:t>表3-5   饮食业油烟排放标准</w:t>
            </w:r>
          </w:p>
          <w:tbl>
            <w:tblPr>
              <w:tblStyle w:val="39"/>
              <w:tblW w:w="4959"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97"/>
              <w:gridCol w:w="1692"/>
              <w:gridCol w:w="1674"/>
              <w:gridCol w:w="1465"/>
            </w:tblGrid>
            <w:tr w14:paraId="47A97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1833" w:type="pct"/>
                  <w:tcBorders>
                    <w:top w:val="single" w:color="000000" w:sz="12" w:space="0"/>
                    <w:left w:val="nil"/>
                    <w:bottom w:val="single" w:color="000000" w:sz="12" w:space="0"/>
                  </w:tcBorders>
                  <w:noWrap w:val="0"/>
                  <w:vAlign w:val="center"/>
                </w:tcPr>
                <w:p w14:paraId="7EA2FBE5">
                  <w:pPr>
                    <w:widowControl/>
                    <w:adjustRightInd/>
                    <w:snapToGrid/>
                    <w:spacing w:line="240" w:lineRule="auto"/>
                    <w:ind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val="en-US" w:eastAsia="zh-CN"/>
                    </w:rPr>
                    <w:t>规模</w:t>
                  </w:r>
                </w:p>
              </w:tc>
              <w:tc>
                <w:tcPr>
                  <w:tcW w:w="1108" w:type="pct"/>
                  <w:tcBorders>
                    <w:top w:val="single" w:color="000000" w:sz="12" w:space="0"/>
                    <w:bottom w:val="single" w:color="000000" w:sz="12" w:space="0"/>
                  </w:tcBorders>
                  <w:noWrap w:val="0"/>
                  <w:vAlign w:val="center"/>
                </w:tcPr>
                <w:p w14:paraId="34BC30E2">
                  <w:pPr>
                    <w:widowControl/>
                    <w:adjustRightInd/>
                    <w:snapToGrid/>
                    <w:spacing w:line="240" w:lineRule="auto"/>
                    <w:ind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val="en-US" w:eastAsia="zh-CN"/>
                    </w:rPr>
                    <w:t>大型</w:t>
                  </w:r>
                </w:p>
              </w:tc>
              <w:tc>
                <w:tcPr>
                  <w:tcW w:w="1097" w:type="pct"/>
                  <w:tcBorders>
                    <w:top w:val="single" w:color="000000" w:sz="12" w:space="0"/>
                    <w:bottom w:val="single" w:color="000000" w:sz="12" w:space="0"/>
                  </w:tcBorders>
                  <w:noWrap w:val="0"/>
                  <w:vAlign w:val="center"/>
                </w:tcPr>
                <w:p w14:paraId="56CBF121">
                  <w:pPr>
                    <w:widowControl/>
                    <w:adjustRightInd/>
                    <w:snapToGrid/>
                    <w:spacing w:line="240" w:lineRule="auto"/>
                    <w:ind w:firstLine="0" w:firstLineChars="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中型</w:t>
                  </w:r>
                </w:p>
              </w:tc>
              <w:tc>
                <w:tcPr>
                  <w:tcW w:w="960" w:type="pct"/>
                  <w:tcBorders>
                    <w:top w:val="single" w:color="000000" w:sz="12" w:space="0"/>
                    <w:bottom w:val="single" w:color="000000" w:sz="12" w:space="0"/>
                    <w:right w:val="nil"/>
                  </w:tcBorders>
                  <w:noWrap w:val="0"/>
                  <w:vAlign w:val="center"/>
                </w:tcPr>
                <w:p w14:paraId="6B2BE6FA">
                  <w:pPr>
                    <w:widowControl/>
                    <w:adjustRightInd/>
                    <w:snapToGrid/>
                    <w:spacing w:line="240" w:lineRule="auto"/>
                    <w:ind w:firstLine="0" w:firstLineChars="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小型</w:t>
                  </w:r>
                </w:p>
              </w:tc>
            </w:tr>
            <w:tr w14:paraId="59751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1833" w:type="pct"/>
                  <w:tcBorders>
                    <w:top w:val="single" w:color="000000" w:sz="12" w:space="0"/>
                    <w:left w:val="nil"/>
                  </w:tcBorders>
                  <w:noWrap w:val="0"/>
                  <w:vAlign w:val="center"/>
                </w:tcPr>
                <w:p w14:paraId="06766454">
                  <w:pPr>
                    <w:widowControl/>
                    <w:adjustRightInd/>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基准灶头数</w:t>
                  </w:r>
                </w:p>
              </w:tc>
              <w:tc>
                <w:tcPr>
                  <w:tcW w:w="1108" w:type="pct"/>
                  <w:tcBorders>
                    <w:top w:val="single" w:color="000000" w:sz="12" w:space="0"/>
                  </w:tcBorders>
                  <w:noWrap w:val="0"/>
                  <w:vAlign w:val="center"/>
                </w:tcPr>
                <w:p w14:paraId="0873BFE1">
                  <w:pPr>
                    <w:widowControl/>
                    <w:adjustRightInd/>
                    <w:snapToGrid/>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≥6</w:t>
                  </w:r>
                </w:p>
              </w:tc>
              <w:tc>
                <w:tcPr>
                  <w:tcW w:w="1097" w:type="pct"/>
                  <w:tcBorders>
                    <w:top w:val="single" w:color="000000" w:sz="12" w:space="0"/>
                  </w:tcBorders>
                  <w:noWrap w:val="0"/>
                  <w:vAlign w:val="center"/>
                </w:tcPr>
                <w:p w14:paraId="1601AB0E">
                  <w:pPr>
                    <w:widowControl/>
                    <w:adjustRightInd/>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≥3，&lt;6</w:t>
                  </w:r>
                </w:p>
              </w:tc>
              <w:tc>
                <w:tcPr>
                  <w:tcW w:w="960" w:type="pct"/>
                  <w:tcBorders>
                    <w:top w:val="single" w:color="000000" w:sz="12" w:space="0"/>
                    <w:right w:val="nil"/>
                  </w:tcBorders>
                  <w:noWrap w:val="0"/>
                  <w:vAlign w:val="center"/>
                </w:tcPr>
                <w:p w14:paraId="052EAD1E">
                  <w:pPr>
                    <w:widowControl/>
                    <w:adjustRightInd/>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≥1，&lt;3</w:t>
                  </w:r>
                </w:p>
              </w:tc>
            </w:tr>
            <w:tr w14:paraId="182F4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833" w:type="pct"/>
                  <w:tcBorders>
                    <w:left w:val="nil"/>
                  </w:tcBorders>
                  <w:noWrap w:val="0"/>
                  <w:vAlign w:val="center"/>
                </w:tcPr>
                <w:p w14:paraId="1805B352">
                  <w:pPr>
                    <w:widowControl/>
                    <w:adjustRightInd/>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最高允许排放浓度，mg/m</w:t>
                  </w:r>
                  <w:r>
                    <w:rPr>
                      <w:rFonts w:hint="default" w:ascii="Times New Roman" w:hAnsi="Times New Roman" w:eastAsia="宋体" w:cs="Times New Roman"/>
                      <w:color w:val="auto"/>
                      <w:sz w:val="21"/>
                      <w:szCs w:val="21"/>
                      <w:highlight w:val="none"/>
                      <w:vertAlign w:val="superscript"/>
                      <w:lang w:val="en-US" w:eastAsia="zh-CN"/>
                    </w:rPr>
                    <w:t>3</w:t>
                  </w:r>
                </w:p>
              </w:tc>
              <w:tc>
                <w:tcPr>
                  <w:tcW w:w="3166" w:type="pct"/>
                  <w:gridSpan w:val="3"/>
                  <w:tcBorders>
                    <w:right w:val="nil"/>
                  </w:tcBorders>
                  <w:noWrap w:val="0"/>
                  <w:vAlign w:val="center"/>
                </w:tcPr>
                <w:p w14:paraId="0CC9EA7C">
                  <w:pPr>
                    <w:widowControl/>
                    <w:adjustRightInd/>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2.0</w:t>
                  </w:r>
                </w:p>
              </w:tc>
            </w:tr>
            <w:tr w14:paraId="744C0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1833" w:type="pct"/>
                  <w:tcBorders>
                    <w:left w:val="nil"/>
                    <w:bottom w:val="single" w:color="000000" w:sz="12" w:space="0"/>
                  </w:tcBorders>
                  <w:noWrap w:val="0"/>
                  <w:vAlign w:val="center"/>
                </w:tcPr>
                <w:p w14:paraId="7FF8B84E">
                  <w:pPr>
                    <w:widowControl/>
                    <w:adjustRightInd/>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净化设施最低去除效率，%</w:t>
                  </w:r>
                </w:p>
              </w:tc>
              <w:tc>
                <w:tcPr>
                  <w:tcW w:w="1108" w:type="pct"/>
                  <w:tcBorders>
                    <w:bottom w:val="single" w:color="000000" w:sz="12" w:space="0"/>
                  </w:tcBorders>
                  <w:noWrap w:val="0"/>
                  <w:vAlign w:val="center"/>
                </w:tcPr>
                <w:p w14:paraId="0E33552E">
                  <w:pPr>
                    <w:widowControl/>
                    <w:adjustRightInd/>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85</w:t>
                  </w:r>
                </w:p>
              </w:tc>
              <w:tc>
                <w:tcPr>
                  <w:tcW w:w="1097" w:type="pct"/>
                  <w:tcBorders>
                    <w:bottom w:val="single" w:color="000000" w:sz="12" w:space="0"/>
                  </w:tcBorders>
                  <w:noWrap w:val="0"/>
                  <w:vAlign w:val="center"/>
                </w:tcPr>
                <w:p w14:paraId="14A6B75B">
                  <w:pPr>
                    <w:widowControl/>
                    <w:adjustRightInd/>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75</w:t>
                  </w:r>
                </w:p>
              </w:tc>
              <w:tc>
                <w:tcPr>
                  <w:tcW w:w="960" w:type="pct"/>
                  <w:tcBorders>
                    <w:bottom w:val="single" w:color="000000" w:sz="12" w:space="0"/>
                    <w:right w:val="nil"/>
                  </w:tcBorders>
                  <w:noWrap w:val="0"/>
                  <w:vAlign w:val="center"/>
                </w:tcPr>
                <w:p w14:paraId="302B8E69">
                  <w:pPr>
                    <w:widowControl/>
                    <w:adjustRightInd/>
                    <w:snapToGrid/>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60</w:t>
                  </w:r>
                </w:p>
              </w:tc>
            </w:tr>
          </w:tbl>
          <w:p w14:paraId="5932463C">
            <w:pPr>
              <w:numPr>
                <w:ilvl w:val="0"/>
                <w:numId w:val="0"/>
              </w:numPr>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（2）</w:t>
            </w:r>
            <w:r>
              <w:rPr>
                <w:rFonts w:hint="default" w:ascii="Times New Roman" w:hAnsi="Times New Roman" w:eastAsia="宋体" w:cs="Times New Roman"/>
                <w:color w:val="auto"/>
                <w:sz w:val="24"/>
                <w:highlight w:val="none"/>
              </w:rPr>
              <w:t>本项目生活污水执行《污水综合排放标准》(GB8978-1996)</w:t>
            </w:r>
            <w:r>
              <w:rPr>
                <w:rFonts w:hint="default" w:ascii="Times New Roman" w:hAnsi="Times New Roman" w:eastAsia="宋体" w:cs="Times New Roman"/>
                <w:color w:val="auto"/>
                <w:sz w:val="24"/>
                <w:highlight w:val="none"/>
                <w:lang w:val="en-US" w:eastAsia="zh-CN"/>
              </w:rPr>
              <w:t>表4</w:t>
            </w:r>
            <w:r>
              <w:rPr>
                <w:rFonts w:hint="default" w:ascii="Times New Roman" w:hAnsi="Times New Roman" w:eastAsia="宋体" w:cs="Times New Roman"/>
                <w:color w:val="auto"/>
                <w:sz w:val="24"/>
                <w:highlight w:val="none"/>
                <w:lang w:eastAsia="zh-CN"/>
              </w:rPr>
              <w:t>三</w:t>
            </w:r>
            <w:r>
              <w:rPr>
                <w:rFonts w:hint="default" w:ascii="Times New Roman" w:hAnsi="Times New Roman" w:eastAsia="宋体" w:cs="Times New Roman"/>
                <w:color w:val="auto"/>
                <w:sz w:val="24"/>
                <w:highlight w:val="none"/>
              </w:rPr>
              <w:t>级标准</w:t>
            </w:r>
            <w:r>
              <w:rPr>
                <w:rFonts w:hint="default" w:ascii="Times New Roman" w:hAnsi="Times New Roman" w:eastAsia="宋体" w:cs="Times New Roman"/>
                <w:sz w:val="24"/>
                <w:highlight w:val="none"/>
              </w:rPr>
              <w:t>，</w:t>
            </w:r>
            <w:r>
              <w:rPr>
                <w:rFonts w:hint="default" w:ascii="Times New Roman" w:hAnsi="Times New Roman" w:eastAsia="宋体" w:cs="Times New Roman"/>
                <w:color w:val="auto"/>
                <w:sz w:val="24"/>
                <w:highlight w:val="none"/>
              </w:rPr>
              <w:t>主要污染物排放标准详见表3-</w:t>
            </w:r>
            <w:r>
              <w:rPr>
                <w:rFonts w:hint="default" w:ascii="Times New Roman" w:hAnsi="Times New Roman" w:eastAsia="宋体" w:cs="Times New Roman"/>
                <w:color w:val="auto"/>
                <w:sz w:val="24"/>
                <w:highlight w:val="none"/>
                <w:lang w:val="en-US" w:eastAsia="zh-CN"/>
              </w:rPr>
              <w:t>6</w:t>
            </w:r>
            <w:r>
              <w:rPr>
                <w:rFonts w:hint="default" w:ascii="Times New Roman" w:hAnsi="Times New Roman" w:eastAsia="宋体" w:cs="Times New Roman"/>
                <w:color w:val="auto"/>
                <w:sz w:val="24"/>
                <w:highlight w:val="none"/>
              </w:rPr>
              <w:t>。</w:t>
            </w:r>
          </w:p>
          <w:p w14:paraId="4E79B0D5">
            <w:pPr>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表3-</w:t>
            </w:r>
            <w:r>
              <w:rPr>
                <w:rFonts w:hint="default" w:ascii="Times New Roman" w:hAnsi="Times New Roman" w:eastAsia="宋体" w:cs="Times New Roman"/>
                <w:b/>
                <w:bCs/>
                <w:color w:val="auto"/>
                <w:szCs w:val="21"/>
                <w:highlight w:val="none"/>
                <w:lang w:val="en-US" w:eastAsia="zh-CN"/>
              </w:rPr>
              <w:t>6</w:t>
            </w:r>
            <w:r>
              <w:rPr>
                <w:rFonts w:hint="default" w:ascii="Times New Roman" w:hAnsi="Times New Roman" w:eastAsia="宋体" w:cs="Times New Roman"/>
                <w:b/>
                <w:bCs/>
                <w:color w:val="auto"/>
                <w:szCs w:val="21"/>
                <w:highlight w:val="none"/>
              </w:rPr>
              <w:t>废水污染物排放标准</w:t>
            </w:r>
          </w:p>
          <w:tbl>
            <w:tblPr>
              <w:tblStyle w:val="39"/>
              <w:tblW w:w="4998" w:type="pct"/>
              <w:tblInd w:w="0" w:type="dxa"/>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Layout w:type="fixed"/>
              <w:tblCellMar>
                <w:top w:w="0" w:type="dxa"/>
                <w:left w:w="108" w:type="dxa"/>
                <w:bottom w:w="0" w:type="dxa"/>
                <w:right w:w="108" w:type="dxa"/>
              </w:tblCellMar>
            </w:tblPr>
            <w:tblGrid>
              <w:gridCol w:w="2640"/>
              <w:gridCol w:w="1588"/>
              <w:gridCol w:w="1537"/>
              <w:gridCol w:w="1923"/>
            </w:tblGrid>
            <w:tr w14:paraId="44B2E207">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716" w:type="pct"/>
                  <w:tcBorders>
                    <w:top w:val="single" w:color="000000" w:sz="12" w:space="0"/>
                    <w:left w:val="nil"/>
                    <w:bottom w:val="single" w:color="auto" w:sz="12" w:space="0"/>
                  </w:tcBorders>
                  <w:noWrap w:val="0"/>
                  <w:vAlign w:val="center"/>
                </w:tcPr>
                <w:p w14:paraId="5B83C95E">
                  <w:pPr>
                    <w:spacing w:line="240" w:lineRule="atLeast"/>
                    <w:jc w:val="center"/>
                    <w:rPr>
                      <w:rFonts w:hint="default" w:ascii="Times New Roman" w:hAnsi="Times New Roman" w:eastAsia="宋体" w:cs="Times New Roman"/>
                      <w:b/>
                      <w:color w:val="auto"/>
                      <w:highlight w:val="none"/>
                    </w:rPr>
                  </w:pPr>
                  <w:r>
                    <w:rPr>
                      <w:rFonts w:hint="default" w:ascii="Times New Roman" w:hAnsi="Times New Roman" w:eastAsia="宋体" w:cs="Times New Roman"/>
                      <w:b/>
                      <w:color w:val="auto"/>
                      <w:highlight w:val="none"/>
                    </w:rPr>
                    <w:t>污染物名称</w:t>
                  </w:r>
                </w:p>
              </w:tc>
              <w:tc>
                <w:tcPr>
                  <w:tcW w:w="1032" w:type="pct"/>
                  <w:tcBorders>
                    <w:top w:val="single" w:color="000000" w:sz="12" w:space="0"/>
                    <w:bottom w:val="single" w:color="auto" w:sz="12" w:space="0"/>
                  </w:tcBorders>
                  <w:noWrap w:val="0"/>
                  <w:vAlign w:val="center"/>
                </w:tcPr>
                <w:p w14:paraId="6F2DA9A7">
                  <w:pPr>
                    <w:spacing w:line="240" w:lineRule="atLeast"/>
                    <w:jc w:val="center"/>
                    <w:rPr>
                      <w:rFonts w:hint="default" w:ascii="Times New Roman" w:hAnsi="Times New Roman" w:eastAsia="宋体" w:cs="Times New Roman"/>
                      <w:b/>
                      <w:color w:val="auto"/>
                      <w:highlight w:val="none"/>
                    </w:rPr>
                  </w:pPr>
                  <w:r>
                    <w:rPr>
                      <w:rFonts w:hint="default" w:ascii="Times New Roman" w:hAnsi="Times New Roman" w:eastAsia="宋体" w:cs="Times New Roman"/>
                      <w:b/>
                      <w:color w:val="auto"/>
                      <w:highlight w:val="none"/>
                    </w:rPr>
                    <w:t>单位</w:t>
                  </w:r>
                </w:p>
              </w:tc>
              <w:tc>
                <w:tcPr>
                  <w:tcW w:w="999" w:type="pct"/>
                  <w:tcBorders>
                    <w:top w:val="single" w:color="000000" w:sz="12" w:space="0"/>
                    <w:bottom w:val="single" w:color="auto" w:sz="12" w:space="0"/>
                  </w:tcBorders>
                  <w:noWrap w:val="0"/>
                  <w:vAlign w:val="center"/>
                </w:tcPr>
                <w:p w14:paraId="6CA7B825">
                  <w:pPr>
                    <w:spacing w:line="240" w:lineRule="atLeast"/>
                    <w:jc w:val="center"/>
                    <w:rPr>
                      <w:rFonts w:hint="default" w:ascii="Times New Roman" w:hAnsi="Times New Roman" w:eastAsia="宋体" w:cs="Times New Roman"/>
                      <w:b/>
                      <w:color w:val="auto"/>
                      <w:highlight w:val="none"/>
                    </w:rPr>
                  </w:pPr>
                  <w:r>
                    <w:rPr>
                      <w:rFonts w:hint="default" w:ascii="Times New Roman" w:hAnsi="Times New Roman" w:eastAsia="宋体" w:cs="Times New Roman"/>
                      <w:b/>
                      <w:color w:val="auto"/>
                      <w:highlight w:val="none"/>
                    </w:rPr>
                    <w:t>C级标准</w:t>
                  </w:r>
                </w:p>
              </w:tc>
              <w:tc>
                <w:tcPr>
                  <w:tcW w:w="1250" w:type="pct"/>
                  <w:tcBorders>
                    <w:top w:val="single" w:color="000000" w:sz="12" w:space="0"/>
                    <w:bottom w:val="single" w:color="auto" w:sz="12" w:space="0"/>
                    <w:right w:val="nil"/>
                  </w:tcBorders>
                  <w:noWrap w:val="0"/>
                  <w:vAlign w:val="center"/>
                </w:tcPr>
                <w:p w14:paraId="0735CBDD">
                  <w:pPr>
                    <w:spacing w:line="240" w:lineRule="atLeast"/>
                    <w:jc w:val="center"/>
                    <w:rPr>
                      <w:rFonts w:hint="default" w:ascii="Times New Roman" w:hAnsi="Times New Roman" w:eastAsia="宋体" w:cs="Times New Roman"/>
                      <w:b/>
                      <w:color w:val="auto"/>
                      <w:highlight w:val="none"/>
                    </w:rPr>
                  </w:pPr>
                  <w:r>
                    <w:rPr>
                      <w:rFonts w:hint="default" w:ascii="Times New Roman" w:hAnsi="Times New Roman" w:eastAsia="宋体" w:cs="Times New Roman"/>
                      <w:b/>
                      <w:color w:val="auto"/>
                      <w:highlight w:val="none"/>
                    </w:rPr>
                    <w:t>标准来源</w:t>
                  </w:r>
                </w:p>
              </w:tc>
            </w:tr>
            <w:tr w14:paraId="01159EFB">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1716" w:type="pct"/>
                  <w:tcBorders>
                    <w:top w:val="single" w:color="auto" w:sz="12" w:space="0"/>
                    <w:left w:val="nil"/>
                  </w:tcBorders>
                  <w:noWrap w:val="0"/>
                  <w:vAlign w:val="center"/>
                </w:tcPr>
                <w:p w14:paraId="0837D960">
                  <w:pPr>
                    <w:spacing w:line="240" w:lineRule="atLeast"/>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五日生化需氧量（BOD</w:t>
                  </w:r>
                  <w:r>
                    <w:rPr>
                      <w:rFonts w:hint="default" w:ascii="Times New Roman" w:hAnsi="Times New Roman" w:eastAsia="宋体" w:cs="Times New Roman"/>
                      <w:color w:val="auto"/>
                      <w:highlight w:val="none"/>
                      <w:vertAlign w:val="subscript"/>
                      <w:lang w:val="en-US" w:eastAsia="zh-CN"/>
                    </w:rPr>
                    <w:t>5</w:t>
                  </w:r>
                  <w:r>
                    <w:rPr>
                      <w:rFonts w:hint="default" w:ascii="Times New Roman" w:hAnsi="Times New Roman" w:eastAsia="宋体" w:cs="Times New Roman"/>
                      <w:color w:val="auto"/>
                      <w:highlight w:val="none"/>
                      <w:lang w:val="en-US" w:eastAsia="zh-CN"/>
                    </w:rPr>
                    <w:t>）</w:t>
                  </w:r>
                </w:p>
              </w:tc>
              <w:tc>
                <w:tcPr>
                  <w:tcW w:w="1032" w:type="pct"/>
                  <w:tcBorders>
                    <w:top w:val="single" w:color="auto" w:sz="12" w:space="0"/>
                  </w:tcBorders>
                  <w:noWrap w:val="0"/>
                  <w:vAlign w:val="center"/>
                </w:tcPr>
                <w:p w14:paraId="1DD9EBE0">
                  <w:pPr>
                    <w:spacing w:line="240" w:lineRule="atLeast"/>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mg/L</w:t>
                  </w:r>
                </w:p>
              </w:tc>
              <w:tc>
                <w:tcPr>
                  <w:tcW w:w="999" w:type="pct"/>
                  <w:tcBorders>
                    <w:top w:val="single" w:color="auto" w:sz="12" w:space="0"/>
                  </w:tcBorders>
                  <w:noWrap w:val="0"/>
                  <w:vAlign w:val="center"/>
                </w:tcPr>
                <w:p w14:paraId="4F890F2D">
                  <w:pPr>
                    <w:spacing w:line="240" w:lineRule="atLeas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300</w:t>
                  </w:r>
                </w:p>
              </w:tc>
              <w:tc>
                <w:tcPr>
                  <w:tcW w:w="1250" w:type="pct"/>
                  <w:vMerge w:val="restart"/>
                  <w:tcBorders>
                    <w:top w:val="single" w:color="auto" w:sz="12" w:space="0"/>
                    <w:right w:val="nil"/>
                  </w:tcBorders>
                  <w:noWrap w:val="0"/>
                  <w:vAlign w:val="center"/>
                </w:tcPr>
                <w:p w14:paraId="46CFC7BB">
                  <w:pPr>
                    <w:spacing w:line="240" w:lineRule="atLeast"/>
                    <w:jc w:val="both"/>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《污水综合排放标准》(GB8978-1996)</w:t>
                  </w:r>
                  <w:r>
                    <w:rPr>
                      <w:rFonts w:hint="default" w:ascii="Times New Roman" w:hAnsi="Times New Roman" w:eastAsia="宋体" w:cs="Times New Roman"/>
                      <w:color w:val="auto"/>
                      <w:sz w:val="21"/>
                      <w:szCs w:val="21"/>
                      <w:highlight w:val="none"/>
                      <w:lang w:val="en-US" w:eastAsia="zh-CN"/>
                    </w:rPr>
                    <w:t>表4</w:t>
                  </w:r>
                  <w:r>
                    <w:rPr>
                      <w:rFonts w:hint="default" w:ascii="Times New Roman" w:hAnsi="Times New Roman" w:eastAsia="宋体" w:cs="Times New Roman"/>
                      <w:color w:val="auto"/>
                      <w:sz w:val="21"/>
                      <w:szCs w:val="21"/>
                      <w:highlight w:val="none"/>
                      <w:lang w:eastAsia="zh-CN"/>
                    </w:rPr>
                    <w:t>三</w:t>
                  </w:r>
                  <w:r>
                    <w:rPr>
                      <w:rFonts w:hint="default" w:ascii="Times New Roman" w:hAnsi="Times New Roman" w:eastAsia="宋体" w:cs="Times New Roman"/>
                      <w:color w:val="auto"/>
                      <w:sz w:val="21"/>
                      <w:szCs w:val="21"/>
                      <w:highlight w:val="none"/>
                    </w:rPr>
                    <w:t>级标准污水</w:t>
                  </w:r>
                </w:p>
              </w:tc>
            </w:tr>
            <w:tr w14:paraId="1BA6E844">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716" w:type="pct"/>
                  <w:tcBorders>
                    <w:left w:val="nil"/>
                  </w:tcBorders>
                  <w:noWrap w:val="0"/>
                  <w:vAlign w:val="center"/>
                </w:tcPr>
                <w:p w14:paraId="2C1ACA6D">
                  <w:pPr>
                    <w:spacing w:line="240" w:lineRule="atLeast"/>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化学需氧量（CODcr）</w:t>
                  </w:r>
                </w:p>
              </w:tc>
              <w:tc>
                <w:tcPr>
                  <w:tcW w:w="1032" w:type="pct"/>
                  <w:noWrap w:val="0"/>
                  <w:vAlign w:val="center"/>
                </w:tcPr>
                <w:p w14:paraId="168424D7">
                  <w:pPr>
                    <w:spacing w:line="240" w:lineRule="atLeast"/>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mg/L</w:t>
                  </w:r>
                </w:p>
              </w:tc>
              <w:tc>
                <w:tcPr>
                  <w:tcW w:w="999" w:type="pct"/>
                  <w:noWrap w:val="0"/>
                  <w:vAlign w:val="center"/>
                </w:tcPr>
                <w:p w14:paraId="0D356602">
                  <w:pPr>
                    <w:spacing w:line="240" w:lineRule="atLeast"/>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500</w:t>
                  </w:r>
                </w:p>
              </w:tc>
              <w:tc>
                <w:tcPr>
                  <w:tcW w:w="1250" w:type="pct"/>
                  <w:vMerge w:val="continue"/>
                  <w:tcBorders>
                    <w:right w:val="nil"/>
                  </w:tcBorders>
                  <w:noWrap w:val="0"/>
                  <w:vAlign w:val="center"/>
                </w:tcPr>
                <w:p w14:paraId="185629E3">
                  <w:pPr>
                    <w:spacing w:line="240" w:lineRule="atLeast"/>
                    <w:jc w:val="center"/>
                    <w:rPr>
                      <w:rFonts w:hint="default" w:ascii="Times New Roman" w:hAnsi="Times New Roman" w:eastAsia="宋体" w:cs="Times New Roman"/>
                      <w:color w:val="auto"/>
                      <w:sz w:val="21"/>
                      <w:szCs w:val="21"/>
                      <w:highlight w:val="none"/>
                    </w:rPr>
                  </w:pPr>
                </w:p>
              </w:tc>
            </w:tr>
            <w:tr w14:paraId="041B6348">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716" w:type="pct"/>
                  <w:tcBorders>
                    <w:left w:val="nil"/>
                  </w:tcBorders>
                  <w:noWrap w:val="0"/>
                  <w:vAlign w:val="center"/>
                </w:tcPr>
                <w:p w14:paraId="11CBF68D">
                  <w:pPr>
                    <w:spacing w:line="240" w:lineRule="atLeast"/>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悬浮物（SS）</w:t>
                  </w:r>
                </w:p>
              </w:tc>
              <w:tc>
                <w:tcPr>
                  <w:tcW w:w="1032" w:type="pct"/>
                  <w:noWrap w:val="0"/>
                  <w:vAlign w:val="center"/>
                </w:tcPr>
                <w:p w14:paraId="77F6795B">
                  <w:pPr>
                    <w:spacing w:line="240" w:lineRule="atLeast"/>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mg/L</w:t>
                  </w:r>
                </w:p>
              </w:tc>
              <w:tc>
                <w:tcPr>
                  <w:tcW w:w="999" w:type="pct"/>
                  <w:noWrap w:val="0"/>
                  <w:vAlign w:val="center"/>
                </w:tcPr>
                <w:p w14:paraId="626ACB94">
                  <w:pPr>
                    <w:spacing w:line="240" w:lineRule="atLeast"/>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lang w:val="en-US" w:eastAsia="zh-CN"/>
                    </w:rPr>
                    <w:t>4</w:t>
                  </w:r>
                  <w:r>
                    <w:rPr>
                      <w:rFonts w:hint="default" w:ascii="Times New Roman" w:hAnsi="Times New Roman" w:eastAsia="宋体" w:cs="Times New Roman"/>
                      <w:color w:val="auto"/>
                      <w:highlight w:val="none"/>
                    </w:rPr>
                    <w:t>00</w:t>
                  </w:r>
                </w:p>
              </w:tc>
              <w:tc>
                <w:tcPr>
                  <w:tcW w:w="1250" w:type="pct"/>
                  <w:vMerge w:val="continue"/>
                  <w:tcBorders>
                    <w:right w:val="nil"/>
                  </w:tcBorders>
                  <w:noWrap w:val="0"/>
                  <w:vAlign w:val="center"/>
                </w:tcPr>
                <w:p w14:paraId="5F9EB7B2">
                  <w:pPr>
                    <w:spacing w:line="240" w:lineRule="atLeast"/>
                    <w:jc w:val="center"/>
                    <w:rPr>
                      <w:rFonts w:hint="default" w:ascii="Times New Roman" w:hAnsi="Times New Roman" w:eastAsia="宋体" w:cs="Times New Roman"/>
                      <w:color w:val="auto"/>
                      <w:highlight w:val="none"/>
                    </w:rPr>
                  </w:pPr>
                </w:p>
              </w:tc>
            </w:tr>
            <w:tr w14:paraId="0DCE11B9">
              <w:tblPrEx>
                <w:tblBorders>
                  <w:top w:val="single" w:color="000000" w:sz="4" w:space="0"/>
                  <w:left w:val="single" w:color="000000" w:sz="4" w:space="0"/>
                  <w:bottom w:val="single" w:color="000000" w:sz="4" w:space="0"/>
                  <w:right w:val="single" w:color="000000"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716" w:type="pct"/>
                  <w:tcBorders>
                    <w:left w:val="nil"/>
                    <w:bottom w:val="single" w:color="000000" w:sz="12" w:space="0"/>
                  </w:tcBorders>
                  <w:noWrap w:val="0"/>
                  <w:vAlign w:val="center"/>
                </w:tcPr>
                <w:p w14:paraId="1C9A4A6E">
                  <w:pPr>
                    <w:spacing w:line="240" w:lineRule="atLeast"/>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氨氮</w:t>
                  </w:r>
                </w:p>
              </w:tc>
              <w:tc>
                <w:tcPr>
                  <w:tcW w:w="1032" w:type="pct"/>
                  <w:tcBorders>
                    <w:bottom w:val="single" w:color="000000" w:sz="12" w:space="0"/>
                  </w:tcBorders>
                  <w:noWrap w:val="0"/>
                  <w:vAlign w:val="center"/>
                </w:tcPr>
                <w:p w14:paraId="1BEF44F1">
                  <w:pPr>
                    <w:spacing w:line="240" w:lineRule="atLeast"/>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rPr>
                    <w:t>mg/L</w:t>
                  </w:r>
                </w:p>
              </w:tc>
              <w:tc>
                <w:tcPr>
                  <w:tcW w:w="999" w:type="pct"/>
                  <w:tcBorders>
                    <w:bottom w:val="single" w:color="000000" w:sz="12" w:space="0"/>
                  </w:tcBorders>
                  <w:noWrap w:val="0"/>
                  <w:vAlign w:val="center"/>
                </w:tcPr>
                <w:p w14:paraId="1BB53B67">
                  <w:pPr>
                    <w:spacing w:line="240" w:lineRule="atLeast"/>
                    <w:jc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w:t>
                  </w:r>
                </w:p>
              </w:tc>
              <w:tc>
                <w:tcPr>
                  <w:tcW w:w="1250" w:type="pct"/>
                  <w:vMerge w:val="continue"/>
                  <w:tcBorders>
                    <w:bottom w:val="single" w:color="000000" w:sz="12" w:space="0"/>
                    <w:right w:val="nil"/>
                  </w:tcBorders>
                  <w:noWrap w:val="0"/>
                  <w:vAlign w:val="center"/>
                </w:tcPr>
                <w:p w14:paraId="5EB06144">
                  <w:pPr>
                    <w:spacing w:line="240" w:lineRule="atLeast"/>
                    <w:jc w:val="center"/>
                    <w:rPr>
                      <w:rFonts w:hint="default" w:ascii="Times New Roman" w:hAnsi="Times New Roman" w:eastAsia="宋体" w:cs="Times New Roman"/>
                      <w:color w:val="auto"/>
                      <w:highlight w:val="none"/>
                    </w:rPr>
                  </w:pPr>
                </w:p>
              </w:tc>
            </w:tr>
          </w:tbl>
          <w:p w14:paraId="1D6426BD">
            <w:pPr>
              <w:autoSpaceDE w:val="0"/>
              <w:autoSpaceDN w:val="0"/>
              <w:adjustRightInd w:val="0"/>
              <w:snapToGrid w:val="0"/>
              <w:spacing w:line="360" w:lineRule="auto"/>
              <w:ind w:firstLine="480" w:firstLineChars="2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（3）</w:t>
            </w:r>
            <w:r>
              <w:rPr>
                <w:rFonts w:hint="default" w:ascii="Times New Roman" w:hAnsi="Times New Roman" w:eastAsia="宋体" w:cs="Times New Roman"/>
                <w:color w:val="auto"/>
                <w:kern w:val="0"/>
                <w:sz w:val="24"/>
                <w:highlight w:val="none"/>
              </w:rPr>
              <w:t>本项目施工期执行《建筑施工场界环境噪声排放标准》（GB12523-2011）标准，详见表3-</w:t>
            </w:r>
            <w:r>
              <w:rPr>
                <w:rFonts w:hint="default" w:ascii="Times New Roman" w:hAnsi="Times New Roman" w:eastAsia="宋体" w:cs="Times New Roman"/>
                <w:color w:val="auto"/>
                <w:kern w:val="0"/>
                <w:sz w:val="24"/>
                <w:highlight w:val="none"/>
                <w:lang w:val="en-US" w:eastAsia="zh-CN"/>
              </w:rPr>
              <w:t>8</w:t>
            </w:r>
            <w:r>
              <w:rPr>
                <w:rFonts w:hint="default" w:ascii="Times New Roman" w:hAnsi="Times New Roman" w:eastAsia="宋体" w:cs="Times New Roman"/>
                <w:color w:val="auto"/>
                <w:kern w:val="0"/>
                <w:sz w:val="24"/>
                <w:highlight w:val="none"/>
              </w:rPr>
              <w:t>；运营期厂界噪声执行《工业企业厂界环境噪声排放标准》（GB12348-2008）中</w:t>
            </w:r>
            <w:r>
              <w:rPr>
                <w:rFonts w:hint="eastAsia" w:ascii="Times New Roman" w:hAnsi="Times New Roman" w:eastAsia="宋体" w:cs="Times New Roman"/>
                <w:color w:val="auto"/>
                <w:kern w:val="0"/>
                <w:sz w:val="24"/>
                <w:highlight w:val="none"/>
                <w:lang w:val="en-US" w:eastAsia="zh-CN"/>
              </w:rPr>
              <w:t>2</w:t>
            </w:r>
            <w:r>
              <w:rPr>
                <w:rFonts w:hint="default" w:ascii="Times New Roman" w:hAnsi="Times New Roman" w:eastAsia="宋体" w:cs="Times New Roman"/>
                <w:color w:val="auto"/>
                <w:kern w:val="0"/>
                <w:sz w:val="24"/>
                <w:highlight w:val="none"/>
              </w:rPr>
              <w:t>类标准，详见表3-</w:t>
            </w:r>
            <w:r>
              <w:rPr>
                <w:rFonts w:hint="default" w:ascii="Times New Roman" w:hAnsi="Times New Roman" w:eastAsia="宋体" w:cs="Times New Roman"/>
                <w:color w:val="auto"/>
                <w:kern w:val="0"/>
                <w:sz w:val="24"/>
                <w:highlight w:val="none"/>
                <w:lang w:val="en-US" w:eastAsia="zh-CN"/>
              </w:rPr>
              <w:t>7</w:t>
            </w:r>
            <w:r>
              <w:rPr>
                <w:rFonts w:hint="default" w:ascii="Times New Roman" w:hAnsi="Times New Roman" w:eastAsia="宋体" w:cs="Times New Roman"/>
                <w:color w:val="auto"/>
                <w:kern w:val="0"/>
                <w:sz w:val="24"/>
                <w:highlight w:val="none"/>
              </w:rPr>
              <w:t>。</w:t>
            </w:r>
          </w:p>
          <w:p w14:paraId="01E40A01">
            <w:pPr>
              <w:pStyle w:val="52"/>
              <w:ind w:firstLine="0" w:firstLineChars="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表3-</w:t>
            </w:r>
            <w:r>
              <w:rPr>
                <w:rFonts w:hint="default" w:ascii="Times New Roman" w:hAnsi="Times New Roman" w:eastAsia="宋体" w:cs="Times New Roman"/>
                <w:color w:val="auto"/>
                <w:highlight w:val="none"/>
                <w:lang w:val="en-US" w:eastAsia="zh-CN"/>
              </w:rPr>
              <w:t xml:space="preserve">7  </w:t>
            </w:r>
            <w:r>
              <w:rPr>
                <w:rFonts w:hint="default" w:ascii="Times New Roman" w:hAnsi="Times New Roman" w:eastAsia="宋体" w:cs="Times New Roman"/>
                <w:color w:val="auto"/>
                <w:highlight w:val="none"/>
              </w:rPr>
              <w:t>建筑施工场界环境噪声排放限值</w:t>
            </w:r>
          </w:p>
          <w:tbl>
            <w:tblPr>
              <w:tblStyle w:val="38"/>
              <w:tblW w:w="5000" w:type="pct"/>
              <w:tblInd w:w="0" w:type="dxa"/>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0" w:type="dxa"/>
                <w:bottom w:w="0" w:type="dxa"/>
                <w:right w:w="0" w:type="dxa"/>
              </w:tblCellMar>
            </w:tblPr>
            <w:tblGrid>
              <w:gridCol w:w="2111"/>
              <w:gridCol w:w="1808"/>
              <w:gridCol w:w="3772"/>
            </w:tblGrid>
            <w:tr w14:paraId="4D168B1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c>
                <w:tcPr>
                  <w:tcW w:w="2547" w:type="pct"/>
                  <w:gridSpan w:val="2"/>
                  <w:tcBorders>
                    <w:top w:val="single" w:color="000000" w:sz="12" w:space="0"/>
                    <w:left w:val="nil"/>
                  </w:tcBorders>
                  <w:noWrap w:val="0"/>
                  <w:vAlign w:val="center"/>
                </w:tcPr>
                <w:p w14:paraId="6117EA36">
                  <w:pPr>
                    <w:widowControl/>
                    <w:adjustRightInd w:val="0"/>
                    <w:snapToGrid w:val="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噪声排放限值dB（A）</w:t>
                  </w:r>
                </w:p>
              </w:tc>
              <w:tc>
                <w:tcPr>
                  <w:tcW w:w="2452" w:type="pct"/>
                  <w:vMerge w:val="restart"/>
                  <w:tcBorders>
                    <w:top w:val="single" w:color="000000" w:sz="12" w:space="0"/>
                    <w:right w:val="nil"/>
                  </w:tcBorders>
                  <w:noWrap w:val="0"/>
                  <w:vAlign w:val="center"/>
                </w:tcPr>
                <w:p w14:paraId="37E9C884">
                  <w:pPr>
                    <w:widowControl/>
                    <w:adjustRightInd w:val="0"/>
                    <w:snapToGrid w:val="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标准来源</w:t>
                  </w:r>
                </w:p>
              </w:tc>
            </w:tr>
            <w:tr w14:paraId="052E5EF3">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c>
                <w:tcPr>
                  <w:tcW w:w="1372" w:type="pct"/>
                  <w:tcBorders>
                    <w:left w:val="nil"/>
                    <w:bottom w:val="single" w:color="000000" w:sz="12" w:space="0"/>
                  </w:tcBorders>
                  <w:noWrap w:val="0"/>
                  <w:vAlign w:val="center"/>
                </w:tcPr>
                <w:p w14:paraId="4D9F1473">
                  <w:pPr>
                    <w:widowControl/>
                    <w:adjustRightInd w:val="0"/>
                    <w:snapToGrid w:val="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昼间</w:t>
                  </w:r>
                </w:p>
              </w:tc>
              <w:tc>
                <w:tcPr>
                  <w:tcW w:w="1175" w:type="pct"/>
                  <w:tcBorders>
                    <w:bottom w:val="single" w:color="000000" w:sz="12" w:space="0"/>
                  </w:tcBorders>
                  <w:noWrap w:val="0"/>
                  <w:vAlign w:val="center"/>
                </w:tcPr>
                <w:p w14:paraId="4D680F19">
                  <w:pPr>
                    <w:widowControl/>
                    <w:adjustRightInd w:val="0"/>
                    <w:snapToGrid w:val="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夜间</w:t>
                  </w:r>
                </w:p>
              </w:tc>
              <w:tc>
                <w:tcPr>
                  <w:tcW w:w="2452" w:type="pct"/>
                  <w:vMerge w:val="continue"/>
                  <w:tcBorders>
                    <w:bottom w:val="single" w:color="000000" w:sz="12" w:space="0"/>
                    <w:right w:val="nil"/>
                  </w:tcBorders>
                  <w:noWrap w:val="0"/>
                  <w:vAlign w:val="center"/>
                </w:tcPr>
                <w:p w14:paraId="0AAE7745">
                  <w:pPr>
                    <w:widowControl/>
                    <w:adjustRightInd w:val="0"/>
                    <w:snapToGrid w:val="0"/>
                    <w:jc w:val="center"/>
                    <w:rPr>
                      <w:rFonts w:hint="default" w:ascii="Times New Roman" w:hAnsi="Times New Roman" w:eastAsia="宋体" w:cs="Times New Roman"/>
                      <w:b/>
                      <w:bCs/>
                      <w:color w:val="auto"/>
                      <w:szCs w:val="21"/>
                      <w:highlight w:val="none"/>
                    </w:rPr>
                  </w:pPr>
                </w:p>
              </w:tc>
            </w:tr>
            <w:tr w14:paraId="7ECEB013">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c>
                <w:tcPr>
                  <w:tcW w:w="1372" w:type="pct"/>
                  <w:tcBorders>
                    <w:top w:val="single" w:color="000000" w:sz="12" w:space="0"/>
                    <w:left w:val="nil"/>
                    <w:bottom w:val="single" w:color="000000" w:sz="12" w:space="0"/>
                    <w:tl2br w:val="nil"/>
                    <w:tr2bl w:val="nil"/>
                  </w:tcBorders>
                  <w:noWrap w:val="0"/>
                  <w:vAlign w:val="center"/>
                </w:tcPr>
                <w:p w14:paraId="7105066E">
                  <w:pPr>
                    <w:widowControl/>
                    <w:adjustRightInd w:val="0"/>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70</w:t>
                  </w:r>
                </w:p>
              </w:tc>
              <w:tc>
                <w:tcPr>
                  <w:tcW w:w="1175" w:type="pct"/>
                  <w:tcBorders>
                    <w:top w:val="single" w:color="000000" w:sz="12" w:space="0"/>
                    <w:bottom w:val="single" w:color="000000" w:sz="12" w:space="0"/>
                    <w:tl2br w:val="nil"/>
                    <w:tr2bl w:val="nil"/>
                  </w:tcBorders>
                  <w:noWrap w:val="0"/>
                  <w:vAlign w:val="center"/>
                </w:tcPr>
                <w:p w14:paraId="070F79DC">
                  <w:pPr>
                    <w:widowControl/>
                    <w:adjustRightInd w:val="0"/>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55</w:t>
                  </w:r>
                </w:p>
              </w:tc>
              <w:tc>
                <w:tcPr>
                  <w:tcW w:w="2452" w:type="pct"/>
                  <w:tcBorders>
                    <w:top w:val="single" w:color="000000" w:sz="12" w:space="0"/>
                    <w:bottom w:val="single" w:color="000000" w:sz="12" w:space="0"/>
                    <w:right w:val="nil"/>
                    <w:tl2br w:val="nil"/>
                    <w:tr2bl w:val="nil"/>
                  </w:tcBorders>
                  <w:noWrap w:val="0"/>
                  <w:vAlign w:val="center"/>
                </w:tcPr>
                <w:p w14:paraId="0F57612A">
                  <w:pPr>
                    <w:widowControl/>
                    <w:adjustRightInd w:val="0"/>
                    <w:snapToGrid w:val="0"/>
                    <w:jc w:val="both"/>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《建筑施工场界环境噪声排放标准》（GB12523-2011）</w:t>
                  </w:r>
                </w:p>
              </w:tc>
            </w:tr>
          </w:tbl>
          <w:p w14:paraId="2D29814C">
            <w:pPr>
              <w:pStyle w:val="52"/>
              <w:ind w:firstLine="0" w:firstLineChars="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表3</w:t>
            </w:r>
            <w:r>
              <w:rPr>
                <w:rFonts w:hint="default" w:ascii="Times New Roman" w:hAnsi="Times New Roman" w:eastAsia="宋体" w:cs="Times New Roman"/>
                <w:color w:val="auto"/>
                <w:highlight w:val="none"/>
                <w:lang w:val="en-US" w:eastAsia="zh-CN"/>
              </w:rPr>
              <w:t xml:space="preserve">-8  </w:t>
            </w:r>
            <w:r>
              <w:rPr>
                <w:rFonts w:hint="default" w:ascii="Times New Roman" w:hAnsi="Times New Roman" w:eastAsia="宋体" w:cs="Times New Roman"/>
                <w:color w:val="auto"/>
                <w:highlight w:val="none"/>
              </w:rPr>
              <w:t>工业企业厂界环境噪声排放标准</w:t>
            </w:r>
          </w:p>
          <w:tbl>
            <w:tblPr>
              <w:tblStyle w:val="38"/>
              <w:tblW w:w="5000" w:type="pct"/>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1211"/>
              <w:gridCol w:w="1447"/>
              <w:gridCol w:w="1262"/>
              <w:gridCol w:w="3781"/>
            </w:tblGrid>
            <w:tr w14:paraId="005A620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c>
                <w:tcPr>
                  <w:tcW w:w="786" w:type="pct"/>
                  <w:vMerge w:val="restart"/>
                  <w:noWrap w:val="0"/>
                  <w:vAlign w:val="center"/>
                </w:tcPr>
                <w:p w14:paraId="44CD0652">
                  <w:pPr>
                    <w:widowControl/>
                    <w:adjustRightInd w:val="0"/>
                    <w:snapToGrid w:val="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功能区类别</w:t>
                  </w:r>
                </w:p>
              </w:tc>
              <w:tc>
                <w:tcPr>
                  <w:tcW w:w="1758" w:type="pct"/>
                  <w:gridSpan w:val="2"/>
                  <w:noWrap w:val="0"/>
                  <w:vAlign w:val="center"/>
                </w:tcPr>
                <w:p w14:paraId="09A3D7FC">
                  <w:pPr>
                    <w:widowControl/>
                    <w:adjustRightInd w:val="0"/>
                    <w:snapToGrid w:val="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标准值dB（A）</w:t>
                  </w:r>
                </w:p>
              </w:tc>
              <w:tc>
                <w:tcPr>
                  <w:tcW w:w="2454" w:type="pct"/>
                  <w:vMerge w:val="restart"/>
                  <w:noWrap w:val="0"/>
                  <w:vAlign w:val="center"/>
                </w:tcPr>
                <w:p w14:paraId="62553EB7">
                  <w:pPr>
                    <w:widowControl/>
                    <w:adjustRightInd w:val="0"/>
                    <w:snapToGrid w:val="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标准来源</w:t>
                  </w:r>
                </w:p>
              </w:tc>
            </w:tr>
            <w:tr w14:paraId="07143A6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133" w:hRule="atLeast"/>
              </w:trPr>
              <w:tc>
                <w:tcPr>
                  <w:tcW w:w="786" w:type="pct"/>
                  <w:vMerge w:val="continue"/>
                  <w:tcBorders>
                    <w:bottom w:val="single" w:color="000000" w:sz="12" w:space="0"/>
                  </w:tcBorders>
                  <w:noWrap w:val="0"/>
                  <w:vAlign w:val="center"/>
                </w:tcPr>
                <w:p w14:paraId="38D45548">
                  <w:pPr>
                    <w:widowControl/>
                    <w:adjustRightInd w:val="0"/>
                    <w:snapToGrid w:val="0"/>
                    <w:jc w:val="center"/>
                    <w:rPr>
                      <w:rFonts w:hint="default" w:ascii="Times New Roman" w:hAnsi="Times New Roman" w:eastAsia="宋体" w:cs="Times New Roman"/>
                      <w:color w:val="auto"/>
                      <w:szCs w:val="21"/>
                      <w:highlight w:val="none"/>
                    </w:rPr>
                  </w:pPr>
                </w:p>
              </w:tc>
              <w:tc>
                <w:tcPr>
                  <w:tcW w:w="880" w:type="pct"/>
                  <w:tcBorders>
                    <w:bottom w:val="single" w:color="000000" w:sz="12" w:space="0"/>
                  </w:tcBorders>
                  <w:noWrap w:val="0"/>
                  <w:vAlign w:val="center"/>
                </w:tcPr>
                <w:p w14:paraId="390025C7">
                  <w:pPr>
                    <w:widowControl/>
                    <w:adjustRightInd w:val="0"/>
                    <w:snapToGrid w:val="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昼间</w:t>
                  </w:r>
                </w:p>
              </w:tc>
              <w:tc>
                <w:tcPr>
                  <w:tcW w:w="877" w:type="pct"/>
                  <w:tcBorders>
                    <w:bottom w:val="single" w:color="000000" w:sz="12" w:space="0"/>
                  </w:tcBorders>
                  <w:noWrap w:val="0"/>
                  <w:vAlign w:val="center"/>
                </w:tcPr>
                <w:p w14:paraId="3285953C">
                  <w:pPr>
                    <w:widowControl/>
                    <w:adjustRightInd w:val="0"/>
                    <w:snapToGrid w:val="0"/>
                    <w:jc w:val="center"/>
                    <w:rPr>
                      <w:rFonts w:hint="default" w:ascii="Times New Roman" w:hAnsi="Times New Roman" w:eastAsia="宋体" w:cs="Times New Roman"/>
                      <w:b/>
                      <w:bCs/>
                      <w:color w:val="auto"/>
                      <w:szCs w:val="21"/>
                      <w:highlight w:val="none"/>
                    </w:rPr>
                  </w:pPr>
                  <w:r>
                    <w:rPr>
                      <w:rFonts w:hint="default" w:ascii="Times New Roman" w:hAnsi="Times New Roman" w:eastAsia="宋体" w:cs="Times New Roman"/>
                      <w:b/>
                      <w:bCs/>
                      <w:color w:val="auto"/>
                      <w:szCs w:val="21"/>
                      <w:highlight w:val="none"/>
                    </w:rPr>
                    <w:t>夜间</w:t>
                  </w:r>
                </w:p>
              </w:tc>
              <w:tc>
                <w:tcPr>
                  <w:tcW w:w="2454" w:type="pct"/>
                  <w:vMerge w:val="continue"/>
                  <w:tcBorders>
                    <w:bottom w:val="single" w:color="000000" w:sz="12" w:space="0"/>
                  </w:tcBorders>
                  <w:noWrap w:val="0"/>
                  <w:vAlign w:val="center"/>
                </w:tcPr>
                <w:p w14:paraId="15F0CE89">
                  <w:pPr>
                    <w:widowControl/>
                    <w:adjustRightInd w:val="0"/>
                    <w:snapToGrid w:val="0"/>
                    <w:jc w:val="center"/>
                    <w:rPr>
                      <w:rFonts w:hint="default" w:ascii="Times New Roman" w:hAnsi="Times New Roman" w:eastAsia="宋体" w:cs="Times New Roman"/>
                      <w:color w:val="auto"/>
                      <w:szCs w:val="21"/>
                      <w:highlight w:val="none"/>
                    </w:rPr>
                  </w:pPr>
                </w:p>
              </w:tc>
            </w:tr>
            <w:tr w14:paraId="0A74B74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c>
                <w:tcPr>
                  <w:tcW w:w="786" w:type="pct"/>
                  <w:tcBorders>
                    <w:top w:val="single" w:color="000000" w:sz="12" w:space="0"/>
                    <w:tl2br w:val="nil"/>
                    <w:tr2bl w:val="nil"/>
                  </w:tcBorders>
                  <w:noWrap w:val="0"/>
                  <w:vAlign w:val="center"/>
                </w:tcPr>
                <w:p w14:paraId="0CCFF928">
                  <w:pPr>
                    <w:widowControl/>
                    <w:adjustRightInd w:val="0"/>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2</w:t>
                  </w:r>
                  <w:r>
                    <w:rPr>
                      <w:rFonts w:hint="default" w:ascii="Times New Roman" w:hAnsi="Times New Roman" w:eastAsia="宋体" w:cs="Times New Roman"/>
                      <w:color w:val="auto"/>
                      <w:szCs w:val="21"/>
                      <w:highlight w:val="none"/>
                    </w:rPr>
                    <w:t>类</w:t>
                  </w:r>
                </w:p>
              </w:tc>
              <w:tc>
                <w:tcPr>
                  <w:tcW w:w="880" w:type="pct"/>
                  <w:tcBorders>
                    <w:top w:val="single" w:color="000000" w:sz="12" w:space="0"/>
                    <w:tl2br w:val="nil"/>
                    <w:tr2bl w:val="nil"/>
                  </w:tcBorders>
                  <w:noWrap w:val="0"/>
                  <w:vAlign w:val="center"/>
                </w:tcPr>
                <w:p w14:paraId="1EB2A384">
                  <w:pPr>
                    <w:widowControl/>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rPr>
                    <w:t>6</w:t>
                  </w:r>
                  <w:r>
                    <w:rPr>
                      <w:rFonts w:hint="default" w:ascii="Times New Roman" w:hAnsi="Times New Roman" w:eastAsia="宋体" w:cs="Times New Roman"/>
                      <w:color w:val="auto"/>
                      <w:szCs w:val="21"/>
                      <w:highlight w:val="none"/>
                      <w:lang w:val="en-US" w:eastAsia="zh-CN"/>
                    </w:rPr>
                    <w:t>0</w:t>
                  </w:r>
                </w:p>
              </w:tc>
              <w:tc>
                <w:tcPr>
                  <w:tcW w:w="877" w:type="pct"/>
                  <w:tcBorders>
                    <w:top w:val="single" w:color="000000" w:sz="12" w:space="0"/>
                    <w:tl2br w:val="nil"/>
                    <w:tr2bl w:val="nil"/>
                  </w:tcBorders>
                  <w:noWrap w:val="0"/>
                  <w:vAlign w:val="center"/>
                </w:tcPr>
                <w:p w14:paraId="1C72B925">
                  <w:pPr>
                    <w:widowControl/>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rPr>
                    <w:t>5</w:t>
                  </w:r>
                  <w:r>
                    <w:rPr>
                      <w:rFonts w:hint="default" w:ascii="Times New Roman" w:hAnsi="Times New Roman" w:eastAsia="宋体" w:cs="Times New Roman"/>
                      <w:color w:val="auto"/>
                      <w:szCs w:val="21"/>
                      <w:highlight w:val="none"/>
                      <w:lang w:val="en-US" w:eastAsia="zh-CN"/>
                    </w:rPr>
                    <w:t>0</w:t>
                  </w:r>
                </w:p>
              </w:tc>
              <w:tc>
                <w:tcPr>
                  <w:tcW w:w="2454" w:type="pct"/>
                  <w:tcBorders>
                    <w:top w:val="single" w:color="000000" w:sz="12" w:space="0"/>
                    <w:tl2br w:val="nil"/>
                    <w:tr2bl w:val="nil"/>
                  </w:tcBorders>
                  <w:noWrap w:val="0"/>
                  <w:vAlign w:val="center"/>
                </w:tcPr>
                <w:p w14:paraId="0A49E3DD">
                  <w:pPr>
                    <w:widowControl/>
                    <w:adjustRightInd w:val="0"/>
                    <w:snapToGrid w:val="0"/>
                    <w:jc w:val="both"/>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《工业企业厂界环境噪声排放标准》（GB12348-2008）中</w:t>
                  </w:r>
                  <w:r>
                    <w:rPr>
                      <w:rFonts w:hint="default" w:ascii="Times New Roman" w:hAnsi="Times New Roman" w:eastAsia="宋体" w:cs="Times New Roman"/>
                      <w:color w:val="auto"/>
                      <w:szCs w:val="21"/>
                      <w:highlight w:val="none"/>
                      <w:lang w:val="en-US" w:eastAsia="zh-CN"/>
                    </w:rPr>
                    <w:t>2</w:t>
                  </w:r>
                  <w:r>
                    <w:rPr>
                      <w:rFonts w:hint="default" w:ascii="Times New Roman" w:hAnsi="Times New Roman" w:eastAsia="宋体" w:cs="Times New Roman"/>
                      <w:color w:val="auto"/>
                      <w:szCs w:val="21"/>
                      <w:highlight w:val="none"/>
                    </w:rPr>
                    <w:t>类标准</w:t>
                  </w:r>
                </w:p>
              </w:tc>
            </w:tr>
          </w:tbl>
          <w:p w14:paraId="4F869018">
            <w:pPr>
              <w:widowControl/>
              <w:snapToGrid w:val="0"/>
              <w:spacing w:before="0" w:after="0" w:line="500" w:lineRule="exact"/>
              <w:ind w:right="0" w:firstLine="480" w:firstLineChars="200"/>
              <w:jc w:val="both"/>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（4）固废处置执行《一般工业固体废物贮存和填埋污染控制标准》（GB 18599-2020）；危险废物执行《危险废物贮存污染控制标准》（GB1859</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7</w:t>
            </w: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-2023）。</w:t>
            </w:r>
          </w:p>
        </w:tc>
      </w:tr>
      <w:tr w14:paraId="63F769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557" w:type="dxa"/>
            <w:tcBorders>
              <w:tl2br w:val="nil"/>
              <w:tr2bl w:val="nil"/>
            </w:tcBorders>
            <w:noWrap w:val="0"/>
            <w:vAlign w:val="center"/>
          </w:tcPr>
          <w:p w14:paraId="56458E29">
            <w:pPr>
              <w:pStyle w:val="72"/>
              <w:bidi w:val="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其他</w:t>
            </w:r>
          </w:p>
        </w:tc>
        <w:tc>
          <w:tcPr>
            <w:tcW w:w="7917" w:type="dxa"/>
            <w:tcBorders>
              <w:tl2br w:val="nil"/>
              <w:tr2bl w:val="nil"/>
            </w:tcBorders>
            <w:noWrap w:val="0"/>
            <w:vAlign w:val="center"/>
          </w:tcPr>
          <w:p w14:paraId="315C9555">
            <w:pPr>
              <w:widowControl/>
              <w:snapToGrid w:val="0"/>
              <w:spacing w:before="0" w:after="0" w:line="500" w:lineRule="exact"/>
              <w:ind w:right="0" w:firstLine="480" w:firstLineChars="200"/>
              <w:jc w:val="both"/>
              <w:rPr>
                <w:rFonts w:hint="default" w:ascii="Times New Roman" w:hAnsi="Times New Roman" w:eastAsia="宋体" w:cs="Times New Roman"/>
                <w:color w:val="000000" w:themeColor="text1"/>
                <w:spacing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结合所在区域的环境特征及本项目排污情况，本项目颗粒物排放量4.54t/a，根据重点区域大气污染物实行2倍替代的要求，特申请颗粒物总量指标9.08t/a，具体以区域削减或排污权交易方式获得，最终以排污许可证形式落实。</w:t>
            </w:r>
          </w:p>
        </w:tc>
      </w:tr>
    </w:tbl>
    <w:p w14:paraId="0895768B">
      <w:pPr>
        <w:rPr>
          <w:rFonts w:hint="default" w:ascii="Times New Roman" w:hAnsi="Times New Roman" w:eastAsia="宋体" w:cs="Times New Roman"/>
          <w:b/>
          <w:bCs/>
          <w:snapToGrid w:val="0"/>
          <w:color w:val="000000" w:themeColor="text1"/>
          <w:sz w:val="30"/>
          <w:szCs w:val="30"/>
          <w:highlight w:val="none"/>
          <w14:textFill>
            <w14:solidFill>
              <w14:schemeClr w14:val="tx1"/>
            </w14:solidFill>
          </w14:textFill>
        </w:rPr>
      </w:pPr>
      <w:r>
        <w:rPr>
          <w:rFonts w:hint="default" w:ascii="Times New Roman" w:hAnsi="Times New Roman" w:eastAsia="宋体" w:cs="Times New Roman"/>
          <w:b/>
          <w:bCs/>
          <w:snapToGrid w:val="0"/>
          <w:color w:val="000000" w:themeColor="text1"/>
          <w:sz w:val="30"/>
          <w:szCs w:val="30"/>
          <w:highlight w:val="none"/>
          <w14:textFill>
            <w14:solidFill>
              <w14:schemeClr w14:val="tx1"/>
            </w14:solidFill>
          </w14:textFill>
        </w:rPr>
        <w:br w:type="page"/>
      </w:r>
    </w:p>
    <w:p w14:paraId="396B23CA">
      <w:pPr>
        <w:pStyle w:val="34"/>
        <w:spacing w:beforeLines="-2147483648" w:afterLines="-2147483648" w:line="240" w:lineRule="auto"/>
        <w:ind w:firstLine="0" w:firstLineChars="0"/>
        <w:jc w:val="center"/>
        <w:outlineLvl w:val="0"/>
        <w:rPr>
          <w:rFonts w:hint="default" w:ascii="Times New Roman" w:hAnsi="Times New Roman" w:eastAsia="宋体" w:cs="Times New Roman"/>
          <w:b/>
          <w:bCs/>
          <w:snapToGrid w:val="0"/>
          <w:color w:val="000000" w:themeColor="text1"/>
          <w:sz w:val="30"/>
          <w:szCs w:val="30"/>
          <w:highlight w:val="none"/>
          <w14:textFill>
            <w14:solidFill>
              <w14:schemeClr w14:val="tx1"/>
            </w14:solidFill>
          </w14:textFill>
        </w:rPr>
      </w:pPr>
      <w:r>
        <w:rPr>
          <w:rFonts w:hint="default" w:ascii="Times New Roman" w:hAnsi="Times New Roman" w:eastAsia="宋体" w:cs="Times New Roman"/>
          <w:b/>
          <w:bCs/>
          <w:snapToGrid w:val="0"/>
          <w:color w:val="000000" w:themeColor="text1"/>
          <w:sz w:val="30"/>
          <w:szCs w:val="30"/>
          <w:highlight w:val="none"/>
          <w14:textFill>
            <w14:solidFill>
              <w14:schemeClr w14:val="tx1"/>
            </w14:solidFill>
          </w14:textFill>
        </w:rPr>
        <w:t>四、生态环境影响分析</w:t>
      </w:r>
    </w:p>
    <w:tbl>
      <w:tblPr>
        <w:tblStyle w:val="38"/>
        <w:tblW w:w="935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3"/>
        <w:gridCol w:w="8571"/>
      </w:tblGrid>
      <w:tr w14:paraId="5792ED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6" w:type="dxa"/>
            <w:tcBorders>
              <w:tl2br w:val="nil"/>
              <w:tr2bl w:val="nil"/>
            </w:tcBorders>
            <w:noWrap w:val="0"/>
            <w:tcMar>
              <w:left w:w="28" w:type="dxa"/>
              <w:right w:w="28" w:type="dxa"/>
            </w:tcMar>
            <w:vAlign w:val="center"/>
          </w:tcPr>
          <w:p w14:paraId="4178E8B1">
            <w:pPr>
              <w:pStyle w:val="72"/>
              <w:bidi w:val="0"/>
              <w:rPr>
                <w:rFonts w:hint="default" w:ascii="Times New Roman" w:hAnsi="Times New Roman" w:eastAsia="宋体" w:cs="Times New Roman"/>
                <w:color w:val="000000" w:themeColor="text1"/>
                <w:highlight w:val="none"/>
                <w14:textFill>
                  <w14:solidFill>
                    <w14:schemeClr w14:val="tx1"/>
                  </w14:solidFill>
                </w14:textFill>
              </w:rPr>
            </w:pPr>
            <w:bookmarkStart w:id="2" w:name="_Hlk49796138"/>
            <w:r>
              <w:rPr>
                <w:rFonts w:hint="default" w:ascii="Times New Roman" w:hAnsi="Times New Roman" w:eastAsia="宋体" w:cs="Times New Roman"/>
                <w:bCs/>
                <w:color w:val="000000" w:themeColor="text1"/>
                <w:spacing w:val="10"/>
                <w:kern w:val="2"/>
                <w:highlight w:val="none"/>
                <w14:textFill>
                  <w14:solidFill>
                    <w14:schemeClr w14:val="tx1"/>
                  </w14:solidFill>
                </w14:textFill>
              </w:rPr>
              <w:t>施工期生态环境影响分析</w:t>
            </w:r>
            <w:bookmarkEnd w:id="2"/>
          </w:p>
        </w:tc>
        <w:tc>
          <w:tcPr>
            <w:tcW w:w="8162" w:type="dxa"/>
            <w:tcBorders>
              <w:tl2br w:val="nil"/>
              <w:tr2bl w:val="nil"/>
            </w:tcBorders>
            <w:noWrap w:val="0"/>
            <w:vAlign w:val="center"/>
          </w:tcPr>
          <w:p w14:paraId="5127F6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outlineLvl w:val="9"/>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1、施工期大气污染影响分析</w:t>
            </w:r>
          </w:p>
          <w:p w14:paraId="47BC179C">
            <w:pPr>
              <w:keepNext w:val="0"/>
              <w:keepLines w:val="0"/>
              <w:pageBreakBefore w:val="0"/>
              <w:widowControl w:val="0"/>
              <w:kinsoku/>
              <w:wordWrap/>
              <w:overflowPunct/>
              <w:topLinePunct/>
              <w:bidi w:val="0"/>
              <w:adjustRightInd/>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snapToGrid w:val="0"/>
                <w:color w:val="000000" w:themeColor="text1"/>
                <w:kern w:val="0"/>
                <w:sz w:val="24"/>
                <w:szCs w:val="24"/>
                <w:highlight w:val="none"/>
                <w:shd w:val="clear" w:color="auto" w:fill="auto"/>
                <w:lang w:val="en-US"/>
                <w14:textFill>
                  <w14:solidFill>
                    <w14:schemeClr w14:val="tx1"/>
                  </w14:solidFill>
                </w14:textFill>
              </w:rPr>
            </w:pPr>
            <w:r>
              <w:rPr>
                <w:rFonts w:hint="default" w:ascii="Times New Roman" w:hAnsi="Times New Roman" w:eastAsia="宋体" w:cs="Times New Roman"/>
                <w:snapToGrid w:val="0"/>
                <w:color w:val="000000" w:themeColor="text1"/>
                <w:kern w:val="0"/>
                <w:sz w:val="24"/>
                <w:szCs w:val="24"/>
                <w:highlight w:val="none"/>
                <w:shd w:val="clear" w:color="auto" w:fill="auto"/>
                <w14:textFill>
                  <w14:solidFill>
                    <w14:schemeClr w14:val="tx1"/>
                  </w14:solidFill>
                </w14:textFill>
              </w:rPr>
              <w:t>施工期产生的大气污染物</w:t>
            </w:r>
            <w:r>
              <w:rPr>
                <w:rFonts w:hint="default" w:ascii="Times New Roman" w:hAnsi="Times New Roman" w:eastAsia="宋体" w:cs="Times New Roman"/>
                <w:snapToGrid w:val="0"/>
                <w:color w:val="000000" w:themeColor="text1"/>
                <w:kern w:val="0"/>
                <w:sz w:val="24"/>
                <w:szCs w:val="24"/>
                <w:highlight w:val="none"/>
                <w:shd w:val="clear" w:color="auto" w:fill="auto"/>
                <w:lang w:val="en-US" w:eastAsia="zh-CN"/>
                <w14:textFill>
                  <w14:solidFill>
                    <w14:schemeClr w14:val="tx1"/>
                  </w14:solidFill>
                </w14:textFill>
              </w:rPr>
              <w:t>主要分为两类，一是施工扬尘，主要来源于物料运输</w:t>
            </w:r>
            <w:r>
              <w:rPr>
                <w:rFonts w:hint="default" w:ascii="Times New Roman" w:hAnsi="Times New Roman" w:eastAsia="宋体" w:cs="Times New Roman"/>
                <w:snapToGrid w:val="0"/>
                <w:color w:val="000000" w:themeColor="text1"/>
                <w:kern w:val="0"/>
                <w:sz w:val="24"/>
                <w:szCs w:val="24"/>
                <w:highlight w:val="none"/>
                <w:shd w:val="clear" w:color="auto" w:fill="auto"/>
                <w14:textFill>
                  <w14:solidFill>
                    <w14:schemeClr w14:val="tx1"/>
                  </w14:solidFill>
                </w14:textFill>
              </w:rPr>
              <w:t>、</w:t>
            </w:r>
            <w:r>
              <w:rPr>
                <w:rFonts w:hint="default" w:ascii="Times New Roman" w:hAnsi="Times New Roman" w:eastAsia="宋体" w:cs="Times New Roman"/>
                <w:snapToGrid w:val="0"/>
                <w:color w:val="000000" w:themeColor="text1"/>
                <w:kern w:val="0"/>
                <w:sz w:val="24"/>
                <w:szCs w:val="24"/>
                <w:highlight w:val="none"/>
                <w:shd w:val="clear" w:color="auto" w:fill="auto"/>
                <w:lang w:val="en-US" w:eastAsia="zh-CN"/>
                <w14:textFill>
                  <w14:solidFill>
                    <w14:schemeClr w14:val="tx1"/>
                  </w14:solidFill>
                </w14:textFill>
              </w:rPr>
              <w:t>装卸</w:t>
            </w:r>
            <w:r>
              <w:rPr>
                <w:rFonts w:hint="default" w:ascii="Times New Roman" w:hAnsi="Times New Roman" w:eastAsia="宋体" w:cs="Times New Roman"/>
                <w:snapToGrid w:val="0"/>
                <w:color w:val="000000" w:themeColor="text1"/>
                <w:kern w:val="0"/>
                <w:sz w:val="24"/>
                <w:szCs w:val="24"/>
                <w:highlight w:val="none"/>
                <w:shd w:val="clear" w:color="auto" w:fill="auto"/>
                <w14:textFill>
                  <w14:solidFill>
                    <w14:schemeClr w14:val="tx1"/>
                  </w14:solidFill>
                </w14:textFill>
              </w:rPr>
              <w:t>、</w:t>
            </w:r>
            <w:r>
              <w:rPr>
                <w:rFonts w:hint="default" w:ascii="Times New Roman" w:hAnsi="Times New Roman" w:eastAsia="宋体" w:cs="Times New Roman"/>
                <w:snapToGrid w:val="0"/>
                <w:color w:val="000000" w:themeColor="text1"/>
                <w:kern w:val="0"/>
                <w:sz w:val="24"/>
                <w:szCs w:val="24"/>
                <w:highlight w:val="none"/>
                <w:shd w:val="clear" w:color="auto" w:fill="auto"/>
                <w:lang w:val="en-US" w:eastAsia="zh-CN"/>
                <w14:textFill>
                  <w14:solidFill>
                    <w14:schemeClr w14:val="tx1"/>
                  </w14:solidFill>
                </w14:textFill>
              </w:rPr>
              <w:t>堆放过程以及施工垃圾清运和运输车辆产生的道路扬尘等；二是施工机械和运输车辆运作过程中产生的</w:t>
            </w:r>
            <w:r>
              <w:rPr>
                <w:rFonts w:hint="default" w:ascii="Times New Roman" w:hAnsi="Times New Roman" w:eastAsia="宋体" w:cs="Times New Roman"/>
                <w:snapToGrid w:val="0"/>
                <w:color w:val="000000" w:themeColor="text1"/>
                <w:kern w:val="0"/>
                <w:sz w:val="24"/>
                <w:szCs w:val="24"/>
                <w:highlight w:val="none"/>
                <w:shd w:val="clear" w:color="auto" w:fill="auto"/>
                <w14:textFill>
                  <w14:solidFill>
                    <w14:schemeClr w14:val="tx1"/>
                  </w14:solidFill>
                </w14:textFill>
              </w:rPr>
              <w:t>少量SO</w:t>
            </w:r>
            <w:r>
              <w:rPr>
                <w:rFonts w:hint="default" w:ascii="Times New Roman" w:hAnsi="Times New Roman" w:eastAsia="宋体" w:cs="Times New Roman"/>
                <w:snapToGrid w:val="0"/>
                <w:color w:val="000000" w:themeColor="text1"/>
                <w:kern w:val="0"/>
                <w:sz w:val="24"/>
                <w:szCs w:val="24"/>
                <w:highlight w:val="none"/>
                <w:shd w:val="clear" w:color="auto" w:fill="auto"/>
                <w:vertAlign w:val="subscript"/>
                <w14:textFill>
                  <w14:solidFill>
                    <w14:schemeClr w14:val="tx1"/>
                  </w14:solidFill>
                </w14:textFill>
              </w:rPr>
              <w:t>2</w:t>
            </w:r>
            <w:r>
              <w:rPr>
                <w:rFonts w:hint="default" w:ascii="Times New Roman" w:hAnsi="Times New Roman" w:eastAsia="宋体" w:cs="Times New Roman"/>
                <w:snapToGrid w:val="0"/>
                <w:color w:val="000000" w:themeColor="text1"/>
                <w:kern w:val="0"/>
                <w:sz w:val="24"/>
                <w:szCs w:val="24"/>
                <w:highlight w:val="none"/>
                <w:shd w:val="clear" w:color="auto" w:fill="auto"/>
                <w14:textFill>
                  <w14:solidFill>
                    <w14:schemeClr w14:val="tx1"/>
                  </w14:solidFill>
                </w14:textFill>
              </w:rPr>
              <w:t>、NO</w:t>
            </w:r>
            <w:r>
              <w:rPr>
                <w:rFonts w:hint="default" w:ascii="Times New Roman" w:hAnsi="Times New Roman" w:eastAsia="宋体" w:cs="Times New Roman"/>
                <w:snapToGrid w:val="0"/>
                <w:color w:val="000000" w:themeColor="text1"/>
                <w:kern w:val="0"/>
                <w:sz w:val="24"/>
                <w:szCs w:val="24"/>
                <w:highlight w:val="none"/>
                <w:shd w:val="clear" w:color="auto" w:fill="auto"/>
                <w:vertAlign w:val="subscript"/>
                <w14:textFill>
                  <w14:solidFill>
                    <w14:schemeClr w14:val="tx1"/>
                  </w14:solidFill>
                </w14:textFill>
              </w:rPr>
              <w:t>x</w:t>
            </w:r>
            <w:r>
              <w:rPr>
                <w:rFonts w:hint="default" w:ascii="Times New Roman" w:hAnsi="Times New Roman" w:eastAsia="宋体" w:cs="Times New Roman"/>
                <w:snapToGrid w:val="0"/>
                <w:color w:val="000000" w:themeColor="text1"/>
                <w:kern w:val="0"/>
                <w:sz w:val="24"/>
                <w:szCs w:val="24"/>
                <w:highlight w:val="none"/>
                <w:shd w:val="clear" w:color="auto" w:fill="auto"/>
                <w14:textFill>
                  <w14:solidFill>
                    <w14:schemeClr w14:val="tx1"/>
                  </w14:solidFill>
                </w14:textFill>
              </w:rPr>
              <w:t>、CO等</w:t>
            </w:r>
            <w:r>
              <w:rPr>
                <w:rFonts w:hint="default" w:ascii="Times New Roman" w:hAnsi="Times New Roman" w:eastAsia="宋体" w:cs="Times New Roman"/>
                <w:snapToGrid w:val="0"/>
                <w:color w:val="000000" w:themeColor="text1"/>
                <w:kern w:val="0"/>
                <w:sz w:val="24"/>
                <w:szCs w:val="24"/>
                <w:highlight w:val="none"/>
                <w:shd w:val="clear" w:color="auto" w:fill="auto"/>
                <w:lang w:val="en-US" w:eastAsia="zh-CN"/>
                <w14:textFill>
                  <w14:solidFill>
                    <w14:schemeClr w14:val="tx1"/>
                  </w14:solidFill>
                </w14:textFill>
              </w:rPr>
              <w:t>废气。</w:t>
            </w:r>
          </w:p>
          <w:p w14:paraId="08849CC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outlineLvl w:val="9"/>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1.1 施工扬尘</w:t>
            </w:r>
          </w:p>
          <w:p w14:paraId="30DA58E1">
            <w:pPr>
              <w:keepNext w:val="0"/>
              <w:keepLines w:val="0"/>
              <w:pageBreakBefore w:val="0"/>
              <w:widowControl w:val="0"/>
              <w:kinsoku/>
              <w:wordWrap/>
              <w:overflowPunct/>
              <w:bidi w:val="0"/>
              <w:adjustRightInd/>
              <w:snapToGrid/>
              <w:spacing w:line="360" w:lineRule="auto"/>
              <w:ind w:firstLine="480" w:firstLineChars="200"/>
              <w:textAlignment w:val="auto"/>
              <w:outlineLvl w:val="9"/>
              <w:rPr>
                <w:rFonts w:hint="default" w:ascii="Times New Roman" w:hAnsi="Times New Roman" w:eastAsia="宋体" w:cs="Times New Roman"/>
                <w:color w:val="000000" w:themeColor="text1"/>
                <w:sz w:val="24"/>
                <w:szCs w:val="24"/>
                <w:highlight w:val="none"/>
                <w:shd w:val="clear" w:color="auto" w:fill="FFFFFF"/>
                <w14:textFill>
                  <w14:solidFill>
                    <w14:schemeClr w14:val="tx1"/>
                  </w14:solidFill>
                </w14:textFill>
              </w:rPr>
            </w:pPr>
            <w:r>
              <w:rPr>
                <w:rFonts w:hint="default" w:ascii="Times New Roman" w:hAnsi="Times New Roman" w:eastAsia="宋体" w:cs="Times New Roman"/>
                <w:snapToGrid w:val="0"/>
                <w:color w:val="000000" w:themeColor="text1"/>
                <w:kern w:val="0"/>
                <w:sz w:val="24"/>
                <w:szCs w:val="24"/>
                <w:highlight w:val="none"/>
                <w:lang w:val="en-US" w:eastAsia="zh-CN" w:bidi="ar-SA"/>
                <w14:textFill>
                  <w14:solidFill>
                    <w14:schemeClr w14:val="tx1"/>
                  </w14:solidFill>
                </w14:textFill>
              </w:rPr>
              <w:t>施工扬尘包括物料堆放引起的扬尘、物料现场装卸产生的扬尘、运输过程产生的粉尘散落，主要污染物为TSP。</w:t>
            </w:r>
            <w:r>
              <w:rPr>
                <w:rFonts w:hint="default" w:ascii="Times New Roman" w:hAnsi="Times New Roman" w:eastAsia="宋体" w:cs="Times New Roman"/>
                <w:color w:val="000000" w:themeColor="text1"/>
                <w:sz w:val="24"/>
                <w:szCs w:val="24"/>
                <w:highlight w:val="none"/>
                <w:shd w:val="clear" w:color="auto" w:fill="FFFFFF"/>
                <w14:textFill>
                  <w14:solidFill>
                    <w14:schemeClr w14:val="tx1"/>
                  </w14:solidFill>
                </w14:textFill>
              </w:rPr>
              <w:t>根据类比分析，施工工地扬尘的污染影响范围和程度随着距离的不同而有所差异，在施工场地及其下风向0</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z w:val="24"/>
                <w:szCs w:val="24"/>
                <w:highlight w:val="none"/>
                <w:shd w:val="clear" w:color="auto" w:fill="FFFFFF"/>
                <w14:textFill>
                  <w14:solidFill>
                    <w14:schemeClr w14:val="tx1"/>
                  </w14:solidFill>
                </w14:textFill>
              </w:rPr>
              <w:t>50m为污染带，100</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z w:val="24"/>
                <w:szCs w:val="24"/>
                <w:highlight w:val="none"/>
                <w:shd w:val="clear" w:color="auto" w:fill="FFFFFF"/>
                <w14:textFill>
                  <w14:solidFill>
                    <w14:schemeClr w14:val="tx1"/>
                  </w14:solidFill>
                </w14:textFill>
              </w:rPr>
              <w:t>200m为轻污染带，200m以外对空气影响甚微。因此，施工扬尘影响范围主要在施工点周围50m内。据项目可研报告，施工场地</w:t>
            </w:r>
            <w:r>
              <w:rPr>
                <w:rFonts w:hint="default" w:ascii="Times New Roman" w:hAnsi="Times New Roman" w:eastAsia="宋体" w:cs="Times New Roman"/>
                <w:color w:val="000000" w:themeColor="text1"/>
                <w:sz w:val="24"/>
                <w:highlight w:val="none"/>
                <w14:textFill>
                  <w14:solidFill>
                    <w14:schemeClr w14:val="tx1"/>
                  </w14:solidFill>
                </w14:textFill>
              </w:rPr>
              <w:t>交通系统利用现有交通道路，实现施工现场与场外人员、材料、设备的转运。</w:t>
            </w:r>
            <w:r>
              <w:rPr>
                <w:rFonts w:hint="default" w:ascii="Times New Roman" w:hAnsi="Times New Roman" w:eastAsia="宋体" w:cs="Times New Roman"/>
                <w:color w:val="000000" w:themeColor="text1"/>
                <w:sz w:val="24"/>
                <w:szCs w:val="24"/>
                <w:highlight w:val="none"/>
                <w:shd w:val="clear" w:color="auto" w:fill="FFFFFF"/>
                <w14:textFill>
                  <w14:solidFill>
                    <w14:schemeClr w14:val="tx1"/>
                  </w14:solidFill>
                </w14:textFill>
              </w:rPr>
              <w:t>因此，建设单位和施工单位应重</w:t>
            </w:r>
            <w:r>
              <w:rPr>
                <w:rFonts w:hint="default" w:ascii="Times New Roman" w:hAnsi="Times New Roman" w:eastAsia="宋体" w:cs="Times New Roman"/>
                <w:color w:val="000000" w:themeColor="text1"/>
                <w:sz w:val="24"/>
                <w:szCs w:val="24"/>
                <w:highlight w:val="none"/>
                <w14:textFill>
                  <w14:solidFill>
                    <w14:schemeClr w14:val="tx1"/>
                  </w14:solidFill>
                </w14:textFill>
              </w:rPr>
              <w:t>视施工现场的防尘措施，施工场地</w:t>
            </w:r>
            <w:r>
              <w:rPr>
                <w:rFonts w:hint="default" w:ascii="Times New Roman" w:hAnsi="Times New Roman" w:eastAsia="宋体" w:cs="Times New Roman"/>
                <w:color w:val="000000" w:themeColor="text1"/>
                <w:sz w:val="24"/>
                <w:highlight w:val="none"/>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道路运输及主要的出入口应经常洒水，运输车辆需加盖篷布、密闭运输，严禁抛洒滴漏，运输车辆驶离施工区前，必须将车辆的槽帮和车轮用高压水枪设备冲洗干净。尽量缩小施工扬尘的影响范围，以减轻扬尘对环境的污染。</w:t>
            </w:r>
          </w:p>
          <w:p w14:paraId="64F4B18B">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0" w:firstLineChars="0"/>
              <w:jc w:val="both"/>
              <w:textAlignment w:val="auto"/>
              <w:outlineLvl w:val="9"/>
              <w:rPr>
                <w:rFonts w:hint="default" w:ascii="Times New Roman" w:hAnsi="Times New Roman" w:eastAsia="宋体" w:cs="Times New Roman"/>
                <w:b/>
                <w:bCs/>
                <w:color w:val="000000" w:themeColor="text1"/>
                <w:kern w:val="28"/>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kern w:val="28"/>
                <w:sz w:val="24"/>
                <w:szCs w:val="24"/>
                <w:highlight w:val="none"/>
                <w:lang w:val="en-US" w:eastAsia="zh-CN"/>
                <w14:textFill>
                  <w14:solidFill>
                    <w14:schemeClr w14:val="tx1"/>
                  </w14:solidFill>
                </w14:textFill>
              </w:rPr>
              <w:t>1.2 燃油机械废气及车辆尾气</w:t>
            </w:r>
          </w:p>
          <w:p w14:paraId="181478C9">
            <w:pPr>
              <w:keepNext w:val="0"/>
              <w:keepLines w:val="0"/>
              <w:pageBreakBefore w:val="0"/>
              <w:widowControl w:val="0"/>
              <w:kinsoku/>
              <w:wordWrap/>
              <w:overflowPunct/>
              <w:bidi w:val="0"/>
              <w:adjustRightInd/>
              <w:snapToGrid/>
              <w:spacing w:line="360" w:lineRule="auto"/>
              <w:ind w:firstLine="480" w:firstLineChars="200"/>
              <w:textAlignment w:val="auto"/>
              <w:outlineLvl w:val="9"/>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施工燃油机械和运输车辆运作过程中将产生含SO</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2</w:t>
            </w:r>
            <w:r>
              <w:rPr>
                <w:rFonts w:hint="default" w:ascii="Times New Roman" w:hAnsi="Times New Roman" w:eastAsia="宋体" w:cs="Times New Roman"/>
                <w:color w:val="000000" w:themeColor="text1"/>
                <w:sz w:val="24"/>
                <w:szCs w:val="24"/>
                <w:highlight w:val="none"/>
                <w14:textFill>
                  <w14:solidFill>
                    <w14:schemeClr w14:val="tx1"/>
                  </w14:solidFill>
                </w14:textFill>
              </w:rPr>
              <w:t>、NO</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x</w:t>
            </w:r>
            <w:r>
              <w:rPr>
                <w:rFonts w:hint="default" w:ascii="Times New Roman" w:hAnsi="Times New Roman" w:eastAsia="宋体" w:cs="Times New Roman"/>
                <w:color w:val="000000" w:themeColor="text1"/>
                <w:sz w:val="24"/>
                <w:szCs w:val="24"/>
                <w:highlight w:val="none"/>
                <w14:textFill>
                  <w14:solidFill>
                    <w14:schemeClr w14:val="tx1"/>
                  </w14:solidFill>
                </w14:textFill>
              </w:rPr>
              <w:t>、CO等气体。根据相关资料，每耗1升油料，排放空气污染物NO</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x</w:t>
            </w:r>
            <w:r>
              <w:rPr>
                <w:rFonts w:hint="default" w:ascii="Times New Roman" w:hAnsi="Times New Roman" w:eastAsia="宋体" w:cs="Times New Roman"/>
                <w:color w:val="000000" w:themeColor="text1"/>
                <w:sz w:val="24"/>
                <w:szCs w:val="24"/>
                <w:highlight w:val="none"/>
                <w14:textFill>
                  <w14:solidFill>
                    <w14:schemeClr w14:val="tx1"/>
                  </w14:solidFill>
                </w14:textFill>
              </w:rPr>
              <w:t>9g，SO</w:t>
            </w:r>
            <w:r>
              <w:rPr>
                <w:rFonts w:hint="default" w:ascii="Times New Roman" w:hAnsi="Times New Roman" w:eastAsia="宋体" w:cs="Times New Roman"/>
                <w:color w:val="000000" w:themeColor="text1"/>
                <w:sz w:val="24"/>
                <w:szCs w:val="24"/>
                <w:highlight w:val="none"/>
                <w:vertAlign w:val="subscript"/>
                <w14:textFill>
                  <w14:solidFill>
                    <w14:schemeClr w14:val="tx1"/>
                  </w14:solidFill>
                </w14:textFill>
              </w:rPr>
              <w:t>2</w:t>
            </w:r>
            <w:r>
              <w:rPr>
                <w:rFonts w:hint="default" w:ascii="Times New Roman" w:hAnsi="Times New Roman" w:eastAsia="宋体" w:cs="Times New Roman"/>
                <w:color w:val="000000" w:themeColor="text1"/>
                <w:sz w:val="24"/>
                <w:szCs w:val="24"/>
                <w:highlight w:val="none"/>
                <w14:textFill>
                  <w14:solidFill>
                    <w14:schemeClr w14:val="tx1"/>
                  </w14:solidFill>
                </w14:textFill>
              </w:rPr>
              <w:t>3.24g，CO27g。</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符合《非道路移动机械用柴油机排气污染物排放限值及测量方法（中国第三、四阶段）》（GB20891-2014）表2中相关限值，</w:t>
            </w:r>
            <w:r>
              <w:rPr>
                <w:rFonts w:hint="default" w:ascii="Times New Roman" w:hAnsi="Times New Roman" w:eastAsia="宋体" w:cs="Times New Roman"/>
                <w:color w:val="000000" w:themeColor="text1"/>
                <w:sz w:val="24"/>
                <w:szCs w:val="24"/>
                <w:highlight w:val="none"/>
                <w14:textFill>
                  <w14:solidFill>
                    <w14:schemeClr w14:val="tx1"/>
                  </w14:solidFill>
                </w14:textFill>
              </w:rPr>
              <w:t>由于此类废气系无组织流动性排放，应选择尾气排放达标的施工燃油机械和运输车辆，并对施工燃油机械车辆定期养护以减少尾气中污染物的含量，尾气中污染物经稀释扩散后</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基本</w:t>
            </w:r>
            <w:r>
              <w:rPr>
                <w:rFonts w:hint="default" w:ascii="Times New Roman" w:hAnsi="Times New Roman" w:eastAsia="宋体" w:cs="Times New Roman"/>
                <w:color w:val="000000" w:themeColor="text1"/>
                <w:sz w:val="24"/>
                <w:szCs w:val="24"/>
                <w:highlight w:val="none"/>
                <w14:textFill>
                  <w14:solidFill>
                    <w14:schemeClr w14:val="tx1"/>
                  </w14:solidFill>
                </w14:textFill>
              </w:rPr>
              <w:t>不会对周边空气环境产生明显影响。</w:t>
            </w:r>
          </w:p>
          <w:p w14:paraId="0511EDD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outlineLvl w:val="9"/>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2、施工期水环境影响分析</w:t>
            </w:r>
          </w:p>
          <w:p w14:paraId="14A41CB8">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snapToGrid w:val="0"/>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0"/>
                <w:sz w:val="24"/>
                <w:szCs w:val="24"/>
                <w:highlight w:val="none"/>
                <w:lang w:val="en-US" w:eastAsia="zh-CN"/>
                <w14:textFill>
                  <w14:solidFill>
                    <w14:schemeClr w14:val="tx1"/>
                  </w14:solidFill>
                </w14:textFill>
              </w:rPr>
              <w:t>2.1生活污水</w:t>
            </w:r>
          </w:p>
          <w:p w14:paraId="2EC13B95">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0"/>
                <w:sz w:val="24"/>
                <w:szCs w:val="24"/>
                <w:highlight w:val="none"/>
                <w14:textFill>
                  <w14:solidFill>
                    <w14:schemeClr w14:val="tx1"/>
                  </w14:solidFill>
                </w14:textFill>
              </w:rPr>
              <w:t>施工期废水主要是设备冲洗水以及施工人员生活污水</w:t>
            </w:r>
            <w:r>
              <w:rPr>
                <w:rFonts w:hint="default" w:ascii="Times New Roman" w:hAnsi="Times New Roman" w:eastAsia="宋体" w:cs="Times New Roman"/>
                <w:snapToGrid w:val="0"/>
                <w:color w:val="000000" w:themeColor="text1"/>
                <w:kern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本项目共有施工人员约</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20</w:t>
            </w:r>
            <w:r>
              <w:rPr>
                <w:rFonts w:hint="default" w:ascii="Times New Roman" w:hAnsi="Times New Roman" w:eastAsia="宋体" w:cs="Times New Roman"/>
                <w:color w:val="000000" w:themeColor="text1"/>
                <w:sz w:val="24"/>
                <w:szCs w:val="24"/>
                <w:highlight w:val="none"/>
                <w14:textFill>
                  <w14:solidFill>
                    <w14:schemeClr w14:val="tx1"/>
                  </w14:solidFill>
                </w14:textFill>
              </w:rPr>
              <w:t>人，施工人员每天生活用水以100L/人计，生活污水按用水量的80%计，则生活污水的排放量为</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1.6</w:t>
            </w:r>
            <w:r>
              <w:rPr>
                <w:rFonts w:hint="default" w:ascii="Times New Roman" w:hAnsi="Times New Roman" w:eastAsia="宋体" w:cs="Times New Roman"/>
                <w:color w:val="000000" w:themeColor="text1"/>
                <w:sz w:val="24"/>
                <w:szCs w:val="24"/>
                <w:highlight w:val="none"/>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/d，施工期为</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3个月</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每月以30天计</w:t>
            </w:r>
            <w:r>
              <w:rPr>
                <w:rFonts w:hint="default" w:ascii="Times New Roman" w:hAnsi="Times New Roman" w:eastAsia="宋体" w:cs="Times New Roman"/>
                <w:color w:val="000000" w:themeColor="text1"/>
                <w:sz w:val="24"/>
                <w:szCs w:val="24"/>
                <w:highlight w:val="none"/>
                <w14:textFill>
                  <w14:solidFill>
                    <w14:schemeClr w14:val="tx1"/>
                  </w14:solidFill>
                </w14:textFill>
              </w:rPr>
              <w:t>，则施工期共排放生活污水</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144</w:t>
            </w:r>
            <w:r>
              <w:rPr>
                <w:rFonts w:hint="default" w:ascii="Times New Roman" w:hAnsi="Times New Roman" w:eastAsia="宋体" w:cs="Times New Roman"/>
                <w:color w:val="000000" w:themeColor="text1"/>
                <w:sz w:val="24"/>
                <w:szCs w:val="24"/>
                <w:highlight w:val="none"/>
                <w14:textFill>
                  <w14:solidFill>
                    <w14:schemeClr w14:val="tx1"/>
                  </w14:solidFill>
                </w14:textFill>
              </w:rPr>
              <w:t>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施工前先建设化粪池，</w:t>
            </w:r>
            <w:r>
              <w:rPr>
                <w:rFonts w:hint="default" w:ascii="Times New Roman" w:hAnsi="Times New Roman" w:eastAsia="宋体" w:cs="Times New Roman"/>
                <w:snapToGrid w:val="0"/>
                <w:color w:val="000000" w:themeColor="text1"/>
                <w:kern w:val="0"/>
                <w:sz w:val="24"/>
                <w:szCs w:val="24"/>
                <w:highlight w:val="none"/>
                <w14:textFill>
                  <w14:solidFill>
                    <w14:schemeClr w14:val="tx1"/>
                  </w14:solidFill>
                </w14:textFill>
              </w:rPr>
              <w:t>施工人员生活污水</w:t>
            </w:r>
            <w:r>
              <w:rPr>
                <w:rFonts w:hint="default" w:ascii="Times New Roman" w:hAnsi="Times New Roman" w:eastAsia="宋体" w:cs="Times New Roman"/>
                <w:snapToGrid w:val="0"/>
                <w:color w:val="000000" w:themeColor="text1"/>
                <w:kern w:val="0"/>
                <w:sz w:val="24"/>
                <w:szCs w:val="24"/>
                <w:highlight w:val="none"/>
                <w:lang w:val="en-US" w:eastAsia="zh-CN"/>
                <w14:textFill>
                  <w14:solidFill>
                    <w14:schemeClr w14:val="tx1"/>
                  </w14:solidFill>
                </w14:textFill>
              </w:rPr>
              <w:t>排放至化粪池，定期委托拉运</w:t>
            </w:r>
            <w:r>
              <w:rPr>
                <w:rFonts w:hint="default" w:ascii="Times New Roman" w:hAnsi="Times New Roman" w:eastAsia="宋体" w:cs="Times New Roman"/>
                <w:color w:val="000000" w:themeColor="text1"/>
                <w:highlight w:val="none"/>
                <w:lang w:val="en-US" w:eastAsia="zh-CN"/>
                <w14:textFill>
                  <w14:solidFill>
                    <w14:schemeClr w14:val="tx1"/>
                  </w14:solidFill>
                </w14:textFill>
              </w:rPr>
              <w:t>。</w:t>
            </w:r>
          </w:p>
          <w:p w14:paraId="037BE12B">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2.2施工废水</w:t>
            </w:r>
          </w:p>
          <w:p w14:paraId="3CCD5C18">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施工</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废水经沉淀池处理后用于厂区洒水降尘，沉淀池不拆除，后期用于运营期生产利用，</w:t>
            </w:r>
            <w:r>
              <w:rPr>
                <w:rFonts w:hint="default" w:ascii="Times New Roman" w:hAnsi="Times New Roman" w:eastAsia="宋体" w:cs="Times New Roman"/>
                <w:color w:val="000000" w:themeColor="text1"/>
                <w:sz w:val="24"/>
                <w:szCs w:val="24"/>
                <w:highlight w:val="none"/>
                <w14:textFill>
                  <w14:solidFill>
                    <w14:schemeClr w14:val="tx1"/>
                  </w14:solidFill>
                </w14:textFill>
              </w:rPr>
              <w:t>不会对周围环境造成明显影响。</w:t>
            </w:r>
          </w:p>
          <w:p w14:paraId="5538A1F9">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2.3管道试压废水</w:t>
            </w:r>
          </w:p>
          <w:p w14:paraId="2831C70D">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项目给水管道试压采用洁净水分段进行，试压水排出后进入下一段管线循环使用，试压废水主要污染物为SS，试压结束后用于场地洒水降尘。</w:t>
            </w:r>
          </w:p>
          <w:p w14:paraId="08540EC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outlineLvl w:val="9"/>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3、施工期噪声影响分析</w:t>
            </w:r>
          </w:p>
          <w:p w14:paraId="664905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施工期主要噪声源为：场地平整和地基开挖阶段采用挖掘机等；各个阶段均有运输车辆产生的交通噪声；另外还有施工人员产生的生活噪声。</w:t>
            </w:r>
          </w:p>
          <w:p w14:paraId="63061A0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单台施工机械施工期噪声影响范围为200m，夜间影响效果更为显著。</w:t>
            </w:r>
            <w:r>
              <w:rPr>
                <w:rFonts w:hint="default" w:ascii="Times New Roman" w:hAnsi="Times New Roman" w:eastAsia="宋体" w:cs="Times New Roman"/>
                <w:color w:val="000000" w:themeColor="text1"/>
                <w:sz w:val="24"/>
                <w:highlight w:val="none"/>
                <w14:textFill>
                  <w14:solidFill>
                    <w14:schemeClr w14:val="tx1"/>
                  </w14:solidFill>
                </w14:textFill>
              </w:rPr>
              <w:t>在实际施工过程中可能出现多台机械同时在一处作业，则此时施工噪声影响的程度一定比预测值还要大，鉴于实际情况较为复杂，很难一一用声级叠加公式进行计算</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本项目</w:t>
            </w:r>
            <w:r>
              <w:rPr>
                <w:rFonts w:hint="default" w:ascii="Times New Roman" w:hAnsi="Times New Roman" w:eastAsia="宋体" w:cs="Times New Roman"/>
                <w:color w:val="000000" w:themeColor="text1"/>
                <w:sz w:val="24"/>
                <w:highlight w:val="none"/>
                <w14:textFill>
                  <w14:solidFill>
                    <w14:schemeClr w14:val="tx1"/>
                  </w14:solidFill>
                </w14:textFill>
              </w:rPr>
              <w:t>应合理地安排施工进度和时间，文明施工、环保施工，并采取必要的噪声控制措施，降低施工噪声对环境的影响。</w:t>
            </w:r>
          </w:p>
          <w:p w14:paraId="5BC647A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default" w:ascii="Times New Roman" w:hAnsi="Times New Roman" w:eastAsia="宋体" w:cs="Times New Roman"/>
                <w:b/>
                <w:bCs/>
                <w:color w:val="000000" w:themeColor="text1"/>
                <w:sz w:val="24"/>
                <w:szCs w:val="22"/>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2"/>
                <w:highlight w:val="none"/>
                <w:lang w:val="en-US" w:eastAsia="zh-CN"/>
                <w14:textFill>
                  <w14:solidFill>
                    <w14:schemeClr w14:val="tx1"/>
                  </w14:solidFill>
                </w14:textFill>
              </w:rPr>
              <w:t xml:space="preserve">4、施工期固体废物环境影响分析 </w:t>
            </w:r>
          </w:p>
          <w:p w14:paraId="6A40C01B">
            <w:pPr>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施工期产生的固体废物主要包括：</w:t>
            </w:r>
            <w:r>
              <w:rPr>
                <w:rFonts w:hint="default" w:ascii="Times New Roman" w:hAnsi="Times New Roman" w:eastAsia="宋体" w:cs="Times New Roman"/>
                <w:color w:val="000000" w:themeColor="text1"/>
                <w:kern w:val="0"/>
                <w:sz w:val="24"/>
                <w:highlight w:val="none"/>
                <w14:textFill>
                  <w14:solidFill>
                    <w14:schemeClr w14:val="tx1"/>
                  </w14:solidFill>
                </w14:textFill>
              </w:rPr>
              <w:t>表土、</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开挖土方</w:t>
            </w:r>
            <w:r>
              <w:rPr>
                <w:rFonts w:hint="default" w:ascii="Times New Roman" w:hAnsi="Times New Roman" w:eastAsia="宋体" w:cs="Times New Roman"/>
                <w:color w:val="000000" w:themeColor="text1"/>
                <w:kern w:val="0"/>
                <w:sz w:val="24"/>
                <w:highlight w:val="none"/>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废弃建材等以及施工人员产生的生活垃圾。</w:t>
            </w:r>
          </w:p>
          <w:p w14:paraId="16FB225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4.1</w:t>
            </w:r>
            <w:r>
              <w:rPr>
                <w:rFonts w:hint="default" w:ascii="Times New Roman" w:hAnsi="Times New Roman" w:eastAsia="宋体" w:cs="Times New Roman"/>
                <w:b/>
                <w:bCs/>
                <w:color w:val="000000" w:themeColor="text1"/>
                <w:sz w:val="24"/>
                <w:highlight w:val="none"/>
                <w14:textFill>
                  <w14:solidFill>
                    <w14:schemeClr w14:val="tx1"/>
                  </w14:solidFill>
                </w14:textFill>
              </w:rPr>
              <w:t>表土、</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开挖土方</w:t>
            </w:r>
          </w:p>
          <w:p w14:paraId="4CD545D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施工期产生的施工剥离表土</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堆放在表土堆场用于后期回填覆土，给水管网开挖土方全部回填管沟，沉淀池开挖土方</w:t>
            </w:r>
            <w:r>
              <w:rPr>
                <w:rFonts w:hint="default" w:ascii="Times New Roman" w:hAnsi="Times New Roman" w:eastAsia="宋体" w:cs="Times New Roman"/>
                <w:color w:val="000000" w:themeColor="text1"/>
                <w:kern w:val="0"/>
                <w:sz w:val="24"/>
                <w:highlight w:val="none"/>
                <w14:textFill>
                  <w14:solidFill>
                    <w14:schemeClr w14:val="tx1"/>
                  </w14:solidFill>
                </w14:textFill>
              </w:rPr>
              <w:t>用于道路</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基础</w:t>
            </w:r>
            <w:r>
              <w:rPr>
                <w:rFonts w:hint="default" w:ascii="Times New Roman" w:hAnsi="Times New Roman" w:eastAsia="宋体" w:cs="Times New Roman"/>
                <w:color w:val="000000" w:themeColor="text1"/>
                <w:kern w:val="0"/>
                <w:sz w:val="24"/>
                <w:highlight w:val="none"/>
                <w14:textFill>
                  <w14:solidFill>
                    <w14:schemeClr w14:val="tx1"/>
                  </w14:solidFill>
                </w14:textFill>
              </w:rPr>
              <w:t>铺垫，矿区工业场所平整</w:t>
            </w:r>
            <w:r>
              <w:rPr>
                <w:rFonts w:hint="default" w:ascii="Times New Roman" w:hAnsi="Times New Roman" w:eastAsia="宋体" w:cs="Times New Roman"/>
                <w:color w:val="000000" w:themeColor="text1"/>
                <w:kern w:val="0"/>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全部综合利用，无弃方。</w:t>
            </w:r>
          </w:p>
          <w:p w14:paraId="28DB1A6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default" w:ascii="Times New Roman" w:hAnsi="Times New Roman" w:eastAsia="宋体" w:cs="Times New Roman"/>
                <w:b/>
                <w:bCs/>
                <w:color w:val="000000" w:themeColor="text1"/>
                <w:sz w:val="24"/>
                <w:highlight w:val="none"/>
                <w:lang w:eastAsia="zh-CN"/>
                <w14:textFill>
                  <w14:solidFill>
                    <w14:schemeClr w14:val="tx1"/>
                  </w14:solidFill>
                </w14:textFill>
              </w:rPr>
            </w:pPr>
            <w:r>
              <w:rPr>
                <w:rFonts w:hint="default" w:ascii="Times New Roman" w:hAnsi="Times New Roman" w:eastAsia="宋体" w:cs="Times New Roman"/>
                <w:b/>
                <w:bCs/>
                <w:color w:val="000000" w:themeColor="text1"/>
                <w:sz w:val="24"/>
                <w:highlight w:val="none"/>
                <w14:textFill>
                  <w14:solidFill>
                    <w14:schemeClr w14:val="tx1"/>
                  </w14:solidFill>
                </w14:textFill>
              </w:rPr>
              <w:t>4.</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2</w:t>
            </w:r>
            <w:r>
              <w:rPr>
                <w:rFonts w:hint="default" w:ascii="Times New Roman" w:hAnsi="Times New Roman" w:eastAsia="宋体" w:cs="Times New Roman"/>
                <w:b/>
                <w:bCs/>
                <w:color w:val="000000" w:themeColor="text1"/>
                <w:sz w:val="24"/>
                <w:highlight w:val="none"/>
                <w14:textFill>
                  <w14:solidFill>
                    <w14:schemeClr w14:val="tx1"/>
                  </w14:solidFill>
                </w14:textFill>
              </w:rPr>
              <w:t xml:space="preserve"> </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建筑垃圾</w:t>
            </w:r>
          </w:p>
          <w:p w14:paraId="24E03F1D">
            <w:pPr>
              <w:keepNext w:val="0"/>
              <w:keepLines w:val="0"/>
              <w:pageBreakBefore w:val="0"/>
              <w:widowControl w:val="0"/>
              <w:kinsoku/>
              <w:wordWrap/>
              <w:overflowPunct w:val="0"/>
              <w:topLinePunct w:val="0"/>
              <w:autoSpaceDE/>
              <w:autoSpaceDN/>
              <w:bidi w:val="0"/>
              <w:adjustRightInd/>
              <w:snapToGrid/>
              <w:spacing w:line="360" w:lineRule="auto"/>
              <w:ind w:left="0" w:leftChars="0" w:right="0" w:rightChars="0" w:firstLine="480" w:firstLineChars="200"/>
              <w:textAlignment w:val="auto"/>
              <w:outlineLvl w:val="9"/>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pPr>
            <w:r>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t>施工过程中会产生一定量的板材料等建筑垃圾。整个施工期</w:t>
            </w: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的</w:t>
            </w:r>
            <w:r>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t>建筑垃圾的可回收利用的回收利用，不可回收利用的</w:t>
            </w:r>
            <w:r>
              <w:rPr>
                <w:rFonts w:hint="default" w:ascii="Times New Roman" w:hAnsi="Times New Roman" w:eastAsia="宋体" w:cs="Times New Roman"/>
                <w:bCs/>
                <w:color w:val="000000" w:themeColor="text1"/>
                <w:kern w:val="0"/>
                <w:sz w:val="24"/>
                <w:szCs w:val="22"/>
                <w:highlight w:val="none"/>
                <w:lang w:eastAsia="zh-CN"/>
                <w14:textFill>
                  <w14:solidFill>
                    <w14:schemeClr w14:val="tx1"/>
                  </w14:solidFill>
                </w14:textFill>
              </w:rPr>
              <w:t>运至</w:t>
            </w: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当地</w:t>
            </w:r>
            <w:r>
              <w:rPr>
                <w:rFonts w:hint="default" w:ascii="Times New Roman" w:hAnsi="Times New Roman" w:eastAsia="宋体" w:cs="Times New Roman"/>
                <w:bCs/>
                <w:color w:val="000000" w:themeColor="text1"/>
                <w:kern w:val="0"/>
                <w:sz w:val="24"/>
                <w:szCs w:val="22"/>
                <w:highlight w:val="none"/>
                <w:lang w:eastAsia="zh-CN"/>
                <w14:textFill>
                  <w14:solidFill>
                    <w14:schemeClr w14:val="tx1"/>
                  </w14:solidFill>
                </w14:textFill>
              </w:rPr>
              <w:t>建筑垃圾填埋场处置</w:t>
            </w:r>
            <w:r>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t>。</w:t>
            </w:r>
          </w:p>
          <w:p w14:paraId="5C3E6ED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default" w:ascii="Times New Roman" w:hAnsi="Times New Roman" w:eastAsia="宋体" w:cs="Times New Roman"/>
                <w:b/>
                <w:bCs/>
                <w:color w:val="000000" w:themeColor="text1"/>
                <w:sz w:val="24"/>
                <w:highlight w:val="none"/>
                <w14:textFill>
                  <w14:solidFill>
                    <w14:schemeClr w14:val="tx1"/>
                  </w14:solidFill>
                </w14:textFill>
              </w:rPr>
            </w:pP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4.3</w:t>
            </w:r>
            <w:r>
              <w:rPr>
                <w:rFonts w:hint="default" w:ascii="Times New Roman" w:hAnsi="Times New Roman" w:eastAsia="宋体" w:cs="Times New Roman"/>
                <w:b/>
                <w:bCs/>
                <w:color w:val="000000" w:themeColor="text1"/>
                <w:sz w:val="24"/>
                <w:highlight w:val="none"/>
                <w14:textFill>
                  <w14:solidFill>
                    <w14:schemeClr w14:val="tx1"/>
                  </w14:solidFill>
                </w14:textFill>
              </w:rPr>
              <w:t xml:space="preserve"> 生活垃圾</w:t>
            </w:r>
          </w:p>
          <w:p w14:paraId="755280D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项目总施工期施工人员</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的</w:t>
            </w:r>
            <w:r>
              <w:rPr>
                <w:rFonts w:hint="default" w:ascii="Times New Roman" w:hAnsi="Times New Roman" w:eastAsia="宋体" w:cs="Times New Roman"/>
                <w:color w:val="000000" w:themeColor="text1"/>
                <w:sz w:val="24"/>
                <w:highlight w:val="none"/>
                <w14:textFill>
                  <w14:solidFill>
                    <w14:schemeClr w14:val="tx1"/>
                  </w14:solidFill>
                </w14:textFill>
              </w:rPr>
              <w:t>生活垃圾需加强管理，如配置垃圾桶，统一收集，由</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施工单位</w:t>
            </w:r>
            <w:r>
              <w:rPr>
                <w:rFonts w:hint="default" w:ascii="Times New Roman" w:hAnsi="Times New Roman" w:eastAsia="宋体" w:cs="Times New Roman"/>
                <w:color w:val="000000" w:themeColor="text1"/>
                <w:sz w:val="24"/>
                <w:szCs w:val="24"/>
                <w:highlight w:val="none"/>
                <w14:textFill>
                  <w14:solidFill>
                    <w14:schemeClr w14:val="tx1"/>
                  </w14:solidFill>
                </w14:textFill>
              </w:rPr>
              <w:t>定期拉运至</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吉木萨尔县垃圾填埋场</w:t>
            </w:r>
            <w:r>
              <w:rPr>
                <w:rFonts w:hint="default" w:ascii="Times New Roman" w:hAnsi="Times New Roman" w:eastAsia="宋体" w:cs="Times New Roman"/>
                <w:color w:val="000000" w:themeColor="text1"/>
                <w:sz w:val="24"/>
                <w:szCs w:val="24"/>
                <w:highlight w:val="none"/>
                <w14:textFill>
                  <w14:solidFill>
                    <w14:schemeClr w14:val="tx1"/>
                  </w14:solidFill>
                </w14:textFill>
              </w:rPr>
              <w:t>处理</w:t>
            </w:r>
            <w:r>
              <w:rPr>
                <w:rFonts w:hint="default" w:ascii="Times New Roman" w:hAnsi="Times New Roman" w:eastAsia="宋体" w:cs="Times New Roman"/>
                <w:color w:val="000000" w:themeColor="text1"/>
                <w:sz w:val="24"/>
                <w:highlight w:val="none"/>
                <w14:textFill>
                  <w14:solidFill>
                    <w14:schemeClr w14:val="tx1"/>
                  </w14:solidFill>
                </w14:textFill>
              </w:rPr>
              <w:t>，严禁任意抛洒、任意掩埋。</w:t>
            </w:r>
          </w:p>
          <w:p w14:paraId="48F7EC0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2"/>
                <w:highlight w:val="none"/>
                <w14:textFill>
                  <w14:solidFill>
                    <w14:schemeClr w14:val="tx1"/>
                  </w14:solidFill>
                </w14:textFill>
              </w:rPr>
              <w:t>施工区的固体废弃物和生活垃圾应加强管理，做到统一收集、统一清运，合理处理，不会对环境产生明显的影响。</w:t>
            </w:r>
            <w:bookmarkStart w:id="3" w:name="_Toc18138"/>
          </w:p>
          <w:p w14:paraId="633A93D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5、施工期生态环境影响</w:t>
            </w:r>
            <w:bookmarkEnd w:id="3"/>
          </w:p>
          <w:p w14:paraId="13B003B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由于工程施工过程中场地平整、挖填土石方量等施工过程，使原来地表结构及下垫面植被完全遭到破坏，因此本工程施工期，施工活动对施工场地占地及附近生态环境的不利影响在土地利用、水土流失、植被覆盖、土地生产力等多个方面均有所体现。</w:t>
            </w:r>
          </w:p>
          <w:p w14:paraId="033A494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根据《环境影响评价技术导则 生态影响》（HJ19-</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2022</w:t>
            </w:r>
            <w:r>
              <w:rPr>
                <w:rFonts w:hint="default" w:ascii="Times New Roman" w:hAnsi="Times New Roman" w:eastAsia="宋体" w:cs="Times New Roman"/>
                <w:color w:val="000000" w:themeColor="text1"/>
                <w:sz w:val="24"/>
                <w:szCs w:val="24"/>
                <w:highlight w:val="none"/>
                <w14:textFill>
                  <w14:solidFill>
                    <w14:schemeClr w14:val="tx1"/>
                  </w14:solidFill>
                </w14:textFill>
              </w:rPr>
              <w:t>）的要求，本项目的建设对项目区所在的植被、景观和生态功能等造成影响，本项目生态环境影响详见表4-1。</w:t>
            </w:r>
          </w:p>
          <w:p w14:paraId="64C6ED0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bCs/>
                <w:color w:val="000000" w:themeColor="text1"/>
                <w:kern w:val="2"/>
                <w:sz w:val="21"/>
                <w:szCs w:val="21"/>
                <w:highlight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2"/>
                <w:sz w:val="21"/>
                <w:szCs w:val="21"/>
                <w:highlight w:val="none"/>
                <w:lang w:val="en-US" w:eastAsia="zh-CN" w:bidi="ar"/>
                <w14:textFill>
                  <w14:solidFill>
                    <w14:schemeClr w14:val="tx1"/>
                  </w14:solidFill>
                </w14:textFill>
              </w:rPr>
              <w:t>表4-1       生态环境影响一览表</w:t>
            </w:r>
          </w:p>
          <w:tbl>
            <w:tblPr>
              <w:tblStyle w:val="38"/>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099"/>
              <w:gridCol w:w="1295"/>
              <w:gridCol w:w="744"/>
              <w:gridCol w:w="745"/>
              <w:gridCol w:w="744"/>
              <w:gridCol w:w="745"/>
              <w:gridCol w:w="744"/>
              <w:gridCol w:w="745"/>
              <w:gridCol w:w="744"/>
              <w:gridCol w:w="747"/>
            </w:tblGrid>
            <w:tr w14:paraId="73B516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blHeader/>
              </w:trPr>
              <w:tc>
                <w:tcPr>
                  <w:tcW w:w="657" w:type="pct"/>
                  <w:vMerge w:val="restart"/>
                  <w:tcBorders>
                    <w:bottom w:val="single" w:color="000000" w:sz="12" w:space="0"/>
                    <w:tl2br w:val="nil"/>
                    <w:tr2bl w:val="nil"/>
                  </w:tcBorders>
                  <w:noWrap w:val="0"/>
                  <w:vAlign w:val="center"/>
                </w:tcPr>
                <w:p w14:paraId="77EBB928">
                  <w:pPr>
                    <w:spacing w:line="240" w:lineRule="auto"/>
                    <w:ind w:firstLine="0" w:firstLineChars="0"/>
                    <w:jc w:val="cente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t>影响因素</w:t>
                  </w:r>
                </w:p>
              </w:tc>
              <w:tc>
                <w:tcPr>
                  <w:tcW w:w="775" w:type="pct"/>
                  <w:vMerge w:val="restart"/>
                  <w:tcBorders>
                    <w:bottom w:val="single" w:color="000000" w:sz="12" w:space="0"/>
                    <w:tl2br w:val="nil"/>
                    <w:tr2bl w:val="nil"/>
                  </w:tcBorders>
                  <w:noWrap w:val="0"/>
                  <w:vAlign w:val="center"/>
                </w:tcPr>
                <w:p w14:paraId="40850452">
                  <w:pPr>
                    <w:spacing w:line="240" w:lineRule="auto"/>
                    <w:ind w:firstLine="0" w:firstLineChars="0"/>
                    <w:jc w:val="cente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t>被影响对象</w:t>
                  </w:r>
                </w:p>
              </w:tc>
              <w:tc>
                <w:tcPr>
                  <w:tcW w:w="891" w:type="pct"/>
                  <w:gridSpan w:val="2"/>
                  <w:tcBorders>
                    <w:tl2br w:val="nil"/>
                    <w:tr2bl w:val="nil"/>
                  </w:tcBorders>
                  <w:noWrap w:val="0"/>
                  <w:vAlign w:val="center"/>
                </w:tcPr>
                <w:p w14:paraId="2EE4AA44">
                  <w:pPr>
                    <w:spacing w:line="240" w:lineRule="auto"/>
                    <w:ind w:firstLine="0" w:firstLineChars="0"/>
                    <w:jc w:val="cente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t>可逆性</w:t>
                  </w:r>
                </w:p>
              </w:tc>
              <w:tc>
                <w:tcPr>
                  <w:tcW w:w="891" w:type="pct"/>
                  <w:gridSpan w:val="2"/>
                  <w:tcBorders>
                    <w:tl2br w:val="nil"/>
                    <w:tr2bl w:val="nil"/>
                  </w:tcBorders>
                  <w:noWrap w:val="0"/>
                  <w:vAlign w:val="center"/>
                </w:tcPr>
                <w:p w14:paraId="47B5D460">
                  <w:pPr>
                    <w:spacing w:line="240" w:lineRule="auto"/>
                    <w:ind w:firstLine="0" w:firstLineChars="0"/>
                    <w:jc w:val="cente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t>影响期限</w:t>
                  </w:r>
                </w:p>
              </w:tc>
              <w:tc>
                <w:tcPr>
                  <w:tcW w:w="891" w:type="pct"/>
                  <w:gridSpan w:val="2"/>
                  <w:tcBorders>
                    <w:tl2br w:val="nil"/>
                    <w:tr2bl w:val="nil"/>
                  </w:tcBorders>
                  <w:noWrap w:val="0"/>
                  <w:vAlign w:val="center"/>
                </w:tcPr>
                <w:p w14:paraId="0B0ED370">
                  <w:pPr>
                    <w:spacing w:line="240" w:lineRule="auto"/>
                    <w:ind w:firstLine="0" w:firstLineChars="0"/>
                    <w:jc w:val="cente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t>影响程度</w:t>
                  </w:r>
                </w:p>
              </w:tc>
              <w:tc>
                <w:tcPr>
                  <w:tcW w:w="892" w:type="pct"/>
                  <w:gridSpan w:val="2"/>
                  <w:tcBorders>
                    <w:tl2br w:val="nil"/>
                    <w:tr2bl w:val="nil"/>
                  </w:tcBorders>
                  <w:noWrap w:val="0"/>
                  <w:vAlign w:val="center"/>
                </w:tcPr>
                <w:p w14:paraId="3F3D16D1">
                  <w:pPr>
                    <w:spacing w:line="240" w:lineRule="auto"/>
                    <w:ind w:firstLine="0" w:firstLineChars="0"/>
                    <w:jc w:val="cente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t>影响范围</w:t>
                  </w:r>
                </w:p>
              </w:tc>
            </w:tr>
            <w:tr w14:paraId="754DEC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657" w:type="pct"/>
                  <w:vMerge w:val="continue"/>
                  <w:tcBorders>
                    <w:top w:val="single" w:color="000000" w:sz="12" w:space="0"/>
                    <w:bottom w:val="single" w:color="000000" w:sz="12" w:space="0"/>
                    <w:tl2br w:val="nil"/>
                    <w:tr2bl w:val="nil"/>
                  </w:tcBorders>
                  <w:noWrap w:val="0"/>
                  <w:vAlign w:val="center"/>
                </w:tcPr>
                <w:p w14:paraId="46A21510">
                  <w:pPr>
                    <w:spacing w:line="240" w:lineRule="auto"/>
                    <w:ind w:firstLine="0" w:firstLineChars="0"/>
                    <w:jc w:val="cente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pPr>
                </w:p>
              </w:tc>
              <w:tc>
                <w:tcPr>
                  <w:tcW w:w="775" w:type="pct"/>
                  <w:vMerge w:val="continue"/>
                  <w:tcBorders>
                    <w:top w:val="single" w:color="000000" w:sz="12" w:space="0"/>
                    <w:bottom w:val="single" w:color="000000" w:sz="12" w:space="0"/>
                    <w:tl2br w:val="nil"/>
                    <w:tr2bl w:val="nil"/>
                  </w:tcBorders>
                  <w:noWrap w:val="0"/>
                  <w:vAlign w:val="center"/>
                </w:tcPr>
                <w:p w14:paraId="0904121E">
                  <w:pPr>
                    <w:spacing w:line="240" w:lineRule="auto"/>
                    <w:ind w:firstLine="0" w:firstLineChars="0"/>
                    <w:jc w:val="cente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pPr>
                </w:p>
              </w:tc>
              <w:tc>
                <w:tcPr>
                  <w:tcW w:w="445" w:type="pct"/>
                  <w:tcBorders>
                    <w:bottom w:val="single" w:color="000000" w:sz="12" w:space="0"/>
                    <w:tl2br w:val="nil"/>
                    <w:tr2bl w:val="nil"/>
                  </w:tcBorders>
                  <w:noWrap w:val="0"/>
                  <w:vAlign w:val="center"/>
                </w:tcPr>
                <w:p w14:paraId="15F23A78">
                  <w:pPr>
                    <w:spacing w:line="240" w:lineRule="auto"/>
                    <w:ind w:firstLine="0" w:firstLineChars="0"/>
                    <w:jc w:val="cente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t>可逆</w:t>
                  </w:r>
                </w:p>
              </w:tc>
              <w:tc>
                <w:tcPr>
                  <w:tcW w:w="446" w:type="pct"/>
                  <w:tcBorders>
                    <w:bottom w:val="single" w:color="000000" w:sz="12" w:space="0"/>
                    <w:tl2br w:val="nil"/>
                    <w:tr2bl w:val="nil"/>
                  </w:tcBorders>
                  <w:noWrap w:val="0"/>
                  <w:vAlign w:val="center"/>
                </w:tcPr>
                <w:p w14:paraId="59A42ED8">
                  <w:pPr>
                    <w:spacing w:line="240" w:lineRule="auto"/>
                    <w:ind w:firstLine="0" w:firstLineChars="0"/>
                    <w:jc w:val="cente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t>不可逆</w:t>
                  </w:r>
                </w:p>
              </w:tc>
              <w:tc>
                <w:tcPr>
                  <w:tcW w:w="445" w:type="pct"/>
                  <w:tcBorders>
                    <w:bottom w:val="single" w:color="000000" w:sz="12" w:space="0"/>
                    <w:tl2br w:val="nil"/>
                    <w:tr2bl w:val="nil"/>
                  </w:tcBorders>
                  <w:noWrap w:val="0"/>
                  <w:vAlign w:val="center"/>
                </w:tcPr>
                <w:p w14:paraId="0B886814">
                  <w:pPr>
                    <w:spacing w:line="240" w:lineRule="auto"/>
                    <w:ind w:firstLine="0" w:firstLineChars="0"/>
                    <w:jc w:val="cente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t>近期</w:t>
                  </w:r>
                </w:p>
              </w:tc>
              <w:tc>
                <w:tcPr>
                  <w:tcW w:w="446" w:type="pct"/>
                  <w:tcBorders>
                    <w:bottom w:val="single" w:color="000000" w:sz="12" w:space="0"/>
                    <w:tl2br w:val="nil"/>
                    <w:tr2bl w:val="nil"/>
                  </w:tcBorders>
                  <w:noWrap w:val="0"/>
                  <w:vAlign w:val="center"/>
                </w:tcPr>
                <w:p w14:paraId="1191982D">
                  <w:pPr>
                    <w:spacing w:line="240" w:lineRule="auto"/>
                    <w:ind w:firstLine="0" w:firstLineChars="0"/>
                    <w:jc w:val="cente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t>长期</w:t>
                  </w:r>
                </w:p>
              </w:tc>
              <w:tc>
                <w:tcPr>
                  <w:tcW w:w="445" w:type="pct"/>
                  <w:tcBorders>
                    <w:bottom w:val="single" w:color="000000" w:sz="12" w:space="0"/>
                    <w:tl2br w:val="nil"/>
                    <w:tr2bl w:val="nil"/>
                  </w:tcBorders>
                  <w:noWrap w:val="0"/>
                  <w:vAlign w:val="center"/>
                </w:tcPr>
                <w:p w14:paraId="6DA32C35">
                  <w:pPr>
                    <w:spacing w:line="240" w:lineRule="auto"/>
                    <w:ind w:firstLine="0" w:firstLineChars="0"/>
                    <w:jc w:val="cente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t>明显</w:t>
                  </w:r>
                </w:p>
              </w:tc>
              <w:tc>
                <w:tcPr>
                  <w:tcW w:w="446" w:type="pct"/>
                  <w:tcBorders>
                    <w:bottom w:val="single" w:color="000000" w:sz="12" w:space="0"/>
                    <w:tl2br w:val="nil"/>
                    <w:tr2bl w:val="nil"/>
                  </w:tcBorders>
                  <w:noWrap w:val="0"/>
                  <w:vAlign w:val="center"/>
                </w:tcPr>
                <w:p w14:paraId="0D115F9D">
                  <w:pPr>
                    <w:spacing w:line="240" w:lineRule="auto"/>
                    <w:ind w:firstLine="0" w:firstLineChars="0"/>
                    <w:jc w:val="cente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t>潜在</w:t>
                  </w:r>
                </w:p>
              </w:tc>
              <w:tc>
                <w:tcPr>
                  <w:tcW w:w="445" w:type="pct"/>
                  <w:tcBorders>
                    <w:bottom w:val="single" w:color="000000" w:sz="12" w:space="0"/>
                    <w:tl2br w:val="nil"/>
                    <w:tr2bl w:val="nil"/>
                  </w:tcBorders>
                  <w:noWrap w:val="0"/>
                  <w:vAlign w:val="center"/>
                </w:tcPr>
                <w:p w14:paraId="0933439D">
                  <w:pPr>
                    <w:spacing w:line="240" w:lineRule="auto"/>
                    <w:ind w:firstLine="0" w:firstLineChars="0"/>
                    <w:jc w:val="cente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t>局部</w:t>
                  </w:r>
                </w:p>
              </w:tc>
              <w:tc>
                <w:tcPr>
                  <w:tcW w:w="447" w:type="pct"/>
                  <w:tcBorders>
                    <w:bottom w:val="single" w:color="000000" w:sz="12" w:space="0"/>
                    <w:tl2br w:val="nil"/>
                    <w:tr2bl w:val="nil"/>
                  </w:tcBorders>
                  <w:noWrap w:val="0"/>
                  <w:vAlign w:val="center"/>
                </w:tcPr>
                <w:p w14:paraId="4C1312F1">
                  <w:pPr>
                    <w:spacing w:line="240" w:lineRule="auto"/>
                    <w:ind w:firstLine="0" w:firstLineChars="0"/>
                    <w:jc w:val="cente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lang w:val="en-US" w:eastAsia="zh-CN" w:bidi="ar-SA"/>
                      <w14:textFill>
                        <w14:solidFill>
                          <w14:schemeClr w14:val="tx1"/>
                        </w14:solidFill>
                      </w14:textFill>
                    </w:rPr>
                    <w:t>区域</w:t>
                  </w:r>
                </w:p>
              </w:tc>
            </w:tr>
            <w:tr w14:paraId="4B47DD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657" w:type="pct"/>
                  <w:tcBorders>
                    <w:top w:val="single" w:color="000000" w:sz="12" w:space="0"/>
                    <w:tl2br w:val="nil"/>
                    <w:tr2bl w:val="nil"/>
                  </w:tcBorders>
                  <w:noWrap w:val="0"/>
                  <w:vAlign w:val="center"/>
                </w:tcPr>
                <w:p w14:paraId="3563DE0A">
                  <w:pPr>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土地占用</w:t>
                  </w:r>
                </w:p>
              </w:tc>
              <w:tc>
                <w:tcPr>
                  <w:tcW w:w="775" w:type="pct"/>
                  <w:tcBorders>
                    <w:top w:val="single" w:color="000000" w:sz="12" w:space="0"/>
                    <w:tl2br w:val="nil"/>
                    <w:tr2bl w:val="nil"/>
                  </w:tcBorders>
                  <w:noWrap w:val="0"/>
                  <w:vAlign w:val="center"/>
                </w:tcPr>
                <w:p w14:paraId="0DABCBD2">
                  <w:pPr>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植被覆盖率下降、生态景观结构改变、破碎度增加</w:t>
                  </w:r>
                </w:p>
              </w:tc>
              <w:tc>
                <w:tcPr>
                  <w:tcW w:w="445" w:type="pct"/>
                  <w:tcBorders>
                    <w:top w:val="single" w:color="000000" w:sz="12" w:space="0"/>
                    <w:tl2br w:val="nil"/>
                    <w:tr2bl w:val="nil"/>
                  </w:tcBorders>
                  <w:noWrap w:val="0"/>
                  <w:vAlign w:val="center"/>
                </w:tcPr>
                <w:p w14:paraId="04B44EB6">
                  <w:pPr>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p>
              </w:tc>
              <w:tc>
                <w:tcPr>
                  <w:tcW w:w="446" w:type="pct"/>
                  <w:tcBorders>
                    <w:top w:val="single" w:color="000000" w:sz="12" w:space="0"/>
                    <w:tl2br w:val="nil"/>
                    <w:tr2bl w:val="nil"/>
                  </w:tcBorders>
                  <w:noWrap w:val="0"/>
                  <w:vAlign w:val="center"/>
                </w:tcPr>
                <w:p w14:paraId="3FE3CB0B">
                  <w:pPr>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w:t>
                  </w:r>
                </w:p>
              </w:tc>
              <w:tc>
                <w:tcPr>
                  <w:tcW w:w="445" w:type="pct"/>
                  <w:tcBorders>
                    <w:top w:val="single" w:color="000000" w:sz="12" w:space="0"/>
                    <w:tl2br w:val="nil"/>
                    <w:tr2bl w:val="nil"/>
                  </w:tcBorders>
                  <w:noWrap w:val="0"/>
                  <w:vAlign w:val="center"/>
                </w:tcPr>
                <w:p w14:paraId="41883680">
                  <w:pPr>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p>
              </w:tc>
              <w:tc>
                <w:tcPr>
                  <w:tcW w:w="446" w:type="pct"/>
                  <w:tcBorders>
                    <w:top w:val="single" w:color="000000" w:sz="12" w:space="0"/>
                    <w:tl2br w:val="nil"/>
                    <w:tr2bl w:val="nil"/>
                  </w:tcBorders>
                  <w:noWrap w:val="0"/>
                  <w:vAlign w:val="center"/>
                </w:tcPr>
                <w:p w14:paraId="4A8F0D21">
                  <w:pPr>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w:t>
                  </w:r>
                </w:p>
              </w:tc>
              <w:tc>
                <w:tcPr>
                  <w:tcW w:w="445" w:type="pct"/>
                  <w:tcBorders>
                    <w:top w:val="single" w:color="000000" w:sz="12" w:space="0"/>
                    <w:tl2br w:val="nil"/>
                    <w:tr2bl w:val="nil"/>
                  </w:tcBorders>
                  <w:noWrap w:val="0"/>
                  <w:vAlign w:val="center"/>
                </w:tcPr>
                <w:p w14:paraId="5A4F56C4">
                  <w:pPr>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w:t>
                  </w:r>
                </w:p>
              </w:tc>
              <w:tc>
                <w:tcPr>
                  <w:tcW w:w="446" w:type="pct"/>
                  <w:tcBorders>
                    <w:top w:val="single" w:color="000000" w:sz="12" w:space="0"/>
                    <w:tl2br w:val="nil"/>
                    <w:tr2bl w:val="nil"/>
                  </w:tcBorders>
                  <w:noWrap w:val="0"/>
                  <w:vAlign w:val="center"/>
                </w:tcPr>
                <w:p w14:paraId="47E9A2D1">
                  <w:pPr>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p>
              </w:tc>
              <w:tc>
                <w:tcPr>
                  <w:tcW w:w="445" w:type="pct"/>
                  <w:tcBorders>
                    <w:top w:val="single" w:color="000000" w:sz="12" w:space="0"/>
                    <w:tl2br w:val="nil"/>
                    <w:tr2bl w:val="nil"/>
                  </w:tcBorders>
                  <w:noWrap w:val="0"/>
                  <w:vAlign w:val="center"/>
                </w:tcPr>
                <w:p w14:paraId="53DF8901">
                  <w:pPr>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w:t>
                  </w:r>
                </w:p>
              </w:tc>
              <w:tc>
                <w:tcPr>
                  <w:tcW w:w="447" w:type="pct"/>
                  <w:tcBorders>
                    <w:top w:val="single" w:color="000000" w:sz="12" w:space="0"/>
                    <w:tl2br w:val="nil"/>
                    <w:tr2bl w:val="nil"/>
                  </w:tcBorders>
                  <w:noWrap w:val="0"/>
                  <w:vAlign w:val="center"/>
                </w:tcPr>
                <w:p w14:paraId="58BBE7E5">
                  <w:pPr>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p>
              </w:tc>
            </w:tr>
            <w:tr w14:paraId="40AB1F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657" w:type="pct"/>
                  <w:tcBorders>
                    <w:tl2br w:val="nil"/>
                    <w:tr2bl w:val="nil"/>
                  </w:tcBorders>
                  <w:noWrap w:val="0"/>
                  <w:vAlign w:val="center"/>
                </w:tcPr>
                <w:p w14:paraId="5BBB059C">
                  <w:pPr>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基础开挖</w:t>
                  </w:r>
                </w:p>
              </w:tc>
              <w:tc>
                <w:tcPr>
                  <w:tcW w:w="775" w:type="pct"/>
                  <w:tcBorders>
                    <w:tl2br w:val="nil"/>
                    <w:tr2bl w:val="nil"/>
                  </w:tcBorders>
                  <w:noWrap w:val="0"/>
                  <w:vAlign w:val="center"/>
                </w:tcPr>
                <w:p w14:paraId="113ABB47">
                  <w:pPr>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水土流失隐患增加，景观美感丧失</w:t>
                  </w:r>
                </w:p>
              </w:tc>
              <w:tc>
                <w:tcPr>
                  <w:tcW w:w="445" w:type="pct"/>
                  <w:tcBorders>
                    <w:tl2br w:val="nil"/>
                    <w:tr2bl w:val="nil"/>
                  </w:tcBorders>
                  <w:noWrap w:val="0"/>
                  <w:vAlign w:val="center"/>
                </w:tcPr>
                <w:p w14:paraId="5C8188B2">
                  <w:pPr>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w:t>
                  </w:r>
                </w:p>
              </w:tc>
              <w:tc>
                <w:tcPr>
                  <w:tcW w:w="446" w:type="pct"/>
                  <w:tcBorders>
                    <w:tl2br w:val="nil"/>
                    <w:tr2bl w:val="nil"/>
                  </w:tcBorders>
                  <w:noWrap w:val="0"/>
                  <w:vAlign w:val="center"/>
                </w:tcPr>
                <w:p w14:paraId="777700A8">
                  <w:pPr>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p>
              </w:tc>
              <w:tc>
                <w:tcPr>
                  <w:tcW w:w="445" w:type="pct"/>
                  <w:tcBorders>
                    <w:tl2br w:val="nil"/>
                    <w:tr2bl w:val="nil"/>
                  </w:tcBorders>
                  <w:noWrap w:val="0"/>
                  <w:vAlign w:val="center"/>
                </w:tcPr>
                <w:p w14:paraId="1F56AF76">
                  <w:pPr>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w:t>
                  </w:r>
                </w:p>
              </w:tc>
              <w:tc>
                <w:tcPr>
                  <w:tcW w:w="446" w:type="pct"/>
                  <w:tcBorders>
                    <w:tl2br w:val="nil"/>
                    <w:tr2bl w:val="nil"/>
                  </w:tcBorders>
                  <w:noWrap w:val="0"/>
                  <w:vAlign w:val="center"/>
                </w:tcPr>
                <w:p w14:paraId="0BFE0335">
                  <w:pPr>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p>
              </w:tc>
              <w:tc>
                <w:tcPr>
                  <w:tcW w:w="445" w:type="pct"/>
                  <w:tcBorders>
                    <w:tl2br w:val="nil"/>
                    <w:tr2bl w:val="nil"/>
                  </w:tcBorders>
                  <w:noWrap w:val="0"/>
                  <w:vAlign w:val="center"/>
                </w:tcPr>
                <w:p w14:paraId="31FBB175">
                  <w:pPr>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w:t>
                  </w:r>
                </w:p>
              </w:tc>
              <w:tc>
                <w:tcPr>
                  <w:tcW w:w="446" w:type="pct"/>
                  <w:tcBorders>
                    <w:tl2br w:val="nil"/>
                    <w:tr2bl w:val="nil"/>
                  </w:tcBorders>
                  <w:noWrap w:val="0"/>
                  <w:vAlign w:val="center"/>
                </w:tcPr>
                <w:p w14:paraId="20F63C64">
                  <w:pPr>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p>
              </w:tc>
              <w:tc>
                <w:tcPr>
                  <w:tcW w:w="445" w:type="pct"/>
                  <w:tcBorders>
                    <w:tl2br w:val="nil"/>
                    <w:tr2bl w:val="nil"/>
                  </w:tcBorders>
                  <w:noWrap w:val="0"/>
                  <w:vAlign w:val="center"/>
                </w:tcPr>
                <w:p w14:paraId="7D7B3BDE">
                  <w:pPr>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w:t>
                  </w:r>
                </w:p>
              </w:tc>
              <w:tc>
                <w:tcPr>
                  <w:tcW w:w="447" w:type="pct"/>
                  <w:tcBorders>
                    <w:tl2br w:val="nil"/>
                    <w:tr2bl w:val="nil"/>
                  </w:tcBorders>
                  <w:noWrap w:val="0"/>
                  <w:vAlign w:val="center"/>
                </w:tcPr>
                <w:p w14:paraId="3A35549F">
                  <w:pPr>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p>
              </w:tc>
            </w:tr>
            <w:tr w14:paraId="6A3490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657" w:type="pct"/>
                  <w:tcBorders>
                    <w:tl2br w:val="nil"/>
                    <w:tr2bl w:val="nil"/>
                  </w:tcBorders>
                  <w:noWrap w:val="0"/>
                  <w:vAlign w:val="center"/>
                </w:tcPr>
                <w:p w14:paraId="584AD19F">
                  <w:pPr>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机械噪声、车辆运输、人群活动</w:t>
                  </w:r>
                </w:p>
              </w:tc>
              <w:tc>
                <w:tcPr>
                  <w:tcW w:w="775" w:type="pct"/>
                  <w:tcBorders>
                    <w:tl2br w:val="nil"/>
                    <w:tr2bl w:val="nil"/>
                  </w:tcBorders>
                  <w:noWrap w:val="0"/>
                  <w:vAlign w:val="center"/>
                </w:tcPr>
                <w:p w14:paraId="52D263E6">
                  <w:pPr>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动植物</w:t>
                  </w:r>
                </w:p>
              </w:tc>
              <w:tc>
                <w:tcPr>
                  <w:tcW w:w="445" w:type="pct"/>
                  <w:tcBorders>
                    <w:tl2br w:val="nil"/>
                    <w:tr2bl w:val="nil"/>
                  </w:tcBorders>
                  <w:noWrap w:val="0"/>
                  <w:vAlign w:val="center"/>
                </w:tcPr>
                <w:p w14:paraId="5D4E4929">
                  <w:pPr>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p>
              </w:tc>
              <w:tc>
                <w:tcPr>
                  <w:tcW w:w="446" w:type="pct"/>
                  <w:tcBorders>
                    <w:tl2br w:val="nil"/>
                    <w:tr2bl w:val="nil"/>
                  </w:tcBorders>
                  <w:noWrap w:val="0"/>
                  <w:vAlign w:val="center"/>
                </w:tcPr>
                <w:p w14:paraId="72B78002">
                  <w:pPr>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w:t>
                  </w:r>
                </w:p>
              </w:tc>
              <w:tc>
                <w:tcPr>
                  <w:tcW w:w="445" w:type="pct"/>
                  <w:tcBorders>
                    <w:tl2br w:val="nil"/>
                    <w:tr2bl w:val="nil"/>
                  </w:tcBorders>
                  <w:noWrap w:val="0"/>
                  <w:vAlign w:val="center"/>
                </w:tcPr>
                <w:p w14:paraId="40C4D896">
                  <w:pPr>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p>
              </w:tc>
              <w:tc>
                <w:tcPr>
                  <w:tcW w:w="446" w:type="pct"/>
                  <w:tcBorders>
                    <w:tl2br w:val="nil"/>
                    <w:tr2bl w:val="nil"/>
                  </w:tcBorders>
                  <w:noWrap w:val="0"/>
                  <w:vAlign w:val="center"/>
                </w:tcPr>
                <w:p w14:paraId="3C0DBF01">
                  <w:pPr>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w:t>
                  </w:r>
                </w:p>
              </w:tc>
              <w:tc>
                <w:tcPr>
                  <w:tcW w:w="445" w:type="pct"/>
                  <w:tcBorders>
                    <w:tl2br w:val="nil"/>
                    <w:tr2bl w:val="nil"/>
                  </w:tcBorders>
                  <w:noWrap w:val="0"/>
                  <w:vAlign w:val="center"/>
                </w:tcPr>
                <w:p w14:paraId="320C8A89">
                  <w:pPr>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w:t>
                  </w:r>
                </w:p>
              </w:tc>
              <w:tc>
                <w:tcPr>
                  <w:tcW w:w="446" w:type="pct"/>
                  <w:tcBorders>
                    <w:tl2br w:val="nil"/>
                    <w:tr2bl w:val="nil"/>
                  </w:tcBorders>
                  <w:noWrap w:val="0"/>
                  <w:vAlign w:val="center"/>
                </w:tcPr>
                <w:p w14:paraId="34021BE0">
                  <w:pPr>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p>
              </w:tc>
              <w:tc>
                <w:tcPr>
                  <w:tcW w:w="445" w:type="pct"/>
                  <w:tcBorders>
                    <w:tl2br w:val="nil"/>
                    <w:tr2bl w:val="nil"/>
                  </w:tcBorders>
                  <w:noWrap w:val="0"/>
                  <w:vAlign w:val="center"/>
                </w:tcPr>
                <w:p w14:paraId="311E222B">
                  <w:pPr>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w:t>
                  </w:r>
                </w:p>
              </w:tc>
              <w:tc>
                <w:tcPr>
                  <w:tcW w:w="447" w:type="pct"/>
                  <w:tcBorders>
                    <w:tl2br w:val="nil"/>
                    <w:tr2bl w:val="nil"/>
                  </w:tcBorders>
                  <w:noWrap w:val="0"/>
                  <w:vAlign w:val="center"/>
                </w:tcPr>
                <w:p w14:paraId="2EF56D8B">
                  <w:pPr>
                    <w:spacing w:line="240" w:lineRule="auto"/>
                    <w:ind w:firstLine="0" w:firstLineChars="0"/>
                    <w:jc w:val="cente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p>
              </w:tc>
            </w:tr>
          </w:tbl>
          <w:p w14:paraId="09175342">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由上表可见，该项目的实施虽然对生态环境的影响大部分都是长期性和明显的，但均为局部影响。</w:t>
            </w:r>
          </w:p>
          <w:p w14:paraId="1CFC9C4B">
            <w:pPr>
              <w:adjustRightInd w:val="0"/>
              <w:snapToGrid w:val="0"/>
              <w:spacing w:line="360" w:lineRule="auto"/>
              <w:ind w:firstLine="480" w:firstLineChars="2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（1）工程占地</w:t>
            </w:r>
          </w:p>
          <w:p w14:paraId="3662C548">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经过现场调查可知，</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施工期</w:t>
            </w:r>
            <w:r>
              <w:rPr>
                <w:rFonts w:hint="default" w:ascii="Times New Roman" w:hAnsi="Times New Roman" w:eastAsia="宋体" w:cs="Times New Roman"/>
                <w:color w:val="000000" w:themeColor="text1"/>
                <w:kern w:val="0"/>
                <w:sz w:val="24"/>
                <w:highlight w:val="none"/>
                <w14:textFill>
                  <w14:solidFill>
                    <w14:schemeClr w14:val="tx1"/>
                  </w14:solidFill>
                </w14:textFill>
              </w:rPr>
              <w:t>为主要生态破坏区域，占地类型为</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其他</w:t>
            </w:r>
            <w:r>
              <w:rPr>
                <w:rFonts w:hint="default" w:ascii="Times New Roman" w:hAnsi="Times New Roman" w:eastAsia="宋体" w:cs="Times New Roman"/>
                <w:color w:val="000000" w:themeColor="text1"/>
                <w:kern w:val="0"/>
                <w:sz w:val="24"/>
                <w:highlight w:val="none"/>
                <w14:textFill>
                  <w14:solidFill>
                    <w14:schemeClr w14:val="tx1"/>
                  </w14:solidFill>
                </w14:textFill>
              </w:rPr>
              <w:t>草地</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和林地</w:t>
            </w:r>
            <w:r>
              <w:rPr>
                <w:rFonts w:hint="default" w:ascii="Times New Roman" w:hAnsi="Times New Roman" w:eastAsia="宋体" w:cs="Times New Roman"/>
                <w:color w:val="000000" w:themeColor="text1"/>
                <w:kern w:val="0"/>
                <w:sz w:val="24"/>
                <w:highlight w:val="none"/>
                <w14:textFill>
                  <w14:solidFill>
                    <w14:schemeClr w14:val="tx1"/>
                  </w14:solidFill>
                </w14:textFill>
              </w:rPr>
              <w:t>，原有生态服务功能消失，但同时土地的利用价值得到了提高。服务期满后进行复垦工作，尽量恢复原有生态功能，因此项目工程占地对所在区域生态环境影响较小。</w:t>
            </w:r>
          </w:p>
          <w:p w14:paraId="6874A1BC">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项目施工过程表土剥离、平整场地、地基及管沟开挖造成直接施工区域内地表植被的完全破坏和施工区域一定范围内植被不同程度的破坏；施工机械、材料的运输、施工人员践踏、占地也将破坏一定区域内的植被破坏。</w:t>
            </w:r>
          </w:p>
          <w:p w14:paraId="71172EB8">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项目矿区及工业广场与现有乡道连接，施工临时道路依托项目区附近乡道，施工营地位于拟建工业广场红线内，依据现场踏勘及遥感资料，项目施工区域无珍稀植物分布。施工作业严格控制在施工红线内，项目管沟工程量较小，施工过程中分层开挖，分层回填，对生态环境影响较小。施工结束后，施工营地作为生活办公区被继续利用，项目建设对项目区环境影响较小。</w:t>
            </w:r>
          </w:p>
          <w:p w14:paraId="646E1820">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（2）对植被的影响</w:t>
            </w:r>
          </w:p>
          <w:p w14:paraId="31AF79EB">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sz w:val="24"/>
                <w:szCs w:val="24"/>
                <w:highlight w:val="none"/>
              </w:rPr>
              <w:t>施工期场地开挖、机械碾压及占地等活动，会直接损毁、压占地表植被，造成植被生物量损失，裸露地表还易受风沙侵蚀影响植被自然恢复；施工扬尘也会对周边植物生长产生一定干扰。该类影响为局部、暂时性影响，施工结束后落实植被恢复措施，可有效减轻并逐步消除不利影响。</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w:t>
            </w:r>
          </w:p>
          <w:p w14:paraId="05F7C3B1">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（3）对土壤影响分析</w:t>
            </w:r>
          </w:p>
          <w:p w14:paraId="6AC337AF">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对土壤环境而言，工程建设占地最直接的影响就是施工期各类施工活动对地表扰动对土壤结构、肥力、物理性质破坏的影响。施工产生的土石方堆存，改变了土壤结构，使原有土层发生紊乱，造成生熟土和石砾混杂，团粒结构破坏，土壤毛细管断裂，从而导致土壤性质恶化，同时可能引起一定的土壤侵蚀。</w:t>
            </w:r>
          </w:p>
          <w:p w14:paraId="2FF13913">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项目施工临时道路依托现有乡道，施工营地位于工业广场占地范围内，施工结束后作为项目区生活办公区继续使用，项目施工期对项目区外土壤的影响是局部可控的，对项目区外的土壤环境影响较小。</w:t>
            </w:r>
          </w:p>
          <w:p w14:paraId="40BD7D72">
            <w:pPr>
              <w:adjustRightInd w:val="0"/>
              <w:snapToGrid w:val="0"/>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lang w:val="en-US" w:eastAsia="zh-CN"/>
              </w:rPr>
              <w:t>（4）水土流失的影响</w:t>
            </w:r>
          </w:p>
          <w:p w14:paraId="2811173F">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sz w:val="24"/>
                <w:szCs w:val="24"/>
                <w:highlight w:val="none"/>
              </w:rPr>
              <w:t>项目所在</w:t>
            </w:r>
            <w:r>
              <w:rPr>
                <w:rFonts w:hint="eastAsia" w:ascii="Times New Roman" w:hAnsi="Times New Roman" w:eastAsia="宋体" w:cs="Times New Roman"/>
                <w:sz w:val="24"/>
                <w:szCs w:val="24"/>
                <w:highlight w:val="none"/>
                <w:lang w:val="en-US" w:eastAsia="zh-CN"/>
              </w:rPr>
              <w:t>地为吉木萨尔县，</w:t>
            </w:r>
            <w:r>
              <w:rPr>
                <w:rFonts w:hint="default" w:ascii="Times New Roman" w:hAnsi="Times New Roman" w:eastAsia="宋体" w:cs="Times New Roman"/>
                <w:sz w:val="24"/>
                <w:szCs w:val="24"/>
                <w:highlight w:val="none"/>
              </w:rPr>
              <w:t>属于II</w:t>
            </w:r>
            <w:r>
              <w:rPr>
                <w:rFonts w:hint="default" w:ascii="Times New Roman" w:hAnsi="Times New Roman" w:eastAsia="宋体" w:cs="Times New Roman"/>
                <w:sz w:val="24"/>
                <w:szCs w:val="24"/>
                <w:highlight w:val="none"/>
                <w:vertAlign w:val="subscript"/>
              </w:rPr>
              <w:t>2</w:t>
            </w:r>
            <w:r>
              <w:rPr>
                <w:rFonts w:hint="default" w:ascii="Times New Roman" w:hAnsi="Times New Roman" w:eastAsia="宋体" w:cs="Times New Roman"/>
                <w:sz w:val="24"/>
                <w:szCs w:val="24"/>
                <w:highlight w:val="none"/>
              </w:rPr>
              <w:t>天山北坡诸小河流域重点治理区</w:t>
            </w:r>
            <w:r>
              <w:rPr>
                <w:rFonts w:hint="eastAsia" w:ascii="Times New Roman" w:hAnsi="Times New Roman" w:eastAsia="宋体" w:cs="Times New Roman"/>
                <w:sz w:val="24"/>
                <w:szCs w:val="24"/>
                <w:highlight w:val="none"/>
                <w:lang w:eastAsia="zh-CN"/>
              </w:rPr>
              <w:t>，</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本项目施工过程中，会因工程施工占地、开挖、土方堆放等造成一定的水土流失。通常因其破坏原有植被，改变表土结构，挖出的土石方因结构松散，如果开挖期间遭遇暴雨，水土流失量将增大；在施工区域内，因机械设备、车辆等碾压、施工人员踩踏和土石方堆放等因素使土地原有植被受到破坏，土壤裸露，易被雨水冲刷，造成水土流失。</w:t>
            </w:r>
          </w:p>
          <w:p w14:paraId="73FD8D66">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根据工程区实地踏勘分析，项目区两侧大部分区域为草地和林地，根据收集区域资料及沿线勘察可知，项目采矿区工程区域地形平坦，植被覆盖度较低，岩石出露地表，项目施工期需对区域土壤厚度大于50cm的表土进行剥离，工业广场及运输道路覆盖物质以</w:t>
            </w:r>
            <w:r>
              <w:rPr>
                <w:rFonts w:hint="eastAsia" w:ascii="Times New Roman" w:hAnsi="Times New Roman" w:eastAsia="宋体" w:cs="Times New Roman"/>
                <w:color w:val="000000" w:themeColor="text1"/>
                <w:kern w:val="0"/>
                <w:sz w:val="24"/>
                <w:highlight w:val="none"/>
                <w:lang w:val="en-US" w:eastAsia="zh-CN"/>
                <w14:textFill>
                  <w14:solidFill>
                    <w14:schemeClr w14:val="tx1"/>
                  </w14:solidFill>
                </w14:textFill>
              </w:rPr>
              <w:t>灰褐土</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为主，植被覆盖度较好，项目对工业广场需要硬化区域及运输道路表土进行剥离，剥离后表土运输到矿区东侧低于开采界面的表土堆场临时堆存。</w:t>
            </w:r>
          </w:p>
          <w:p w14:paraId="727B285C">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表土堆场及表土剥离后的裸露地表，在大风暴雨天气产生的水土流失较多，地基施工挖填方作业也将引发水土流失。因此项目在施工过程中需采取严格的水土保持措施：避开大风及雨水天气施工，挖出的土方由机械压实，并用防尘网覆盖，减小风力起尘造成的水土流失；项目分段施工，减少裸露地表面积减少风蚀影响；物料堆存严格控制在项目划定范围内，并做到百分百覆盖，减少水土流失影响。</w:t>
            </w:r>
          </w:p>
          <w:p w14:paraId="0D5ACE6C">
            <w:pPr>
              <w:adjustRightInd w:val="0"/>
              <w:snapToGrid w:val="0"/>
              <w:spacing w:line="360" w:lineRule="auto"/>
              <w:ind w:firstLine="480" w:firstLineChars="2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w:t>
            </w:r>
            <w:r>
              <w:rPr>
                <w:rFonts w:hint="default" w:ascii="Times New Roman" w:hAnsi="Times New Roman" w:eastAsia="宋体" w:cs="Times New Roman"/>
                <w:color w:val="auto"/>
                <w:kern w:val="0"/>
                <w:sz w:val="24"/>
                <w:highlight w:val="none"/>
                <w:lang w:val="en-US" w:eastAsia="zh-CN"/>
              </w:rPr>
              <w:t>5</w:t>
            </w:r>
            <w:r>
              <w:rPr>
                <w:rFonts w:hint="default" w:ascii="Times New Roman" w:hAnsi="Times New Roman" w:eastAsia="宋体" w:cs="Times New Roman"/>
                <w:color w:val="auto"/>
                <w:kern w:val="0"/>
                <w:sz w:val="24"/>
                <w:highlight w:val="none"/>
              </w:rPr>
              <w:t>）对动物的影响</w:t>
            </w:r>
          </w:p>
          <w:p w14:paraId="320F35C8">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①对野生动物的影响</w:t>
            </w:r>
          </w:p>
          <w:p w14:paraId="43970C66">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项目在施工过程中，清除植被，会对现有动物的栖息生境产生一定程度的扰动，如可能限制某些动物进入它们习惯的季节性觅食区，使之不能更大范围的觅食。此外，项目区施工机械、施工人员活动及运输车辆等对现有动物的栖息生境产生扰动，对各类动物产生不同程度的影响。对项目区动物的栖息、繁衍将产生局部影响，可能造成动物的脱离或搬迁。使它们移居到周围干扰较小的地区，并在新的环境中适应和生存。</w:t>
            </w:r>
          </w:p>
          <w:p w14:paraId="45B7AC6C">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由于项目区没有固定或必经的动物迁徙通道，工程建设和各项设施的布局，不存在阻隔这些野生动物的迁徙通道，通过现场调查和咨询，项目区占地范围内动物资源受人类活动影响较匮乏，主要是小型啮齿类、爬行类动物，没有珍稀物种，对动物的影响不大，因此项目施工期对周边野生动物资源的影响不大。</w:t>
            </w:r>
          </w:p>
          <w:p w14:paraId="3423A39B">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②对鸟类的影响</w:t>
            </w:r>
          </w:p>
          <w:p w14:paraId="63C25DDA">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根据现状调查，评价区内无国家保护鸟类，在实际的调查、走访过程中，项目施工区内并没有发现保护鸟类的存在，主要鸟类有麻雀、家燕等。此外，因施工区范围较小，这些鸟类不会因工程建设与运行而有灭绝的危险，故本项目对这些保护鸟类的影响是有限、可控的。同时随着厂区植树种草等人工生态系统的建设，会给鸟类栖息与生存提供有利条件。</w:t>
            </w:r>
          </w:p>
          <w:p w14:paraId="2304848E">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kern w:val="0"/>
                <w:sz w:val="24"/>
                <w:highlight w:val="none"/>
                <w14:textFill>
                  <w14:solidFill>
                    <w14:schemeClr w14:val="tx1"/>
                  </w14:solidFill>
                </w14:textFill>
              </w:rPr>
              <w:t>）对生态功能的影响</w:t>
            </w:r>
          </w:p>
          <w:p w14:paraId="6BC82B52">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①对生态系统稳定性的影响</w:t>
            </w:r>
          </w:p>
          <w:p w14:paraId="331D40D9">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建设项目施工对局部自然生态环境造成一定的破坏，但对整个评价区域自然体系的稳定性不会造成明显影响，仅使局部区域植被铲除、动物迁徙、水土流失侵蚀度增加，使局部生物量减少，局部自然生态环境遭到一定的破坏。但由于影响面积小，对评价区域内自然生态体系的稳定性和对外界环境干扰的阻抗和恢复功能影响不大，对整个评价范围内区域自然体系恢复稳定性不会产生明显的影响，是评价区域内自然体系可以承受的；同时，工程建设和施工使区域生态环境局部动植物物种的移动和抵御内外界干扰受到了一定的影响，但对植被分布的空间影响不大。因此，项目施工区对区域自然体系中生态环境自身的异质化程度影响不大，对评价区域自然体系的稳定性造成影响较小。</w:t>
            </w:r>
          </w:p>
          <w:p w14:paraId="349805D4">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②对生态功能的影响</w:t>
            </w:r>
          </w:p>
          <w:p w14:paraId="19779933">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本项目区范围内占地类型主要为草地</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和林地</w:t>
            </w:r>
            <w:r>
              <w:rPr>
                <w:rFonts w:hint="default" w:ascii="Times New Roman" w:hAnsi="Times New Roman" w:eastAsia="宋体" w:cs="Times New Roman"/>
                <w:color w:val="000000" w:themeColor="text1"/>
                <w:kern w:val="0"/>
                <w:sz w:val="24"/>
                <w:highlight w:val="none"/>
                <w14:textFill>
                  <w14:solidFill>
                    <w14:schemeClr w14:val="tx1"/>
                  </w14:solidFill>
                </w14:textFill>
              </w:rPr>
              <w:t>。由于占地较小，临时占地破坏的植被一段时间后影响的植被可自然恢复，因此项目的施工对生态系统的切割和廊道作用不明显，对主导服务功能及景观影响较小。同时施工结束后对项目区周边进行水保绿化，也可减轻对生态环境的影响，维持原有生态功能。</w:t>
            </w:r>
          </w:p>
          <w:p w14:paraId="580D0BFF">
            <w:pPr>
              <w:numPr>
                <w:ilvl w:val="0"/>
                <w:numId w:val="0"/>
              </w:numPr>
              <w:adjustRightInd w:val="0"/>
              <w:snapToGrid w:val="0"/>
              <w:spacing w:line="360" w:lineRule="auto"/>
              <w:ind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7</w:t>
            </w:r>
            <w:r>
              <w:rPr>
                <w:rFonts w:hint="default" w:ascii="Times New Roman" w:hAnsi="Times New Roman" w:eastAsia="宋体" w:cs="Times New Roman"/>
                <w:color w:val="000000" w:themeColor="text1"/>
                <w:kern w:val="0"/>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0"/>
                <w:sz w:val="24"/>
                <w:highlight w:val="none"/>
                <w14:textFill>
                  <w14:solidFill>
                    <w14:schemeClr w14:val="tx1"/>
                  </w14:solidFill>
                </w14:textFill>
              </w:rPr>
              <w:t>小结</w:t>
            </w:r>
          </w:p>
          <w:p w14:paraId="227CAA56">
            <w:pPr>
              <w:numPr>
                <w:ilvl w:val="0"/>
                <w:numId w:val="0"/>
              </w:numPr>
              <w:adjustRightInd w:val="0"/>
              <w:snapToGrid w:val="0"/>
              <w:spacing w:line="360" w:lineRule="auto"/>
              <w:ind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在项目建设过程中，使占地范围内植被受到破坏，但总的植被分布格局不会被打破。施工场地及周边动植物分布均为常见物种，无珍稀物种。同时建设单位在严格按照土地复垦规定进行土地复垦，恢复植被，严格执行水土保持的情况下，项目对评价区的生态影响可以降低到最低程度，工程建设带来的影响是区域自然体系可以承受的。</w:t>
            </w:r>
          </w:p>
          <w:p w14:paraId="306881CF">
            <w:pPr>
              <w:keepNext w:val="0"/>
              <w:keepLines w:val="0"/>
              <w:widowControl/>
              <w:suppressLineNumbers w:val="0"/>
              <w:jc w:val="left"/>
            </w:pPr>
            <w:r>
              <w:rPr>
                <w:rFonts w:hint="eastAsia" w:ascii="Times New Roman" w:hAnsi="Times New Roman" w:eastAsia="宋体" w:cs="Times New Roman"/>
                <w:b/>
                <w:bCs/>
                <w:color w:val="000000" w:themeColor="text1"/>
                <w:sz w:val="24"/>
                <w:highlight w:val="none"/>
                <w:lang w:val="en-US" w:eastAsia="zh-CN"/>
                <w14:textFill>
                  <w14:solidFill>
                    <w14:schemeClr w14:val="tx1"/>
                  </w14:solidFill>
                </w14:textFill>
              </w:rPr>
              <w:t>6.</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施工期土地沙化影响分析</w:t>
            </w:r>
          </w:p>
          <w:p w14:paraId="122921BA">
            <w:pPr>
              <w:numPr>
                <w:ilvl w:val="0"/>
                <w:numId w:val="0"/>
              </w:numPr>
              <w:adjustRightInd w:val="0"/>
              <w:snapToGrid w:val="0"/>
              <w:spacing w:line="360" w:lineRule="auto"/>
              <w:ind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eastAsia" w:ascii="Times New Roman" w:hAnsi="Times New Roman" w:eastAsia="宋体" w:cs="Times New Roman"/>
                <w:color w:val="000000" w:themeColor="text1"/>
                <w:kern w:val="0"/>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1</w:t>
            </w:r>
            <w:r>
              <w:rPr>
                <w:rFonts w:hint="eastAsia" w:ascii="Times New Roman" w:hAnsi="Times New Roman" w:eastAsia="宋体" w:cs="Times New Roman"/>
                <w:color w:val="000000" w:themeColor="text1"/>
                <w:kern w:val="0"/>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地表结构破坏，固沙能力下降</w:t>
            </w:r>
          </w:p>
          <w:p w14:paraId="432A8356">
            <w:pPr>
              <w:numPr>
                <w:ilvl w:val="0"/>
                <w:numId w:val="0"/>
              </w:numPr>
              <w:adjustRightInd w:val="0"/>
              <w:snapToGrid w:val="0"/>
              <w:spacing w:line="360" w:lineRule="auto"/>
              <w:ind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施工开挖、场地平整、临时占地、管网开挖等作业会清除原有地表荒漠结皮及低矮固沙植被，破坏原有表层致密结构，使下部松散砂质土体完全裸露。区域大风天气频繁，裸露土体无固沙、防风屏障，抗风蚀能力大幅降低，易产生就地起沙，加剧局部土地沙化趋势。</w:t>
            </w:r>
          </w:p>
          <w:p w14:paraId="38E3009C">
            <w:pPr>
              <w:numPr>
                <w:ilvl w:val="0"/>
                <w:numId w:val="0"/>
              </w:numPr>
              <w:adjustRightInd w:val="0"/>
              <w:snapToGrid w:val="0"/>
              <w:spacing w:line="360" w:lineRule="auto"/>
              <w:ind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eastAsia" w:ascii="Times New Roman" w:hAnsi="Times New Roman" w:eastAsia="宋体" w:cs="Times New Roman"/>
                <w:color w:val="000000" w:themeColor="text1"/>
                <w:kern w:val="0"/>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2</w:t>
            </w:r>
            <w:r>
              <w:rPr>
                <w:rFonts w:hint="eastAsia" w:ascii="Times New Roman" w:hAnsi="Times New Roman" w:eastAsia="宋体" w:cs="Times New Roman"/>
                <w:color w:val="000000" w:themeColor="text1"/>
                <w:kern w:val="0"/>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临时堆土与裸露面风蚀起沙</w:t>
            </w:r>
          </w:p>
          <w:p w14:paraId="6845640E">
            <w:pPr>
              <w:numPr>
                <w:ilvl w:val="0"/>
                <w:numId w:val="0"/>
              </w:numPr>
              <w:adjustRightInd w:val="0"/>
              <w:snapToGrid w:val="0"/>
              <w:spacing w:line="360" w:lineRule="auto"/>
              <w:ind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施工期土石方临时堆放区、开挖边坡、未硬化施工裸地土体松散，无植被覆盖，大风条件下极易产生风力侵蚀，造成土体流失、扬尘起沙，不仅加剧区域沙化，还会扩大扰动范围。</w:t>
            </w:r>
          </w:p>
          <w:p w14:paraId="403240F0">
            <w:pPr>
              <w:numPr>
                <w:ilvl w:val="0"/>
                <w:numId w:val="0"/>
              </w:numPr>
              <w:adjustRightInd w:val="0"/>
              <w:snapToGrid w:val="0"/>
              <w:spacing w:line="360" w:lineRule="auto"/>
              <w:ind w:firstLine="480" w:firstLineChars="200"/>
              <w:rPr>
                <w:rFonts w:hint="default" w:ascii="Times New Roman" w:hAnsi="Times New Roman" w:eastAsia="宋体" w:cs="Times New Roman"/>
                <w:color w:val="000000" w:themeColor="text1"/>
                <w:kern w:val="0"/>
                <w:sz w:val="24"/>
                <w:highlight w:val="none"/>
                <w14:textFill>
                  <w14:solidFill>
                    <w14:schemeClr w14:val="tx1"/>
                  </w14:solidFill>
                </w14:textFill>
              </w:rPr>
            </w:pPr>
            <w:r>
              <w:rPr>
                <w:rFonts w:hint="eastAsia" w:ascii="Times New Roman" w:hAnsi="Times New Roman" w:eastAsia="宋体" w:cs="Times New Roman"/>
                <w:color w:val="000000" w:themeColor="text1"/>
                <w:kern w:val="0"/>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3</w:t>
            </w:r>
            <w:r>
              <w:rPr>
                <w:rFonts w:hint="eastAsia" w:ascii="Times New Roman" w:hAnsi="Times New Roman" w:eastAsia="宋体" w:cs="Times New Roman"/>
                <w:color w:val="000000" w:themeColor="text1"/>
                <w:kern w:val="0"/>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施工机械扰动加剧土壤松散化</w:t>
            </w:r>
          </w:p>
          <w:p w14:paraId="0960AEF6">
            <w:pPr>
              <w:numPr>
                <w:ilvl w:val="0"/>
                <w:numId w:val="0"/>
              </w:numPr>
              <w:adjustRightInd w:val="0"/>
              <w:snapToGrid w:val="0"/>
              <w:spacing w:line="360" w:lineRule="auto"/>
              <w:ind w:firstLine="480" w:firstLineChars="200"/>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施工车辆、机械反复碾压扰动地表，破坏土壤团粒结构，导致表层土壤松散、孔隙增大、抗蚀性降低，加剧风蚀沙化进程，若不及时防护，施工扰动区域易形成次生沙化裸地。</w:t>
            </w:r>
          </w:p>
          <w:p w14:paraId="47C25412">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outlineLvl w:val="9"/>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7.施工期地下水环境影响分析</w:t>
            </w:r>
          </w:p>
          <w:p w14:paraId="0312C9E2">
            <w:pPr>
              <w:pStyle w:val="7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0"/>
              <w:jc w:val="both"/>
              <w:outlineLvl w:val="9"/>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1、施工开挖水文扰动影响</w:t>
            </w:r>
          </w:p>
          <w:p w14:paraId="5C1696B0">
            <w:pPr>
              <w:pStyle w:val="7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0"/>
              <w:jc w:val="both"/>
              <w:outlineLvl w:val="9"/>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本项目施工开挖以浅层土建开挖、管网敷设、场地平整为主，开挖深度均处于地表包气带范围内，未触及浅层地下水含水层，不会揭露地下水、不产生基坑涌水、疏干排水等现象，不会改变区域地下水补给、径流、排泄规律及水力梯度，对区域地下水动力场、地下水位基本无影响。</w:t>
            </w:r>
          </w:p>
          <w:p w14:paraId="6ED5453B">
            <w:pPr>
              <w:pStyle w:val="7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0"/>
              <w:jc w:val="both"/>
              <w:outlineLvl w:val="9"/>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2、施工废水入渗影响</w:t>
            </w:r>
          </w:p>
          <w:p w14:paraId="6A0D70C3">
            <w:pPr>
              <w:pStyle w:val="7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0"/>
              <w:jc w:val="both"/>
              <w:outlineLvl w:val="9"/>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施工期废水主要为混凝土养护废水、场地冲洗废水、施工基坑积水等，污染物以悬浮物、少量无机盐为主，无重金属、有毒有害有机污染物。施工场地设置临时防渗沉淀池，所有施工废水统一收集、沉淀处理后，全部回用于施工场地洒水抑尘、土方保湿，实现循环利用、零外排。废水经沉淀净化后水质简单，加之区域厚层包气带的过滤、吸附、降解作用，即便少量地表残留水分下渗，也不会对地下水水质造成不利影响。</w:t>
            </w:r>
          </w:p>
          <w:p w14:paraId="46B2C01C">
            <w:pPr>
              <w:pStyle w:val="7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0"/>
              <w:jc w:val="both"/>
              <w:outlineLvl w:val="9"/>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3、生活污水污染影响</w:t>
            </w:r>
          </w:p>
          <w:p w14:paraId="69671715">
            <w:pPr>
              <w:pStyle w:val="7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0"/>
              <w:jc w:val="both"/>
              <w:outlineLvl w:val="9"/>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施工生活区产生少量生活污水，主要污染物为COD、氨氮、悬浮物。施工期配套设置密闭防渗收集设施，生活污水统一收集、定期清运处置，严禁就地泼洒、随意漫流，彻底杜绝生活污水下渗污染包气带及地下水的风险。</w:t>
            </w:r>
          </w:p>
          <w:p w14:paraId="372E2EF2">
            <w:pPr>
              <w:pStyle w:val="7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0"/>
              <w:jc w:val="both"/>
              <w:outlineLvl w:val="9"/>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4、机械油品及物料淋溶影响</w:t>
            </w:r>
          </w:p>
          <w:p w14:paraId="3B45A8C0">
            <w:pPr>
              <w:pStyle w:val="7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0"/>
              <w:jc w:val="both"/>
              <w:outlineLvl w:val="9"/>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施工机械停放、检修过程存在少量油污滴落、油品轻微泄漏的潜在风险，是施工期地下水主要污染隐患。项目将施工机械集中布置在硬化防渗区域，配备吸附棉、沙土、防渗收集桶等应急物资，可及时吸附、清理泄漏油污，阻断油污下渗通道。同时，施工所用砂石、水泥等建筑物料均为环保无害物料，无有毒污染组分，且全部采取全覆盖苫盖、周边设置临时截排水措施，区域干旱少雨，无持续雨水淋溶条件，基本不存在物料淋溶污染地下水的情况。</w:t>
            </w:r>
          </w:p>
        </w:tc>
      </w:tr>
      <w:tr w14:paraId="0E989D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02" w:hRule="atLeast"/>
          <w:jc w:val="center"/>
        </w:trPr>
        <w:tc>
          <w:tcPr>
            <w:tcW w:w="746" w:type="dxa"/>
            <w:tcBorders>
              <w:tl2br w:val="nil"/>
              <w:tr2bl w:val="nil"/>
            </w:tcBorders>
            <w:noWrap w:val="0"/>
            <w:tcMar>
              <w:left w:w="28" w:type="dxa"/>
              <w:right w:w="28" w:type="dxa"/>
            </w:tcMar>
            <w:vAlign w:val="center"/>
          </w:tcPr>
          <w:p w14:paraId="1C53252F">
            <w:pPr>
              <w:pStyle w:val="72"/>
              <w:bidi w:val="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运营期</w:t>
            </w:r>
            <w:r>
              <w:rPr>
                <w:rFonts w:hint="default" w:ascii="Times New Roman" w:hAnsi="Times New Roman" w:eastAsia="宋体" w:cs="Times New Roman"/>
                <w:color w:val="000000" w:themeColor="text1"/>
                <w:highlight w:val="none"/>
                <w:lang w:val="en-US" w:eastAsia="zh-CN"/>
                <w14:textFill>
                  <w14:solidFill>
                    <w14:schemeClr w14:val="tx1"/>
                  </w14:solidFill>
                </w14:textFill>
              </w:rPr>
              <w:t>生态</w:t>
            </w:r>
            <w:r>
              <w:rPr>
                <w:rFonts w:hint="default" w:ascii="Times New Roman" w:hAnsi="Times New Roman" w:eastAsia="宋体" w:cs="Times New Roman"/>
                <w:color w:val="000000" w:themeColor="text1"/>
                <w:highlight w:val="none"/>
                <w14:textFill>
                  <w14:solidFill>
                    <w14:schemeClr w14:val="tx1"/>
                  </w14:solidFill>
                </w14:textFill>
              </w:rPr>
              <w:t>环境影</w:t>
            </w:r>
            <w:r>
              <w:rPr>
                <w:rFonts w:hint="default" w:ascii="Times New Roman" w:hAnsi="Times New Roman" w:eastAsia="宋体" w:cs="Times New Roman"/>
                <w:color w:val="000000" w:themeColor="text1"/>
                <w:highlight w:val="none"/>
                <w:lang w:val="en-US" w:eastAsia="zh-CN"/>
                <w14:textFill>
                  <w14:solidFill>
                    <w14:schemeClr w14:val="tx1"/>
                  </w14:solidFill>
                </w14:textFill>
              </w:rPr>
              <w:t>响分析</w:t>
            </w:r>
          </w:p>
        </w:tc>
        <w:tc>
          <w:tcPr>
            <w:tcW w:w="8162" w:type="dxa"/>
            <w:tcBorders>
              <w:tl2br w:val="nil"/>
              <w:tr2bl w:val="nil"/>
            </w:tcBorders>
            <w:noWrap w:val="0"/>
            <w:vAlign w:val="center"/>
          </w:tcPr>
          <w:p w14:paraId="57F459AA">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outlineLvl w:val="9"/>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14:textFill>
                  <w14:solidFill>
                    <w14:schemeClr w14:val="tx1"/>
                  </w14:solidFill>
                </w14:textFill>
              </w:rPr>
              <w:t>1</w:t>
            </w:r>
            <w:r>
              <w:rPr>
                <w:rFonts w:hint="default" w:ascii="Times New Roman" w:hAnsi="Times New Roman" w:eastAsia="宋体" w:cs="Times New Roman"/>
                <w:b/>
                <w:color w:val="000000" w:themeColor="text1"/>
                <w:kern w:val="2"/>
                <w:sz w:val="24"/>
                <w:szCs w:val="24"/>
                <w:highlight w:val="none"/>
                <w:lang w:val="en-US" w:eastAsia="zh-CN" w:bidi="ar"/>
                <w14:textFill>
                  <w14:solidFill>
                    <w14:schemeClr w14:val="tx1"/>
                  </w14:solidFill>
                </w14:textFill>
              </w:rPr>
              <w:t>、</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大气环境影响分析</w:t>
            </w:r>
          </w:p>
          <w:p w14:paraId="6147EDFB">
            <w:pPr>
              <w:pStyle w:val="7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0"/>
              <w:jc w:val="both"/>
              <w:outlineLvl w:val="9"/>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t>本项目</w:t>
            </w: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砂石料开采采用大开挖式，开挖和进料过程采用配备移动式雾炮设施喷雾抑尘，</w:t>
            </w:r>
            <w:r>
              <w:rPr>
                <w:rFonts w:hint="default" w:ascii="Times New Roman" w:hAnsi="Times New Roman" w:eastAsia="宋体" w:cs="Times New Roman"/>
                <w:bCs/>
                <w:color w:val="000000" w:themeColor="text1"/>
                <w:kern w:val="0"/>
                <w:sz w:val="24"/>
                <w:szCs w:val="22"/>
                <w:highlight w:val="none"/>
                <w:lang w:eastAsia="zh-CN"/>
                <w14:textFill>
                  <w14:solidFill>
                    <w14:schemeClr w14:val="tx1"/>
                  </w14:solidFill>
                </w14:textFill>
              </w:rPr>
              <w:t>砂石料</w:t>
            </w:r>
            <w:r>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t>皮带输送过程设置密闭的传输廊道</w:t>
            </w: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w:t>
            </w:r>
            <w:r>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t>项目运营期间大气污染物主要为</w:t>
            </w:r>
            <w:r>
              <w:rPr>
                <w:rFonts w:hint="default" w:ascii="Times New Roman" w:hAnsi="Times New Roman" w:eastAsia="宋体" w:cs="Times New Roman"/>
                <w:bCs/>
                <w:color w:val="000000" w:themeColor="text1"/>
                <w:kern w:val="0"/>
                <w:sz w:val="24"/>
                <w:szCs w:val="22"/>
                <w:highlight w:val="none"/>
                <w:lang w:eastAsia="zh-CN"/>
                <w14:textFill>
                  <w14:solidFill>
                    <w14:schemeClr w14:val="tx1"/>
                  </w14:solidFill>
                </w14:textFill>
              </w:rPr>
              <w:t>开采、</w:t>
            </w:r>
            <w:r>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t>运输道路扬尘</w:t>
            </w:r>
            <w:r>
              <w:rPr>
                <w:rFonts w:hint="default" w:ascii="Times New Roman" w:hAnsi="Times New Roman" w:eastAsia="宋体" w:cs="Times New Roman"/>
                <w:bCs/>
                <w:color w:val="000000" w:themeColor="text1"/>
                <w:kern w:val="0"/>
                <w:sz w:val="24"/>
                <w:szCs w:val="22"/>
                <w:highlight w:val="none"/>
                <w:lang w:eastAsia="zh-CN"/>
                <w14:textFill>
                  <w14:solidFill>
                    <w14:schemeClr w14:val="tx1"/>
                  </w14:solidFill>
                </w14:textFill>
              </w:rPr>
              <w:t>、</w:t>
            </w: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筛分粉尘及堆存扬尘。</w:t>
            </w:r>
          </w:p>
          <w:p w14:paraId="621A227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outlineLvl w:val="9"/>
              <w:rPr>
                <w:rFonts w:hint="default" w:ascii="Times New Roman" w:hAnsi="Times New Roman" w:eastAsia="宋体" w:cs="Times New Roman"/>
                <w:snapToGrid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2"/>
                <w:sz w:val="24"/>
                <w:szCs w:val="24"/>
                <w:highlight w:val="none"/>
                <w:lang w:val="en-US" w:eastAsia="zh-CN" w:bidi="ar-SA"/>
                <w14:textFill>
                  <w14:solidFill>
                    <w14:schemeClr w14:val="tx1"/>
                  </w14:solidFill>
                </w14:textFill>
              </w:rPr>
              <w:t>（1）采剥扬尘</w:t>
            </w:r>
          </w:p>
          <w:p w14:paraId="61A0AC0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outlineLvl w:val="9"/>
              <w:rPr>
                <w:rFonts w:hint="default" w:ascii="Times New Roman" w:hAnsi="Times New Roman" w:eastAsia="宋体" w:cs="Times New Roman"/>
                <w:bCs/>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kern w:val="0"/>
                <w:sz w:val="24"/>
                <w:szCs w:val="24"/>
                <w:highlight w:val="none"/>
                <w:lang w:val="en-US" w:eastAsia="zh-CN" w:bidi="ar-SA"/>
                <w14:textFill>
                  <w14:solidFill>
                    <w14:schemeClr w14:val="tx1"/>
                  </w14:solidFill>
                </w14:textFill>
              </w:rPr>
              <w:t>本项目采场用铲车将进行表土剥离及开采过程会产生一定量的颗粒物，本次参照《排放源统计调查产排污核算方法和系数手册》1011 石灰石、石膏开采行业系数表，露天开采工业粉尘的产生系数为1.42×10</w:t>
            </w:r>
            <w:r>
              <w:rPr>
                <w:rFonts w:hint="default" w:ascii="Times New Roman" w:hAnsi="Times New Roman" w:eastAsia="宋体" w:cs="Times New Roman"/>
                <w:bCs/>
                <w:color w:val="000000" w:themeColor="text1"/>
                <w:kern w:val="0"/>
                <w:sz w:val="24"/>
                <w:szCs w:val="24"/>
                <w:highlight w:val="none"/>
                <w:vertAlign w:val="superscript"/>
                <w:lang w:val="en-US" w:eastAsia="zh-CN" w:bidi="ar-SA"/>
                <w14:textFill>
                  <w14:solidFill>
                    <w14:schemeClr w14:val="tx1"/>
                  </w14:solidFill>
                </w14:textFill>
              </w:rPr>
              <w:t>-2</w:t>
            </w:r>
            <w:r>
              <w:rPr>
                <w:rFonts w:hint="default" w:ascii="Times New Roman" w:hAnsi="Times New Roman" w:eastAsia="宋体" w:cs="Times New Roman"/>
                <w:bCs/>
                <w:color w:val="000000" w:themeColor="text1"/>
                <w:kern w:val="0"/>
                <w:sz w:val="24"/>
                <w:szCs w:val="24"/>
                <w:highlight w:val="none"/>
                <w:lang w:val="en-US" w:eastAsia="zh-CN" w:bidi="ar-SA"/>
                <w14:textFill>
                  <w14:solidFill>
                    <w14:schemeClr w14:val="tx1"/>
                  </w14:solidFill>
                </w14:textFill>
              </w:rPr>
              <w:t>千克/吨-产品。本项目年开采规模为70万m</w:t>
            </w:r>
            <w:r>
              <w:rPr>
                <w:rFonts w:hint="default" w:ascii="Times New Roman" w:hAnsi="Times New Roman" w:eastAsia="宋体" w:cs="Times New Roman"/>
                <w:bCs/>
                <w:color w:val="000000" w:themeColor="text1"/>
                <w:kern w:val="0"/>
                <w:sz w:val="24"/>
                <w:szCs w:val="24"/>
                <w:highlight w:val="none"/>
                <w:vertAlign w:val="superscript"/>
                <w:lang w:val="en-US" w:eastAsia="zh-CN" w:bidi="ar-SA"/>
                <w14:textFill>
                  <w14:solidFill>
                    <w14:schemeClr w14:val="tx1"/>
                  </w14:solidFill>
                </w14:textFill>
              </w:rPr>
              <w:t>3</w:t>
            </w:r>
            <w:r>
              <w:rPr>
                <w:rFonts w:hint="default" w:ascii="Times New Roman" w:hAnsi="Times New Roman" w:eastAsia="宋体" w:cs="Times New Roman"/>
                <w:bCs/>
                <w:color w:val="000000" w:themeColor="text1"/>
                <w:kern w:val="0"/>
                <w:sz w:val="24"/>
                <w:szCs w:val="24"/>
                <w:highlight w:val="none"/>
                <w:lang w:val="en-US" w:eastAsia="zh-CN" w:bidi="ar-SA"/>
                <w14:textFill>
                  <w14:solidFill>
                    <w14:schemeClr w14:val="tx1"/>
                  </w14:solidFill>
                </w14:textFill>
              </w:rPr>
              <w:t>/a（约105万t/a），则无组织颗粒物产生量约为14.91t/a。本项目开采过程对采掘场地采用移动式雾炮机降尘、规定开采方式、大风天气不得生产、分区分片开采，可有效抑制颗粒物产生（抑尘效率80%），则年排放无组织颗粒物2.98t/a，排放速率为0.89kg/h。</w:t>
            </w:r>
          </w:p>
          <w:p w14:paraId="2873611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outlineLvl w:val="9"/>
              <w:rPr>
                <w:rFonts w:hint="default" w:ascii="Times New Roman" w:hAnsi="Times New Roman" w:eastAsia="宋体" w:cs="Times New Roman"/>
                <w:color w:val="000000" w:themeColor="text1"/>
                <w:highlight w:val="none"/>
                <w:lang w:eastAsia="zh-CN"/>
                <w14:textFill>
                  <w14:solidFill>
                    <w14:schemeClr w14:val="tx1"/>
                  </w14:solidFill>
                </w14:textFill>
              </w:rPr>
            </w:pPr>
            <w:r>
              <w:rPr>
                <w:rFonts w:hint="default" w:ascii="Times New Roman" w:hAnsi="Times New Roman" w:eastAsia="宋体" w:cs="Times New Roman"/>
                <w:snapToGrid w:val="0"/>
                <w:color w:val="000000" w:themeColor="text1"/>
                <w:kern w:val="2"/>
                <w:sz w:val="24"/>
                <w:szCs w:val="24"/>
                <w:highlight w:val="none"/>
                <w:lang w:val="en-US" w:eastAsia="zh-CN" w:bidi="ar-SA"/>
                <w14:textFill>
                  <w14:solidFill>
                    <w14:schemeClr w14:val="tx1"/>
                  </w14:solidFill>
                </w14:textFill>
              </w:rPr>
              <w:t>（2）装卸、进料扬尘</w:t>
            </w:r>
          </w:p>
          <w:p w14:paraId="7B610508">
            <w:pPr>
              <w:pStyle w:val="51"/>
              <w:ind w:left="0" w:leftChars="0" w:firstLine="480" w:firstLineChars="200"/>
              <w:rPr>
                <w:rFonts w:hint="default" w:ascii="Times New Roman" w:hAnsi="Times New Roman" w:eastAsia="宋体" w:cs="Times New Roman"/>
                <w:color w:val="000000" w:themeColor="text1"/>
                <w:highlight w:val="none"/>
                <w:lang w:eastAsia="zh-CN"/>
                <w14:textFill>
                  <w14:solidFill>
                    <w14:schemeClr w14:val="tx1"/>
                  </w14:solidFill>
                </w14:textFill>
              </w:rPr>
            </w:pPr>
            <w:r>
              <w:rPr>
                <w:rFonts w:hint="default" w:ascii="Times New Roman" w:hAnsi="Times New Roman" w:eastAsia="宋体" w:cs="Times New Roman"/>
                <w:color w:val="000000" w:themeColor="text1"/>
                <w:highlight w:val="none"/>
                <w:lang w:eastAsia="zh-CN"/>
                <w14:textFill>
                  <w14:solidFill>
                    <w14:schemeClr w14:val="tx1"/>
                  </w14:solidFill>
                </w14:textFill>
              </w:rPr>
              <w:t>挖掘机将</w:t>
            </w:r>
            <w:r>
              <w:rPr>
                <w:rFonts w:hint="default" w:ascii="Times New Roman" w:hAnsi="Times New Roman" w:eastAsia="宋体" w:cs="Times New Roman"/>
                <w:color w:val="000000" w:themeColor="text1"/>
                <w:highlight w:val="none"/>
                <w:lang w:val="en-US" w:eastAsia="zh-CN"/>
                <w14:textFill>
                  <w14:solidFill>
                    <w14:schemeClr w14:val="tx1"/>
                  </w14:solidFill>
                </w14:textFill>
              </w:rPr>
              <w:t>砂石料</w:t>
            </w:r>
            <w:r>
              <w:rPr>
                <w:rFonts w:hint="default" w:ascii="Times New Roman" w:hAnsi="Times New Roman" w:eastAsia="宋体" w:cs="Times New Roman"/>
                <w:color w:val="000000" w:themeColor="text1"/>
                <w:highlight w:val="none"/>
                <w:lang w:eastAsia="zh-CN"/>
                <w14:textFill>
                  <w14:solidFill>
                    <w14:schemeClr w14:val="tx1"/>
                  </w14:solidFill>
                </w14:textFill>
              </w:rPr>
              <w:t>装入自卸车，运到</w:t>
            </w:r>
            <w:r>
              <w:rPr>
                <w:rFonts w:hint="default" w:ascii="Times New Roman" w:hAnsi="Times New Roman" w:eastAsia="宋体" w:cs="Times New Roman"/>
                <w:color w:val="000000" w:themeColor="text1"/>
                <w:highlight w:val="none"/>
                <w:lang w:val="en-US" w:eastAsia="zh-CN"/>
                <w14:textFill>
                  <w14:solidFill>
                    <w14:schemeClr w14:val="tx1"/>
                  </w14:solidFill>
                </w14:textFill>
              </w:rPr>
              <w:t>工业广场</w:t>
            </w:r>
            <w:r>
              <w:rPr>
                <w:rFonts w:hint="default" w:ascii="Times New Roman" w:hAnsi="Times New Roman" w:eastAsia="宋体" w:cs="Times New Roman"/>
                <w:color w:val="000000" w:themeColor="text1"/>
                <w:highlight w:val="none"/>
                <w:lang w:eastAsia="zh-CN"/>
                <w14:textFill>
                  <w14:solidFill>
                    <w14:schemeClr w14:val="tx1"/>
                  </w14:solidFill>
                </w14:textFill>
              </w:rPr>
              <w:t>卸料口卸料时，均会产生扬尘，由于是卸入卸料口，无组织扬尘相应较少，参照国家环境保护局编写的《全国优秀环境影响报告书汇编》中的经验公式：</w:t>
            </w:r>
          </w:p>
          <w:p w14:paraId="7E898A34">
            <w:pPr>
              <w:spacing w:line="360" w:lineRule="auto"/>
              <w:jc w:val="center"/>
              <w:rPr>
                <w:rFonts w:hint="default" w:ascii="Times New Roman" w:hAnsi="Times New Roman" w:eastAsia="宋体" w:cs="Times New Roman"/>
                <w:bCs/>
                <w:color w:val="000000" w:themeColor="text1"/>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drawing>
                <wp:inline distT="0" distB="0" distL="114300" distR="114300">
                  <wp:extent cx="2133600" cy="352425"/>
                  <wp:effectExtent l="0" t="0" r="0" b="13335"/>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pic:cNvPicPr>
                        </pic:nvPicPr>
                        <pic:blipFill>
                          <a:blip r:embed="rId13"/>
                          <a:stretch>
                            <a:fillRect/>
                          </a:stretch>
                        </pic:blipFill>
                        <pic:spPr>
                          <a:xfrm>
                            <a:off x="0" y="0"/>
                            <a:ext cx="2133600" cy="352425"/>
                          </a:xfrm>
                          <a:prstGeom prst="rect">
                            <a:avLst/>
                          </a:prstGeom>
                          <a:noFill/>
                          <a:ln>
                            <a:noFill/>
                          </a:ln>
                        </pic:spPr>
                      </pic:pic>
                    </a:graphicData>
                  </a:graphic>
                </wp:inline>
              </w:drawing>
            </w:r>
          </w:p>
          <w:p w14:paraId="1AC82E99">
            <w:pPr>
              <w:spacing w:line="360" w:lineRule="auto"/>
              <w:ind w:firstLine="480" w:firstLineChars="200"/>
              <w:rPr>
                <w:rFonts w:hint="default" w:ascii="Times New Roman" w:hAnsi="Times New Roman" w:eastAsia="宋体" w:cs="Times New Roman"/>
                <w:bCs/>
                <w:color w:val="000000" w:themeColor="text1"/>
                <w:kern w:val="0"/>
                <w:sz w:val="24"/>
                <w:szCs w:val="24"/>
                <w:highlight w:val="none"/>
                <w14:textFill>
                  <w14:solidFill>
                    <w14:schemeClr w14:val="tx1"/>
                  </w14:solidFill>
                </w14:textFill>
              </w:rPr>
            </w:pPr>
            <w:r>
              <w:rPr>
                <w:rFonts w:hint="default" w:ascii="Times New Roman" w:hAnsi="Times New Roman" w:eastAsia="宋体" w:cs="Times New Roman"/>
                <w:bCs/>
                <w:color w:val="000000" w:themeColor="text1"/>
                <w:kern w:val="0"/>
                <w:sz w:val="24"/>
                <w:szCs w:val="24"/>
                <w:highlight w:val="none"/>
                <w14:textFill>
                  <w14:solidFill>
                    <w14:schemeClr w14:val="tx1"/>
                  </w14:solidFill>
                </w14:textFill>
              </w:rPr>
              <w:t>计算参数： Q—</w:t>
            </w:r>
            <w:r>
              <w:rPr>
                <w:rFonts w:hint="default" w:ascii="Times New Roman" w:hAnsi="Times New Roman" w:eastAsia="宋体" w:cs="Times New Roman"/>
                <w:bCs/>
                <w:color w:val="000000" w:themeColor="text1"/>
                <w:kern w:val="0"/>
                <w:sz w:val="24"/>
                <w:szCs w:val="24"/>
                <w:highlight w:val="none"/>
                <w:lang w:val="en-US" w:eastAsia="zh-CN"/>
                <w14:textFill>
                  <w14:solidFill>
                    <w14:schemeClr w14:val="tx1"/>
                  </w14:solidFill>
                </w14:textFill>
              </w:rPr>
              <w:t>扬尘量，kg/h</w:t>
            </w:r>
            <w:r>
              <w:rPr>
                <w:rFonts w:hint="default" w:ascii="Times New Roman" w:hAnsi="Times New Roman" w:eastAsia="宋体" w:cs="Times New Roman"/>
                <w:bCs/>
                <w:color w:val="000000" w:themeColor="text1"/>
                <w:kern w:val="0"/>
                <w:sz w:val="24"/>
                <w:szCs w:val="24"/>
                <w:highlight w:val="none"/>
                <w14:textFill>
                  <w14:solidFill>
                    <w14:schemeClr w14:val="tx1"/>
                  </w14:solidFill>
                </w14:textFill>
              </w:rPr>
              <w:t>；</w:t>
            </w:r>
          </w:p>
          <w:p w14:paraId="6DC7DE8E">
            <w:pPr>
              <w:spacing w:line="360" w:lineRule="auto"/>
              <w:ind w:firstLine="1920" w:firstLineChars="800"/>
              <w:rPr>
                <w:rFonts w:hint="default" w:ascii="Times New Roman" w:hAnsi="Times New Roman" w:eastAsia="宋体" w:cs="Times New Roman"/>
                <w:bCs/>
                <w:color w:val="000000" w:themeColor="text1"/>
                <w:kern w:val="0"/>
                <w:sz w:val="24"/>
                <w:szCs w:val="24"/>
                <w:highlight w:val="none"/>
                <w14:textFill>
                  <w14:solidFill>
                    <w14:schemeClr w14:val="tx1"/>
                  </w14:solidFill>
                </w14:textFill>
              </w:rPr>
            </w:pPr>
            <w:r>
              <w:rPr>
                <w:rFonts w:hint="default" w:ascii="Times New Roman" w:hAnsi="Times New Roman" w:eastAsia="宋体" w:cs="Times New Roman"/>
                <w:bCs/>
                <w:color w:val="000000" w:themeColor="text1"/>
                <w:kern w:val="0"/>
                <w:sz w:val="24"/>
                <w:szCs w:val="24"/>
                <w:highlight w:val="none"/>
                <w:lang w:val="en-US" w:eastAsia="zh-CN"/>
                <w14:textFill>
                  <w14:solidFill>
                    <w14:schemeClr w14:val="tx1"/>
                  </w14:solidFill>
                </w14:textFill>
              </w:rPr>
              <w:t>H</w:t>
            </w:r>
            <w:r>
              <w:rPr>
                <w:rFonts w:hint="default" w:ascii="Times New Roman" w:hAnsi="Times New Roman" w:eastAsia="宋体" w:cs="Times New Roman"/>
                <w:bCs/>
                <w:color w:val="000000" w:themeColor="text1"/>
                <w:kern w:val="0"/>
                <w:sz w:val="24"/>
                <w:szCs w:val="24"/>
                <w:highlight w:val="none"/>
                <w14:textFill>
                  <w14:solidFill>
                    <w14:schemeClr w14:val="tx1"/>
                  </w14:solidFill>
                </w14:textFill>
              </w:rPr>
              <w:t>—</w:t>
            </w:r>
            <w:r>
              <w:rPr>
                <w:rFonts w:hint="default" w:ascii="Times New Roman" w:hAnsi="Times New Roman" w:eastAsia="宋体" w:cs="Times New Roman"/>
                <w:bCs/>
                <w:color w:val="000000" w:themeColor="text1"/>
                <w:kern w:val="0"/>
                <w:sz w:val="24"/>
                <w:szCs w:val="24"/>
                <w:highlight w:val="none"/>
                <w:lang w:val="en-US" w:eastAsia="zh-CN"/>
                <w14:textFill>
                  <w14:solidFill>
                    <w14:schemeClr w14:val="tx1"/>
                  </w14:solidFill>
                </w14:textFill>
              </w:rPr>
              <w:t>物料装卸高度，m（取1.5m）</w:t>
            </w:r>
            <w:r>
              <w:rPr>
                <w:rFonts w:hint="default" w:ascii="Times New Roman" w:hAnsi="Times New Roman" w:eastAsia="宋体" w:cs="Times New Roman"/>
                <w:bCs/>
                <w:color w:val="000000" w:themeColor="text1"/>
                <w:kern w:val="0"/>
                <w:sz w:val="24"/>
                <w:szCs w:val="24"/>
                <w:highlight w:val="none"/>
                <w14:textFill>
                  <w14:solidFill>
                    <w14:schemeClr w14:val="tx1"/>
                  </w14:solidFill>
                </w14:textFill>
              </w:rPr>
              <w:t>；</w:t>
            </w:r>
          </w:p>
          <w:p w14:paraId="2B0C6FFF">
            <w:pPr>
              <w:spacing w:line="360" w:lineRule="auto"/>
              <w:ind w:firstLine="1920" w:firstLineChars="800"/>
              <w:rPr>
                <w:rFonts w:hint="default" w:ascii="Times New Roman" w:hAnsi="Times New Roman" w:eastAsia="宋体" w:cs="Times New Roman"/>
                <w:bCs/>
                <w:color w:val="000000" w:themeColor="text1"/>
                <w:kern w:val="0"/>
                <w:sz w:val="24"/>
                <w:szCs w:val="24"/>
                <w:highlight w:val="none"/>
                <w14:textFill>
                  <w14:solidFill>
                    <w14:schemeClr w14:val="tx1"/>
                  </w14:solidFill>
                </w14:textFill>
              </w:rPr>
            </w:pPr>
            <w:r>
              <w:rPr>
                <w:rFonts w:hint="default" w:ascii="Times New Roman" w:hAnsi="Times New Roman" w:eastAsia="宋体" w:cs="Times New Roman"/>
                <w:bCs/>
                <w:color w:val="000000" w:themeColor="text1"/>
                <w:kern w:val="0"/>
                <w:sz w:val="24"/>
                <w:szCs w:val="24"/>
                <w:highlight w:val="none"/>
                <w:lang w:val="en-US" w:eastAsia="zh-CN"/>
                <w14:textFill>
                  <w14:solidFill>
                    <w14:schemeClr w14:val="tx1"/>
                  </w14:solidFill>
                </w14:textFill>
              </w:rPr>
              <w:t>U</w:t>
            </w:r>
            <w:r>
              <w:rPr>
                <w:rFonts w:hint="default" w:ascii="Times New Roman" w:hAnsi="Times New Roman" w:eastAsia="宋体" w:cs="Times New Roman"/>
                <w:bCs/>
                <w:color w:val="000000" w:themeColor="text1"/>
                <w:kern w:val="0"/>
                <w:sz w:val="24"/>
                <w:szCs w:val="24"/>
                <w:highlight w:val="none"/>
                <w14:textFill>
                  <w14:solidFill>
                    <w14:schemeClr w14:val="tx1"/>
                  </w14:solidFill>
                </w14:textFill>
              </w:rPr>
              <w:t>—</w:t>
            </w:r>
            <w:r>
              <w:rPr>
                <w:rFonts w:hint="default" w:ascii="Times New Roman" w:hAnsi="Times New Roman" w:eastAsia="宋体" w:cs="Times New Roman"/>
                <w:bCs/>
                <w:color w:val="000000" w:themeColor="text1"/>
                <w:kern w:val="0"/>
                <w:sz w:val="24"/>
                <w:szCs w:val="24"/>
                <w:highlight w:val="none"/>
                <w:lang w:val="en-US" w:eastAsia="zh-CN"/>
                <w14:textFill>
                  <w14:solidFill>
                    <w14:schemeClr w14:val="tx1"/>
                  </w14:solidFill>
                </w14:textFill>
              </w:rPr>
              <w:t>风速，m/s（取平均风速1.9m/s）</w:t>
            </w:r>
            <w:r>
              <w:rPr>
                <w:rFonts w:hint="default" w:ascii="Times New Roman" w:hAnsi="Times New Roman" w:eastAsia="宋体" w:cs="Times New Roman"/>
                <w:bCs/>
                <w:color w:val="000000" w:themeColor="text1"/>
                <w:kern w:val="0"/>
                <w:sz w:val="24"/>
                <w:szCs w:val="24"/>
                <w:highlight w:val="none"/>
                <w14:textFill>
                  <w14:solidFill>
                    <w14:schemeClr w14:val="tx1"/>
                  </w14:solidFill>
                </w14:textFill>
              </w:rPr>
              <w:t>；</w:t>
            </w:r>
          </w:p>
          <w:p w14:paraId="68C450C7">
            <w:pPr>
              <w:spacing w:line="360" w:lineRule="auto"/>
              <w:ind w:firstLine="1920" w:firstLineChars="800"/>
              <w:rPr>
                <w:rFonts w:hint="default" w:ascii="Times New Roman" w:hAnsi="Times New Roman" w:eastAsia="宋体" w:cs="Times New Roman"/>
                <w:bCs/>
                <w:color w:val="000000" w:themeColor="text1"/>
                <w:kern w:val="0"/>
                <w:sz w:val="24"/>
                <w:szCs w:val="24"/>
                <w:highlight w:val="none"/>
                <w14:textFill>
                  <w14:solidFill>
                    <w14:schemeClr w14:val="tx1"/>
                  </w14:solidFill>
                </w14:textFill>
              </w:rPr>
            </w:pPr>
            <w:r>
              <w:rPr>
                <w:rFonts w:hint="default" w:ascii="Times New Roman" w:hAnsi="Times New Roman" w:eastAsia="宋体" w:cs="Times New Roman"/>
                <w:bCs/>
                <w:color w:val="000000" w:themeColor="text1"/>
                <w:kern w:val="0"/>
                <w:sz w:val="24"/>
                <w:szCs w:val="24"/>
                <w:highlight w:val="none"/>
                <w:lang w:val="en-US" w:eastAsia="zh-CN"/>
                <w14:textFill>
                  <w14:solidFill>
                    <w14:schemeClr w14:val="tx1"/>
                  </w14:solidFill>
                </w14:textFill>
              </w:rPr>
              <w:t>W</w:t>
            </w:r>
            <w:r>
              <w:rPr>
                <w:rFonts w:hint="default" w:ascii="Times New Roman" w:hAnsi="Times New Roman" w:eastAsia="宋体" w:cs="Times New Roman"/>
                <w:bCs/>
                <w:color w:val="000000" w:themeColor="text1"/>
                <w:kern w:val="0"/>
                <w:sz w:val="24"/>
                <w:szCs w:val="24"/>
                <w:highlight w:val="none"/>
                <w14:textFill>
                  <w14:solidFill>
                    <w14:schemeClr w14:val="tx1"/>
                  </w14:solidFill>
                </w14:textFill>
              </w:rPr>
              <w:t>—</w:t>
            </w:r>
            <w:r>
              <w:rPr>
                <w:rFonts w:hint="default" w:ascii="Times New Roman" w:hAnsi="Times New Roman" w:eastAsia="宋体" w:cs="Times New Roman"/>
                <w:bCs/>
                <w:color w:val="000000" w:themeColor="text1"/>
                <w:kern w:val="0"/>
                <w:sz w:val="24"/>
                <w:szCs w:val="24"/>
                <w:highlight w:val="none"/>
                <w:lang w:val="en-US" w:eastAsia="zh-CN"/>
                <w14:textFill>
                  <w14:solidFill>
                    <w14:schemeClr w14:val="tx1"/>
                  </w14:solidFill>
                </w14:textFill>
              </w:rPr>
              <w:t>湿度，%（取10%）</w:t>
            </w:r>
            <w:r>
              <w:rPr>
                <w:rFonts w:hint="default" w:ascii="Times New Roman" w:hAnsi="Times New Roman" w:eastAsia="宋体" w:cs="Times New Roman"/>
                <w:bCs/>
                <w:color w:val="000000" w:themeColor="text1"/>
                <w:kern w:val="0"/>
                <w:sz w:val="24"/>
                <w:szCs w:val="24"/>
                <w:highlight w:val="none"/>
                <w14:textFill>
                  <w14:solidFill>
                    <w14:schemeClr w14:val="tx1"/>
                  </w14:solidFill>
                </w14:textFill>
              </w:rPr>
              <w:t>；</w:t>
            </w:r>
          </w:p>
          <w:p w14:paraId="2C67960B">
            <w:pPr>
              <w:spacing w:line="360" w:lineRule="auto"/>
              <w:ind w:firstLine="1920" w:firstLineChars="800"/>
              <w:rPr>
                <w:rFonts w:hint="default" w:ascii="Times New Roman" w:hAnsi="Times New Roman" w:eastAsia="宋体" w:cs="Times New Roman"/>
                <w:bCs/>
                <w:color w:val="000000" w:themeColor="text1"/>
                <w:kern w:val="0"/>
                <w:sz w:val="24"/>
                <w:szCs w:val="24"/>
                <w:highlight w:val="none"/>
                <w14:textFill>
                  <w14:solidFill>
                    <w14:schemeClr w14:val="tx1"/>
                  </w14:solidFill>
                </w14:textFill>
              </w:rPr>
            </w:pPr>
            <w:r>
              <w:rPr>
                <w:rFonts w:hint="default" w:ascii="Times New Roman" w:hAnsi="Times New Roman" w:eastAsia="宋体" w:cs="Times New Roman"/>
                <w:bCs/>
                <w:color w:val="000000" w:themeColor="text1"/>
                <w:kern w:val="0"/>
                <w:sz w:val="24"/>
                <w:szCs w:val="24"/>
                <w:highlight w:val="none"/>
                <w:lang w:val="en-US" w:eastAsia="zh-CN"/>
                <w14:textFill>
                  <w14:solidFill>
                    <w14:schemeClr w14:val="tx1"/>
                  </w14:solidFill>
                </w14:textFill>
              </w:rPr>
              <w:t>M</w:t>
            </w:r>
            <w:r>
              <w:rPr>
                <w:rFonts w:hint="default" w:ascii="Times New Roman" w:hAnsi="Times New Roman" w:eastAsia="宋体" w:cs="Times New Roman"/>
                <w:bCs/>
                <w:color w:val="000000" w:themeColor="text1"/>
                <w:kern w:val="0"/>
                <w:sz w:val="24"/>
                <w:szCs w:val="24"/>
                <w:highlight w:val="none"/>
                <w14:textFill>
                  <w14:solidFill>
                    <w14:schemeClr w14:val="tx1"/>
                  </w14:solidFill>
                </w14:textFill>
              </w:rPr>
              <w:t>—</w:t>
            </w:r>
            <w:r>
              <w:rPr>
                <w:rFonts w:hint="default" w:ascii="Times New Roman" w:hAnsi="Times New Roman" w:eastAsia="宋体" w:cs="Times New Roman"/>
                <w:bCs/>
                <w:color w:val="000000" w:themeColor="text1"/>
                <w:kern w:val="0"/>
                <w:sz w:val="24"/>
                <w:szCs w:val="24"/>
                <w:highlight w:val="none"/>
                <w:lang w:val="en-US" w:eastAsia="zh-CN"/>
                <w14:textFill>
                  <w14:solidFill>
                    <w14:schemeClr w14:val="tx1"/>
                  </w14:solidFill>
                </w14:textFill>
              </w:rPr>
              <w:t>装卸量，t/h（年采剥总量105万t，则装卸量为312.5t/h）</w:t>
            </w:r>
            <w:r>
              <w:rPr>
                <w:rFonts w:hint="default" w:ascii="Times New Roman" w:hAnsi="Times New Roman" w:eastAsia="宋体" w:cs="Times New Roman"/>
                <w:bCs/>
                <w:color w:val="000000" w:themeColor="text1"/>
                <w:kern w:val="0"/>
                <w:sz w:val="24"/>
                <w:szCs w:val="24"/>
                <w:highlight w:val="none"/>
                <w14:textFill>
                  <w14:solidFill>
                    <w14:schemeClr w14:val="tx1"/>
                  </w14:solidFill>
                </w14:textFill>
              </w:rPr>
              <w:t>。</w:t>
            </w:r>
          </w:p>
          <w:p w14:paraId="34EAA754">
            <w:pPr>
              <w:spacing w:line="360" w:lineRule="auto"/>
              <w:ind w:firstLine="480" w:firstLineChars="200"/>
              <w:rPr>
                <w:rFonts w:hint="default" w:ascii="Times New Roman" w:hAnsi="Times New Roman" w:eastAsia="宋体" w:cs="Times New Roman"/>
                <w:bCs/>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4"/>
                <w:szCs w:val="24"/>
                <w:highlight w:val="none"/>
                <w14:textFill>
                  <w14:solidFill>
                    <w14:schemeClr w14:val="tx1"/>
                  </w14:solidFill>
                </w14:textFill>
              </w:rPr>
              <w:t>经计算，</w:t>
            </w:r>
            <w:r>
              <w:rPr>
                <w:rFonts w:hint="default" w:ascii="Times New Roman" w:hAnsi="Times New Roman" w:eastAsia="宋体" w:cs="Times New Roman"/>
                <w:bCs/>
                <w:color w:val="000000" w:themeColor="text1"/>
                <w:kern w:val="0"/>
                <w:sz w:val="24"/>
                <w:szCs w:val="24"/>
                <w:highlight w:val="none"/>
                <w:lang w:val="en-US" w:eastAsia="zh-CN"/>
                <w14:textFill>
                  <w14:solidFill>
                    <w14:schemeClr w14:val="tx1"/>
                  </w14:solidFill>
                </w14:textFill>
              </w:rPr>
              <w:t>矿石因自卸车装卸料粉尘产生量为3.39kg/h（11.39t/a）。建设单位对装载、卸料工序加大洒水频率，卸料入料口采取半封闭，可使得粉尘降低80%，则装卸料过程中粉尘排放量为2.28t/a。</w:t>
            </w:r>
          </w:p>
          <w:p w14:paraId="11DE3713">
            <w:pPr>
              <w:pStyle w:val="73"/>
              <w:keepNext w:val="0"/>
              <w:keepLines w:val="0"/>
              <w:pageBreakBefore w:val="0"/>
              <w:widowControl w:val="0"/>
              <w:kinsoku/>
              <w:wordWrap/>
              <w:overflowPunct/>
              <w:topLinePunct w:val="0"/>
              <w:autoSpaceDE/>
              <w:autoSpaceDN/>
              <w:bidi w:val="0"/>
              <w:adjustRightInd/>
              <w:snapToGrid/>
              <w:spacing w:line="360" w:lineRule="auto"/>
              <w:jc w:val="both"/>
              <w:outlineLvl w:val="9"/>
              <w:rPr>
                <w:rFonts w:hint="default" w:ascii="Times New Roman" w:hAnsi="Times New Roman" w:eastAsia="宋体" w:cs="Times New Roman"/>
                <w:snapToGrid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2"/>
                <w:sz w:val="24"/>
                <w:szCs w:val="24"/>
                <w:highlight w:val="none"/>
                <w:lang w:val="en-US" w:eastAsia="zh-CN" w:bidi="ar-SA"/>
                <w14:textFill>
                  <w14:solidFill>
                    <w14:schemeClr w14:val="tx1"/>
                  </w14:solidFill>
                </w14:textFill>
              </w:rPr>
              <w:t>（2）</w:t>
            </w:r>
            <w:r>
              <w:rPr>
                <w:rFonts w:hint="default" w:ascii="Times New Roman" w:hAnsi="Times New Roman" w:eastAsia="宋体" w:cs="Times New Roman"/>
                <w:bCs/>
                <w:color w:val="000000" w:themeColor="text1"/>
                <w:kern w:val="0"/>
                <w:sz w:val="24"/>
                <w:szCs w:val="22"/>
                <w:highlight w:val="none"/>
                <w:lang w:eastAsia="zh-CN"/>
                <w14:textFill>
                  <w14:solidFill>
                    <w14:schemeClr w14:val="tx1"/>
                  </w14:solidFill>
                </w14:textFill>
              </w:rPr>
              <w:t>道路运输扬尘</w:t>
            </w:r>
          </w:p>
          <w:p w14:paraId="4DD6E41E">
            <w:pPr>
              <w:spacing w:line="360" w:lineRule="auto"/>
              <w:ind w:firstLine="480" w:firstLineChars="200"/>
              <w:rPr>
                <w:rFonts w:hint="default" w:ascii="Times New Roman" w:hAnsi="Times New Roman" w:eastAsia="宋体" w:cs="Times New Roman"/>
                <w:bCs/>
                <w:color w:val="000000" w:themeColor="text1"/>
                <w:kern w:val="0"/>
                <w:sz w:val="24"/>
                <w:szCs w:val="24"/>
                <w:highlight w:val="none"/>
                <w14:textFill>
                  <w14:solidFill>
                    <w14:schemeClr w14:val="tx1"/>
                  </w14:solidFill>
                </w14:textFill>
              </w:rPr>
            </w:pPr>
            <w:r>
              <w:rPr>
                <w:rFonts w:hint="default" w:ascii="Times New Roman" w:hAnsi="Times New Roman" w:eastAsia="宋体" w:cs="Times New Roman"/>
                <w:bCs/>
                <w:color w:val="000000" w:themeColor="text1"/>
                <w:kern w:val="0"/>
                <w:sz w:val="24"/>
                <w:szCs w:val="24"/>
                <w:highlight w:val="none"/>
                <w14:textFill>
                  <w14:solidFill>
                    <w14:schemeClr w14:val="tx1"/>
                  </w14:solidFill>
                </w14:textFill>
              </w:rPr>
              <w:t>本项目采矿作业场地路面为泥结碎石路面，宽度为</w:t>
            </w:r>
            <w:r>
              <w:rPr>
                <w:rFonts w:hint="default" w:ascii="Times New Roman" w:hAnsi="Times New Roman" w:eastAsia="宋体" w:cs="Times New Roman"/>
                <w:bCs/>
                <w:color w:val="000000" w:themeColor="text1"/>
                <w:kern w:val="0"/>
                <w:sz w:val="24"/>
                <w:szCs w:val="24"/>
                <w:highlight w:val="none"/>
                <w:lang w:val="en-US" w:eastAsia="zh-CN"/>
                <w14:textFill>
                  <w14:solidFill>
                    <w14:schemeClr w14:val="tx1"/>
                  </w14:solidFill>
                </w14:textFill>
              </w:rPr>
              <w:t>5</w:t>
            </w:r>
            <w:r>
              <w:rPr>
                <w:rFonts w:hint="default" w:ascii="Times New Roman" w:hAnsi="Times New Roman" w:eastAsia="宋体" w:cs="Times New Roman"/>
                <w:bCs/>
                <w:color w:val="000000" w:themeColor="text1"/>
                <w:kern w:val="0"/>
                <w:sz w:val="24"/>
                <w:szCs w:val="24"/>
                <w:highlight w:val="none"/>
                <w14:textFill>
                  <w14:solidFill>
                    <w14:schemeClr w14:val="tx1"/>
                  </w14:solidFill>
                </w14:textFill>
              </w:rPr>
              <w:t>m，本项目使用</w:t>
            </w:r>
            <w:r>
              <w:rPr>
                <w:rFonts w:hint="default" w:ascii="Times New Roman" w:hAnsi="Times New Roman" w:eastAsia="宋体" w:cs="Times New Roman"/>
                <w:bCs/>
                <w:color w:val="000000" w:themeColor="text1"/>
                <w:kern w:val="0"/>
                <w:sz w:val="24"/>
                <w:szCs w:val="24"/>
                <w:highlight w:val="none"/>
                <w:lang w:val="en-US" w:eastAsia="zh-CN"/>
                <w14:textFill>
                  <w14:solidFill>
                    <w14:schemeClr w14:val="tx1"/>
                  </w14:solidFill>
                </w14:textFill>
              </w:rPr>
              <w:t>13</w:t>
            </w:r>
            <w:r>
              <w:rPr>
                <w:rFonts w:hint="default" w:ascii="Times New Roman" w:hAnsi="Times New Roman" w:eastAsia="宋体" w:cs="Times New Roman"/>
                <w:bCs/>
                <w:color w:val="000000" w:themeColor="text1"/>
                <w:kern w:val="0"/>
                <w:sz w:val="24"/>
                <w:szCs w:val="24"/>
                <w:highlight w:val="none"/>
                <w14:textFill>
                  <w14:solidFill>
                    <w14:schemeClr w14:val="tx1"/>
                  </w14:solidFill>
                </w14:textFill>
              </w:rPr>
              <w:t>辆载重为</w:t>
            </w:r>
            <w:r>
              <w:rPr>
                <w:rFonts w:hint="default" w:ascii="Times New Roman" w:hAnsi="Times New Roman" w:eastAsia="宋体" w:cs="Times New Roman"/>
                <w:bCs/>
                <w:color w:val="000000" w:themeColor="text1"/>
                <w:kern w:val="0"/>
                <w:sz w:val="24"/>
                <w:szCs w:val="24"/>
                <w:highlight w:val="none"/>
                <w:lang w:val="en-US" w:eastAsia="zh-CN"/>
                <w14:textFill>
                  <w14:solidFill>
                    <w14:schemeClr w14:val="tx1"/>
                  </w14:solidFill>
                </w14:textFill>
              </w:rPr>
              <w:t>54.3</w:t>
            </w:r>
            <w:r>
              <w:rPr>
                <w:rFonts w:hint="default" w:ascii="Times New Roman" w:hAnsi="Times New Roman" w:eastAsia="宋体" w:cs="Times New Roman"/>
                <w:bCs/>
                <w:color w:val="000000" w:themeColor="text1"/>
                <w:kern w:val="0"/>
                <w:sz w:val="24"/>
                <w:szCs w:val="24"/>
                <w:highlight w:val="none"/>
                <w14:textFill>
                  <w14:solidFill>
                    <w14:schemeClr w14:val="tx1"/>
                  </w14:solidFill>
                </w14:textFill>
              </w:rPr>
              <w:t>t的自卸汽车，汽车运输包括将</w:t>
            </w:r>
            <w:r>
              <w:rPr>
                <w:rFonts w:hint="default" w:ascii="Times New Roman" w:hAnsi="Times New Roman" w:eastAsia="宋体" w:cs="Times New Roman"/>
                <w:bCs/>
                <w:color w:val="000000" w:themeColor="text1"/>
                <w:kern w:val="0"/>
                <w:sz w:val="24"/>
                <w:szCs w:val="24"/>
                <w:highlight w:val="none"/>
                <w:lang w:val="en-US" w:eastAsia="zh-CN"/>
                <w14:textFill>
                  <w14:solidFill>
                    <w14:schemeClr w14:val="tx1"/>
                  </w14:solidFill>
                </w14:textFill>
              </w:rPr>
              <w:t>采挖的</w:t>
            </w:r>
            <w:r>
              <w:rPr>
                <w:rFonts w:hint="default" w:ascii="Times New Roman" w:hAnsi="Times New Roman" w:eastAsia="宋体" w:cs="Times New Roman"/>
                <w:bCs/>
                <w:color w:val="000000" w:themeColor="text1"/>
                <w:kern w:val="0"/>
                <w:sz w:val="24"/>
                <w:szCs w:val="24"/>
                <w:highlight w:val="none"/>
                <w14:textFill>
                  <w14:solidFill>
                    <w14:schemeClr w14:val="tx1"/>
                  </w14:solidFill>
                </w14:textFill>
              </w:rPr>
              <w:t>矿料运输</w:t>
            </w:r>
            <w:r>
              <w:rPr>
                <w:rFonts w:hint="default" w:ascii="Times New Roman" w:hAnsi="Times New Roman" w:eastAsia="宋体" w:cs="Times New Roman"/>
                <w:bCs/>
                <w:color w:val="000000" w:themeColor="text1"/>
                <w:kern w:val="0"/>
                <w:sz w:val="24"/>
                <w:szCs w:val="24"/>
                <w:highlight w:val="none"/>
                <w:lang w:val="en-US" w:eastAsia="zh-CN"/>
                <w14:textFill>
                  <w14:solidFill>
                    <w14:schemeClr w14:val="tx1"/>
                  </w14:solidFill>
                </w14:textFill>
              </w:rPr>
              <w:t>至原矿堆场</w:t>
            </w:r>
            <w:r>
              <w:rPr>
                <w:rFonts w:hint="default" w:ascii="Times New Roman" w:hAnsi="Times New Roman" w:eastAsia="宋体" w:cs="Times New Roman"/>
                <w:bCs/>
                <w:color w:val="000000" w:themeColor="text1"/>
                <w:kern w:val="0"/>
                <w:sz w:val="24"/>
                <w:szCs w:val="24"/>
                <w:highlight w:val="none"/>
                <w14:textFill>
                  <w14:solidFill>
                    <w14:schemeClr w14:val="tx1"/>
                  </w14:solidFill>
                </w14:textFill>
              </w:rPr>
              <w:t>以及将剥离</w:t>
            </w:r>
            <w:r>
              <w:rPr>
                <w:rFonts w:hint="default" w:ascii="Times New Roman" w:hAnsi="Times New Roman" w:eastAsia="宋体" w:cs="Times New Roman"/>
                <w:bCs/>
                <w:color w:val="000000" w:themeColor="text1"/>
                <w:kern w:val="0"/>
                <w:sz w:val="24"/>
                <w:szCs w:val="24"/>
                <w:highlight w:val="none"/>
                <w:lang w:val="en-US" w:eastAsia="zh-CN"/>
                <w14:textFill>
                  <w14:solidFill>
                    <w14:schemeClr w14:val="tx1"/>
                  </w14:solidFill>
                </w14:textFill>
              </w:rPr>
              <w:t>表</w:t>
            </w:r>
            <w:r>
              <w:rPr>
                <w:rFonts w:hint="default" w:ascii="Times New Roman" w:hAnsi="Times New Roman" w:eastAsia="宋体" w:cs="Times New Roman"/>
                <w:bCs/>
                <w:color w:val="000000" w:themeColor="text1"/>
                <w:kern w:val="0"/>
                <w:sz w:val="24"/>
                <w:szCs w:val="24"/>
                <w:highlight w:val="none"/>
                <w14:textFill>
                  <w14:solidFill>
                    <w14:schemeClr w14:val="tx1"/>
                  </w14:solidFill>
                </w14:textFill>
              </w:rPr>
              <w:t>土运至排土场。新建后项目剥采量为</w:t>
            </w:r>
            <w:r>
              <w:rPr>
                <w:rFonts w:hint="default" w:ascii="Times New Roman" w:hAnsi="Times New Roman" w:eastAsia="宋体" w:cs="Times New Roman"/>
                <w:bCs/>
                <w:color w:val="000000" w:themeColor="text1"/>
                <w:kern w:val="0"/>
                <w:sz w:val="24"/>
                <w:szCs w:val="24"/>
                <w:highlight w:val="none"/>
                <w:lang w:val="en-US" w:eastAsia="zh-CN"/>
                <w14:textFill>
                  <w14:solidFill>
                    <w14:schemeClr w14:val="tx1"/>
                  </w14:solidFill>
                </w14:textFill>
              </w:rPr>
              <w:t>105</w:t>
            </w:r>
            <w:r>
              <w:rPr>
                <w:rFonts w:hint="default" w:ascii="Times New Roman" w:hAnsi="Times New Roman" w:eastAsia="宋体" w:cs="Times New Roman"/>
                <w:bCs/>
                <w:color w:val="000000" w:themeColor="text1"/>
                <w:kern w:val="0"/>
                <w:sz w:val="24"/>
                <w:szCs w:val="24"/>
                <w:highlight w:val="none"/>
                <w14:textFill>
                  <w14:solidFill>
                    <w14:schemeClr w14:val="tx1"/>
                  </w14:solidFill>
                </w14:textFill>
              </w:rPr>
              <w:t>万t/a。矿料运输距离约</w:t>
            </w:r>
            <w:r>
              <w:rPr>
                <w:rFonts w:hint="default" w:ascii="Times New Roman" w:hAnsi="Times New Roman" w:eastAsia="宋体" w:cs="Times New Roman"/>
                <w:bCs/>
                <w:color w:val="000000" w:themeColor="text1"/>
                <w:kern w:val="0"/>
                <w:sz w:val="24"/>
                <w:szCs w:val="24"/>
                <w:highlight w:val="none"/>
                <w:lang w:val="en-US" w:eastAsia="zh-CN"/>
                <w14:textFill>
                  <w14:solidFill>
                    <w14:schemeClr w14:val="tx1"/>
                  </w14:solidFill>
                </w14:textFill>
              </w:rPr>
              <w:t>420</w:t>
            </w:r>
            <w:r>
              <w:rPr>
                <w:rFonts w:hint="default" w:ascii="Times New Roman" w:hAnsi="Times New Roman" w:eastAsia="宋体" w:cs="Times New Roman"/>
                <w:bCs/>
                <w:color w:val="000000" w:themeColor="text1"/>
                <w:kern w:val="0"/>
                <w:sz w:val="24"/>
                <w:szCs w:val="24"/>
                <w:highlight w:val="none"/>
                <w14:textFill>
                  <w14:solidFill>
                    <w14:schemeClr w14:val="tx1"/>
                  </w14:solidFill>
                </w14:textFill>
              </w:rPr>
              <w:t>m，每辆车往返次数约</w:t>
            </w:r>
            <w:r>
              <w:rPr>
                <w:rFonts w:hint="default" w:ascii="Times New Roman" w:hAnsi="Times New Roman" w:eastAsia="宋体" w:cs="Times New Roman"/>
                <w:bCs/>
                <w:color w:val="000000" w:themeColor="text1"/>
                <w:kern w:val="0"/>
                <w:sz w:val="24"/>
                <w:szCs w:val="24"/>
                <w:highlight w:val="none"/>
                <w:lang w:val="en-US" w:eastAsia="zh-CN"/>
                <w14:textFill>
                  <w14:solidFill>
                    <w14:schemeClr w14:val="tx1"/>
                  </w14:solidFill>
                </w14:textFill>
              </w:rPr>
              <w:t>2976</w:t>
            </w:r>
            <w:r>
              <w:rPr>
                <w:rFonts w:hint="default" w:ascii="Times New Roman" w:hAnsi="Times New Roman" w:eastAsia="宋体" w:cs="Times New Roman"/>
                <w:bCs/>
                <w:color w:val="000000" w:themeColor="text1"/>
                <w:kern w:val="0"/>
                <w:sz w:val="24"/>
                <w:szCs w:val="24"/>
                <w:highlight w:val="none"/>
                <w14:textFill>
                  <w14:solidFill>
                    <w14:schemeClr w14:val="tx1"/>
                  </w14:solidFill>
                </w14:textFill>
              </w:rPr>
              <w:t>趟。</w:t>
            </w:r>
          </w:p>
          <w:p w14:paraId="3A852CD1">
            <w:pPr>
              <w:spacing w:line="360" w:lineRule="auto"/>
              <w:ind w:firstLine="480" w:firstLineChars="200"/>
              <w:rPr>
                <w:rFonts w:hint="default" w:ascii="Times New Roman" w:hAnsi="Times New Roman" w:eastAsia="宋体" w:cs="Times New Roman"/>
                <w:bCs/>
                <w:color w:val="000000" w:themeColor="text1"/>
                <w:kern w:val="0"/>
                <w:sz w:val="24"/>
                <w:szCs w:val="24"/>
                <w:highlight w:val="none"/>
                <w:lang w:eastAsia="zh-CN"/>
                <w14:textFill>
                  <w14:solidFill>
                    <w14:schemeClr w14:val="tx1"/>
                  </w14:solidFill>
                </w14:textFill>
              </w:rPr>
            </w:pPr>
            <w:r>
              <w:rPr>
                <w:rFonts w:hint="default" w:ascii="Times New Roman" w:hAnsi="Times New Roman" w:eastAsia="宋体" w:cs="Times New Roman"/>
                <w:bCs/>
                <w:color w:val="000000" w:themeColor="text1"/>
                <w:kern w:val="0"/>
                <w:sz w:val="24"/>
                <w:szCs w:val="24"/>
                <w:highlight w:val="none"/>
                <w14:textFill>
                  <w14:solidFill>
                    <w14:schemeClr w14:val="tx1"/>
                  </w14:solidFill>
                </w14:textFill>
              </w:rPr>
              <w:t>在道路完全干燥的情况下，可按下列经验公式计算</w:t>
            </w:r>
            <w:r>
              <w:rPr>
                <w:rFonts w:hint="default" w:ascii="Times New Roman" w:hAnsi="Times New Roman" w:eastAsia="宋体" w:cs="Times New Roman"/>
                <w:bCs/>
                <w:color w:val="000000" w:themeColor="text1"/>
                <w:kern w:val="0"/>
                <w:sz w:val="24"/>
                <w:szCs w:val="24"/>
                <w:highlight w:val="none"/>
                <w:lang w:eastAsia="zh-CN"/>
                <w14:textFill>
                  <w14:solidFill>
                    <w14:schemeClr w14:val="tx1"/>
                  </w14:solidFill>
                </w14:textFill>
              </w:rPr>
              <w:t>：</w:t>
            </w:r>
          </w:p>
          <w:p w14:paraId="6ED5EBC2">
            <w:pPr>
              <w:keepNext w:val="0"/>
              <w:keepLines w:val="0"/>
              <w:pageBreakBefore w:val="0"/>
              <w:widowControl w:val="0"/>
              <w:kinsoku/>
              <w:wordWrap/>
              <w:overflowPunct w:val="0"/>
              <w:topLinePunct w:val="0"/>
              <w:autoSpaceDE/>
              <w:autoSpaceDN/>
              <w:bidi w:val="0"/>
              <w:adjustRightInd/>
              <w:snapToGrid/>
              <w:spacing w:line="360" w:lineRule="auto"/>
              <w:ind w:left="0" w:leftChars="0" w:right="0" w:rightChars="0" w:firstLine="1920" w:firstLineChars="800"/>
              <w:jc w:val="both"/>
              <w:textAlignment w:val="auto"/>
              <w:outlineLvl w:val="9"/>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pPr>
            <w:r>
              <w:rPr>
                <w:rFonts w:hint="default" w:ascii="Times New Roman" w:hAnsi="Times New Roman" w:eastAsia="宋体" w:cs="Times New Roman"/>
                <w:bCs/>
                <w:color w:val="000000" w:themeColor="text1"/>
                <w:kern w:val="0"/>
                <w:position w:val="-28"/>
                <w:sz w:val="24"/>
                <w:szCs w:val="22"/>
                <w:highlight w:val="none"/>
                <w14:textFill>
                  <w14:solidFill>
                    <w14:schemeClr w14:val="tx1"/>
                  </w14:solidFill>
                </w14:textFill>
              </w:rPr>
              <w:object>
                <v:shape id="_x0000_i1025" o:spt="75" type="#_x0000_t75" style="height:29.55pt;width:218pt;" o:ole="t" filled="f" o:preferrelative="t" stroked="f" coordsize="21600,21600">
                  <v:path/>
                  <v:fill on="f" focussize="0,0"/>
                  <v:stroke on="f"/>
                  <v:imagedata r:id="rId15" o:title=""/>
                  <o:lock v:ext="edit" aspectratio="t"/>
                  <w10:wrap type="none"/>
                  <w10:anchorlock/>
                </v:shape>
                <o:OLEObject Type="Embed" ProgID="Equation.3" ShapeID="_x0000_i1025" DrawAspect="Content" ObjectID="_1468075725" r:id="rId14">
                  <o:LockedField>false</o:LockedField>
                </o:OLEObject>
              </w:object>
            </w:r>
          </w:p>
          <w:p w14:paraId="186D115A">
            <w:pPr>
              <w:keepNext w:val="0"/>
              <w:keepLines w:val="0"/>
              <w:pageBreakBefore w:val="0"/>
              <w:widowControl w:val="0"/>
              <w:kinsoku/>
              <w:wordWrap/>
              <w:overflowPunct w:val="0"/>
              <w:topLinePunct w:val="0"/>
              <w:autoSpaceDE/>
              <w:autoSpaceDN/>
              <w:bidi w:val="0"/>
              <w:adjustRightInd/>
              <w:snapToGrid/>
              <w:spacing w:line="360" w:lineRule="auto"/>
              <w:ind w:left="0" w:leftChars="0" w:right="0" w:rightChars="0" w:firstLine="960" w:firstLineChars="400"/>
              <w:jc w:val="both"/>
              <w:textAlignment w:val="auto"/>
              <w:outlineLvl w:val="9"/>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pPr>
            <w:r>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t>式中：Q—汽车行驶的起尘量（kg/辆）；</w:t>
            </w:r>
          </w:p>
          <w:p w14:paraId="3BF60F3B">
            <w:pPr>
              <w:keepNext w:val="0"/>
              <w:keepLines w:val="0"/>
              <w:pageBreakBefore w:val="0"/>
              <w:widowControl w:val="0"/>
              <w:kinsoku/>
              <w:wordWrap/>
              <w:overflowPunct w:val="0"/>
              <w:topLinePunct w:val="0"/>
              <w:autoSpaceDE/>
              <w:autoSpaceDN/>
              <w:bidi w:val="0"/>
              <w:adjustRightInd/>
              <w:snapToGrid/>
              <w:spacing w:line="360" w:lineRule="auto"/>
              <w:ind w:right="0" w:rightChars="0" w:firstLine="1680" w:firstLineChars="700"/>
              <w:jc w:val="both"/>
              <w:textAlignment w:val="auto"/>
              <w:outlineLvl w:val="9"/>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pPr>
            <w:r>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t>V—汽车行驶速度（km/h），本项目取</w:t>
            </w: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15</w:t>
            </w:r>
            <w:r>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t>km/h；</w:t>
            </w:r>
          </w:p>
          <w:p w14:paraId="4436AC04">
            <w:pPr>
              <w:keepNext w:val="0"/>
              <w:keepLines w:val="0"/>
              <w:pageBreakBefore w:val="0"/>
              <w:widowControl w:val="0"/>
              <w:kinsoku/>
              <w:wordWrap/>
              <w:overflowPunct w:val="0"/>
              <w:topLinePunct w:val="0"/>
              <w:autoSpaceDE/>
              <w:autoSpaceDN/>
              <w:bidi w:val="0"/>
              <w:adjustRightInd/>
              <w:snapToGrid/>
              <w:spacing w:line="360" w:lineRule="auto"/>
              <w:ind w:left="0" w:leftChars="0" w:right="0" w:rightChars="0" w:firstLine="1680" w:firstLineChars="700"/>
              <w:jc w:val="both"/>
              <w:textAlignment w:val="auto"/>
              <w:outlineLvl w:val="9"/>
              <w:rPr>
                <w:rFonts w:hint="default" w:ascii="Times New Roman" w:hAnsi="Times New Roman" w:eastAsia="宋体" w:cs="Times New Roman"/>
                <w:bCs/>
                <w:color w:val="000000" w:themeColor="text1"/>
                <w:kern w:val="0"/>
                <w:sz w:val="24"/>
                <w:szCs w:val="22"/>
                <w:highlight w:val="none"/>
                <w:lang w:eastAsia="zh-CN"/>
                <w14:textFill>
                  <w14:solidFill>
                    <w14:schemeClr w14:val="tx1"/>
                  </w14:solidFill>
                </w14:textFill>
              </w:rPr>
            </w:pPr>
            <w:r>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t>M—汽车载重量（t）</w:t>
            </w:r>
            <w:r>
              <w:rPr>
                <w:rFonts w:hint="default" w:ascii="Times New Roman" w:hAnsi="Times New Roman" w:eastAsia="宋体" w:cs="Times New Roman"/>
                <w:bCs/>
                <w:color w:val="000000" w:themeColor="text1"/>
                <w:kern w:val="0"/>
                <w:sz w:val="24"/>
                <w:szCs w:val="22"/>
                <w:highlight w:val="none"/>
                <w:lang w:eastAsia="zh-CN"/>
                <w14:textFill>
                  <w14:solidFill>
                    <w14:schemeClr w14:val="tx1"/>
                  </w14:solidFill>
                </w14:textFill>
              </w:rPr>
              <w:t>，</w:t>
            </w: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 xml:space="preserve">空车载重量为31.7t/辆，满载重量为 </w:t>
            </w:r>
          </w:p>
          <w:p w14:paraId="3EC4EF15">
            <w:pPr>
              <w:keepNext w:val="0"/>
              <w:keepLines w:val="0"/>
              <w:pageBreakBefore w:val="0"/>
              <w:widowControl w:val="0"/>
              <w:kinsoku/>
              <w:wordWrap/>
              <w:overflowPunct w:val="0"/>
              <w:topLinePunct w:val="0"/>
              <w:autoSpaceDE/>
              <w:autoSpaceDN/>
              <w:bidi w:val="0"/>
              <w:adjustRightInd/>
              <w:snapToGrid/>
              <w:spacing w:line="360" w:lineRule="auto"/>
              <w:ind w:left="0" w:leftChars="0" w:right="0" w:rightChars="0" w:firstLine="1680" w:firstLineChars="700"/>
              <w:jc w:val="both"/>
              <w:textAlignment w:val="auto"/>
              <w:outlineLvl w:val="9"/>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pP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86t/辆</w:t>
            </w:r>
            <w:r>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t>；</w:t>
            </w:r>
          </w:p>
          <w:p w14:paraId="385B6059">
            <w:pPr>
              <w:keepNext w:val="0"/>
              <w:keepLines w:val="0"/>
              <w:pageBreakBefore w:val="0"/>
              <w:widowControl w:val="0"/>
              <w:kinsoku/>
              <w:wordWrap/>
              <w:overflowPunct w:val="0"/>
              <w:topLinePunct w:val="0"/>
              <w:autoSpaceDE/>
              <w:autoSpaceDN/>
              <w:bidi w:val="0"/>
              <w:adjustRightInd/>
              <w:snapToGrid/>
              <w:spacing w:line="360" w:lineRule="auto"/>
              <w:ind w:left="0" w:leftChars="0" w:right="0" w:rightChars="0" w:firstLine="1680" w:firstLineChars="700"/>
              <w:jc w:val="both"/>
              <w:textAlignment w:val="auto"/>
              <w:outlineLvl w:val="9"/>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pPr>
            <w:r>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t>P—道路表面物料量（kg/m</w:t>
            </w:r>
            <w:r>
              <w:rPr>
                <w:rFonts w:hint="default" w:ascii="Times New Roman" w:hAnsi="Times New Roman" w:eastAsia="宋体" w:cs="Times New Roman"/>
                <w:bCs/>
                <w:color w:val="000000" w:themeColor="text1"/>
                <w:kern w:val="0"/>
                <w:sz w:val="24"/>
                <w:szCs w:val="22"/>
                <w:highlight w:val="none"/>
                <w:vertAlign w:val="superscript"/>
                <w14:textFill>
                  <w14:solidFill>
                    <w14:schemeClr w14:val="tx1"/>
                  </w14:solidFill>
                </w14:textFill>
              </w:rPr>
              <w:t>2</w:t>
            </w:r>
            <w:r>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t>），本项目取0.1kg/m</w:t>
            </w:r>
            <w:r>
              <w:rPr>
                <w:rFonts w:hint="default" w:ascii="Times New Roman" w:hAnsi="Times New Roman" w:eastAsia="宋体" w:cs="Times New Roman"/>
                <w:bCs/>
                <w:color w:val="000000" w:themeColor="text1"/>
                <w:kern w:val="0"/>
                <w:sz w:val="24"/>
                <w:szCs w:val="22"/>
                <w:highlight w:val="none"/>
                <w:vertAlign w:val="superscript"/>
                <w14:textFill>
                  <w14:solidFill>
                    <w14:schemeClr w14:val="tx1"/>
                  </w14:solidFill>
                </w14:textFill>
              </w:rPr>
              <w:t>2</w:t>
            </w:r>
            <w:r>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t>；</w:t>
            </w:r>
          </w:p>
          <w:p w14:paraId="3B5D3618">
            <w:pPr>
              <w:keepNext w:val="0"/>
              <w:keepLines w:val="0"/>
              <w:pageBreakBefore w:val="0"/>
              <w:widowControl w:val="0"/>
              <w:kinsoku/>
              <w:wordWrap/>
              <w:overflowPunct w:val="0"/>
              <w:topLinePunct w:val="0"/>
              <w:autoSpaceDE/>
              <w:autoSpaceDN/>
              <w:bidi w:val="0"/>
              <w:adjustRightInd/>
              <w:snapToGrid/>
              <w:spacing w:line="360" w:lineRule="auto"/>
              <w:ind w:left="0" w:leftChars="0" w:right="0" w:rightChars="0" w:firstLine="1680" w:firstLineChars="700"/>
              <w:jc w:val="both"/>
              <w:textAlignment w:val="auto"/>
              <w:outlineLvl w:val="9"/>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t>L—道路长度（km），本项</w:t>
            </w:r>
            <w:r>
              <w:rPr>
                <w:rFonts w:hint="default" w:ascii="Times New Roman" w:hAnsi="Times New Roman" w:eastAsia="宋体" w:cs="Times New Roman"/>
                <w:bCs/>
                <w:color w:val="000000" w:themeColor="text1"/>
                <w:kern w:val="0"/>
                <w:sz w:val="24"/>
                <w:szCs w:val="22"/>
                <w:highlight w:val="none"/>
                <w:lang w:eastAsia="zh-CN"/>
                <w14:textFill>
                  <w14:solidFill>
                    <w14:schemeClr w14:val="tx1"/>
                  </w14:solidFill>
                </w14:textFill>
              </w:rPr>
              <w:t>目</w:t>
            </w:r>
            <w:r>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t>取</w:t>
            </w: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0.42</w:t>
            </w:r>
            <w:r>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t>km</w:t>
            </w:r>
            <w:r>
              <w:rPr>
                <w:rFonts w:hint="default" w:ascii="Times New Roman" w:hAnsi="Times New Roman" w:eastAsia="宋体" w:cs="Times New Roman"/>
                <w:bCs/>
                <w:color w:val="000000" w:themeColor="text1"/>
                <w:kern w:val="0"/>
                <w:sz w:val="24"/>
                <w:szCs w:val="22"/>
                <w:highlight w:val="none"/>
                <w:lang w:eastAsia="zh-CN"/>
                <w14:textFill>
                  <w14:solidFill>
                    <w14:schemeClr w14:val="tx1"/>
                  </w14:solidFill>
                </w14:textFill>
              </w:rPr>
              <w:t>。</w:t>
            </w:r>
          </w:p>
          <w:p w14:paraId="2A4DBFE1">
            <w:pPr>
              <w:spacing w:line="360" w:lineRule="auto"/>
              <w:ind w:firstLine="480" w:firstLineChars="200"/>
              <w:rPr>
                <w:rFonts w:hint="default" w:ascii="Times New Roman" w:hAnsi="Times New Roman" w:eastAsia="宋体" w:cs="Times New Roman"/>
                <w:b w:val="0"/>
                <w:bCs/>
                <w:color w:val="000000" w:themeColor="text1"/>
                <w:kern w:val="0"/>
                <w:sz w:val="24"/>
                <w:szCs w:val="24"/>
                <w:highlight w:val="none"/>
                <w14:textFill>
                  <w14:solidFill>
                    <w14:schemeClr w14:val="tx1"/>
                  </w14:solidFill>
                </w14:textFill>
              </w:rPr>
            </w:pPr>
            <w:r>
              <w:rPr>
                <w:rFonts w:hint="default" w:ascii="Times New Roman" w:hAnsi="Times New Roman" w:eastAsia="宋体" w:cs="Times New Roman"/>
                <w:b w:val="0"/>
                <w:bCs/>
                <w:color w:val="000000" w:themeColor="text1"/>
                <w:kern w:val="0"/>
                <w:sz w:val="24"/>
                <w:szCs w:val="24"/>
                <w:highlight w:val="none"/>
                <w14:textFill>
                  <w14:solidFill>
                    <w14:schemeClr w14:val="tx1"/>
                  </w14:solidFill>
                </w14:textFill>
              </w:rPr>
              <w:t>由上式计算可知，空车和满载情况下（每辆车单次往返）汽车行驶产生的扬尘分别为</w:t>
            </w:r>
            <w:r>
              <w:rPr>
                <w:rFonts w:hint="default" w:ascii="Times New Roman" w:hAnsi="Times New Roman" w:eastAsia="宋体" w:cs="Times New Roman"/>
                <w:b w:val="0"/>
                <w:bCs/>
                <w:color w:val="000000" w:themeColor="text1"/>
                <w:kern w:val="0"/>
                <w:sz w:val="24"/>
                <w:szCs w:val="24"/>
                <w:highlight w:val="none"/>
                <w:lang w:val="en-US" w:eastAsia="zh-CN"/>
                <w14:textFill>
                  <w14:solidFill>
                    <w14:schemeClr w14:val="tx1"/>
                  </w14:solidFill>
                </w14:textFill>
              </w:rPr>
              <w:t>0.11</w:t>
            </w:r>
            <w:r>
              <w:rPr>
                <w:rFonts w:hint="default" w:ascii="Times New Roman" w:hAnsi="Times New Roman" w:eastAsia="宋体" w:cs="Times New Roman"/>
                <w:b w:val="0"/>
                <w:bCs/>
                <w:color w:val="000000" w:themeColor="text1"/>
                <w:kern w:val="0"/>
                <w:sz w:val="24"/>
                <w:szCs w:val="24"/>
                <w:highlight w:val="none"/>
                <w14:textFill>
                  <w14:solidFill>
                    <w14:schemeClr w14:val="tx1"/>
                  </w14:solidFill>
                </w14:textFill>
              </w:rPr>
              <w:t>kg/km•辆、</w:t>
            </w:r>
            <w:r>
              <w:rPr>
                <w:rFonts w:hint="default" w:ascii="Times New Roman" w:hAnsi="Times New Roman" w:eastAsia="宋体" w:cs="Times New Roman"/>
                <w:b w:val="0"/>
                <w:bCs/>
                <w:color w:val="000000" w:themeColor="text1"/>
                <w:kern w:val="0"/>
                <w:sz w:val="24"/>
                <w:szCs w:val="24"/>
                <w:highlight w:val="none"/>
                <w:lang w:val="en-US" w:eastAsia="zh-CN"/>
                <w14:textFill>
                  <w14:solidFill>
                    <w14:schemeClr w14:val="tx1"/>
                  </w14:solidFill>
                </w14:textFill>
              </w:rPr>
              <w:t>0.27</w:t>
            </w:r>
            <w:r>
              <w:rPr>
                <w:rFonts w:hint="default" w:ascii="Times New Roman" w:hAnsi="Times New Roman" w:eastAsia="宋体" w:cs="Times New Roman"/>
                <w:b w:val="0"/>
                <w:bCs/>
                <w:color w:val="000000" w:themeColor="text1"/>
                <w:kern w:val="0"/>
                <w:sz w:val="24"/>
                <w:szCs w:val="24"/>
                <w:highlight w:val="none"/>
                <w14:textFill>
                  <w14:solidFill>
                    <w14:schemeClr w14:val="tx1"/>
                  </w14:solidFill>
                </w14:textFill>
              </w:rPr>
              <w:t>kg/km•辆。从而可进一步计算出矿料运输时扬尘量为</w:t>
            </w:r>
            <w:r>
              <w:rPr>
                <w:rFonts w:hint="default" w:ascii="Times New Roman" w:hAnsi="Times New Roman" w:eastAsia="宋体" w:cs="Times New Roman"/>
                <w:b w:val="0"/>
                <w:bCs/>
                <w:color w:val="000000" w:themeColor="text1"/>
                <w:kern w:val="0"/>
                <w:sz w:val="24"/>
                <w:szCs w:val="24"/>
                <w:highlight w:val="none"/>
                <w:lang w:val="en-US" w:eastAsia="zh-CN"/>
                <w14:textFill>
                  <w14:solidFill>
                    <w14:schemeClr w14:val="tx1"/>
                  </w14:solidFill>
                </w14:textFill>
              </w:rPr>
              <w:t>7.35</w:t>
            </w:r>
            <w:r>
              <w:rPr>
                <w:rFonts w:hint="default" w:ascii="Times New Roman" w:hAnsi="Times New Roman" w:eastAsia="宋体" w:cs="Times New Roman"/>
                <w:b w:val="0"/>
                <w:bCs/>
                <w:color w:val="000000" w:themeColor="text1"/>
                <w:kern w:val="0"/>
                <w:sz w:val="24"/>
                <w:szCs w:val="24"/>
                <w:highlight w:val="none"/>
                <w14:textFill>
                  <w14:solidFill>
                    <w14:schemeClr w14:val="tx1"/>
                  </w14:solidFill>
                </w14:textFill>
              </w:rPr>
              <w:t>t/a。</w:t>
            </w:r>
          </w:p>
          <w:p w14:paraId="516559A1">
            <w:pPr>
              <w:spacing w:line="360" w:lineRule="auto"/>
              <w:ind w:firstLine="480" w:firstLineChars="200"/>
              <w:rPr>
                <w:rFonts w:hint="default" w:ascii="Times New Roman" w:hAnsi="Times New Roman" w:eastAsia="宋体" w:cs="Times New Roman"/>
                <w:snapToGrid w:val="0"/>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4"/>
                <w:szCs w:val="24"/>
                <w:highlight w:val="none"/>
                <w14:textFill>
                  <w14:solidFill>
                    <w14:schemeClr w14:val="tx1"/>
                  </w14:solidFill>
                </w14:textFill>
              </w:rPr>
              <w:t>对于道路扬尘，建设单位对其加大洒水频率，降尘率可达</w:t>
            </w:r>
            <w:r>
              <w:rPr>
                <w:rFonts w:hint="default" w:ascii="Times New Roman" w:hAnsi="Times New Roman" w:eastAsia="宋体" w:cs="Times New Roman"/>
                <w:b w:val="0"/>
                <w:bCs/>
                <w:color w:val="000000" w:themeColor="text1"/>
                <w:kern w:val="0"/>
                <w:sz w:val="24"/>
                <w:szCs w:val="24"/>
                <w:highlight w:val="none"/>
                <w:lang w:val="en-US" w:eastAsia="zh-CN"/>
                <w14:textFill>
                  <w14:solidFill>
                    <w14:schemeClr w14:val="tx1"/>
                  </w14:solidFill>
                </w14:textFill>
              </w:rPr>
              <w:t>80</w:t>
            </w:r>
            <w:r>
              <w:rPr>
                <w:rFonts w:hint="default" w:ascii="Times New Roman" w:hAnsi="Times New Roman" w:eastAsia="宋体" w:cs="Times New Roman"/>
                <w:b w:val="0"/>
                <w:bCs/>
                <w:color w:val="000000" w:themeColor="text1"/>
                <w:kern w:val="0"/>
                <w:sz w:val="24"/>
                <w:szCs w:val="24"/>
                <w:highlight w:val="none"/>
                <w14:textFill>
                  <w14:solidFill>
                    <w14:schemeClr w14:val="tx1"/>
                  </w14:solidFill>
                </w14:textFill>
              </w:rPr>
              <w:t>%，因此矿区的道路扬尘排放量合共为</w:t>
            </w:r>
            <w:r>
              <w:rPr>
                <w:rFonts w:hint="default" w:ascii="Times New Roman" w:hAnsi="Times New Roman" w:eastAsia="宋体" w:cs="Times New Roman"/>
                <w:b w:val="0"/>
                <w:bCs/>
                <w:color w:val="000000" w:themeColor="text1"/>
                <w:kern w:val="0"/>
                <w:sz w:val="24"/>
                <w:szCs w:val="24"/>
                <w:highlight w:val="none"/>
                <w:lang w:val="en-US" w:eastAsia="zh-CN"/>
                <w14:textFill>
                  <w14:solidFill>
                    <w14:schemeClr w14:val="tx1"/>
                  </w14:solidFill>
                </w14:textFill>
              </w:rPr>
              <w:t>1.47</w:t>
            </w:r>
            <w:r>
              <w:rPr>
                <w:rFonts w:hint="default" w:ascii="Times New Roman" w:hAnsi="Times New Roman" w:eastAsia="宋体" w:cs="Times New Roman"/>
                <w:b w:val="0"/>
                <w:bCs/>
                <w:color w:val="000000" w:themeColor="text1"/>
                <w:kern w:val="0"/>
                <w:sz w:val="24"/>
                <w:szCs w:val="24"/>
                <w:highlight w:val="none"/>
                <w14:textFill>
                  <w14:solidFill>
                    <w14:schemeClr w14:val="tx1"/>
                  </w14:solidFill>
                </w14:textFill>
              </w:rPr>
              <w:t>t/a。</w:t>
            </w:r>
            <w:r>
              <w:rPr>
                <w:rFonts w:hint="default" w:ascii="Times New Roman" w:hAnsi="Times New Roman" w:eastAsia="宋体" w:cs="Times New Roman"/>
                <w:b w:val="0"/>
                <w:bCs/>
                <w:color w:val="000000" w:themeColor="text1"/>
                <w:kern w:val="0"/>
                <w:sz w:val="24"/>
                <w:szCs w:val="24"/>
                <w:highlight w:val="none"/>
                <w:lang w:val="en-US" w:eastAsia="zh-CN"/>
                <w14:textFill>
                  <w14:solidFill>
                    <w14:schemeClr w14:val="tx1"/>
                  </w14:solidFill>
                </w14:textFill>
              </w:rPr>
              <w:t>此外，评价建议装矿石时不高于车厢、加盖帆布以控制矿石运输的扬尘污染。在通过村庄时应谨慎慢行，减少车辆颠簸，矿石抛洒。</w:t>
            </w:r>
          </w:p>
          <w:p w14:paraId="457B5CDA">
            <w:pPr>
              <w:keepNext w:val="0"/>
              <w:keepLines w:val="0"/>
              <w:pageBreakBefore w:val="0"/>
              <w:widowControl w:val="0"/>
              <w:kinsoku/>
              <w:wordWrap/>
              <w:overflowPunct w:val="0"/>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4"/>
                <w:szCs w:val="22"/>
                <w:highlight w:val="none"/>
                <w:lang w:eastAsia="zh-CN"/>
                <w14:textFill>
                  <w14:solidFill>
                    <w14:schemeClr w14:val="tx1"/>
                  </w14:solidFill>
                </w14:textFill>
              </w:rPr>
              <w:t>（</w:t>
            </w: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3</w:t>
            </w:r>
            <w:r>
              <w:rPr>
                <w:rFonts w:hint="default" w:ascii="Times New Roman" w:hAnsi="Times New Roman" w:eastAsia="宋体" w:cs="Times New Roman"/>
                <w:bCs/>
                <w:color w:val="000000" w:themeColor="text1"/>
                <w:kern w:val="0"/>
                <w:sz w:val="24"/>
                <w:szCs w:val="22"/>
                <w:highlight w:val="none"/>
                <w:lang w:eastAsia="zh-CN"/>
                <w14:textFill>
                  <w14:solidFill>
                    <w14:schemeClr w14:val="tx1"/>
                  </w14:solidFill>
                </w14:textFill>
              </w:rPr>
              <w:t>）</w:t>
            </w: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筛分、破碎粉尘</w:t>
            </w:r>
          </w:p>
          <w:p w14:paraId="05C4EED1">
            <w:pPr>
              <w:pStyle w:val="23"/>
              <w:keepNext w:val="0"/>
              <w:keepLines w:val="0"/>
              <w:pageBreakBefore w:val="0"/>
              <w:widowControl w:val="0"/>
              <w:kinsoku/>
              <w:wordWrap/>
              <w:overflowPunct/>
              <w:topLinePunct w:val="0"/>
              <w:autoSpaceDE/>
              <w:autoSpaceDN/>
              <w:bidi w:val="0"/>
              <w:adjustRightInd/>
              <w:snapToGrid/>
              <w:spacing w:after="0" w:afterLines="0" w:afterAutospacing="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kern w:val="0"/>
                <w:sz w:val="24"/>
                <w:szCs w:val="24"/>
                <w:highlight w:val="none"/>
                <w:lang w:val="en-US" w:eastAsia="zh-CN" w:bidi="ar-SA"/>
                <w14:textFill>
                  <w14:solidFill>
                    <w14:schemeClr w14:val="tx1"/>
                  </w14:solidFill>
                </w14:textFill>
              </w:rPr>
              <w:t>本项目使用振动筛、破碎机等对石子进行加工，在加工过程中会产生大量的粉尘，根据《排放源统计调查产排污核算方法和系数手册》（公告2021年第24号）中1019粘土及其他土砂石开采行业系数手册注意事项可知，“建筑及铺路骨料”原料矿山的矿石破碎、筛分的产污系数参考石灰石行业的产污系数及污染治理效率。依据《1011石灰石石膏开采行业系数手册》，项目具体产污系数见下表4-2。</w:t>
            </w:r>
          </w:p>
          <w:p w14:paraId="49D2B3E6">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422" w:firstLineChars="20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1"/>
                <w:szCs w:val="24"/>
                <w:highlight w:val="none"/>
                <w:lang w:val="en-US" w:eastAsia="zh-CN" w:bidi="ar-SA"/>
                <w14:textFill>
                  <w14:solidFill>
                    <w14:schemeClr w14:val="tx1"/>
                  </w14:solidFill>
                </w14:textFill>
              </w:rPr>
              <w:t>表4-2           1011石灰石、石膏开采行业系数表</w:t>
            </w:r>
          </w:p>
          <w:tbl>
            <w:tblPr>
              <w:tblStyle w:val="39"/>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086"/>
              <w:gridCol w:w="2086"/>
              <w:gridCol w:w="2365"/>
              <w:gridCol w:w="1816"/>
            </w:tblGrid>
            <w:tr w14:paraId="505870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248" w:type="pct"/>
                  <w:tcBorders>
                    <w:bottom w:val="single" w:color="000000" w:sz="12" w:space="0"/>
                    <w:tl2br w:val="nil"/>
                    <w:tr2bl w:val="nil"/>
                  </w:tcBorders>
                  <w:noWrap w:val="0"/>
                  <w:vAlign w:val="center"/>
                </w:tcPr>
                <w:p w14:paraId="4FCE40BC">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核算环节</w:t>
                  </w:r>
                </w:p>
              </w:tc>
              <w:tc>
                <w:tcPr>
                  <w:tcW w:w="1248" w:type="pct"/>
                  <w:tcBorders>
                    <w:bottom w:val="single" w:color="000000" w:sz="12" w:space="0"/>
                    <w:tl2br w:val="nil"/>
                    <w:tr2bl w:val="nil"/>
                  </w:tcBorders>
                  <w:noWrap w:val="0"/>
                  <w:vAlign w:val="center"/>
                </w:tcPr>
                <w:p w14:paraId="4AAB32AA">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污染物指标</w:t>
                  </w:r>
                </w:p>
              </w:tc>
              <w:tc>
                <w:tcPr>
                  <w:tcW w:w="1415" w:type="pct"/>
                  <w:tcBorders>
                    <w:bottom w:val="single" w:color="000000" w:sz="12" w:space="0"/>
                    <w:tl2br w:val="nil"/>
                    <w:tr2bl w:val="nil"/>
                  </w:tcBorders>
                  <w:noWrap w:val="0"/>
                  <w:vAlign w:val="center"/>
                </w:tcPr>
                <w:p w14:paraId="117F54B7">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系数单位</w:t>
                  </w:r>
                </w:p>
              </w:tc>
              <w:tc>
                <w:tcPr>
                  <w:tcW w:w="1086" w:type="pct"/>
                  <w:tcBorders>
                    <w:bottom w:val="single" w:color="000000" w:sz="12" w:space="0"/>
                    <w:tl2br w:val="nil"/>
                    <w:tr2bl w:val="nil"/>
                  </w:tcBorders>
                  <w:noWrap w:val="0"/>
                  <w:vAlign w:val="center"/>
                </w:tcPr>
                <w:p w14:paraId="1CACDA92">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产污系数</w:t>
                  </w:r>
                </w:p>
              </w:tc>
            </w:tr>
            <w:tr w14:paraId="0D1845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248" w:type="pct"/>
                  <w:vMerge w:val="restart"/>
                  <w:tcBorders>
                    <w:top w:val="single" w:color="000000" w:sz="12" w:space="0"/>
                    <w:tl2br w:val="nil"/>
                    <w:tr2bl w:val="nil"/>
                  </w:tcBorders>
                  <w:noWrap w:val="0"/>
                  <w:vAlign w:val="center"/>
                </w:tcPr>
                <w:p w14:paraId="21FCF8FC">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破碎</w:t>
                  </w:r>
                </w:p>
              </w:tc>
              <w:tc>
                <w:tcPr>
                  <w:tcW w:w="1248" w:type="pct"/>
                  <w:tcBorders>
                    <w:top w:val="single" w:color="000000" w:sz="12" w:space="0"/>
                    <w:tl2br w:val="nil"/>
                    <w:tr2bl w:val="nil"/>
                  </w:tcBorders>
                  <w:noWrap w:val="0"/>
                  <w:vAlign w:val="center"/>
                </w:tcPr>
                <w:p w14:paraId="71CAAA1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t>废气量</w:t>
                  </w:r>
                </w:p>
              </w:tc>
              <w:tc>
                <w:tcPr>
                  <w:tcW w:w="1415" w:type="pct"/>
                  <w:tcBorders>
                    <w:top w:val="single" w:color="000000" w:sz="12" w:space="0"/>
                    <w:tl2br w:val="nil"/>
                    <w:tr2bl w:val="nil"/>
                  </w:tcBorders>
                  <w:noWrap w:val="0"/>
                  <w:vAlign w:val="center"/>
                </w:tcPr>
                <w:p w14:paraId="43D3793E">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标立方米/吨-产品</w:t>
                  </w:r>
                </w:p>
              </w:tc>
              <w:tc>
                <w:tcPr>
                  <w:tcW w:w="1086" w:type="pct"/>
                  <w:tcBorders>
                    <w:top w:val="single" w:color="000000" w:sz="12" w:space="0"/>
                    <w:tl2br w:val="nil"/>
                    <w:tr2bl w:val="nil"/>
                  </w:tcBorders>
                  <w:noWrap w:val="0"/>
                  <w:vAlign w:val="center"/>
                </w:tcPr>
                <w:p w14:paraId="2D2B0CB3">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56.9</w:t>
                  </w:r>
                </w:p>
              </w:tc>
            </w:tr>
            <w:tr w14:paraId="3F3B1E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248" w:type="pct"/>
                  <w:vMerge w:val="continue"/>
                  <w:tcBorders>
                    <w:tl2br w:val="nil"/>
                    <w:tr2bl w:val="nil"/>
                  </w:tcBorders>
                  <w:noWrap w:val="0"/>
                  <w:vAlign w:val="center"/>
                </w:tcPr>
                <w:p w14:paraId="592F8C33">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420" w:firstLineChars="20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p>
              </w:tc>
              <w:tc>
                <w:tcPr>
                  <w:tcW w:w="1248" w:type="pct"/>
                  <w:tcBorders>
                    <w:tl2br w:val="nil"/>
                    <w:tr2bl w:val="nil"/>
                  </w:tcBorders>
                  <w:noWrap w:val="0"/>
                  <w:vAlign w:val="center"/>
                </w:tcPr>
                <w:p w14:paraId="675033B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t>颗粒物</w:t>
                  </w:r>
                </w:p>
              </w:tc>
              <w:tc>
                <w:tcPr>
                  <w:tcW w:w="1415" w:type="pct"/>
                  <w:tcBorders>
                    <w:tl2br w:val="nil"/>
                    <w:tr2bl w:val="nil"/>
                  </w:tcBorders>
                  <w:noWrap w:val="0"/>
                  <w:vAlign w:val="center"/>
                </w:tcPr>
                <w:p w14:paraId="010BB8A7">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千克/吨－产品</w:t>
                  </w:r>
                </w:p>
              </w:tc>
              <w:tc>
                <w:tcPr>
                  <w:tcW w:w="1086" w:type="pct"/>
                  <w:tcBorders>
                    <w:tl2br w:val="nil"/>
                    <w:tr2bl w:val="nil"/>
                  </w:tcBorders>
                  <w:noWrap w:val="0"/>
                  <w:vAlign w:val="center"/>
                </w:tcPr>
                <w:p w14:paraId="2ED561EB">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0.0307</w:t>
                  </w:r>
                </w:p>
              </w:tc>
            </w:tr>
            <w:tr w14:paraId="6714CE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248" w:type="pct"/>
                  <w:vMerge w:val="restart"/>
                  <w:tcBorders>
                    <w:tl2br w:val="nil"/>
                    <w:tr2bl w:val="nil"/>
                  </w:tcBorders>
                  <w:noWrap w:val="0"/>
                  <w:vAlign w:val="center"/>
                </w:tcPr>
                <w:p w14:paraId="7D95E1C3">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筛分</w:t>
                  </w:r>
                </w:p>
              </w:tc>
              <w:tc>
                <w:tcPr>
                  <w:tcW w:w="1248" w:type="pct"/>
                  <w:tcBorders>
                    <w:tl2br w:val="nil"/>
                    <w:tr2bl w:val="nil"/>
                  </w:tcBorders>
                  <w:noWrap w:val="0"/>
                  <w:vAlign w:val="center"/>
                </w:tcPr>
                <w:p w14:paraId="23D840D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sz w:val="21"/>
                      <w:highlight w:val="none"/>
                      <w14:textFill>
                        <w14:solidFill>
                          <w14:schemeClr w14:val="tx1"/>
                        </w14:solidFill>
                      </w14:textFill>
                    </w:rPr>
                  </w:pPr>
                  <w:r>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t>废气量</w:t>
                  </w:r>
                </w:p>
              </w:tc>
              <w:tc>
                <w:tcPr>
                  <w:tcW w:w="1415" w:type="pct"/>
                  <w:tcBorders>
                    <w:tl2br w:val="nil"/>
                    <w:tr2bl w:val="nil"/>
                  </w:tcBorders>
                  <w:noWrap w:val="0"/>
                  <w:vAlign w:val="center"/>
                </w:tcPr>
                <w:p w14:paraId="1AEEA2E1">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标立方米/吨-产品</w:t>
                  </w:r>
                </w:p>
              </w:tc>
              <w:tc>
                <w:tcPr>
                  <w:tcW w:w="1086" w:type="pct"/>
                  <w:tcBorders>
                    <w:tl2br w:val="nil"/>
                    <w:tr2bl w:val="nil"/>
                  </w:tcBorders>
                  <w:noWrap w:val="0"/>
                  <w:vAlign w:val="center"/>
                </w:tcPr>
                <w:p w14:paraId="7B79CC96">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60.0</w:t>
                  </w:r>
                </w:p>
              </w:tc>
            </w:tr>
            <w:tr w14:paraId="6D2C6D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1248" w:type="pct"/>
                  <w:vMerge w:val="continue"/>
                  <w:tcBorders>
                    <w:tl2br w:val="nil"/>
                    <w:tr2bl w:val="nil"/>
                  </w:tcBorders>
                  <w:noWrap w:val="0"/>
                  <w:vAlign w:val="center"/>
                </w:tcPr>
                <w:p w14:paraId="3C17541E">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420" w:firstLineChars="20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p>
              </w:tc>
              <w:tc>
                <w:tcPr>
                  <w:tcW w:w="1248" w:type="pct"/>
                  <w:tcBorders>
                    <w:tl2br w:val="nil"/>
                    <w:tr2bl w:val="nil"/>
                  </w:tcBorders>
                  <w:noWrap w:val="0"/>
                  <w:vAlign w:val="center"/>
                </w:tcPr>
                <w:p w14:paraId="56DD745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t>颗粒物</w:t>
                  </w:r>
                </w:p>
              </w:tc>
              <w:tc>
                <w:tcPr>
                  <w:tcW w:w="1415" w:type="pct"/>
                  <w:tcBorders>
                    <w:tl2br w:val="nil"/>
                    <w:tr2bl w:val="nil"/>
                  </w:tcBorders>
                  <w:noWrap w:val="0"/>
                  <w:vAlign w:val="center"/>
                </w:tcPr>
                <w:p w14:paraId="7AE8B2E7">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千克/吨－产品</w:t>
                  </w:r>
                </w:p>
              </w:tc>
              <w:tc>
                <w:tcPr>
                  <w:tcW w:w="1086" w:type="pct"/>
                  <w:tcBorders>
                    <w:tl2br w:val="nil"/>
                    <w:tr2bl w:val="nil"/>
                  </w:tcBorders>
                  <w:noWrap w:val="0"/>
                  <w:vAlign w:val="center"/>
                </w:tcPr>
                <w:p w14:paraId="0218A318">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0.400</w:t>
                  </w:r>
                </w:p>
              </w:tc>
            </w:tr>
          </w:tbl>
          <w:p w14:paraId="36D1EE21">
            <w:pPr>
              <w:widowControl w:val="0"/>
              <w:spacing w:after="0" w:afterLines="0" w:afterAutospacing="0" w:line="360" w:lineRule="auto"/>
              <w:ind w:left="0" w:leftChars="0" w:firstLine="480" w:firstLineChars="200"/>
              <w:jc w:val="both"/>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4"/>
                <w:szCs w:val="24"/>
                <w:highlight w:val="none"/>
                <w:lang w:val="en-US" w:eastAsia="zh-CN" w:bidi="ar-SA"/>
                <w14:textFill>
                  <w14:solidFill>
                    <w14:schemeClr w14:val="tx1"/>
                  </w14:solidFill>
                </w14:textFill>
              </w:rPr>
              <w:t>本项目年开采砂石料为70万m</w:t>
            </w:r>
            <w:r>
              <w:rPr>
                <w:rFonts w:hint="default" w:ascii="Times New Roman" w:hAnsi="Times New Roman" w:eastAsia="宋体" w:cs="Times New Roman"/>
                <w:b w:val="0"/>
                <w:bCs/>
                <w:color w:val="000000" w:themeColor="text1"/>
                <w:kern w:val="0"/>
                <w:sz w:val="24"/>
                <w:szCs w:val="24"/>
                <w:highlight w:val="none"/>
                <w:vertAlign w:val="superscript"/>
                <w:lang w:val="en-US" w:eastAsia="zh-CN" w:bidi="ar-SA"/>
                <w14:textFill>
                  <w14:solidFill>
                    <w14:schemeClr w14:val="tx1"/>
                  </w14:solidFill>
                </w14:textFill>
              </w:rPr>
              <w:t>3</w:t>
            </w:r>
            <w:r>
              <w:rPr>
                <w:rFonts w:hint="default" w:ascii="Times New Roman" w:hAnsi="Times New Roman" w:eastAsia="宋体" w:cs="Times New Roman"/>
                <w:b w:val="0"/>
                <w:bCs/>
                <w:color w:val="000000" w:themeColor="text1"/>
                <w:kern w:val="0"/>
                <w:sz w:val="24"/>
                <w:szCs w:val="24"/>
                <w:highlight w:val="none"/>
                <w:lang w:val="en-US" w:eastAsia="zh-CN" w:bidi="ar-SA"/>
                <w14:textFill>
                  <w14:solidFill>
                    <w14:schemeClr w14:val="tx1"/>
                  </w14:solidFill>
                </w14:textFill>
              </w:rPr>
              <w:t>/a（约105万t/a）根据产污系数核算，本项目加工生产区颗粒物产生量情况详见下表4-3。</w:t>
            </w:r>
          </w:p>
          <w:p w14:paraId="7A85E679">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422" w:firstLineChars="200"/>
              <w:jc w:val="center"/>
              <w:textAlignment w:val="auto"/>
              <w:rPr>
                <w:rFonts w:hint="default" w:ascii="Times New Roman" w:hAnsi="Times New Roman" w:eastAsia="宋体" w:cs="Times New Roman"/>
                <w:b/>
                <w:bCs/>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1"/>
                <w:szCs w:val="24"/>
                <w:highlight w:val="none"/>
                <w:lang w:val="en-US" w:eastAsia="zh-CN" w:bidi="ar-SA"/>
                <w14:textFill>
                  <w14:solidFill>
                    <w14:schemeClr w14:val="tx1"/>
                  </w14:solidFill>
                </w14:textFill>
              </w:rPr>
              <w:t>表4-3                    颗粒物产生情况一览表</w:t>
            </w:r>
          </w:p>
          <w:tbl>
            <w:tblPr>
              <w:tblStyle w:val="39"/>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80"/>
              <w:gridCol w:w="862"/>
              <w:gridCol w:w="1187"/>
              <w:gridCol w:w="1070"/>
              <w:gridCol w:w="1738"/>
              <w:gridCol w:w="836"/>
              <w:gridCol w:w="767"/>
              <w:gridCol w:w="1210"/>
            </w:tblGrid>
            <w:tr w14:paraId="4D1812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407" w:type="pct"/>
                  <w:tcBorders>
                    <w:bottom w:val="single" w:color="000000" w:sz="12" w:space="0"/>
                    <w:tl2br w:val="nil"/>
                    <w:tr2bl w:val="nil"/>
                  </w:tcBorders>
                  <w:noWrap w:val="0"/>
                  <w:vAlign w:val="center"/>
                </w:tcPr>
                <w:p w14:paraId="4DA46CFA">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环节</w:t>
                  </w:r>
                </w:p>
              </w:tc>
              <w:tc>
                <w:tcPr>
                  <w:tcW w:w="516" w:type="pct"/>
                  <w:tcBorders>
                    <w:bottom w:val="single" w:color="000000" w:sz="12" w:space="0"/>
                    <w:tl2br w:val="nil"/>
                    <w:tr2bl w:val="nil"/>
                  </w:tcBorders>
                  <w:noWrap w:val="0"/>
                  <w:vAlign w:val="center"/>
                </w:tcPr>
                <w:p w14:paraId="1ECCF718">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污染物指标</w:t>
                  </w:r>
                </w:p>
              </w:tc>
              <w:tc>
                <w:tcPr>
                  <w:tcW w:w="710" w:type="pct"/>
                  <w:tcBorders>
                    <w:bottom w:val="single" w:color="000000" w:sz="12" w:space="0"/>
                    <w:tl2br w:val="nil"/>
                    <w:tr2bl w:val="nil"/>
                  </w:tcBorders>
                  <w:noWrap w:val="0"/>
                  <w:vAlign w:val="center"/>
                </w:tcPr>
                <w:p w14:paraId="2B3877AD">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产生量</w:t>
                  </w:r>
                </w:p>
              </w:tc>
              <w:tc>
                <w:tcPr>
                  <w:tcW w:w="640" w:type="pct"/>
                  <w:tcBorders>
                    <w:bottom w:val="single" w:color="000000" w:sz="12" w:space="0"/>
                    <w:tl2br w:val="nil"/>
                    <w:tr2bl w:val="nil"/>
                  </w:tcBorders>
                  <w:noWrap w:val="0"/>
                  <w:vAlign w:val="center"/>
                </w:tcPr>
                <w:p w14:paraId="6C790F33">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产生浓度</w:t>
                  </w:r>
                </w:p>
              </w:tc>
              <w:tc>
                <w:tcPr>
                  <w:tcW w:w="1040" w:type="pct"/>
                  <w:tcBorders>
                    <w:bottom w:val="single" w:color="000000" w:sz="12" w:space="0"/>
                    <w:tl2br w:val="nil"/>
                    <w:tr2bl w:val="nil"/>
                  </w:tcBorders>
                  <w:noWrap w:val="0"/>
                  <w:vAlign w:val="center"/>
                </w:tcPr>
                <w:p w14:paraId="61784AB3">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治理技术名称</w:t>
                  </w:r>
                </w:p>
              </w:tc>
              <w:tc>
                <w:tcPr>
                  <w:tcW w:w="500" w:type="pct"/>
                  <w:tcBorders>
                    <w:bottom w:val="single" w:color="000000" w:sz="12" w:space="0"/>
                    <w:tl2br w:val="nil"/>
                    <w:tr2bl w:val="nil"/>
                  </w:tcBorders>
                  <w:noWrap w:val="0"/>
                  <w:vAlign w:val="center"/>
                </w:tcPr>
                <w:p w14:paraId="7EAF08BF">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去除效率</w:t>
                  </w:r>
                </w:p>
              </w:tc>
              <w:tc>
                <w:tcPr>
                  <w:tcW w:w="459" w:type="pct"/>
                  <w:tcBorders>
                    <w:bottom w:val="single" w:color="000000" w:sz="12" w:space="0"/>
                    <w:tl2br w:val="nil"/>
                    <w:tr2bl w:val="nil"/>
                  </w:tcBorders>
                  <w:noWrap w:val="0"/>
                  <w:vAlign w:val="center"/>
                </w:tcPr>
                <w:p w14:paraId="198BED0B">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排放量</w:t>
                  </w:r>
                </w:p>
              </w:tc>
              <w:tc>
                <w:tcPr>
                  <w:tcW w:w="724" w:type="pct"/>
                  <w:tcBorders>
                    <w:bottom w:val="single" w:color="000000" w:sz="12" w:space="0"/>
                    <w:tl2br w:val="nil"/>
                    <w:tr2bl w:val="nil"/>
                  </w:tcBorders>
                  <w:noWrap w:val="0"/>
                  <w:vAlign w:val="center"/>
                </w:tcPr>
                <w:p w14:paraId="2E7480FA">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排放浓度</w:t>
                  </w:r>
                </w:p>
              </w:tc>
            </w:tr>
            <w:tr w14:paraId="660EB5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407" w:type="pct"/>
                  <w:tcBorders>
                    <w:top w:val="single" w:color="000000" w:sz="12" w:space="0"/>
                    <w:tl2br w:val="nil"/>
                    <w:tr2bl w:val="nil"/>
                  </w:tcBorders>
                  <w:noWrap w:val="0"/>
                  <w:vAlign w:val="center"/>
                </w:tcPr>
                <w:p w14:paraId="4F0A97DD">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车间</w:t>
                  </w:r>
                </w:p>
              </w:tc>
              <w:tc>
                <w:tcPr>
                  <w:tcW w:w="516" w:type="pct"/>
                  <w:tcBorders>
                    <w:top w:val="single" w:color="000000" w:sz="12" w:space="0"/>
                    <w:tl2br w:val="nil"/>
                    <w:tr2bl w:val="nil"/>
                  </w:tcBorders>
                  <w:noWrap w:val="0"/>
                  <w:vAlign w:val="center"/>
                </w:tcPr>
                <w:p w14:paraId="06714A3E">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废气量</w:t>
                  </w:r>
                </w:p>
              </w:tc>
              <w:tc>
                <w:tcPr>
                  <w:tcW w:w="710" w:type="pct"/>
                  <w:tcBorders>
                    <w:top w:val="single" w:color="000000" w:sz="12" w:space="0"/>
                    <w:tl2br w:val="nil"/>
                    <w:tr2bl w:val="nil"/>
                  </w:tcBorders>
                  <w:noWrap w:val="0"/>
                  <w:vAlign w:val="center"/>
                </w:tcPr>
                <w:p w14:paraId="72E0BEF6">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1.4×10</w:t>
                  </w:r>
                  <w:r>
                    <w:rPr>
                      <w:rFonts w:hint="default" w:ascii="Times New Roman" w:hAnsi="Times New Roman" w:eastAsia="宋体" w:cs="Times New Roman"/>
                      <w:color w:val="000000" w:themeColor="text1"/>
                      <w:highlight w:val="none"/>
                      <w:vertAlign w:val="superscript"/>
                      <w:lang w:val="en-US" w:eastAsia="zh-CN"/>
                      <w14:textFill>
                        <w14:solidFill>
                          <w14:schemeClr w14:val="tx1"/>
                        </w14:solidFill>
                      </w14:textFill>
                    </w:rPr>
                    <w:t>8</w:t>
                  </w:r>
                  <w:r>
                    <w:rPr>
                      <w:rFonts w:hint="default" w:ascii="Times New Roman" w:hAnsi="Times New Roman" w:eastAsia="宋体" w:cs="Times New Roman"/>
                      <w:b w:val="0"/>
                      <w:bCs/>
                      <w:color w:val="000000" w:themeColor="text1"/>
                      <w:kern w:val="0"/>
                      <w:sz w:val="24"/>
                      <w:szCs w:val="24"/>
                      <w:highlight w:val="none"/>
                      <w:lang w:val="en-US" w:eastAsia="zh-CN" w:bidi="ar-SA"/>
                      <w14:textFill>
                        <w14:solidFill>
                          <w14:schemeClr w14:val="tx1"/>
                        </w14:solidFill>
                      </w14:textFill>
                    </w:rPr>
                    <w:t>m</w:t>
                  </w:r>
                  <w:r>
                    <w:rPr>
                      <w:rFonts w:hint="default" w:ascii="Times New Roman" w:hAnsi="Times New Roman" w:eastAsia="宋体" w:cs="Times New Roman"/>
                      <w:b w:val="0"/>
                      <w:bCs/>
                      <w:color w:val="000000" w:themeColor="text1"/>
                      <w:kern w:val="0"/>
                      <w:sz w:val="24"/>
                      <w:szCs w:val="24"/>
                      <w:highlight w:val="none"/>
                      <w:vertAlign w:val="superscript"/>
                      <w:lang w:val="en-US" w:eastAsia="zh-CN" w:bidi="ar-SA"/>
                      <w14:textFill>
                        <w14:solidFill>
                          <w14:schemeClr w14:val="tx1"/>
                        </w14:solidFill>
                      </w14:textFill>
                    </w:rPr>
                    <w:t>3</w:t>
                  </w:r>
                  <w:r>
                    <w:rPr>
                      <w:rFonts w:hint="default" w:ascii="Times New Roman" w:hAnsi="Times New Roman" w:eastAsia="宋体" w:cs="Times New Roman"/>
                      <w:b w:val="0"/>
                      <w:bCs/>
                      <w:color w:val="000000" w:themeColor="text1"/>
                      <w:kern w:val="0"/>
                      <w:sz w:val="24"/>
                      <w:szCs w:val="24"/>
                      <w:highlight w:val="none"/>
                      <w:lang w:val="en-US" w:eastAsia="zh-CN" w:bidi="ar-SA"/>
                      <w14:textFill>
                        <w14:solidFill>
                          <w14:schemeClr w14:val="tx1"/>
                        </w14:solidFill>
                      </w14:textFill>
                    </w:rPr>
                    <w:t>/a</w:t>
                  </w:r>
                </w:p>
              </w:tc>
              <w:tc>
                <w:tcPr>
                  <w:tcW w:w="640" w:type="pct"/>
                  <w:tcBorders>
                    <w:top w:val="single" w:color="000000" w:sz="12" w:space="0"/>
                    <w:tl2br w:val="nil"/>
                    <w:tr2bl w:val="nil"/>
                  </w:tcBorders>
                  <w:noWrap w:val="0"/>
                  <w:vAlign w:val="center"/>
                </w:tcPr>
                <w:p w14:paraId="160D0875">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b w:val="0"/>
                      <w:bCs/>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4"/>
                      <w:szCs w:val="24"/>
                      <w:highlight w:val="none"/>
                      <w:lang w:val="en-US" w:eastAsia="zh-CN" w:bidi="ar-SA"/>
                      <w14:textFill>
                        <w14:solidFill>
                          <w14:schemeClr w14:val="tx1"/>
                        </w14:solidFill>
                      </w14:textFill>
                    </w:rPr>
                    <w:t>-</w:t>
                  </w:r>
                </w:p>
              </w:tc>
              <w:tc>
                <w:tcPr>
                  <w:tcW w:w="1040" w:type="pct"/>
                  <w:tcBorders>
                    <w:top w:val="single" w:color="000000" w:sz="12" w:space="0"/>
                    <w:tl2br w:val="nil"/>
                    <w:tr2bl w:val="nil"/>
                  </w:tcBorders>
                  <w:noWrap w:val="0"/>
                  <w:vAlign w:val="center"/>
                </w:tcPr>
                <w:p w14:paraId="2BCA2B15">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w:t>
                  </w:r>
                </w:p>
              </w:tc>
              <w:tc>
                <w:tcPr>
                  <w:tcW w:w="500" w:type="pct"/>
                  <w:tcBorders>
                    <w:top w:val="single" w:color="000000" w:sz="12" w:space="0"/>
                    <w:tl2br w:val="nil"/>
                    <w:tr2bl w:val="nil"/>
                  </w:tcBorders>
                  <w:noWrap w:val="0"/>
                  <w:vAlign w:val="center"/>
                </w:tcPr>
                <w:p w14:paraId="0B03DADB">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w:t>
                  </w:r>
                </w:p>
              </w:tc>
              <w:tc>
                <w:tcPr>
                  <w:tcW w:w="459" w:type="pct"/>
                  <w:tcBorders>
                    <w:top w:val="single" w:color="000000" w:sz="12" w:space="0"/>
                    <w:tl2br w:val="nil"/>
                    <w:tr2bl w:val="nil"/>
                  </w:tcBorders>
                  <w:noWrap w:val="0"/>
                  <w:vAlign w:val="center"/>
                </w:tcPr>
                <w:p w14:paraId="0E122B99">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w:t>
                  </w:r>
                </w:p>
              </w:tc>
              <w:tc>
                <w:tcPr>
                  <w:tcW w:w="724" w:type="pct"/>
                  <w:tcBorders>
                    <w:top w:val="single" w:color="000000" w:sz="12" w:space="0"/>
                    <w:tl2br w:val="nil"/>
                    <w:tr2bl w:val="nil"/>
                  </w:tcBorders>
                  <w:noWrap w:val="0"/>
                  <w:vAlign w:val="center"/>
                </w:tcPr>
                <w:p w14:paraId="3142E5F0">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w:t>
                  </w:r>
                </w:p>
              </w:tc>
            </w:tr>
            <w:tr w14:paraId="26005A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407" w:type="pct"/>
                  <w:tcBorders>
                    <w:tl2br w:val="nil"/>
                    <w:tr2bl w:val="nil"/>
                  </w:tcBorders>
                  <w:noWrap w:val="0"/>
                  <w:vAlign w:val="center"/>
                </w:tcPr>
                <w:p w14:paraId="60E199CB">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破碎</w:t>
                  </w:r>
                </w:p>
              </w:tc>
              <w:tc>
                <w:tcPr>
                  <w:tcW w:w="516" w:type="pct"/>
                  <w:tcBorders>
                    <w:tl2br w:val="nil"/>
                    <w:tr2bl w:val="nil"/>
                  </w:tcBorders>
                  <w:noWrap w:val="0"/>
                  <w:vAlign w:val="center"/>
                </w:tcPr>
                <w:p w14:paraId="3CC94D74">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颗粒物</w:t>
                  </w:r>
                </w:p>
              </w:tc>
              <w:tc>
                <w:tcPr>
                  <w:tcW w:w="710" w:type="pct"/>
                  <w:tcBorders>
                    <w:tl2br w:val="nil"/>
                    <w:tr2bl w:val="nil"/>
                  </w:tcBorders>
                  <w:noWrap w:val="0"/>
                  <w:vAlign w:val="center"/>
                </w:tcPr>
                <w:p w14:paraId="10BAF5BA">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32.24t/a</w:t>
                  </w:r>
                </w:p>
              </w:tc>
              <w:tc>
                <w:tcPr>
                  <w:tcW w:w="640" w:type="pct"/>
                  <w:tcBorders>
                    <w:tl2br w:val="nil"/>
                    <w:tr2bl w:val="nil"/>
                  </w:tcBorders>
                  <w:noWrap w:val="0"/>
                  <w:vAlign w:val="center"/>
                </w:tcPr>
                <w:p w14:paraId="7E4B8050">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230.29</w:t>
                  </w:r>
                  <w:r>
                    <w:rPr>
                      <w:rFonts w:hint="default" w:ascii="Times New Roman" w:hAnsi="Times New Roman" w:eastAsia="宋体" w:cs="Times New Roman"/>
                      <w:b w:val="0"/>
                      <w:bCs/>
                      <w:color w:val="000000" w:themeColor="text1"/>
                      <w:kern w:val="0"/>
                      <w:sz w:val="24"/>
                      <w:szCs w:val="24"/>
                      <w:highlight w:val="none"/>
                      <w:lang w:val="en-US" w:eastAsia="zh-CN" w:bidi="ar-SA"/>
                      <w14:textFill>
                        <w14:solidFill>
                          <w14:schemeClr w14:val="tx1"/>
                        </w14:solidFill>
                      </w14:textFill>
                    </w:rPr>
                    <w:t>mg/m</w:t>
                  </w:r>
                  <w:r>
                    <w:rPr>
                      <w:rFonts w:hint="default" w:ascii="Times New Roman" w:hAnsi="Times New Roman" w:eastAsia="宋体" w:cs="Times New Roman"/>
                      <w:b w:val="0"/>
                      <w:bCs/>
                      <w:color w:val="000000" w:themeColor="text1"/>
                      <w:kern w:val="0"/>
                      <w:sz w:val="24"/>
                      <w:szCs w:val="24"/>
                      <w:highlight w:val="none"/>
                      <w:vertAlign w:val="superscript"/>
                      <w:lang w:val="en-US" w:eastAsia="zh-CN" w:bidi="ar-SA"/>
                      <w14:textFill>
                        <w14:solidFill>
                          <w14:schemeClr w14:val="tx1"/>
                        </w14:solidFill>
                      </w14:textFill>
                    </w:rPr>
                    <w:t>3</w:t>
                  </w:r>
                </w:p>
              </w:tc>
              <w:tc>
                <w:tcPr>
                  <w:tcW w:w="1040" w:type="pct"/>
                  <w:tcBorders>
                    <w:tl2br w:val="nil"/>
                    <w:tr2bl w:val="nil"/>
                  </w:tcBorders>
                  <w:noWrap w:val="0"/>
                  <w:vAlign w:val="center"/>
                </w:tcPr>
                <w:p w14:paraId="7D3DC4D9">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收集效率不低于90%的</w:t>
                  </w:r>
                  <w:r>
                    <w:rPr>
                      <w:rFonts w:hint="eastAsia"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密闭</w:t>
                  </w: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集气罩</w:t>
                  </w:r>
                  <w:r>
                    <w:rPr>
                      <w:rFonts w:hint="eastAsia"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负压</w:t>
                  </w: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收集+布袋除尘+不低于15m高排气筒（DA003）</w:t>
                  </w:r>
                </w:p>
              </w:tc>
              <w:tc>
                <w:tcPr>
                  <w:tcW w:w="500" w:type="pct"/>
                  <w:tcBorders>
                    <w:tl2br w:val="nil"/>
                    <w:tr2bl w:val="nil"/>
                  </w:tcBorders>
                  <w:noWrap w:val="0"/>
                  <w:vAlign w:val="center"/>
                </w:tcPr>
                <w:p w14:paraId="6C9A78C0">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99%</w:t>
                  </w:r>
                </w:p>
              </w:tc>
              <w:tc>
                <w:tcPr>
                  <w:tcW w:w="459" w:type="pct"/>
                  <w:tcBorders>
                    <w:tl2br w:val="nil"/>
                    <w:tr2bl w:val="nil"/>
                  </w:tcBorders>
                  <w:noWrap w:val="0"/>
                  <w:vAlign w:val="center"/>
                </w:tcPr>
                <w:p w14:paraId="1168A084">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0.29t/a</w:t>
                  </w:r>
                </w:p>
              </w:tc>
              <w:tc>
                <w:tcPr>
                  <w:tcW w:w="724" w:type="pct"/>
                  <w:tcBorders>
                    <w:tl2br w:val="nil"/>
                    <w:tr2bl w:val="nil"/>
                  </w:tcBorders>
                  <w:noWrap w:val="0"/>
                  <w:vAlign w:val="center"/>
                </w:tcPr>
                <w:p w14:paraId="0A6F0593">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2.07</w:t>
                  </w:r>
                  <w:r>
                    <w:rPr>
                      <w:rFonts w:hint="default" w:ascii="Times New Roman" w:hAnsi="Times New Roman" w:eastAsia="宋体" w:cs="Times New Roman"/>
                      <w:b w:val="0"/>
                      <w:bCs/>
                      <w:color w:val="000000" w:themeColor="text1"/>
                      <w:kern w:val="0"/>
                      <w:sz w:val="24"/>
                      <w:szCs w:val="24"/>
                      <w:highlight w:val="none"/>
                      <w:lang w:val="en-US" w:eastAsia="zh-CN" w:bidi="ar-SA"/>
                      <w14:textFill>
                        <w14:solidFill>
                          <w14:schemeClr w14:val="tx1"/>
                        </w14:solidFill>
                      </w14:textFill>
                    </w:rPr>
                    <w:t>mg/m</w:t>
                  </w:r>
                  <w:r>
                    <w:rPr>
                      <w:rFonts w:hint="default" w:ascii="Times New Roman" w:hAnsi="Times New Roman" w:eastAsia="宋体" w:cs="Times New Roman"/>
                      <w:b w:val="0"/>
                      <w:bCs/>
                      <w:color w:val="000000" w:themeColor="text1"/>
                      <w:kern w:val="0"/>
                      <w:sz w:val="24"/>
                      <w:szCs w:val="24"/>
                      <w:highlight w:val="none"/>
                      <w:vertAlign w:val="superscript"/>
                      <w:lang w:val="en-US" w:eastAsia="zh-CN" w:bidi="ar-SA"/>
                      <w14:textFill>
                        <w14:solidFill>
                          <w14:schemeClr w14:val="tx1"/>
                        </w14:solidFill>
                      </w14:textFill>
                    </w:rPr>
                    <w:t>3</w:t>
                  </w:r>
                </w:p>
              </w:tc>
            </w:tr>
            <w:tr w14:paraId="757840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407" w:type="pct"/>
                  <w:tcBorders>
                    <w:tl2br w:val="nil"/>
                    <w:tr2bl w:val="nil"/>
                  </w:tcBorders>
                  <w:noWrap w:val="0"/>
                  <w:vAlign w:val="center"/>
                </w:tcPr>
                <w:p w14:paraId="5F70DE76">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筛分</w:t>
                  </w:r>
                </w:p>
              </w:tc>
              <w:tc>
                <w:tcPr>
                  <w:tcW w:w="516" w:type="pct"/>
                  <w:tcBorders>
                    <w:tl2br w:val="nil"/>
                    <w:tr2bl w:val="nil"/>
                  </w:tcBorders>
                  <w:noWrap w:val="0"/>
                  <w:vAlign w:val="center"/>
                </w:tcPr>
                <w:p w14:paraId="107A5E17">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颗粒物</w:t>
                  </w:r>
                </w:p>
              </w:tc>
              <w:tc>
                <w:tcPr>
                  <w:tcW w:w="710" w:type="pct"/>
                  <w:tcBorders>
                    <w:tl2br w:val="nil"/>
                    <w:tr2bl w:val="nil"/>
                  </w:tcBorders>
                  <w:noWrap w:val="0"/>
                  <w:vAlign w:val="center"/>
                </w:tcPr>
                <w:p w14:paraId="0AF63816">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420t/a</w:t>
                  </w:r>
                </w:p>
              </w:tc>
              <w:tc>
                <w:tcPr>
                  <w:tcW w:w="640" w:type="pct"/>
                  <w:tcBorders>
                    <w:tl2br w:val="nil"/>
                    <w:tr2bl w:val="nil"/>
                  </w:tcBorders>
                  <w:noWrap w:val="0"/>
                  <w:vAlign w:val="center"/>
                </w:tcPr>
                <w:p w14:paraId="3C68DD84">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3000mg</w:t>
                  </w:r>
                  <w:r>
                    <w:rPr>
                      <w:rFonts w:hint="default" w:ascii="Times New Roman" w:hAnsi="Times New Roman" w:eastAsia="宋体" w:cs="Times New Roman"/>
                      <w:b w:val="0"/>
                      <w:bCs/>
                      <w:color w:val="000000" w:themeColor="text1"/>
                      <w:kern w:val="0"/>
                      <w:sz w:val="24"/>
                      <w:szCs w:val="24"/>
                      <w:highlight w:val="none"/>
                      <w:lang w:val="en-US" w:eastAsia="zh-CN" w:bidi="ar-SA"/>
                      <w14:textFill>
                        <w14:solidFill>
                          <w14:schemeClr w14:val="tx1"/>
                        </w14:solidFill>
                      </w14:textFill>
                    </w:rPr>
                    <w:t>/m</w:t>
                  </w:r>
                  <w:r>
                    <w:rPr>
                      <w:rFonts w:hint="default" w:ascii="Times New Roman" w:hAnsi="Times New Roman" w:eastAsia="宋体" w:cs="Times New Roman"/>
                      <w:b w:val="0"/>
                      <w:bCs/>
                      <w:color w:val="000000" w:themeColor="text1"/>
                      <w:kern w:val="0"/>
                      <w:sz w:val="24"/>
                      <w:szCs w:val="24"/>
                      <w:highlight w:val="none"/>
                      <w:vertAlign w:val="superscript"/>
                      <w:lang w:val="en-US" w:eastAsia="zh-CN" w:bidi="ar-SA"/>
                      <w14:textFill>
                        <w14:solidFill>
                          <w14:schemeClr w14:val="tx1"/>
                        </w14:solidFill>
                      </w14:textFill>
                    </w:rPr>
                    <w:t>3</w:t>
                  </w:r>
                </w:p>
              </w:tc>
              <w:tc>
                <w:tcPr>
                  <w:tcW w:w="1040" w:type="pct"/>
                  <w:tcBorders>
                    <w:tl2br w:val="nil"/>
                    <w:tr2bl w:val="nil"/>
                  </w:tcBorders>
                  <w:noWrap w:val="0"/>
                  <w:vAlign w:val="center"/>
                </w:tcPr>
                <w:p w14:paraId="796FE84B">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收集效率不低于90%的</w:t>
                  </w:r>
                  <w:r>
                    <w:rPr>
                      <w:rFonts w:hint="eastAsia"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密闭</w:t>
                  </w: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集气罩</w:t>
                  </w:r>
                  <w:r>
                    <w:rPr>
                      <w:rFonts w:hint="eastAsia"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负压</w:t>
                  </w: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收集+布袋除尘+不低于15m高排气筒（DA002）</w:t>
                  </w:r>
                </w:p>
              </w:tc>
              <w:tc>
                <w:tcPr>
                  <w:tcW w:w="500" w:type="pct"/>
                  <w:tcBorders>
                    <w:tl2br w:val="nil"/>
                    <w:tr2bl w:val="nil"/>
                  </w:tcBorders>
                  <w:noWrap w:val="0"/>
                  <w:vAlign w:val="center"/>
                </w:tcPr>
                <w:p w14:paraId="781F7B8C">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99%</w:t>
                  </w:r>
                </w:p>
              </w:tc>
              <w:tc>
                <w:tcPr>
                  <w:tcW w:w="459" w:type="pct"/>
                  <w:tcBorders>
                    <w:tl2br w:val="nil"/>
                    <w:tr2bl w:val="nil"/>
                  </w:tcBorders>
                  <w:noWrap w:val="0"/>
                  <w:vAlign w:val="center"/>
                </w:tcPr>
                <w:p w14:paraId="2005939B">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3.78t/a</w:t>
                  </w:r>
                </w:p>
              </w:tc>
              <w:tc>
                <w:tcPr>
                  <w:tcW w:w="724" w:type="pct"/>
                  <w:tcBorders>
                    <w:tl2br w:val="nil"/>
                    <w:tr2bl w:val="nil"/>
                  </w:tcBorders>
                  <w:noWrap w:val="0"/>
                  <w:vAlign w:val="center"/>
                </w:tcPr>
                <w:p w14:paraId="7A8EFD76">
                  <w:pPr>
                    <w:keepNext w:val="0"/>
                    <w:keepLines w:val="0"/>
                    <w:pageBreakBefore w:val="0"/>
                    <w:widowControl w:val="0"/>
                    <w:kinsoku/>
                    <w:wordWrap/>
                    <w:overflowPunct/>
                    <w:topLinePunct w:val="0"/>
                    <w:autoSpaceDE/>
                    <w:autoSpaceDN/>
                    <w:bidi w:val="0"/>
                    <w:adjustRightInd/>
                    <w:snapToGrid/>
                    <w:spacing w:after="0" w:afterLines="0" w:afterAutospacing="0"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t>27</w:t>
                  </w:r>
                  <w:r>
                    <w:rPr>
                      <w:rFonts w:hint="default" w:ascii="Times New Roman" w:hAnsi="Times New Roman" w:eastAsia="宋体" w:cs="Times New Roman"/>
                      <w:b w:val="0"/>
                      <w:bCs/>
                      <w:color w:val="000000" w:themeColor="text1"/>
                      <w:kern w:val="0"/>
                      <w:sz w:val="24"/>
                      <w:szCs w:val="24"/>
                      <w:highlight w:val="none"/>
                      <w:lang w:val="en-US" w:eastAsia="zh-CN" w:bidi="ar-SA"/>
                      <w14:textFill>
                        <w14:solidFill>
                          <w14:schemeClr w14:val="tx1"/>
                        </w14:solidFill>
                      </w14:textFill>
                    </w:rPr>
                    <w:t>mg/m</w:t>
                  </w:r>
                  <w:r>
                    <w:rPr>
                      <w:rFonts w:hint="default" w:ascii="Times New Roman" w:hAnsi="Times New Roman" w:eastAsia="宋体" w:cs="Times New Roman"/>
                      <w:b w:val="0"/>
                      <w:bCs/>
                      <w:color w:val="000000" w:themeColor="text1"/>
                      <w:kern w:val="0"/>
                      <w:sz w:val="24"/>
                      <w:szCs w:val="24"/>
                      <w:highlight w:val="none"/>
                      <w:vertAlign w:val="superscript"/>
                      <w:lang w:val="en-US" w:eastAsia="zh-CN" w:bidi="ar-SA"/>
                      <w14:textFill>
                        <w14:solidFill>
                          <w14:schemeClr w14:val="tx1"/>
                        </w14:solidFill>
                      </w14:textFill>
                    </w:rPr>
                    <w:t>3</w:t>
                  </w:r>
                </w:p>
              </w:tc>
            </w:tr>
          </w:tbl>
          <w:p w14:paraId="061A80E9">
            <w:pPr>
              <w:widowControl w:val="0"/>
              <w:spacing w:after="0" w:afterLines="0" w:afterAutospacing="0" w:line="360" w:lineRule="auto"/>
              <w:ind w:left="0" w:leftChars="0" w:firstLine="480" w:firstLineChars="200"/>
              <w:jc w:val="both"/>
              <w:rPr>
                <w:rFonts w:hint="default" w:ascii="Times New Roman" w:hAnsi="Times New Roman" w:eastAsia="宋体" w:cs="Times New Roman"/>
                <w:b w:val="0"/>
                <w:bCs/>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4"/>
                <w:szCs w:val="24"/>
                <w:highlight w:val="none"/>
                <w:lang w:val="en-US" w:eastAsia="zh-CN" w:bidi="ar-SA"/>
                <w14:textFill>
                  <w14:solidFill>
                    <w14:schemeClr w14:val="tx1"/>
                  </w14:solidFill>
                </w14:textFill>
              </w:rPr>
              <w:t>评价要求皮带输送机全部密闭，设备与输送带衔接处均密闭处理，同时对项目破碎、筛分环节产生的粉尘</w:t>
            </w:r>
            <w:r>
              <w:rPr>
                <w:rFonts w:hint="eastAsia" w:ascii="Times New Roman" w:hAnsi="Times New Roman" w:eastAsia="宋体" w:cs="Times New Roman"/>
                <w:b w:val="0"/>
                <w:bCs/>
                <w:color w:val="000000" w:themeColor="text1"/>
                <w:kern w:val="0"/>
                <w:sz w:val="24"/>
                <w:szCs w:val="24"/>
                <w:highlight w:val="none"/>
                <w:lang w:val="en-US" w:eastAsia="zh-CN" w:bidi="ar-SA"/>
                <w14:textFill>
                  <w14:solidFill>
                    <w14:schemeClr w14:val="tx1"/>
                  </w14:solidFill>
                </w14:textFill>
              </w:rPr>
              <w:t>经密闭</w:t>
            </w:r>
            <w:r>
              <w:rPr>
                <w:rFonts w:hint="default" w:ascii="Times New Roman" w:hAnsi="Times New Roman" w:eastAsia="宋体" w:cs="Times New Roman"/>
                <w:b w:val="0"/>
                <w:bCs/>
                <w:color w:val="000000" w:themeColor="text1"/>
                <w:kern w:val="0"/>
                <w:sz w:val="24"/>
                <w:szCs w:val="24"/>
                <w:highlight w:val="none"/>
                <w:lang w:val="en-US" w:eastAsia="zh-CN" w:bidi="ar-SA"/>
                <w14:textFill>
                  <w14:solidFill>
                    <w14:schemeClr w14:val="tx1"/>
                  </w14:solidFill>
                </w14:textFill>
              </w:rPr>
              <w:t>集气罩</w:t>
            </w:r>
            <w:r>
              <w:rPr>
                <w:rFonts w:hint="eastAsia" w:ascii="Times New Roman" w:hAnsi="Times New Roman" w:eastAsia="宋体" w:cs="Times New Roman"/>
                <w:b w:val="0"/>
                <w:bCs/>
                <w:color w:val="000000" w:themeColor="text1"/>
                <w:kern w:val="0"/>
                <w:sz w:val="24"/>
                <w:szCs w:val="24"/>
                <w:highlight w:val="none"/>
                <w:lang w:val="en-US" w:eastAsia="zh-CN" w:bidi="ar-SA"/>
                <w14:textFill>
                  <w14:solidFill>
                    <w14:schemeClr w14:val="tx1"/>
                  </w14:solidFill>
                </w14:textFill>
              </w:rPr>
              <w:t>负压</w:t>
            </w:r>
            <w:r>
              <w:rPr>
                <w:rFonts w:hint="default" w:ascii="Times New Roman" w:hAnsi="Times New Roman" w:eastAsia="宋体" w:cs="Times New Roman"/>
                <w:b w:val="0"/>
                <w:bCs/>
                <w:color w:val="000000" w:themeColor="text1"/>
                <w:kern w:val="0"/>
                <w:sz w:val="24"/>
                <w:szCs w:val="24"/>
                <w:highlight w:val="none"/>
                <w:lang w:val="en-US" w:eastAsia="zh-CN" w:bidi="ar-SA"/>
                <w14:textFill>
                  <w14:solidFill>
                    <w14:schemeClr w14:val="tx1"/>
                  </w14:solidFill>
                </w14:textFill>
              </w:rPr>
              <w:t>收集后进袋式除尘器除尘，处理后废气经不低于15m高排气筒排放，要求集气罩集气效率不低于90%，除尘器效率99%，经计算项目破碎废气有组织排放的粉尘量为0.29t/a，排放浓度为2.07mg/m</w:t>
            </w:r>
            <w:r>
              <w:rPr>
                <w:rFonts w:hint="default" w:ascii="Times New Roman" w:hAnsi="Times New Roman" w:eastAsia="宋体" w:cs="Times New Roman"/>
                <w:b w:val="0"/>
                <w:bCs/>
                <w:color w:val="000000" w:themeColor="text1"/>
                <w:kern w:val="0"/>
                <w:sz w:val="24"/>
                <w:szCs w:val="24"/>
                <w:highlight w:val="none"/>
                <w:vertAlign w:val="superscript"/>
                <w:lang w:val="en-US" w:eastAsia="zh-CN" w:bidi="ar-SA"/>
                <w14:textFill>
                  <w14:solidFill>
                    <w14:schemeClr w14:val="tx1"/>
                  </w14:solidFill>
                </w14:textFill>
              </w:rPr>
              <w:t>3</w:t>
            </w:r>
            <w:r>
              <w:rPr>
                <w:rFonts w:hint="default" w:ascii="Times New Roman" w:hAnsi="Times New Roman" w:eastAsia="宋体" w:cs="Times New Roman"/>
                <w:b w:val="0"/>
                <w:bCs/>
                <w:color w:val="000000" w:themeColor="text1"/>
                <w:kern w:val="0"/>
                <w:sz w:val="24"/>
                <w:szCs w:val="24"/>
                <w:highlight w:val="none"/>
                <w:lang w:val="en-US" w:eastAsia="zh-CN" w:bidi="ar-SA"/>
                <w14:textFill>
                  <w14:solidFill>
                    <w14:schemeClr w14:val="tx1"/>
                  </w14:solidFill>
                </w14:textFill>
              </w:rPr>
              <w:t>，排放速率为0.09kg/h；筛分生产线废气有组织排放的粉尘量为3.78t/a，排放浓度为27mg/m</w:t>
            </w:r>
            <w:r>
              <w:rPr>
                <w:rFonts w:hint="default" w:ascii="Times New Roman" w:hAnsi="Times New Roman" w:eastAsia="宋体" w:cs="Times New Roman"/>
                <w:b w:val="0"/>
                <w:bCs/>
                <w:color w:val="000000" w:themeColor="text1"/>
                <w:kern w:val="0"/>
                <w:sz w:val="24"/>
                <w:szCs w:val="24"/>
                <w:highlight w:val="none"/>
                <w:vertAlign w:val="superscript"/>
                <w:lang w:val="en-US" w:eastAsia="zh-CN" w:bidi="ar-SA"/>
                <w14:textFill>
                  <w14:solidFill>
                    <w14:schemeClr w14:val="tx1"/>
                  </w14:solidFill>
                </w14:textFill>
              </w:rPr>
              <w:t>3</w:t>
            </w:r>
            <w:r>
              <w:rPr>
                <w:rFonts w:hint="default" w:ascii="Times New Roman" w:hAnsi="Times New Roman" w:eastAsia="宋体" w:cs="Times New Roman"/>
                <w:b w:val="0"/>
                <w:bCs/>
                <w:color w:val="000000" w:themeColor="text1"/>
                <w:kern w:val="0"/>
                <w:sz w:val="24"/>
                <w:szCs w:val="24"/>
                <w:highlight w:val="none"/>
                <w:lang w:val="en-US" w:eastAsia="zh-CN" w:bidi="ar-SA"/>
                <w14:textFill>
                  <w14:solidFill>
                    <w14:schemeClr w14:val="tx1"/>
                  </w14:solidFill>
                </w14:textFill>
              </w:rPr>
              <w:t>，排放速率为1.13kg/h。有组织粉尘（颗粒物）满足《大气污染物综合排放标准》（GB16297-1996）中表2二级标准最高允许排放浓度（120mg/m</w:t>
            </w:r>
            <w:r>
              <w:rPr>
                <w:rFonts w:hint="default" w:ascii="Times New Roman" w:hAnsi="Times New Roman" w:eastAsia="宋体" w:cs="Times New Roman"/>
                <w:b w:val="0"/>
                <w:bCs/>
                <w:color w:val="000000" w:themeColor="text1"/>
                <w:kern w:val="0"/>
                <w:sz w:val="24"/>
                <w:szCs w:val="24"/>
                <w:highlight w:val="none"/>
                <w:vertAlign w:val="superscript"/>
                <w:lang w:val="en-US" w:eastAsia="zh-CN" w:bidi="ar-SA"/>
                <w14:textFill>
                  <w14:solidFill>
                    <w14:schemeClr w14:val="tx1"/>
                  </w14:solidFill>
                </w14:textFill>
              </w:rPr>
              <w:t>3</w:t>
            </w:r>
            <w:r>
              <w:rPr>
                <w:rFonts w:hint="default" w:ascii="Times New Roman" w:hAnsi="Times New Roman" w:eastAsia="宋体" w:cs="Times New Roman"/>
                <w:b w:val="0"/>
                <w:bCs/>
                <w:color w:val="000000" w:themeColor="text1"/>
                <w:kern w:val="0"/>
                <w:sz w:val="24"/>
                <w:szCs w:val="24"/>
                <w:highlight w:val="none"/>
                <w:lang w:val="en-US" w:eastAsia="zh-CN" w:bidi="ar-SA"/>
                <w14:textFill>
                  <w14:solidFill>
                    <w14:schemeClr w14:val="tx1"/>
                  </w14:solidFill>
                </w14:textFill>
              </w:rPr>
              <w:t>）及排放速率（3.5kg/h）要求。</w:t>
            </w:r>
          </w:p>
          <w:p w14:paraId="3D57A00C">
            <w:pPr>
              <w:widowControl w:val="0"/>
              <w:spacing w:after="0" w:afterLines="0" w:afterAutospacing="0" w:line="360" w:lineRule="auto"/>
              <w:ind w:left="0" w:leftChars="0" w:firstLine="480" w:firstLineChars="200"/>
              <w:jc w:val="both"/>
              <w:rPr>
                <w:rFonts w:hint="default" w:ascii="Times New Roman" w:hAnsi="Times New Roman" w:eastAsia="宋体" w:cs="Times New Roman"/>
                <w:b w:val="0"/>
                <w:bCs/>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0"/>
                <w:sz w:val="24"/>
                <w:szCs w:val="24"/>
                <w:highlight w:val="none"/>
                <w:lang w:val="en-US" w:eastAsia="zh-CN" w:bidi="ar-SA"/>
                <w14:textFill>
                  <w14:solidFill>
                    <w14:schemeClr w14:val="tx1"/>
                  </w14:solidFill>
                </w14:textFill>
              </w:rPr>
              <w:t>项目集气效率不低于90%，未收集废气10%，则筛分无组织废气产生量为42t/a，破碎无组织废气产生量为3.22t/a，经过洒水降尘，粉尘控制效率80%，则筛分无组织废气产生量为8.4t/a，破碎无组织废气产生量为0.64t/a。</w:t>
            </w:r>
          </w:p>
          <w:p w14:paraId="0645F509">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outlineLvl w:val="9"/>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（4）堆存扬尘</w:t>
            </w:r>
          </w:p>
          <w:p w14:paraId="3602CF57">
            <w:pPr>
              <w:autoSpaceDE w:val="0"/>
              <w:autoSpaceDN w:val="0"/>
              <w:adjustRightInd w:val="0"/>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本项目</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设表土及成品堆场，堆场</w:t>
            </w:r>
            <w:r>
              <w:rPr>
                <w:rFonts w:hint="default" w:ascii="Times New Roman" w:hAnsi="Times New Roman" w:eastAsia="宋体" w:cs="Times New Roman"/>
                <w:color w:val="000000" w:themeColor="text1"/>
                <w:sz w:val="24"/>
                <w:highlight w:val="none"/>
                <w14:textFill>
                  <w14:solidFill>
                    <w14:schemeClr w14:val="tx1"/>
                  </w14:solidFill>
                </w14:textFill>
              </w:rPr>
              <w:t>扬尘产生量根据《固体物料堆存颗粒物产排污核算系数手册》</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给出</w:t>
            </w:r>
            <w:r>
              <w:rPr>
                <w:rFonts w:hint="default" w:ascii="Times New Roman" w:hAnsi="Times New Roman" w:eastAsia="宋体" w:cs="Times New Roman"/>
                <w:color w:val="000000" w:themeColor="text1"/>
                <w:sz w:val="24"/>
                <w:highlight w:val="none"/>
                <w14:textFill>
                  <w14:solidFill>
                    <w14:schemeClr w14:val="tx1"/>
                  </w14:solidFill>
                </w14:textFill>
              </w:rPr>
              <w:t>的公式计算。</w:t>
            </w:r>
          </w:p>
          <w:p w14:paraId="1C01E83C">
            <w:pPr>
              <w:autoSpaceDE w:val="0"/>
              <w:autoSpaceDN w:val="0"/>
              <w:adjustRightInd w:val="0"/>
              <w:spacing w:line="360" w:lineRule="auto"/>
              <w:ind w:firstLine="480" w:firstLineChars="200"/>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①</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颗粒物产生量核算</w:t>
            </w:r>
          </w:p>
          <w:p w14:paraId="7A0449ED">
            <w:pPr>
              <w:autoSpaceDE w:val="0"/>
              <w:autoSpaceDN w:val="0"/>
              <w:adjustRightInd w:val="0"/>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工业企业固体物料堆存颗粒物包括装卸扬尘和风蚀扬尘，颗粒物产生量核算公式如下：</w:t>
            </w:r>
          </w:p>
          <w:p w14:paraId="6A003949">
            <w:pPr>
              <w:autoSpaceDE w:val="0"/>
              <w:autoSpaceDN w:val="0"/>
              <w:adjustRightInd w:val="0"/>
              <w:spacing w:line="360" w:lineRule="auto"/>
              <w:ind w:firstLine="480" w:firstLineChars="20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P=ZCy+FCy={NC×D×(a/b)+2×Ef×S}×10</w:t>
            </w:r>
            <w:r>
              <w:rPr>
                <w:rFonts w:hint="default" w:ascii="Times New Roman" w:hAnsi="Times New Roman" w:eastAsia="宋体" w:cs="Times New Roman"/>
                <w:color w:val="000000" w:themeColor="text1"/>
                <w:sz w:val="24"/>
                <w:highlight w:val="none"/>
                <w:vertAlign w:val="superscript"/>
                <w14:textFill>
                  <w14:solidFill>
                    <w14:schemeClr w14:val="tx1"/>
                  </w14:solidFill>
                </w14:textFill>
              </w:rPr>
              <w:t>−3</w:t>
            </w:r>
          </w:p>
          <w:p w14:paraId="7BA952DC">
            <w:pPr>
              <w:autoSpaceDE w:val="0"/>
              <w:autoSpaceDN w:val="0"/>
              <w:adjustRightInd w:val="0"/>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式中：P—指颗粒物产生量（单位：吨）；</w:t>
            </w:r>
          </w:p>
          <w:p w14:paraId="355BE41C">
            <w:pPr>
              <w:autoSpaceDE w:val="0"/>
              <w:autoSpaceDN w:val="0"/>
              <w:adjustRightInd w:val="0"/>
              <w:spacing w:line="360" w:lineRule="auto"/>
              <w:ind w:firstLine="1200" w:firstLineChars="5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ZCy—指装卸扬尘产生量（单位：吨）；</w:t>
            </w:r>
          </w:p>
          <w:p w14:paraId="7B0BEC62">
            <w:pPr>
              <w:autoSpaceDE w:val="0"/>
              <w:autoSpaceDN w:val="0"/>
              <w:adjustRightInd w:val="0"/>
              <w:spacing w:line="360" w:lineRule="auto"/>
              <w:ind w:firstLine="1200" w:firstLineChars="5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FCy—指风蚀扬尘产生量（单位：吨）；</w:t>
            </w:r>
          </w:p>
          <w:p w14:paraId="18D4D5F5">
            <w:pPr>
              <w:autoSpaceDE w:val="0"/>
              <w:autoSpaceDN w:val="0"/>
              <w:adjustRightInd w:val="0"/>
              <w:spacing w:line="360" w:lineRule="auto"/>
              <w:ind w:firstLine="1200" w:firstLineChars="5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Nc—指年物料运载车次（单位：车）；</w:t>
            </w:r>
          </w:p>
          <w:p w14:paraId="246A41F6">
            <w:pPr>
              <w:autoSpaceDE w:val="0"/>
              <w:autoSpaceDN w:val="0"/>
              <w:adjustRightInd w:val="0"/>
              <w:spacing w:line="360" w:lineRule="auto"/>
              <w:ind w:firstLine="1200" w:firstLineChars="5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D—指单车平均运载量（单位：吨/车）；</w:t>
            </w:r>
          </w:p>
          <w:p w14:paraId="23E949A6">
            <w:pPr>
              <w:autoSpaceDE w:val="0"/>
              <w:autoSpaceDN w:val="0"/>
              <w:adjustRightInd w:val="0"/>
              <w:spacing w:line="360" w:lineRule="auto"/>
              <w:ind w:firstLine="1200" w:firstLineChars="5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(a/b)—指装卸扬尘概化系数（单位：千克/吨），a指各省风速概化系数，0.0011；b指物料含水率概化系数，</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0.0064</w:t>
            </w:r>
            <w:r>
              <w:rPr>
                <w:rFonts w:hint="default" w:ascii="Times New Roman" w:hAnsi="Times New Roman" w:eastAsia="宋体" w:cs="Times New Roman"/>
                <w:color w:val="000000" w:themeColor="text1"/>
                <w:sz w:val="24"/>
                <w:highlight w:val="none"/>
                <w14:textFill>
                  <w14:solidFill>
                    <w14:schemeClr w14:val="tx1"/>
                  </w14:solidFill>
                </w14:textFill>
              </w:rPr>
              <w:t>；</w:t>
            </w:r>
          </w:p>
          <w:p w14:paraId="00B73C26">
            <w:pPr>
              <w:autoSpaceDE w:val="0"/>
              <w:autoSpaceDN w:val="0"/>
              <w:adjustRightInd w:val="0"/>
              <w:spacing w:line="360" w:lineRule="auto"/>
              <w:ind w:firstLine="1200" w:firstLineChars="5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Ef—指堆场风蚀扬尘概化系数，</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0</w:t>
            </w:r>
            <w:r>
              <w:rPr>
                <w:rFonts w:hint="default" w:ascii="Times New Roman" w:hAnsi="Times New Roman" w:eastAsia="宋体" w:cs="Times New Roman"/>
                <w:color w:val="000000" w:themeColor="text1"/>
                <w:sz w:val="24"/>
                <w:highlight w:val="none"/>
                <w14:textFill>
                  <w14:solidFill>
                    <w14:schemeClr w14:val="tx1"/>
                  </w14:solidFill>
                </w14:textFill>
              </w:rPr>
              <w:t>（单位：千克/平方米）；</w:t>
            </w:r>
          </w:p>
          <w:p w14:paraId="40E96D64">
            <w:pPr>
              <w:autoSpaceDE w:val="0"/>
              <w:autoSpaceDN w:val="0"/>
              <w:adjustRightInd w:val="0"/>
              <w:spacing w:line="360" w:lineRule="auto"/>
              <w:ind w:firstLine="1200" w:firstLineChars="5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S—指堆场占地面积</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7500</w:t>
            </w:r>
            <w:r>
              <w:rPr>
                <w:rFonts w:hint="default" w:ascii="Times New Roman" w:hAnsi="Times New Roman" w:eastAsia="宋体" w:cs="Times New Roman"/>
                <w:color w:val="000000" w:themeColor="text1"/>
                <w:sz w:val="24"/>
                <w:highlight w:val="none"/>
                <w14:textFill>
                  <w14:solidFill>
                    <w14:schemeClr w14:val="tx1"/>
                  </w14:solidFill>
                </w14:textFill>
              </w:rPr>
              <w:t>（单位：平方米）。</w:t>
            </w:r>
          </w:p>
          <w:p w14:paraId="434BBFEF">
            <w:pPr>
              <w:autoSpaceDE w:val="0"/>
              <w:autoSpaceDN w:val="0"/>
              <w:adjustRightInd w:val="0"/>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②颗粒物排放量核算</w:t>
            </w:r>
          </w:p>
          <w:p w14:paraId="32F779A7">
            <w:pPr>
              <w:autoSpaceDE w:val="0"/>
              <w:autoSpaceDN w:val="0"/>
              <w:adjustRightInd w:val="0"/>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工业企业固体物料堆场颗粒物排放量核算公式如下：</w:t>
            </w:r>
          </w:p>
          <w:p w14:paraId="4F714533">
            <w:pPr>
              <w:autoSpaceDE w:val="0"/>
              <w:autoSpaceDN w:val="0"/>
              <w:adjustRightInd w:val="0"/>
              <w:spacing w:line="360" w:lineRule="auto"/>
              <w:ind w:firstLine="480" w:firstLineChars="200"/>
              <w:jc w:val="center"/>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Uc=P×(1−Cm)×(1−Tm)</w:t>
            </w:r>
          </w:p>
          <w:p w14:paraId="68C50F82">
            <w:pPr>
              <w:autoSpaceDE w:val="0"/>
              <w:autoSpaceDN w:val="0"/>
              <w:adjustRightInd w:val="0"/>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式中：P—指颗粒物产生量（单位：吨）；</w:t>
            </w:r>
          </w:p>
          <w:p w14:paraId="182DD657">
            <w:pPr>
              <w:autoSpaceDE w:val="0"/>
              <w:autoSpaceDN w:val="0"/>
              <w:adjustRightInd w:val="0"/>
              <w:spacing w:line="360" w:lineRule="auto"/>
              <w:ind w:firstLine="1200" w:firstLineChars="5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Uc—指颗粒物排放量（单位：吨）；</w:t>
            </w:r>
          </w:p>
          <w:p w14:paraId="0335A55D">
            <w:pPr>
              <w:autoSpaceDE w:val="0"/>
              <w:autoSpaceDN w:val="0"/>
              <w:adjustRightInd w:val="0"/>
              <w:spacing w:line="360" w:lineRule="auto"/>
              <w:ind w:firstLine="1200" w:firstLineChars="5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Cm—指颗粒物控制措施控制效率（单位：%），项目堆场篷布覆盖措施控制效率86%</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洒水效率74%；</w:t>
            </w:r>
          </w:p>
          <w:p w14:paraId="5BFF15AD">
            <w:pPr>
              <w:autoSpaceDE w:val="0"/>
              <w:autoSpaceDN w:val="0"/>
              <w:adjustRightInd w:val="0"/>
              <w:spacing w:line="360" w:lineRule="auto"/>
              <w:ind w:firstLine="1200" w:firstLineChars="5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Tm—指堆场类型控制效率（单位：%），</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敞开式</w:t>
            </w:r>
            <w:r>
              <w:rPr>
                <w:rFonts w:hint="default" w:ascii="Times New Roman" w:hAnsi="Times New Roman" w:eastAsia="宋体" w:cs="Times New Roman"/>
                <w:color w:val="000000" w:themeColor="text1"/>
                <w:sz w:val="24"/>
                <w:highlight w:val="none"/>
                <w14:textFill>
                  <w14:solidFill>
                    <w14:schemeClr w14:val="tx1"/>
                  </w14:solidFill>
                </w14:textFill>
              </w:rPr>
              <w:t>效率</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0</w:t>
            </w:r>
            <w:r>
              <w:rPr>
                <w:rFonts w:hint="default" w:ascii="Times New Roman" w:hAnsi="Times New Roman" w:eastAsia="宋体" w:cs="Times New Roman"/>
                <w:color w:val="000000" w:themeColor="text1"/>
                <w:sz w:val="24"/>
                <w:highlight w:val="none"/>
                <w14:textFill>
                  <w14:solidFill>
                    <w14:schemeClr w14:val="tx1"/>
                  </w14:solidFill>
                </w14:textFill>
              </w:rPr>
              <w:t>%。</w:t>
            </w:r>
          </w:p>
          <w:p w14:paraId="0F39C967">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因此，本项目成品堆场颗粒物产生量为178.56t/a，</w:t>
            </w:r>
            <w:r>
              <w:rPr>
                <w:rFonts w:hint="default" w:ascii="Times New Roman" w:hAnsi="Times New Roman" w:eastAsia="宋体" w:cs="Times New Roman"/>
                <w:color w:val="000000" w:themeColor="text1"/>
                <w:sz w:val="24"/>
                <w:szCs w:val="24"/>
                <w:highlight w:val="none"/>
                <w:u w:val="none"/>
                <w:lang w:val="en-US" w:eastAsia="zh-CN"/>
                <w14:textFill>
                  <w14:solidFill>
                    <w14:schemeClr w14:val="tx1"/>
                  </w14:solidFill>
                </w14:textFill>
              </w:rPr>
              <w:t>本环评要求建设单位在物料堆放过程中进行</w:t>
            </w:r>
            <w:r>
              <w:rPr>
                <w:rFonts w:hint="default" w:ascii="Times New Roman" w:hAnsi="Times New Roman" w:eastAsia="宋体" w:cs="Times New Roman"/>
                <w:color w:val="000000" w:themeColor="text1"/>
                <w:highlight w:val="none"/>
                <w:lang w:val="en-US" w:eastAsia="zh-CN"/>
                <w14:textFill>
                  <w14:solidFill>
                    <w14:schemeClr w14:val="tx1"/>
                  </w14:solidFill>
                </w14:textFill>
              </w:rPr>
              <w:t>堆</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高不得超过10m，采用防尘网苫盖，定期洒水降尘，扬尘排放量约6.5t/a，堆场扬尘对周边大气环境影响较小。</w:t>
            </w:r>
          </w:p>
          <w:p w14:paraId="6987A4BD">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（5）水稳站搅拌粉尘</w:t>
            </w:r>
          </w:p>
          <w:p w14:paraId="26E236DD">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outlineLvl w:val="9"/>
              <w:rPr>
                <w:rFonts w:hint="default" w:ascii="Times New Roman" w:hAnsi="Times New Roman" w:eastAsia="宋体" w:cs="Times New Roman"/>
                <w:color w:val="auto"/>
                <w:kern w:val="0"/>
                <w:sz w:val="24"/>
                <w:highlight w:val="none"/>
                <w:vertAlign w:val="baseline"/>
                <w:lang w:val="en-US" w:eastAsia="zh-CN"/>
              </w:rPr>
            </w:pPr>
            <w:r>
              <w:rPr>
                <w:rFonts w:hint="default" w:ascii="Times New Roman" w:hAnsi="Times New Roman" w:eastAsia="宋体" w:cs="Times New Roman"/>
                <w:color w:val="auto"/>
                <w:kern w:val="0"/>
                <w:sz w:val="24"/>
                <w:highlight w:val="none"/>
              </w:rPr>
              <w:t>根据《排放源统计调查产排污核算方法和系数手册》（3021水泥制品制造（含3022砼结构构件制造、3029其他水泥类似制品制造）行业系数手册）中“3021水泥制品制造（含3022砼结构构件、3029其他水泥类似制品制造）行业系数表”，颗粒物产污系数为0.</w:t>
            </w:r>
            <w:r>
              <w:rPr>
                <w:rFonts w:hint="default" w:ascii="Times New Roman" w:hAnsi="Times New Roman" w:eastAsia="宋体" w:cs="Times New Roman"/>
                <w:color w:val="auto"/>
                <w:kern w:val="0"/>
                <w:sz w:val="24"/>
                <w:highlight w:val="none"/>
                <w:lang w:val="en-US" w:eastAsia="zh-CN"/>
              </w:rPr>
              <w:t>523</w:t>
            </w:r>
            <w:r>
              <w:rPr>
                <w:rFonts w:hint="default" w:ascii="Times New Roman" w:hAnsi="Times New Roman" w:eastAsia="宋体" w:cs="Times New Roman"/>
                <w:color w:val="auto"/>
                <w:kern w:val="0"/>
                <w:sz w:val="24"/>
                <w:highlight w:val="none"/>
              </w:rPr>
              <w:t>千克/吨</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rPr>
              <w:t>产品。本项目建成后年产</w:t>
            </w:r>
            <w:r>
              <w:rPr>
                <w:rFonts w:hint="default" w:ascii="Times New Roman" w:hAnsi="Times New Roman" w:eastAsia="宋体" w:cs="Times New Roman"/>
                <w:color w:val="auto"/>
                <w:kern w:val="0"/>
                <w:sz w:val="24"/>
                <w:highlight w:val="none"/>
                <w:lang w:val="en-US" w:eastAsia="zh-CN"/>
              </w:rPr>
              <w:t>15</w:t>
            </w:r>
            <w:r>
              <w:rPr>
                <w:rFonts w:hint="default" w:ascii="Times New Roman" w:hAnsi="Times New Roman" w:eastAsia="宋体" w:cs="Times New Roman"/>
                <w:color w:val="auto"/>
                <w:kern w:val="0"/>
                <w:sz w:val="24"/>
                <w:highlight w:val="none"/>
              </w:rPr>
              <w:t>万立方米</w:t>
            </w:r>
            <w:r>
              <w:rPr>
                <w:rFonts w:hint="default" w:ascii="Times New Roman" w:hAnsi="Times New Roman" w:eastAsia="宋体" w:cs="Times New Roman"/>
                <w:color w:val="auto"/>
                <w:kern w:val="0"/>
                <w:sz w:val="24"/>
                <w:highlight w:val="none"/>
                <w:lang w:val="en-US" w:eastAsia="zh-CN"/>
              </w:rPr>
              <w:t>水稳料</w:t>
            </w:r>
            <w:r>
              <w:rPr>
                <w:rFonts w:hint="default" w:ascii="Times New Roman" w:hAnsi="Times New Roman" w:eastAsia="宋体" w:cs="Times New Roman"/>
                <w:color w:val="auto"/>
                <w:kern w:val="0"/>
                <w:sz w:val="24"/>
                <w:highlight w:val="none"/>
              </w:rPr>
              <w:t>，每立方米</w:t>
            </w:r>
            <w:r>
              <w:rPr>
                <w:rFonts w:hint="default" w:ascii="Times New Roman" w:hAnsi="Times New Roman" w:eastAsia="宋体" w:cs="Times New Roman"/>
                <w:color w:val="auto"/>
                <w:kern w:val="0"/>
                <w:sz w:val="24"/>
                <w:highlight w:val="none"/>
                <w:lang w:val="en-US" w:eastAsia="zh-CN"/>
              </w:rPr>
              <w:t>水稳料</w:t>
            </w:r>
            <w:r>
              <w:rPr>
                <w:rFonts w:hint="default" w:ascii="Times New Roman" w:hAnsi="Times New Roman" w:eastAsia="宋体" w:cs="Times New Roman"/>
                <w:color w:val="auto"/>
                <w:kern w:val="0"/>
                <w:sz w:val="24"/>
                <w:highlight w:val="none"/>
              </w:rPr>
              <w:t>按2t计，则本项目产品量为</w:t>
            </w:r>
            <w:r>
              <w:rPr>
                <w:rFonts w:hint="default" w:ascii="Times New Roman" w:hAnsi="Times New Roman" w:eastAsia="宋体" w:cs="Times New Roman"/>
                <w:color w:val="auto"/>
                <w:kern w:val="0"/>
                <w:sz w:val="24"/>
                <w:highlight w:val="none"/>
                <w:lang w:val="en-US" w:eastAsia="zh-CN"/>
              </w:rPr>
              <w:t>30万</w:t>
            </w:r>
            <w:r>
              <w:rPr>
                <w:rFonts w:hint="default" w:ascii="Times New Roman" w:hAnsi="Times New Roman" w:eastAsia="宋体" w:cs="Times New Roman"/>
                <w:color w:val="auto"/>
                <w:kern w:val="0"/>
                <w:sz w:val="24"/>
                <w:highlight w:val="none"/>
              </w:rPr>
              <w:t>t/a，</w:t>
            </w:r>
            <w:r>
              <w:rPr>
                <w:rFonts w:hint="default" w:ascii="Times New Roman" w:hAnsi="Times New Roman" w:eastAsia="宋体" w:cs="Times New Roman"/>
                <w:color w:val="auto"/>
                <w:kern w:val="0"/>
                <w:sz w:val="24"/>
                <w:highlight w:val="none"/>
                <w:lang w:val="en-US" w:eastAsia="zh-CN"/>
              </w:rPr>
              <w:t>本项目产生的颗粒物为156.9</w:t>
            </w:r>
            <w:r>
              <w:rPr>
                <w:rFonts w:hint="default" w:ascii="Times New Roman" w:hAnsi="Times New Roman" w:eastAsia="宋体" w:cs="Times New Roman"/>
                <w:color w:val="auto"/>
                <w:kern w:val="0"/>
                <w:sz w:val="24"/>
                <w:highlight w:val="none"/>
              </w:rPr>
              <w:t>t/a</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rPr>
              <w:t>产生速率</w:t>
            </w:r>
            <w:r>
              <w:rPr>
                <w:rFonts w:hint="default" w:ascii="Times New Roman" w:hAnsi="Times New Roman" w:eastAsia="宋体" w:cs="Times New Roman"/>
                <w:color w:val="auto"/>
                <w:kern w:val="0"/>
                <w:sz w:val="24"/>
                <w:highlight w:val="none"/>
                <w:lang w:val="en-US" w:eastAsia="zh-CN"/>
              </w:rPr>
              <w:t>为46.7</w:t>
            </w:r>
            <w:r>
              <w:rPr>
                <w:rFonts w:hint="default" w:ascii="Times New Roman" w:hAnsi="Times New Roman" w:eastAsia="宋体" w:cs="Times New Roman"/>
                <w:color w:val="auto"/>
                <w:kern w:val="0"/>
                <w:sz w:val="24"/>
                <w:highlight w:val="none"/>
              </w:rPr>
              <w:t>kg/h</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rPr>
              <w:t>颗粒物经搅拌设备自带布袋除尘器（</w:t>
            </w:r>
            <w:r>
              <w:rPr>
                <w:rFonts w:hint="default" w:ascii="Times New Roman" w:hAnsi="Times New Roman" w:eastAsia="宋体" w:cs="Times New Roman"/>
                <w:color w:val="auto"/>
                <w:kern w:val="0"/>
                <w:sz w:val="24"/>
                <w:highlight w:val="none"/>
                <w:lang w:val="en-US" w:eastAsia="zh-CN"/>
              </w:rPr>
              <w:t>根据</w:t>
            </w:r>
            <w:r>
              <w:rPr>
                <w:rFonts w:hint="default" w:ascii="Times New Roman" w:hAnsi="Times New Roman" w:eastAsia="宋体" w:cs="Times New Roman"/>
                <w:color w:val="auto"/>
                <w:kern w:val="0"/>
                <w:sz w:val="24"/>
                <w:highlight w:val="none"/>
              </w:rPr>
              <w:t>《排放源统计调查产排污核算方法和系数手册》（3021水泥制品制造（含3022砼结构构件制造、3029其他水泥类似制品制造）行业系数手册）</w:t>
            </w:r>
            <w:r>
              <w:rPr>
                <w:rFonts w:hint="default" w:ascii="Times New Roman" w:hAnsi="Times New Roman" w:eastAsia="宋体" w:cs="Times New Roman"/>
                <w:color w:val="auto"/>
                <w:kern w:val="0"/>
                <w:sz w:val="24"/>
                <w:highlight w:val="none"/>
                <w:lang w:val="en-US" w:eastAsia="zh-CN"/>
              </w:rPr>
              <w:t>袋式除尘</w:t>
            </w:r>
            <w:r>
              <w:rPr>
                <w:rFonts w:hint="default" w:ascii="Times New Roman" w:hAnsi="Times New Roman" w:eastAsia="宋体" w:cs="Times New Roman"/>
                <w:color w:val="auto"/>
                <w:kern w:val="0"/>
                <w:sz w:val="24"/>
                <w:highlight w:val="none"/>
              </w:rPr>
              <w:t>效率</w:t>
            </w:r>
            <w:r>
              <w:rPr>
                <w:rFonts w:hint="default" w:ascii="Times New Roman" w:hAnsi="Times New Roman" w:eastAsia="宋体" w:cs="Times New Roman"/>
                <w:color w:val="auto"/>
                <w:kern w:val="0"/>
                <w:sz w:val="24"/>
                <w:highlight w:val="none"/>
                <w:lang w:val="en-US" w:eastAsia="zh-CN"/>
              </w:rPr>
              <w:t>为</w:t>
            </w:r>
            <w:r>
              <w:rPr>
                <w:rFonts w:hint="default" w:ascii="Times New Roman" w:hAnsi="Times New Roman" w:eastAsia="宋体" w:cs="Times New Roman"/>
                <w:color w:val="auto"/>
                <w:kern w:val="0"/>
                <w:sz w:val="24"/>
                <w:highlight w:val="none"/>
              </w:rPr>
              <w:t>99.7%）</w:t>
            </w:r>
            <w:r>
              <w:rPr>
                <w:rFonts w:hint="default" w:ascii="Times New Roman" w:hAnsi="Times New Roman" w:eastAsia="宋体" w:cs="Times New Roman"/>
                <w:color w:val="auto"/>
                <w:kern w:val="0"/>
                <w:sz w:val="24"/>
                <w:highlight w:val="none"/>
                <w:lang w:val="en-US" w:eastAsia="zh-CN"/>
              </w:rPr>
              <w:t>收集的粉尘回用于生产过程，颗粒物排放量为0.47t/a，排放速率为0.14</w:t>
            </w:r>
            <w:r>
              <w:rPr>
                <w:rFonts w:hint="default" w:ascii="Times New Roman" w:hAnsi="Times New Roman" w:eastAsia="宋体" w:cs="Times New Roman"/>
                <w:color w:val="auto"/>
                <w:kern w:val="0"/>
                <w:sz w:val="24"/>
                <w:highlight w:val="none"/>
              </w:rPr>
              <w:t>kg/h</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lang w:val="en-US" w:eastAsia="zh-CN"/>
              </w:rPr>
              <w:t>风机风量为8000m</w:t>
            </w:r>
            <w:r>
              <w:rPr>
                <w:rFonts w:hint="default" w:ascii="Times New Roman" w:hAnsi="Times New Roman" w:eastAsia="宋体" w:cs="Times New Roman"/>
                <w:color w:val="auto"/>
                <w:kern w:val="0"/>
                <w:sz w:val="24"/>
                <w:highlight w:val="none"/>
                <w:vertAlign w:val="superscript"/>
                <w:lang w:val="en-US" w:eastAsia="zh-CN"/>
              </w:rPr>
              <w:t>3</w:t>
            </w:r>
            <w:r>
              <w:rPr>
                <w:rFonts w:hint="default" w:ascii="Times New Roman" w:hAnsi="Times New Roman" w:eastAsia="宋体" w:cs="Times New Roman"/>
                <w:color w:val="auto"/>
                <w:kern w:val="0"/>
                <w:sz w:val="24"/>
                <w:highlight w:val="none"/>
                <w:vertAlign w:val="baseline"/>
                <w:lang w:val="en-US" w:eastAsia="zh-CN"/>
              </w:rPr>
              <w:t>/h</w:t>
            </w:r>
            <w:r>
              <w:rPr>
                <w:rFonts w:hint="default" w:ascii="Times New Roman" w:hAnsi="Times New Roman" w:eastAsia="宋体" w:cs="Times New Roman"/>
                <w:color w:val="auto"/>
                <w:kern w:val="0"/>
                <w:sz w:val="24"/>
                <w:highlight w:val="none"/>
                <w:lang w:val="en-US" w:eastAsia="zh-CN"/>
              </w:rPr>
              <w:t>，排放浓度为17.5</w:t>
            </w:r>
            <w:r>
              <w:rPr>
                <w:rFonts w:hint="default" w:ascii="Times New Roman" w:hAnsi="Times New Roman" w:eastAsia="宋体" w:cs="Times New Roman"/>
                <w:color w:val="auto"/>
                <w:kern w:val="0"/>
                <w:sz w:val="24"/>
                <w:highlight w:val="none"/>
                <w:vertAlign w:val="baseline"/>
                <w:lang w:val="en-US" w:eastAsia="zh-CN"/>
              </w:rPr>
              <w:t>mg/m</w:t>
            </w:r>
            <w:r>
              <w:rPr>
                <w:rFonts w:hint="default" w:ascii="Times New Roman" w:hAnsi="Times New Roman" w:eastAsia="宋体" w:cs="Times New Roman"/>
                <w:color w:val="auto"/>
                <w:kern w:val="0"/>
                <w:sz w:val="24"/>
                <w:highlight w:val="none"/>
                <w:vertAlign w:val="superscript"/>
                <w:lang w:val="en-US" w:eastAsia="zh-CN"/>
              </w:rPr>
              <w:t>3</w:t>
            </w:r>
            <w:r>
              <w:rPr>
                <w:rFonts w:hint="default" w:ascii="Times New Roman" w:hAnsi="Times New Roman" w:eastAsia="宋体" w:cs="Times New Roman"/>
                <w:color w:val="auto"/>
                <w:kern w:val="0"/>
                <w:sz w:val="24"/>
                <w:highlight w:val="none"/>
                <w:vertAlign w:val="baseline"/>
                <w:lang w:val="en-US" w:eastAsia="zh-CN"/>
              </w:rPr>
              <w:t>。</w:t>
            </w:r>
          </w:p>
          <w:p w14:paraId="686FFB1C">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outlineLvl w:val="9"/>
              <w:rPr>
                <w:rFonts w:hint="default" w:ascii="Times New Roman" w:hAnsi="Times New Roman" w:eastAsia="宋体" w:cs="Times New Roman"/>
                <w:color w:val="auto"/>
                <w:kern w:val="0"/>
                <w:sz w:val="24"/>
                <w:highlight w:val="none"/>
                <w:vertAlign w:val="baseline"/>
                <w:lang w:val="en-US" w:eastAsia="zh-CN"/>
              </w:rPr>
            </w:pPr>
            <w:r>
              <w:rPr>
                <w:rFonts w:hint="default" w:ascii="Times New Roman" w:hAnsi="Times New Roman" w:eastAsia="宋体" w:cs="Times New Roman"/>
                <w:color w:val="auto"/>
                <w:kern w:val="0"/>
                <w:sz w:val="24"/>
                <w:highlight w:val="none"/>
                <w:vertAlign w:val="baseline"/>
                <w:lang w:val="en-US" w:eastAsia="zh-CN"/>
              </w:rPr>
              <w:t>（6）筒仓粉尘</w:t>
            </w:r>
          </w:p>
          <w:p w14:paraId="3300DACE">
            <w:pPr>
              <w:autoSpaceDE w:val="0"/>
              <w:autoSpaceDN w:val="0"/>
              <w:adjustRightInd w:val="0"/>
              <w:snapToGrid w:val="0"/>
              <w:spacing w:line="360" w:lineRule="auto"/>
              <w:ind w:firstLine="480" w:firstLineChars="200"/>
              <w:rPr>
                <w:rFonts w:hint="default" w:ascii="Times New Roman" w:hAnsi="Times New Roman" w:eastAsia="宋体" w:cs="Times New Roman"/>
                <w:color w:val="auto"/>
                <w:sz w:val="24"/>
                <w:szCs w:val="22"/>
                <w:highlight w:val="none"/>
                <w:lang w:val="en-US" w:eastAsia="zh-CN"/>
              </w:rPr>
            </w:pPr>
            <w:r>
              <w:rPr>
                <w:rFonts w:hint="default" w:ascii="Times New Roman" w:hAnsi="Times New Roman" w:eastAsia="宋体" w:cs="Times New Roman"/>
                <w:color w:val="auto"/>
                <w:sz w:val="24"/>
                <w:szCs w:val="22"/>
                <w:highlight w:val="none"/>
                <w:lang w:val="en-US" w:eastAsia="zh-CN"/>
              </w:rPr>
              <w:t>根据《水泥工业大气污染物排放标准》（GB4915-2013）“4.2.1水泥水泥工业企业的物料处理、输送、装卸、储存过程应当封闭，对块石、粘湿物料、浆料以及车船装卸料过程也可采取其他抑尘有效措施，控制颗粒物无组织排放。”因此将水泥、粉煤灰筒仓排风口均定为废气无组织排放口。</w:t>
            </w:r>
          </w:p>
          <w:p w14:paraId="7D6A00E9">
            <w:pPr>
              <w:autoSpaceDE w:val="0"/>
              <w:autoSpaceDN w:val="0"/>
              <w:adjustRightInd w:val="0"/>
              <w:snapToGrid w:val="0"/>
              <w:spacing w:line="360" w:lineRule="auto"/>
              <w:ind w:firstLine="480" w:firstLineChars="200"/>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000000" w:themeColor="text1"/>
                <w:kern w:val="0"/>
                <w:sz w:val="24"/>
                <w:highlight w:val="none"/>
                <w14:textFill>
                  <w14:solidFill>
                    <w14:schemeClr w14:val="tx1"/>
                  </w14:solidFill>
                </w14:textFill>
              </w:rPr>
              <w:t>本项目设有</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kern w:val="0"/>
                <w:sz w:val="24"/>
                <w:highlight w:val="none"/>
                <w14:textFill>
                  <w14:solidFill>
                    <w14:schemeClr w14:val="tx1"/>
                  </w14:solidFill>
                </w14:textFill>
              </w:rPr>
              <w:t>个筒仓，每个筒仓</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顶部设</w:t>
            </w:r>
            <w:r>
              <w:rPr>
                <w:rFonts w:hint="default" w:ascii="Times New Roman" w:hAnsi="Times New Roman" w:eastAsia="宋体" w:cs="Times New Roman"/>
                <w:color w:val="000000" w:themeColor="text1"/>
                <w:kern w:val="0"/>
                <w:sz w:val="24"/>
                <w:highlight w:val="none"/>
                <w14:textFill>
                  <w14:solidFill>
                    <w14:schemeClr w14:val="tx1"/>
                  </w14:solidFill>
                </w14:textFill>
              </w:rPr>
              <w:t>有</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布袋除尘器一台</w:t>
            </w:r>
            <w:r>
              <w:rPr>
                <w:rFonts w:hint="default" w:ascii="Times New Roman" w:hAnsi="Times New Roman" w:eastAsia="宋体" w:cs="Times New Roman"/>
                <w:color w:val="000000" w:themeColor="text1"/>
                <w:kern w:val="0"/>
                <w:sz w:val="24"/>
                <w:highlight w:val="none"/>
                <w14:textFill>
                  <w14:solidFill>
                    <w14:schemeClr w14:val="tx1"/>
                  </w14:solidFill>
                </w14:textFill>
              </w:rPr>
              <w:t>，</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产生的扬尘通过</w:t>
            </w:r>
            <w:r>
              <w:rPr>
                <w:rFonts w:hint="default" w:ascii="Times New Roman" w:hAnsi="Times New Roman" w:eastAsia="宋体" w:cs="Times New Roman"/>
                <w:color w:val="000000" w:themeColor="text1"/>
                <w:kern w:val="0"/>
                <w:sz w:val="24"/>
                <w:highlight w:val="none"/>
                <w14:textFill>
                  <w14:solidFill>
                    <w14:schemeClr w14:val="tx1"/>
                  </w14:solidFill>
                </w14:textFill>
              </w:rPr>
              <w:t>布袋除尘器进行过滤除尘</w:t>
            </w:r>
            <w:r>
              <w:rPr>
                <w:rFonts w:hint="default" w:ascii="Times New Roman" w:hAnsi="Times New Roman" w:eastAsia="宋体" w:cs="Times New Roman"/>
                <w:color w:val="000000" w:themeColor="text1"/>
                <w:kern w:val="0"/>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筒仓</w:t>
            </w:r>
            <w:r>
              <w:rPr>
                <w:rFonts w:hint="default" w:ascii="Times New Roman" w:hAnsi="Times New Roman" w:eastAsia="宋体" w:cs="Times New Roman"/>
                <w:color w:val="auto"/>
                <w:kern w:val="0"/>
                <w:sz w:val="24"/>
                <w:szCs w:val="24"/>
                <w:highlight w:val="none"/>
                <w:lang w:val="en-US" w:eastAsia="zh-CN" w:bidi="ar-SA"/>
              </w:rPr>
              <w:t>颗粒物属于间歇式排放，在筒仓进料时筒仓顶部会有废气排出，且排放时间较短，其次筒仓高度较高，不具备排气筒安装条件，因此，筒仓扬尘经布袋除尘器（根据《排放源统计调查产排污核算方法和系数手册》（3021水泥制品制造（含3022砼结构构件制造、3029其他水泥类似制品制造）行业系数手册）袋式除尘效率为99.7%）处理后以无组织形式排放。</w:t>
            </w:r>
          </w:p>
          <w:p w14:paraId="408BC750">
            <w:pPr>
              <w:keepNext w:val="0"/>
              <w:keepLines w:val="0"/>
              <w:pageBreakBefore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根据《排放源统计调查产排污核算方法和系数手册》（3021水泥制品制造（含3022砼结构构件制造、3029其他水泥类似制品制造）行业系数手册）中“3021水泥制品制造（含3022砼结构构件、3029其他水泥类似制品制造）行业系数表”，颗粒物产污系数为0.19千克/吨-产品。本项目产品量为30万t/a，筒仓产生的颗粒物总量为57t/a，筒仓扬尘经布袋除尘器（根据《排放源统计调查产排污核算方法和系数手册》（3021水泥制品制造（含3022砼结构构件制造、3029其他水泥类似制品制造）行业系数手册）袋式除尘效率为99.7%）处理后排放，筒仓颗粒物的排放量为0.17t/a，排放速率为0.05kg/h。</w:t>
            </w:r>
          </w:p>
          <w:p w14:paraId="24849335">
            <w:pPr>
              <w:widowControl/>
              <w:spacing w:line="360" w:lineRule="auto"/>
              <w:jc w:val="left"/>
              <w:rPr>
                <w:rFonts w:hint="default" w:ascii="Times New Roman" w:hAnsi="Times New Roman" w:eastAsia="宋体" w:cs="Times New Roman"/>
                <w:b w:val="0"/>
                <w:bCs/>
                <w:color w:val="auto"/>
                <w:sz w:val="24"/>
                <w:highlight w:val="none"/>
              </w:rPr>
            </w:pPr>
            <w:r>
              <w:rPr>
                <w:rFonts w:hint="default" w:ascii="Times New Roman" w:hAnsi="Times New Roman" w:eastAsia="宋体" w:cs="Times New Roman"/>
                <w:b w:val="0"/>
                <w:bCs/>
                <w:color w:val="auto"/>
                <w:sz w:val="24"/>
                <w:highlight w:val="none"/>
                <w:lang w:eastAsia="zh-CN"/>
              </w:rPr>
              <w:t>（</w:t>
            </w:r>
            <w:r>
              <w:rPr>
                <w:rFonts w:hint="default" w:ascii="Times New Roman" w:hAnsi="Times New Roman" w:eastAsia="宋体" w:cs="Times New Roman"/>
                <w:b w:val="0"/>
                <w:bCs/>
                <w:color w:val="auto"/>
                <w:sz w:val="24"/>
                <w:highlight w:val="none"/>
                <w:lang w:val="en-US" w:eastAsia="zh-CN"/>
              </w:rPr>
              <w:t>7</w:t>
            </w:r>
            <w:r>
              <w:rPr>
                <w:rFonts w:hint="default" w:ascii="Times New Roman" w:hAnsi="Times New Roman" w:eastAsia="宋体" w:cs="Times New Roman"/>
                <w:b w:val="0"/>
                <w:bCs/>
                <w:color w:val="auto"/>
                <w:sz w:val="24"/>
                <w:highlight w:val="none"/>
                <w:lang w:eastAsia="zh-CN"/>
              </w:rPr>
              <w:t>）</w:t>
            </w:r>
            <w:r>
              <w:rPr>
                <w:rFonts w:hint="default" w:ascii="Times New Roman" w:hAnsi="Times New Roman" w:eastAsia="宋体" w:cs="Times New Roman"/>
                <w:b w:val="0"/>
                <w:bCs/>
                <w:color w:val="auto"/>
                <w:sz w:val="24"/>
                <w:highlight w:val="none"/>
              </w:rPr>
              <w:t>食堂油烟</w:t>
            </w:r>
          </w:p>
          <w:p w14:paraId="48531423">
            <w:pPr>
              <w:autoSpaceDE w:val="0"/>
              <w:autoSpaceDN w:val="0"/>
              <w:adjustRightInd w:val="0"/>
              <w:snapToGrid w:val="0"/>
              <w:spacing w:line="360" w:lineRule="auto"/>
              <w:ind w:firstLine="480" w:firstLineChars="200"/>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pPr>
            <w:r>
              <w:rPr>
                <w:rFonts w:hint="default" w:ascii="Times New Roman" w:hAnsi="Times New Roman" w:eastAsia="宋体" w:cs="Times New Roman"/>
                <w:color w:val="auto"/>
                <w:kern w:val="0"/>
                <w:sz w:val="24"/>
                <w:highlight w:val="none"/>
              </w:rPr>
              <w:t>本项目劳动定员</w:t>
            </w:r>
            <w:r>
              <w:rPr>
                <w:rFonts w:hint="default" w:ascii="Times New Roman" w:hAnsi="Times New Roman" w:eastAsia="宋体" w:cs="Times New Roman"/>
                <w:color w:val="auto"/>
                <w:kern w:val="0"/>
                <w:sz w:val="24"/>
                <w:highlight w:val="none"/>
                <w:lang w:val="en-US" w:eastAsia="zh-CN"/>
              </w:rPr>
              <w:t>20</w:t>
            </w:r>
            <w:r>
              <w:rPr>
                <w:rFonts w:hint="default" w:ascii="Times New Roman" w:hAnsi="Times New Roman" w:eastAsia="宋体" w:cs="Times New Roman"/>
                <w:color w:val="auto"/>
                <w:kern w:val="0"/>
                <w:sz w:val="24"/>
                <w:highlight w:val="none"/>
              </w:rPr>
              <w:t>人，生产期为</w:t>
            </w:r>
            <w:r>
              <w:rPr>
                <w:rFonts w:hint="default" w:ascii="Times New Roman" w:hAnsi="Times New Roman" w:eastAsia="宋体" w:cs="Times New Roman"/>
                <w:color w:val="auto"/>
                <w:kern w:val="0"/>
                <w:sz w:val="24"/>
                <w:highlight w:val="none"/>
                <w:lang w:val="en-US" w:eastAsia="zh-CN"/>
              </w:rPr>
              <w:t>210</w:t>
            </w:r>
            <w:r>
              <w:rPr>
                <w:rFonts w:hint="default" w:ascii="Times New Roman" w:hAnsi="Times New Roman" w:eastAsia="宋体" w:cs="Times New Roman"/>
                <w:color w:val="auto"/>
                <w:kern w:val="0"/>
                <w:sz w:val="24"/>
                <w:highlight w:val="none"/>
              </w:rPr>
              <w:t>d，</w:t>
            </w:r>
            <w:r>
              <w:rPr>
                <w:rFonts w:hint="default" w:ascii="Times New Roman" w:hAnsi="Times New Roman" w:eastAsia="宋体" w:cs="Times New Roman"/>
                <w:color w:val="auto"/>
                <w:kern w:val="0"/>
                <w:sz w:val="24"/>
                <w:highlight w:val="none"/>
                <w:lang w:val="en-US" w:eastAsia="zh-CN"/>
              </w:rPr>
              <w:t>经过对同类项目的</w:t>
            </w:r>
            <w:r>
              <w:rPr>
                <w:rFonts w:hint="default" w:ascii="Times New Roman" w:hAnsi="Times New Roman" w:eastAsia="宋体" w:cs="Times New Roman"/>
                <w:color w:val="auto"/>
                <w:kern w:val="0"/>
                <w:sz w:val="24"/>
                <w:highlight w:val="none"/>
              </w:rPr>
              <w:t>调查，食用油消耗系数按5kg/（100人·d）计，则食用油消耗量为</w:t>
            </w:r>
            <w:r>
              <w:rPr>
                <w:rFonts w:hint="default" w:ascii="Times New Roman" w:hAnsi="Times New Roman" w:eastAsia="宋体" w:cs="Times New Roman"/>
                <w:color w:val="auto"/>
                <w:kern w:val="0"/>
                <w:sz w:val="24"/>
                <w:highlight w:val="none"/>
                <w:lang w:val="en-US" w:eastAsia="zh-CN"/>
              </w:rPr>
              <w:t>210</w:t>
            </w:r>
            <w:r>
              <w:rPr>
                <w:rFonts w:hint="default" w:ascii="Times New Roman" w:hAnsi="Times New Roman" w:eastAsia="宋体" w:cs="Times New Roman"/>
                <w:color w:val="auto"/>
                <w:kern w:val="0"/>
                <w:sz w:val="24"/>
                <w:highlight w:val="none"/>
              </w:rPr>
              <w:t>kg/a（</w:t>
            </w:r>
            <w:r>
              <w:rPr>
                <w:rFonts w:hint="default" w:ascii="Times New Roman" w:hAnsi="Times New Roman" w:eastAsia="宋体" w:cs="Times New Roman"/>
                <w:color w:val="auto"/>
                <w:kern w:val="0"/>
                <w:sz w:val="24"/>
                <w:highlight w:val="none"/>
                <w:lang w:val="en-US" w:eastAsia="zh-CN"/>
              </w:rPr>
              <w:t>1</w:t>
            </w:r>
            <w:r>
              <w:rPr>
                <w:rFonts w:hint="default" w:ascii="Times New Roman" w:hAnsi="Times New Roman" w:eastAsia="宋体" w:cs="Times New Roman"/>
                <w:color w:val="auto"/>
                <w:kern w:val="0"/>
                <w:sz w:val="24"/>
                <w:highlight w:val="none"/>
              </w:rPr>
              <w:t>kg/d）。不同的烧炸工况，油烟气中烟气浓度及挥发量均有所不同，油的挥发量占总耗油量的2%</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rPr>
              <w:t>4%之间</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rPr>
              <w:t>本项目烹饪过程中的挥发量取4%，则油烟的产生量为</w:t>
            </w:r>
            <w:r>
              <w:rPr>
                <w:rFonts w:hint="default" w:ascii="Times New Roman" w:hAnsi="Times New Roman" w:eastAsia="宋体" w:cs="Times New Roman"/>
                <w:color w:val="auto"/>
                <w:kern w:val="0"/>
                <w:sz w:val="24"/>
                <w:highlight w:val="none"/>
                <w:lang w:val="en-US" w:eastAsia="zh-CN"/>
              </w:rPr>
              <w:t>8.4</w:t>
            </w:r>
            <w:r>
              <w:rPr>
                <w:rFonts w:hint="default" w:ascii="Times New Roman" w:hAnsi="Times New Roman" w:eastAsia="宋体" w:cs="Times New Roman"/>
                <w:color w:val="auto"/>
                <w:kern w:val="0"/>
                <w:sz w:val="24"/>
                <w:highlight w:val="none"/>
              </w:rPr>
              <w:t>kg/a（</w:t>
            </w:r>
            <w:r>
              <w:rPr>
                <w:rFonts w:hint="default" w:ascii="Times New Roman" w:hAnsi="Times New Roman" w:eastAsia="宋体" w:cs="Times New Roman"/>
                <w:color w:val="auto"/>
                <w:kern w:val="0"/>
                <w:sz w:val="24"/>
                <w:highlight w:val="none"/>
                <w:lang w:val="en-US" w:eastAsia="zh-CN"/>
              </w:rPr>
              <w:t>0.04</w:t>
            </w:r>
            <w:r>
              <w:rPr>
                <w:rFonts w:hint="default" w:ascii="Times New Roman" w:hAnsi="Times New Roman" w:eastAsia="宋体" w:cs="Times New Roman"/>
                <w:color w:val="auto"/>
                <w:kern w:val="0"/>
                <w:sz w:val="24"/>
                <w:highlight w:val="none"/>
              </w:rPr>
              <w:t>kg/d），通过集气罩收集（收集效率≥90%），则油烟的收集量为</w:t>
            </w:r>
            <w:r>
              <w:rPr>
                <w:rFonts w:hint="default" w:ascii="Times New Roman" w:hAnsi="Times New Roman" w:eastAsia="宋体" w:cs="Times New Roman"/>
                <w:color w:val="auto"/>
                <w:kern w:val="0"/>
                <w:sz w:val="24"/>
                <w:highlight w:val="none"/>
                <w:lang w:val="en-US" w:eastAsia="zh-CN"/>
              </w:rPr>
              <w:t>7.56</w:t>
            </w:r>
            <w:r>
              <w:rPr>
                <w:rFonts w:hint="default" w:ascii="Times New Roman" w:hAnsi="Times New Roman" w:eastAsia="宋体" w:cs="Times New Roman"/>
                <w:color w:val="auto"/>
                <w:kern w:val="0"/>
                <w:sz w:val="24"/>
                <w:highlight w:val="none"/>
              </w:rPr>
              <w:t>kg/a，按日高峰5小时计，则高峰期油烟的排放速率为0.0</w:t>
            </w:r>
            <w:r>
              <w:rPr>
                <w:rFonts w:hint="default" w:ascii="Times New Roman" w:hAnsi="Times New Roman" w:eastAsia="宋体" w:cs="Times New Roman"/>
                <w:color w:val="auto"/>
                <w:kern w:val="0"/>
                <w:sz w:val="24"/>
                <w:highlight w:val="none"/>
                <w:lang w:val="en-US" w:eastAsia="zh-CN"/>
              </w:rPr>
              <w:t>072</w:t>
            </w:r>
            <w:r>
              <w:rPr>
                <w:rFonts w:hint="default" w:ascii="Times New Roman" w:hAnsi="Times New Roman" w:eastAsia="宋体" w:cs="Times New Roman"/>
                <w:color w:val="auto"/>
                <w:kern w:val="0"/>
                <w:sz w:val="24"/>
                <w:highlight w:val="none"/>
              </w:rPr>
              <w:t>kg/h，油烟排放浓度为</w:t>
            </w:r>
            <w:r>
              <w:rPr>
                <w:rFonts w:hint="default" w:ascii="Times New Roman" w:hAnsi="Times New Roman" w:eastAsia="宋体" w:cs="Times New Roman"/>
                <w:color w:val="auto"/>
                <w:kern w:val="0"/>
                <w:sz w:val="24"/>
                <w:highlight w:val="none"/>
                <w:lang w:val="en-US" w:eastAsia="zh-CN"/>
              </w:rPr>
              <w:t>1.44</w:t>
            </w:r>
            <w:r>
              <w:rPr>
                <w:rFonts w:hint="default" w:ascii="Times New Roman" w:hAnsi="Times New Roman" w:eastAsia="宋体" w:cs="Times New Roman"/>
                <w:color w:val="auto"/>
                <w:kern w:val="0"/>
                <w:sz w:val="24"/>
                <w:highlight w:val="none"/>
              </w:rPr>
              <w:t>mg/m</w:t>
            </w:r>
            <w:r>
              <w:rPr>
                <w:rFonts w:hint="default" w:ascii="Times New Roman" w:hAnsi="Times New Roman" w:eastAsia="宋体" w:cs="Times New Roman"/>
                <w:color w:val="auto"/>
                <w:kern w:val="0"/>
                <w:sz w:val="24"/>
                <w:highlight w:val="none"/>
                <w:vertAlign w:val="superscript"/>
              </w:rPr>
              <w:t>3</w:t>
            </w:r>
            <w:r>
              <w:rPr>
                <w:rFonts w:hint="default" w:ascii="Times New Roman" w:hAnsi="Times New Roman" w:eastAsia="宋体" w:cs="Times New Roman"/>
                <w:color w:val="auto"/>
                <w:kern w:val="0"/>
                <w:sz w:val="24"/>
                <w:highlight w:val="none"/>
              </w:rPr>
              <w:t>（按风量</w:t>
            </w:r>
            <w:r>
              <w:rPr>
                <w:rFonts w:hint="default" w:ascii="Times New Roman" w:hAnsi="Times New Roman" w:eastAsia="宋体" w:cs="Times New Roman"/>
                <w:color w:val="auto"/>
                <w:kern w:val="0"/>
                <w:sz w:val="24"/>
                <w:highlight w:val="none"/>
                <w:lang w:val="en-US" w:eastAsia="zh-CN"/>
              </w:rPr>
              <w:t>5</w:t>
            </w:r>
            <w:r>
              <w:rPr>
                <w:rFonts w:hint="default" w:ascii="Times New Roman" w:hAnsi="Times New Roman" w:eastAsia="宋体" w:cs="Times New Roman"/>
                <w:color w:val="auto"/>
                <w:kern w:val="0"/>
                <w:sz w:val="24"/>
                <w:highlight w:val="none"/>
              </w:rPr>
              <w:t>000m</w:t>
            </w:r>
            <w:r>
              <w:rPr>
                <w:rFonts w:hint="default" w:ascii="Times New Roman" w:hAnsi="Times New Roman" w:eastAsia="宋体" w:cs="Times New Roman"/>
                <w:color w:val="auto"/>
                <w:kern w:val="0"/>
                <w:sz w:val="24"/>
                <w:highlight w:val="none"/>
                <w:vertAlign w:val="superscript"/>
              </w:rPr>
              <w:t>3</w:t>
            </w:r>
            <w:r>
              <w:rPr>
                <w:rFonts w:hint="default" w:ascii="Times New Roman" w:hAnsi="Times New Roman" w:eastAsia="宋体" w:cs="Times New Roman"/>
                <w:color w:val="auto"/>
                <w:kern w:val="0"/>
                <w:sz w:val="24"/>
                <w:highlight w:val="none"/>
              </w:rPr>
              <w:t>/h计），</w:t>
            </w:r>
            <w:r>
              <w:rPr>
                <w:rFonts w:hint="default" w:ascii="Times New Roman" w:hAnsi="Times New Roman" w:eastAsia="宋体" w:cs="Times New Roman"/>
                <w:color w:val="auto"/>
                <w:kern w:val="0"/>
                <w:sz w:val="24"/>
                <w:highlight w:val="none"/>
                <w:lang w:val="en-US" w:eastAsia="zh-CN"/>
              </w:rPr>
              <w:t>参考</w:t>
            </w:r>
            <w:r>
              <w:rPr>
                <w:rFonts w:hint="default" w:ascii="Times New Roman" w:hAnsi="Times New Roman" w:eastAsia="宋体" w:cs="Times New Roman"/>
                <w:color w:val="auto"/>
                <w:kern w:val="0"/>
                <w:sz w:val="24"/>
                <w:highlight w:val="none"/>
              </w:rPr>
              <w:t>《饮食业油烟排放标准（试行）》（GB 18483-2001）中油烟最高允许排放浓度2</w:t>
            </w:r>
            <w:r>
              <w:rPr>
                <w:rFonts w:hint="default" w:ascii="Times New Roman" w:hAnsi="Times New Roman" w:eastAsia="宋体" w:cs="Times New Roman"/>
                <w:color w:val="auto"/>
                <w:kern w:val="0"/>
                <w:sz w:val="24"/>
                <w:highlight w:val="none"/>
                <w:lang w:val="en-US" w:eastAsia="zh-CN"/>
              </w:rPr>
              <w:t>.0</w:t>
            </w:r>
            <w:r>
              <w:rPr>
                <w:rFonts w:hint="default" w:ascii="Times New Roman" w:hAnsi="Times New Roman" w:eastAsia="宋体" w:cs="Times New Roman"/>
                <w:color w:val="auto"/>
                <w:kern w:val="0"/>
                <w:sz w:val="24"/>
                <w:highlight w:val="none"/>
              </w:rPr>
              <w:t>mg/m</w:t>
            </w:r>
            <w:r>
              <w:rPr>
                <w:rFonts w:hint="default" w:ascii="Times New Roman" w:hAnsi="Times New Roman" w:eastAsia="宋体" w:cs="Times New Roman"/>
                <w:color w:val="auto"/>
                <w:kern w:val="0"/>
                <w:sz w:val="24"/>
                <w:highlight w:val="none"/>
                <w:vertAlign w:val="superscript"/>
              </w:rPr>
              <w:t>3</w:t>
            </w:r>
            <w:r>
              <w:rPr>
                <w:rFonts w:hint="default" w:ascii="Times New Roman" w:hAnsi="Times New Roman" w:eastAsia="宋体" w:cs="Times New Roman"/>
                <w:color w:val="auto"/>
                <w:kern w:val="0"/>
                <w:sz w:val="24"/>
                <w:highlight w:val="none"/>
              </w:rPr>
              <w:t>，</w:t>
            </w:r>
            <w:r>
              <w:rPr>
                <w:rFonts w:hint="default" w:ascii="Times New Roman" w:hAnsi="Times New Roman" w:eastAsia="宋体" w:cs="Times New Roman"/>
                <w:color w:val="auto"/>
                <w:kern w:val="0"/>
                <w:sz w:val="24"/>
                <w:highlight w:val="none"/>
                <w:lang w:val="en-US" w:eastAsia="zh-CN"/>
              </w:rPr>
              <w:t>排放浓度达标</w:t>
            </w:r>
            <w:r>
              <w:rPr>
                <w:rFonts w:hint="default" w:ascii="Times New Roman" w:hAnsi="Times New Roman" w:eastAsia="宋体" w:cs="Times New Roman"/>
                <w:color w:val="auto"/>
                <w:kern w:val="0"/>
                <w:sz w:val="24"/>
                <w:highlight w:val="none"/>
              </w:rPr>
              <w:t>。</w:t>
            </w:r>
          </w:p>
          <w:p w14:paraId="79AD993F">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outlineLvl w:val="9"/>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pP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本</w:t>
            </w:r>
            <w:r>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t>项目废气</w:t>
            </w:r>
            <w:r>
              <w:rPr>
                <w:rFonts w:hint="eastAsia"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排放</w:t>
            </w:r>
            <w:r>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t>见表</w:t>
            </w: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4-4、4-5</w:t>
            </w:r>
            <w:r>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t>。</w:t>
            </w:r>
          </w:p>
          <w:p w14:paraId="008DEF5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000000" w:themeColor="text1"/>
                <w:sz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highlight w:val="none"/>
                <w14:textFill>
                  <w14:solidFill>
                    <w14:schemeClr w14:val="tx1"/>
                  </w14:solidFill>
                </w14:textFill>
              </w:rPr>
              <w:t>表</w:t>
            </w:r>
            <w:r>
              <w:rPr>
                <w:rFonts w:hint="default" w:ascii="Times New Roman" w:hAnsi="Times New Roman" w:eastAsia="宋体" w:cs="Times New Roman"/>
                <w:b/>
                <w:bCs/>
                <w:color w:val="000000" w:themeColor="text1"/>
                <w:sz w:val="21"/>
                <w:highlight w:val="none"/>
                <w:lang w:val="en-US" w:eastAsia="zh-CN"/>
                <w14:textFill>
                  <w14:solidFill>
                    <w14:schemeClr w14:val="tx1"/>
                  </w14:solidFill>
                </w14:textFill>
              </w:rPr>
              <w:t>4-4</w:t>
            </w:r>
            <w:r>
              <w:rPr>
                <w:rFonts w:hint="default" w:ascii="Times New Roman" w:hAnsi="Times New Roman" w:eastAsia="宋体" w:cs="Times New Roman"/>
                <w:b/>
                <w:bCs/>
                <w:color w:val="000000" w:themeColor="text1"/>
                <w:sz w:val="21"/>
                <w:highlight w:val="none"/>
                <w14:textFill>
                  <w14:solidFill>
                    <w14:schemeClr w14:val="tx1"/>
                  </w14:solidFill>
                </w14:textFill>
              </w:rPr>
              <w:t xml:space="preserve">   </w:t>
            </w:r>
            <w:r>
              <w:rPr>
                <w:rFonts w:hint="default" w:ascii="Times New Roman" w:hAnsi="Times New Roman" w:eastAsia="宋体" w:cs="Times New Roman"/>
                <w:b/>
                <w:bCs/>
                <w:color w:val="000000" w:themeColor="text1"/>
                <w:sz w:val="21"/>
                <w:highlight w:val="none"/>
                <w:lang w:val="en-US" w:eastAsia="zh-CN"/>
                <w14:textFill>
                  <w14:solidFill>
                    <w14:schemeClr w14:val="tx1"/>
                  </w14:solidFill>
                </w14:textFill>
              </w:rPr>
              <w:t>大气污染物有组织排放表</w:t>
            </w:r>
          </w:p>
          <w:tbl>
            <w:tblPr>
              <w:tblStyle w:val="39"/>
              <w:tblW w:w="8316"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84"/>
              <w:gridCol w:w="895"/>
              <w:gridCol w:w="861"/>
              <w:gridCol w:w="873"/>
              <w:gridCol w:w="1058"/>
              <w:gridCol w:w="906"/>
              <w:gridCol w:w="938"/>
              <w:gridCol w:w="1254"/>
              <w:gridCol w:w="393"/>
              <w:gridCol w:w="754"/>
            </w:tblGrid>
            <w:tr w14:paraId="078CC2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384" w:type="dxa"/>
                  <w:tcBorders>
                    <w:bottom w:val="single" w:color="000000" w:sz="12" w:space="0"/>
                    <w:tl2br w:val="nil"/>
                    <w:tr2bl w:val="nil"/>
                  </w:tcBorders>
                  <w:noWrap w:val="0"/>
                  <w:vAlign w:val="center"/>
                </w:tcPr>
                <w:p w14:paraId="62BA336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序号</w:t>
                  </w:r>
                </w:p>
              </w:tc>
              <w:tc>
                <w:tcPr>
                  <w:tcW w:w="895" w:type="dxa"/>
                  <w:tcBorders>
                    <w:bottom w:val="single" w:color="000000" w:sz="12" w:space="0"/>
                    <w:tl2br w:val="nil"/>
                    <w:tr2bl w:val="nil"/>
                  </w:tcBorders>
                  <w:noWrap w:val="0"/>
                  <w:vAlign w:val="center"/>
                </w:tcPr>
                <w:p w14:paraId="36B37BC9">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排放口名称</w:t>
                  </w:r>
                </w:p>
              </w:tc>
              <w:tc>
                <w:tcPr>
                  <w:tcW w:w="861" w:type="dxa"/>
                  <w:tcBorders>
                    <w:bottom w:val="single" w:color="000000" w:sz="12" w:space="0"/>
                    <w:tl2br w:val="nil"/>
                    <w:tr2bl w:val="nil"/>
                  </w:tcBorders>
                  <w:noWrap w:val="0"/>
                  <w:vAlign w:val="center"/>
                </w:tcPr>
                <w:p w14:paraId="7A53575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排放口编号</w:t>
                  </w:r>
                </w:p>
              </w:tc>
              <w:tc>
                <w:tcPr>
                  <w:tcW w:w="873" w:type="dxa"/>
                  <w:tcBorders>
                    <w:bottom w:val="single" w:color="000000" w:sz="12" w:space="0"/>
                    <w:tl2br w:val="nil"/>
                    <w:tr2bl w:val="nil"/>
                  </w:tcBorders>
                  <w:noWrap w:val="0"/>
                  <w:vAlign w:val="center"/>
                </w:tcPr>
                <w:p w14:paraId="674B5E83">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污染物</w:t>
                  </w:r>
                </w:p>
              </w:tc>
              <w:tc>
                <w:tcPr>
                  <w:tcW w:w="1058" w:type="dxa"/>
                  <w:tcBorders>
                    <w:bottom w:val="single" w:color="000000" w:sz="12" w:space="0"/>
                    <w:tl2br w:val="nil"/>
                    <w:tr2bl w:val="nil"/>
                  </w:tcBorders>
                  <w:noWrap w:val="0"/>
                  <w:vAlign w:val="center"/>
                </w:tcPr>
                <w:p w14:paraId="3DD371C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核算排放浓度/</w:t>
                  </w:r>
                  <w:r>
                    <w:rPr>
                      <w:rFonts w:hint="default" w:ascii="Times New Roman" w:hAnsi="Times New Roman" w:eastAsia="宋体" w:cs="Times New Roman"/>
                      <w:b w:val="0"/>
                      <w:bCs w:val="0"/>
                      <w:color w:val="000000" w:themeColor="text1"/>
                      <w:spacing w:val="-11"/>
                      <w:kern w:val="0"/>
                      <w:sz w:val="21"/>
                      <w:szCs w:val="21"/>
                      <w:highlight w:val="none"/>
                      <w:vertAlign w:val="baseline"/>
                      <w:lang w:val="en-US" w:eastAsia="zh-CN"/>
                      <w14:textFill>
                        <w14:solidFill>
                          <w14:schemeClr w14:val="tx1"/>
                        </w14:solidFill>
                      </w14:textFill>
                    </w:rPr>
                    <w:t>（mg/m</w:t>
                  </w:r>
                  <w:r>
                    <w:rPr>
                      <w:rFonts w:hint="default" w:ascii="Times New Roman" w:hAnsi="Times New Roman" w:eastAsia="宋体" w:cs="Times New Roman"/>
                      <w:b w:val="0"/>
                      <w:bCs w:val="0"/>
                      <w:color w:val="000000" w:themeColor="text1"/>
                      <w:spacing w:val="-11"/>
                      <w:kern w:val="0"/>
                      <w:sz w:val="21"/>
                      <w:szCs w:val="21"/>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pacing w:val="-11"/>
                      <w:kern w:val="0"/>
                      <w:sz w:val="21"/>
                      <w:szCs w:val="21"/>
                      <w:highlight w:val="none"/>
                      <w:vertAlign w:val="baseline"/>
                      <w:lang w:val="en-US" w:eastAsia="zh-CN"/>
                      <w14:textFill>
                        <w14:solidFill>
                          <w14:schemeClr w14:val="tx1"/>
                        </w14:solidFill>
                      </w14:textFill>
                    </w:rPr>
                    <w:t>）</w:t>
                  </w:r>
                </w:p>
              </w:tc>
              <w:tc>
                <w:tcPr>
                  <w:tcW w:w="906" w:type="dxa"/>
                  <w:tcBorders>
                    <w:bottom w:val="single" w:color="000000" w:sz="12" w:space="0"/>
                    <w:tl2br w:val="nil"/>
                    <w:tr2bl w:val="nil"/>
                  </w:tcBorders>
                  <w:noWrap w:val="0"/>
                  <w:vAlign w:val="center"/>
                </w:tcPr>
                <w:p w14:paraId="576B3DA3">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11"/>
                      <w:kern w:val="0"/>
                      <w:sz w:val="21"/>
                      <w:szCs w:val="21"/>
                      <w:highlight w:val="none"/>
                      <w:vertAlign w:val="baseline"/>
                      <w:lang w:val="en-US" w:eastAsia="zh-CN"/>
                      <w14:textFill>
                        <w14:solidFill>
                          <w14:schemeClr w14:val="tx1"/>
                        </w14:solidFill>
                      </w14:textFill>
                    </w:rPr>
                    <w:t>核算排放速率/（kg/h）</w:t>
                  </w:r>
                </w:p>
              </w:tc>
              <w:tc>
                <w:tcPr>
                  <w:tcW w:w="938" w:type="dxa"/>
                  <w:tcBorders>
                    <w:bottom w:val="single" w:color="000000" w:sz="12" w:space="0"/>
                    <w:tl2br w:val="nil"/>
                    <w:tr2bl w:val="nil"/>
                  </w:tcBorders>
                  <w:noWrap w:val="0"/>
                  <w:vAlign w:val="center"/>
                </w:tcPr>
                <w:p w14:paraId="4DF46B5F">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核算年排放量/（t/a）</w:t>
                  </w:r>
                </w:p>
              </w:tc>
              <w:tc>
                <w:tcPr>
                  <w:tcW w:w="1254" w:type="dxa"/>
                  <w:tcBorders>
                    <w:bottom w:val="single" w:color="000000" w:sz="12" w:space="0"/>
                    <w:tl2br w:val="nil"/>
                    <w:tr2bl w:val="nil"/>
                  </w:tcBorders>
                  <w:noWrap w:val="0"/>
                  <w:vAlign w:val="center"/>
                </w:tcPr>
                <w:p w14:paraId="34367BEB">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有组织排放标准</w:t>
                  </w:r>
                </w:p>
              </w:tc>
              <w:tc>
                <w:tcPr>
                  <w:tcW w:w="393" w:type="dxa"/>
                  <w:tcBorders>
                    <w:bottom w:val="single" w:color="000000" w:sz="12" w:space="0"/>
                    <w:tl2br w:val="nil"/>
                    <w:tr2bl w:val="nil"/>
                  </w:tcBorders>
                  <w:noWrap w:val="0"/>
                  <w:vAlign w:val="center"/>
                </w:tcPr>
                <w:p w14:paraId="3FDDAF7C">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限值</w:t>
                  </w:r>
                </w:p>
              </w:tc>
              <w:tc>
                <w:tcPr>
                  <w:tcW w:w="754" w:type="dxa"/>
                  <w:tcBorders>
                    <w:bottom w:val="single" w:color="000000" w:sz="12" w:space="0"/>
                    <w:tl2br w:val="nil"/>
                    <w:tr2bl w:val="nil"/>
                  </w:tcBorders>
                  <w:noWrap w:val="0"/>
                  <w:vAlign w:val="center"/>
                </w:tcPr>
                <w:p w14:paraId="66CAB3D0">
                  <w:pPr>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达标情况</w:t>
                  </w:r>
                </w:p>
              </w:tc>
            </w:tr>
            <w:tr w14:paraId="02FADC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384" w:type="dxa"/>
                  <w:tcBorders>
                    <w:tl2br w:val="nil"/>
                    <w:tr2bl w:val="nil"/>
                  </w:tcBorders>
                  <w:noWrap w:val="0"/>
                  <w:vAlign w:val="center"/>
                </w:tcPr>
                <w:p w14:paraId="288A4777">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1</w:t>
                  </w:r>
                </w:p>
              </w:tc>
              <w:tc>
                <w:tcPr>
                  <w:tcW w:w="895" w:type="dxa"/>
                  <w:tcBorders>
                    <w:tl2br w:val="nil"/>
                    <w:tr2bl w:val="nil"/>
                  </w:tcBorders>
                  <w:noWrap w:val="0"/>
                  <w:vAlign w:val="center"/>
                </w:tcPr>
                <w:p w14:paraId="4250ED0B">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搅拌</w:t>
                  </w:r>
                </w:p>
              </w:tc>
              <w:tc>
                <w:tcPr>
                  <w:tcW w:w="861" w:type="dxa"/>
                  <w:tcBorders>
                    <w:tl2br w:val="nil"/>
                    <w:tr2bl w:val="nil"/>
                  </w:tcBorders>
                  <w:noWrap w:val="0"/>
                  <w:vAlign w:val="center"/>
                </w:tcPr>
                <w:p w14:paraId="2868E86E">
                  <w:pPr>
                    <w:keepNext w:val="0"/>
                    <w:keepLines w:val="0"/>
                    <w:widowControl/>
                    <w:suppressLineNumbers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DA001</w:t>
                  </w:r>
                </w:p>
              </w:tc>
              <w:tc>
                <w:tcPr>
                  <w:tcW w:w="873" w:type="dxa"/>
                  <w:tcBorders>
                    <w:tl2br w:val="nil"/>
                    <w:tr2bl w:val="nil"/>
                  </w:tcBorders>
                  <w:noWrap w:val="0"/>
                  <w:vAlign w:val="center"/>
                </w:tcPr>
                <w:p w14:paraId="37821D1F">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颗粒物</w:t>
                  </w:r>
                </w:p>
              </w:tc>
              <w:tc>
                <w:tcPr>
                  <w:tcW w:w="1058" w:type="dxa"/>
                  <w:tcBorders>
                    <w:tl2br w:val="nil"/>
                    <w:tr2bl w:val="nil"/>
                  </w:tcBorders>
                  <w:noWrap w:val="0"/>
                  <w:vAlign w:val="center"/>
                </w:tcPr>
                <w:p w14:paraId="34DEDDA0">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17.5</w:t>
                  </w:r>
                </w:p>
              </w:tc>
              <w:tc>
                <w:tcPr>
                  <w:tcW w:w="906" w:type="dxa"/>
                  <w:tcBorders>
                    <w:tl2br w:val="nil"/>
                    <w:tr2bl w:val="nil"/>
                  </w:tcBorders>
                  <w:noWrap w:val="0"/>
                  <w:vAlign w:val="center"/>
                </w:tcPr>
                <w:p w14:paraId="181AC5CD">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0.65</w:t>
                  </w:r>
                </w:p>
              </w:tc>
              <w:tc>
                <w:tcPr>
                  <w:tcW w:w="938" w:type="dxa"/>
                  <w:tcBorders>
                    <w:tl2br w:val="nil"/>
                    <w:tr2bl w:val="nil"/>
                  </w:tcBorders>
                  <w:noWrap w:val="0"/>
                  <w:vAlign w:val="center"/>
                </w:tcPr>
                <w:p w14:paraId="116208DB">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0.47</w:t>
                  </w:r>
                </w:p>
              </w:tc>
              <w:tc>
                <w:tcPr>
                  <w:tcW w:w="1254" w:type="dxa"/>
                  <w:tcBorders>
                    <w:tl2br w:val="nil"/>
                    <w:tr2bl w:val="nil"/>
                  </w:tcBorders>
                  <w:noWrap w:val="0"/>
                  <w:vAlign w:val="center"/>
                </w:tcPr>
                <w:p w14:paraId="47C2A324">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kern w:val="0"/>
                      <w:sz w:val="21"/>
                      <w:szCs w:val="21"/>
                      <w:highlight w:val="none"/>
                      <w:lang w:val="en-US" w:eastAsia="zh-CN"/>
                    </w:rPr>
                    <w:t>《水泥工业大气污染物排放标准》（GB4915-2013）表1现有与新建企业大气污染物排放限值</w:t>
                  </w:r>
                </w:p>
              </w:tc>
              <w:tc>
                <w:tcPr>
                  <w:tcW w:w="393" w:type="dxa"/>
                  <w:tcBorders>
                    <w:tl2br w:val="nil"/>
                    <w:tr2bl w:val="nil"/>
                  </w:tcBorders>
                  <w:noWrap w:val="0"/>
                  <w:vAlign w:val="center"/>
                </w:tcPr>
                <w:p w14:paraId="22A1ED4D">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20</w:t>
                  </w:r>
                </w:p>
              </w:tc>
              <w:tc>
                <w:tcPr>
                  <w:tcW w:w="754" w:type="dxa"/>
                  <w:tcBorders>
                    <w:tl2br w:val="nil"/>
                    <w:tr2bl w:val="nil"/>
                  </w:tcBorders>
                  <w:noWrap w:val="0"/>
                  <w:vAlign w:val="center"/>
                </w:tcPr>
                <w:p w14:paraId="326E4F38">
                  <w:pPr>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达标</w:t>
                  </w:r>
                </w:p>
              </w:tc>
            </w:tr>
            <w:tr w14:paraId="1B256B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384" w:type="dxa"/>
                  <w:tcBorders>
                    <w:tl2br w:val="nil"/>
                    <w:tr2bl w:val="nil"/>
                  </w:tcBorders>
                  <w:noWrap w:val="0"/>
                  <w:vAlign w:val="center"/>
                </w:tcPr>
                <w:p w14:paraId="14A72B79">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2</w:t>
                  </w:r>
                </w:p>
              </w:tc>
              <w:tc>
                <w:tcPr>
                  <w:tcW w:w="895" w:type="dxa"/>
                  <w:tcBorders>
                    <w:tl2br w:val="nil"/>
                    <w:tr2bl w:val="nil"/>
                  </w:tcBorders>
                  <w:noWrap w:val="0"/>
                  <w:vAlign w:val="center"/>
                </w:tcPr>
                <w:p w14:paraId="330613D3">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筛分</w:t>
                  </w:r>
                </w:p>
              </w:tc>
              <w:tc>
                <w:tcPr>
                  <w:tcW w:w="861" w:type="dxa"/>
                  <w:tcBorders>
                    <w:tl2br w:val="nil"/>
                    <w:tr2bl w:val="nil"/>
                  </w:tcBorders>
                  <w:noWrap w:val="0"/>
                  <w:vAlign w:val="center"/>
                </w:tcPr>
                <w:p w14:paraId="6515FE24">
                  <w:pPr>
                    <w:keepNext w:val="0"/>
                    <w:keepLines w:val="0"/>
                    <w:widowControl/>
                    <w:suppressLineNumbers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DA002</w:t>
                  </w:r>
                </w:p>
              </w:tc>
              <w:tc>
                <w:tcPr>
                  <w:tcW w:w="873" w:type="dxa"/>
                  <w:tcBorders>
                    <w:tl2br w:val="nil"/>
                    <w:tr2bl w:val="nil"/>
                  </w:tcBorders>
                  <w:noWrap w:val="0"/>
                  <w:vAlign w:val="center"/>
                </w:tcPr>
                <w:p w14:paraId="3A9CBEA3">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颗粒物</w:t>
                  </w:r>
                </w:p>
              </w:tc>
              <w:tc>
                <w:tcPr>
                  <w:tcW w:w="1058" w:type="dxa"/>
                  <w:tcBorders>
                    <w:tl2br w:val="nil"/>
                    <w:tr2bl w:val="nil"/>
                  </w:tcBorders>
                  <w:noWrap w:val="0"/>
                  <w:vAlign w:val="center"/>
                </w:tcPr>
                <w:p w14:paraId="28C2E2BA">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27</w:t>
                  </w:r>
                </w:p>
              </w:tc>
              <w:tc>
                <w:tcPr>
                  <w:tcW w:w="906" w:type="dxa"/>
                  <w:tcBorders>
                    <w:tl2br w:val="nil"/>
                    <w:tr2bl w:val="nil"/>
                  </w:tcBorders>
                  <w:noWrap w:val="0"/>
                  <w:vAlign w:val="center"/>
                </w:tcPr>
                <w:p w14:paraId="050C29F7">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1.13</w:t>
                  </w:r>
                </w:p>
              </w:tc>
              <w:tc>
                <w:tcPr>
                  <w:tcW w:w="938" w:type="dxa"/>
                  <w:tcBorders>
                    <w:tl2br w:val="nil"/>
                    <w:tr2bl w:val="nil"/>
                  </w:tcBorders>
                  <w:noWrap w:val="0"/>
                  <w:vAlign w:val="center"/>
                </w:tcPr>
                <w:p w14:paraId="5197C03C">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3.78</w:t>
                  </w:r>
                </w:p>
              </w:tc>
              <w:tc>
                <w:tcPr>
                  <w:tcW w:w="1254" w:type="dxa"/>
                  <w:vMerge w:val="restart"/>
                  <w:tcBorders>
                    <w:tl2br w:val="nil"/>
                    <w:tr2bl w:val="nil"/>
                  </w:tcBorders>
                  <w:noWrap w:val="0"/>
                  <w:vAlign w:val="center"/>
                </w:tcPr>
                <w:p w14:paraId="6EEE58AD">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Cs/>
                      <w:color w:val="auto"/>
                      <w:spacing w:val="0"/>
                      <w:w w:val="100"/>
                      <w:position w:val="0"/>
                      <w:sz w:val="21"/>
                      <w:szCs w:val="21"/>
                      <w:highlight w:val="none"/>
                      <w:lang w:eastAsia="zh-CN"/>
                    </w:rPr>
                    <w:t>《大气污染物综合排放标准》（GB16297-1996）</w:t>
                  </w:r>
                  <w:r>
                    <w:rPr>
                      <w:rFonts w:hint="eastAsia" w:ascii="Times New Roman" w:hAnsi="Times New Roman" w:eastAsia="宋体" w:cs="Times New Roman"/>
                      <w:bCs/>
                      <w:color w:val="auto"/>
                      <w:spacing w:val="0"/>
                      <w:w w:val="100"/>
                      <w:position w:val="0"/>
                      <w:sz w:val="21"/>
                      <w:szCs w:val="21"/>
                      <w:highlight w:val="none"/>
                      <w:lang w:val="en-US" w:eastAsia="zh-CN"/>
                    </w:rPr>
                    <w:t>中表2</w:t>
                  </w:r>
                  <w:r>
                    <w:rPr>
                      <w:rFonts w:hint="default" w:ascii="Times New Roman" w:hAnsi="Times New Roman" w:eastAsia="宋体" w:cs="Times New Roman"/>
                      <w:bCs/>
                      <w:color w:val="auto"/>
                      <w:spacing w:val="0"/>
                      <w:w w:val="100"/>
                      <w:position w:val="0"/>
                      <w:sz w:val="21"/>
                      <w:szCs w:val="21"/>
                      <w:highlight w:val="none"/>
                      <w:lang w:eastAsia="zh-CN"/>
                    </w:rPr>
                    <w:t>二级标准</w:t>
                  </w:r>
                </w:p>
              </w:tc>
              <w:tc>
                <w:tcPr>
                  <w:tcW w:w="393" w:type="dxa"/>
                  <w:vMerge w:val="restart"/>
                  <w:tcBorders>
                    <w:tl2br w:val="nil"/>
                    <w:tr2bl w:val="nil"/>
                  </w:tcBorders>
                  <w:noWrap w:val="0"/>
                  <w:vAlign w:val="center"/>
                </w:tcPr>
                <w:p w14:paraId="069D63BD">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120</w:t>
                  </w:r>
                </w:p>
              </w:tc>
              <w:tc>
                <w:tcPr>
                  <w:tcW w:w="754" w:type="dxa"/>
                  <w:vMerge w:val="restart"/>
                  <w:tcBorders>
                    <w:tl2br w:val="nil"/>
                    <w:tr2bl w:val="nil"/>
                  </w:tcBorders>
                  <w:noWrap w:val="0"/>
                  <w:vAlign w:val="center"/>
                </w:tcPr>
                <w:p w14:paraId="18C40F18">
                  <w:pPr>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达标</w:t>
                  </w:r>
                </w:p>
              </w:tc>
            </w:tr>
            <w:tr w14:paraId="13B385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384" w:type="dxa"/>
                  <w:tcBorders>
                    <w:tl2br w:val="nil"/>
                    <w:tr2bl w:val="nil"/>
                  </w:tcBorders>
                  <w:noWrap w:val="0"/>
                  <w:vAlign w:val="center"/>
                </w:tcPr>
                <w:p w14:paraId="6B09CE0F">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3</w:t>
                  </w:r>
                </w:p>
              </w:tc>
              <w:tc>
                <w:tcPr>
                  <w:tcW w:w="895" w:type="dxa"/>
                  <w:tcBorders>
                    <w:tl2br w:val="nil"/>
                    <w:tr2bl w:val="nil"/>
                  </w:tcBorders>
                  <w:noWrap w:val="0"/>
                  <w:vAlign w:val="center"/>
                </w:tcPr>
                <w:p w14:paraId="7E299BD9">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破碎</w:t>
                  </w:r>
                </w:p>
              </w:tc>
              <w:tc>
                <w:tcPr>
                  <w:tcW w:w="861" w:type="dxa"/>
                  <w:tcBorders>
                    <w:tl2br w:val="nil"/>
                    <w:tr2bl w:val="nil"/>
                  </w:tcBorders>
                  <w:noWrap w:val="0"/>
                  <w:vAlign w:val="center"/>
                </w:tcPr>
                <w:p w14:paraId="62219FC4">
                  <w:pPr>
                    <w:keepNext w:val="0"/>
                    <w:keepLines w:val="0"/>
                    <w:widowControl/>
                    <w:suppressLineNumbers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DA003</w:t>
                  </w:r>
                </w:p>
              </w:tc>
              <w:tc>
                <w:tcPr>
                  <w:tcW w:w="873" w:type="dxa"/>
                  <w:tcBorders>
                    <w:tl2br w:val="nil"/>
                    <w:tr2bl w:val="nil"/>
                  </w:tcBorders>
                  <w:noWrap w:val="0"/>
                  <w:vAlign w:val="center"/>
                </w:tcPr>
                <w:p w14:paraId="7AC645A3">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颗粒物</w:t>
                  </w:r>
                </w:p>
              </w:tc>
              <w:tc>
                <w:tcPr>
                  <w:tcW w:w="1058" w:type="dxa"/>
                  <w:tcBorders>
                    <w:tl2br w:val="nil"/>
                    <w:tr2bl w:val="nil"/>
                  </w:tcBorders>
                  <w:noWrap w:val="0"/>
                  <w:vAlign w:val="center"/>
                </w:tcPr>
                <w:p w14:paraId="7CD09666">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2.07</w:t>
                  </w:r>
                </w:p>
              </w:tc>
              <w:tc>
                <w:tcPr>
                  <w:tcW w:w="906" w:type="dxa"/>
                  <w:tcBorders>
                    <w:tl2br w:val="nil"/>
                    <w:tr2bl w:val="nil"/>
                  </w:tcBorders>
                  <w:noWrap w:val="0"/>
                  <w:vAlign w:val="center"/>
                </w:tcPr>
                <w:p w14:paraId="2E488520">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0.09</w:t>
                  </w:r>
                </w:p>
              </w:tc>
              <w:tc>
                <w:tcPr>
                  <w:tcW w:w="938" w:type="dxa"/>
                  <w:tcBorders>
                    <w:tl2br w:val="nil"/>
                    <w:tr2bl w:val="nil"/>
                  </w:tcBorders>
                  <w:noWrap w:val="0"/>
                  <w:vAlign w:val="center"/>
                </w:tcPr>
                <w:p w14:paraId="47E86A2D">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0.29</w:t>
                  </w:r>
                </w:p>
              </w:tc>
              <w:tc>
                <w:tcPr>
                  <w:tcW w:w="1254" w:type="dxa"/>
                  <w:vMerge w:val="continue"/>
                  <w:tcBorders>
                    <w:tl2br w:val="nil"/>
                    <w:tr2bl w:val="nil"/>
                  </w:tcBorders>
                  <w:noWrap w:val="0"/>
                  <w:vAlign w:val="center"/>
                </w:tcPr>
                <w:p w14:paraId="0F756E10">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p>
              </w:tc>
              <w:tc>
                <w:tcPr>
                  <w:tcW w:w="393" w:type="dxa"/>
                  <w:vMerge w:val="continue"/>
                  <w:tcBorders>
                    <w:tl2br w:val="nil"/>
                    <w:tr2bl w:val="nil"/>
                  </w:tcBorders>
                  <w:noWrap w:val="0"/>
                  <w:vAlign w:val="center"/>
                </w:tcPr>
                <w:p w14:paraId="3CCBFE55">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p>
              </w:tc>
              <w:tc>
                <w:tcPr>
                  <w:tcW w:w="754" w:type="dxa"/>
                  <w:vMerge w:val="continue"/>
                  <w:tcBorders>
                    <w:tl2br w:val="nil"/>
                    <w:tr2bl w:val="nil"/>
                  </w:tcBorders>
                  <w:noWrap w:val="0"/>
                  <w:vAlign w:val="center"/>
                </w:tcPr>
                <w:p w14:paraId="66D1348A">
                  <w:pPr>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p>
              </w:tc>
            </w:tr>
          </w:tbl>
          <w:p w14:paraId="132A360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000000" w:themeColor="text1"/>
                <w:sz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highlight w:val="none"/>
                <w14:textFill>
                  <w14:solidFill>
                    <w14:schemeClr w14:val="tx1"/>
                  </w14:solidFill>
                </w14:textFill>
              </w:rPr>
              <w:t>表</w:t>
            </w:r>
            <w:r>
              <w:rPr>
                <w:rFonts w:hint="default" w:ascii="Times New Roman" w:hAnsi="Times New Roman" w:eastAsia="宋体" w:cs="Times New Roman"/>
                <w:b/>
                <w:bCs/>
                <w:color w:val="000000" w:themeColor="text1"/>
                <w:sz w:val="21"/>
                <w:highlight w:val="none"/>
                <w:lang w:val="en-US" w:eastAsia="zh-CN"/>
                <w14:textFill>
                  <w14:solidFill>
                    <w14:schemeClr w14:val="tx1"/>
                  </w14:solidFill>
                </w14:textFill>
              </w:rPr>
              <w:t>4-5</w:t>
            </w:r>
            <w:r>
              <w:rPr>
                <w:rFonts w:hint="default" w:ascii="Times New Roman" w:hAnsi="Times New Roman" w:eastAsia="宋体" w:cs="Times New Roman"/>
                <w:b/>
                <w:bCs/>
                <w:color w:val="000000" w:themeColor="text1"/>
                <w:sz w:val="21"/>
                <w:highlight w:val="none"/>
                <w14:textFill>
                  <w14:solidFill>
                    <w14:schemeClr w14:val="tx1"/>
                  </w14:solidFill>
                </w14:textFill>
              </w:rPr>
              <w:t xml:space="preserve">   </w:t>
            </w:r>
            <w:r>
              <w:rPr>
                <w:rFonts w:hint="default" w:ascii="Times New Roman" w:hAnsi="Times New Roman" w:eastAsia="宋体" w:cs="Times New Roman"/>
                <w:b/>
                <w:bCs/>
                <w:color w:val="000000" w:themeColor="text1"/>
                <w:sz w:val="21"/>
                <w:highlight w:val="none"/>
                <w:lang w:val="en-US" w:eastAsia="zh-CN"/>
                <w14:textFill>
                  <w14:solidFill>
                    <w14:schemeClr w14:val="tx1"/>
                  </w14:solidFill>
                </w14:textFill>
              </w:rPr>
              <w:t>大气污染物无组织排放量核算表</w:t>
            </w:r>
          </w:p>
          <w:tbl>
            <w:tblPr>
              <w:tblStyle w:val="39"/>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12"/>
              <w:gridCol w:w="1170"/>
              <w:gridCol w:w="984"/>
              <w:gridCol w:w="1917"/>
              <w:gridCol w:w="1417"/>
              <w:gridCol w:w="1193"/>
              <w:gridCol w:w="1059"/>
            </w:tblGrid>
            <w:tr w14:paraId="2C7D55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66" w:type="pct"/>
                  <w:tcBorders>
                    <w:bottom w:val="single" w:color="000000" w:sz="12" w:space="0"/>
                    <w:tl2br w:val="nil"/>
                    <w:tr2bl w:val="nil"/>
                  </w:tcBorders>
                  <w:noWrap w:val="0"/>
                  <w:vAlign w:val="center"/>
                </w:tcPr>
                <w:p w14:paraId="7036B118">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序号</w:t>
                  </w:r>
                </w:p>
              </w:tc>
              <w:tc>
                <w:tcPr>
                  <w:tcW w:w="700" w:type="pct"/>
                  <w:tcBorders>
                    <w:bottom w:val="single" w:color="000000" w:sz="12" w:space="0"/>
                    <w:tl2br w:val="nil"/>
                    <w:tr2bl w:val="nil"/>
                  </w:tcBorders>
                  <w:noWrap w:val="0"/>
                  <w:vAlign w:val="center"/>
                </w:tcPr>
                <w:p w14:paraId="4EBDA8B0">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产污</w:t>
                  </w:r>
                </w:p>
                <w:p w14:paraId="61A297DB">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环节</w:t>
                  </w:r>
                </w:p>
              </w:tc>
              <w:tc>
                <w:tcPr>
                  <w:tcW w:w="589" w:type="pct"/>
                  <w:tcBorders>
                    <w:bottom w:val="single" w:color="000000" w:sz="12" w:space="0"/>
                    <w:tl2br w:val="nil"/>
                    <w:tr2bl w:val="nil"/>
                  </w:tcBorders>
                  <w:noWrap w:val="0"/>
                  <w:vAlign w:val="center"/>
                </w:tcPr>
                <w:p w14:paraId="75804166">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污染物</w:t>
                  </w:r>
                </w:p>
              </w:tc>
              <w:tc>
                <w:tcPr>
                  <w:tcW w:w="1147" w:type="pct"/>
                  <w:tcBorders>
                    <w:bottom w:val="single" w:color="000000" w:sz="12" w:space="0"/>
                    <w:tl2br w:val="nil"/>
                    <w:tr2bl w:val="nil"/>
                  </w:tcBorders>
                  <w:noWrap w:val="0"/>
                  <w:vAlign w:val="center"/>
                </w:tcPr>
                <w:p w14:paraId="26FF1FF1">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11"/>
                      <w:kern w:val="0"/>
                      <w:sz w:val="21"/>
                      <w:szCs w:val="21"/>
                      <w:highlight w:val="none"/>
                      <w:vertAlign w:val="baseline"/>
                      <w:lang w:val="en-US" w:eastAsia="zh-CN"/>
                      <w14:textFill>
                        <w14:solidFill>
                          <w14:schemeClr w14:val="tx1"/>
                        </w14:solidFill>
                      </w14:textFill>
                    </w:rPr>
                    <w:t>主要污染防治措施</w:t>
                  </w:r>
                </w:p>
              </w:tc>
              <w:tc>
                <w:tcPr>
                  <w:tcW w:w="848" w:type="pct"/>
                  <w:tcBorders>
                    <w:bottom w:val="single" w:color="000000" w:sz="12" w:space="0"/>
                    <w:tl2br w:val="nil"/>
                    <w:tr2bl w:val="nil"/>
                  </w:tcBorders>
                  <w:noWrap w:val="0"/>
                  <w:vAlign w:val="center"/>
                </w:tcPr>
                <w:p w14:paraId="7D18787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标准名称</w:t>
                  </w:r>
                </w:p>
              </w:tc>
              <w:tc>
                <w:tcPr>
                  <w:tcW w:w="714" w:type="pct"/>
                  <w:tcBorders>
                    <w:bottom w:val="single" w:color="000000" w:sz="12" w:space="0"/>
                    <w:tl2br w:val="nil"/>
                    <w:tr2bl w:val="nil"/>
                  </w:tcBorders>
                  <w:noWrap w:val="0"/>
                  <w:vAlign w:val="center"/>
                </w:tcPr>
                <w:p w14:paraId="432B9A5D">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浓度限值/</w:t>
                  </w:r>
                  <w:r>
                    <w:rPr>
                      <w:rFonts w:hint="default" w:ascii="Times New Roman" w:hAnsi="Times New Roman" w:eastAsia="宋体" w:cs="Times New Roman"/>
                      <w:b w:val="0"/>
                      <w:bCs w:val="0"/>
                      <w:color w:val="000000" w:themeColor="text1"/>
                      <w:spacing w:val="-11"/>
                      <w:kern w:val="0"/>
                      <w:sz w:val="21"/>
                      <w:szCs w:val="21"/>
                      <w:highlight w:val="none"/>
                      <w:vertAlign w:val="baseline"/>
                      <w:lang w:val="en-US" w:eastAsia="zh-CN"/>
                      <w14:textFill>
                        <w14:solidFill>
                          <w14:schemeClr w14:val="tx1"/>
                        </w14:solidFill>
                      </w14:textFill>
                    </w:rPr>
                    <w:t>（mg/m</w:t>
                  </w:r>
                  <w:r>
                    <w:rPr>
                      <w:rFonts w:hint="default" w:ascii="Times New Roman" w:hAnsi="Times New Roman" w:eastAsia="宋体" w:cs="Times New Roman"/>
                      <w:b w:val="0"/>
                      <w:bCs w:val="0"/>
                      <w:color w:val="000000" w:themeColor="text1"/>
                      <w:spacing w:val="-11"/>
                      <w:kern w:val="0"/>
                      <w:sz w:val="21"/>
                      <w:szCs w:val="21"/>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pacing w:val="-11"/>
                      <w:kern w:val="0"/>
                      <w:sz w:val="21"/>
                      <w:szCs w:val="21"/>
                      <w:highlight w:val="none"/>
                      <w:vertAlign w:val="baseline"/>
                      <w:lang w:val="en-US" w:eastAsia="zh-CN"/>
                      <w14:textFill>
                        <w14:solidFill>
                          <w14:schemeClr w14:val="tx1"/>
                        </w14:solidFill>
                      </w14:textFill>
                    </w:rPr>
                    <w:t>）</w:t>
                  </w:r>
                </w:p>
              </w:tc>
              <w:tc>
                <w:tcPr>
                  <w:tcW w:w="633" w:type="pct"/>
                  <w:tcBorders>
                    <w:bottom w:val="single" w:color="000000" w:sz="12" w:space="0"/>
                    <w:tl2br w:val="nil"/>
                    <w:tr2bl w:val="nil"/>
                  </w:tcBorders>
                  <w:noWrap w:val="0"/>
                  <w:vAlign w:val="center"/>
                </w:tcPr>
                <w:p w14:paraId="3E736A7D">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年排放量/（t/a）</w:t>
                  </w:r>
                </w:p>
              </w:tc>
            </w:tr>
            <w:tr w14:paraId="01B04A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66" w:type="pct"/>
                  <w:tcBorders>
                    <w:top w:val="single" w:color="000000" w:sz="12" w:space="0"/>
                    <w:tl2br w:val="nil"/>
                    <w:tr2bl w:val="nil"/>
                  </w:tcBorders>
                  <w:noWrap w:val="0"/>
                  <w:vAlign w:val="center"/>
                </w:tcPr>
                <w:p w14:paraId="6A838C65">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1</w:t>
                  </w:r>
                </w:p>
              </w:tc>
              <w:tc>
                <w:tcPr>
                  <w:tcW w:w="700" w:type="pct"/>
                  <w:tcBorders>
                    <w:top w:val="single" w:color="000000" w:sz="12" w:space="0"/>
                    <w:tl2br w:val="nil"/>
                    <w:tr2bl w:val="nil"/>
                  </w:tcBorders>
                  <w:noWrap w:val="0"/>
                  <w:vAlign w:val="center"/>
                </w:tcPr>
                <w:p w14:paraId="3C58CE07">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采剥</w:t>
                  </w:r>
                </w:p>
              </w:tc>
              <w:tc>
                <w:tcPr>
                  <w:tcW w:w="589" w:type="pct"/>
                  <w:vMerge w:val="restart"/>
                  <w:tcBorders>
                    <w:top w:val="single" w:color="000000" w:sz="12" w:space="0"/>
                    <w:tl2br w:val="nil"/>
                    <w:tr2bl w:val="nil"/>
                  </w:tcBorders>
                  <w:noWrap w:val="0"/>
                  <w:vAlign w:val="center"/>
                </w:tcPr>
                <w:p w14:paraId="7EF785D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颗粒物</w:t>
                  </w:r>
                </w:p>
              </w:tc>
              <w:tc>
                <w:tcPr>
                  <w:tcW w:w="1147" w:type="pct"/>
                  <w:tcBorders>
                    <w:top w:val="single" w:color="000000" w:sz="12" w:space="0"/>
                    <w:tl2br w:val="nil"/>
                    <w:tr2bl w:val="nil"/>
                  </w:tcBorders>
                  <w:noWrap w:val="0"/>
                  <w:vAlign w:val="center"/>
                </w:tcPr>
                <w:p w14:paraId="5EEDD161">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000000" w:themeColor="text1"/>
                      <w:spacing w:val="-1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11"/>
                      <w:kern w:val="0"/>
                      <w:sz w:val="21"/>
                      <w:szCs w:val="21"/>
                      <w:highlight w:val="none"/>
                      <w:vertAlign w:val="baseline"/>
                      <w:lang w:val="en-US" w:eastAsia="zh-CN"/>
                      <w14:textFill>
                        <w14:solidFill>
                          <w14:schemeClr w14:val="tx1"/>
                        </w14:solidFill>
                      </w14:textFill>
                    </w:rPr>
                    <w:t>开采过程对采掘场地采用移动式雾炮机降尘</w:t>
                  </w:r>
                </w:p>
              </w:tc>
              <w:tc>
                <w:tcPr>
                  <w:tcW w:w="848" w:type="pct"/>
                  <w:vMerge w:val="restart"/>
                  <w:tcBorders>
                    <w:top w:val="single" w:color="000000" w:sz="12" w:space="0"/>
                    <w:tl2br w:val="nil"/>
                    <w:tr2bl w:val="nil"/>
                  </w:tcBorders>
                  <w:noWrap w:val="0"/>
                  <w:vAlign w:val="center"/>
                </w:tcPr>
                <w:p w14:paraId="51F70826">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auto"/>
                      <w:kern w:val="21"/>
                      <w:szCs w:val="21"/>
                      <w:highlight w:val="none"/>
                      <w:lang w:bidi="ar"/>
                    </w:rPr>
                    <w:t>《水泥工业大气污染物排放标准》（GB4915-2013）</w:t>
                  </w:r>
                  <w:r>
                    <w:rPr>
                      <w:rFonts w:hint="default" w:ascii="Times New Roman" w:hAnsi="Times New Roman" w:eastAsia="宋体" w:cs="Times New Roman"/>
                      <w:color w:val="auto"/>
                      <w:kern w:val="21"/>
                      <w:szCs w:val="21"/>
                      <w:highlight w:val="none"/>
                      <w:lang w:val="en-US" w:eastAsia="zh-CN" w:bidi="ar"/>
                    </w:rPr>
                    <w:t>表3监控点与参照点总悬浮颗粒物(TSP) 1小时浓度值的差值≤0.5</w:t>
                  </w:r>
                </w:p>
              </w:tc>
              <w:tc>
                <w:tcPr>
                  <w:tcW w:w="714" w:type="pct"/>
                  <w:tcBorders>
                    <w:top w:val="single" w:color="000000" w:sz="12" w:space="0"/>
                    <w:tl2br w:val="nil"/>
                    <w:tr2bl w:val="nil"/>
                  </w:tcBorders>
                  <w:noWrap w:val="0"/>
                  <w:vAlign w:val="center"/>
                </w:tcPr>
                <w:p w14:paraId="03E8A218">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0.5</w:t>
                  </w:r>
                </w:p>
              </w:tc>
              <w:tc>
                <w:tcPr>
                  <w:tcW w:w="633" w:type="pct"/>
                  <w:tcBorders>
                    <w:top w:val="single" w:color="000000" w:sz="12" w:space="0"/>
                    <w:tl2br w:val="nil"/>
                    <w:tr2bl w:val="nil"/>
                  </w:tcBorders>
                  <w:noWrap w:val="0"/>
                  <w:vAlign w:val="center"/>
                </w:tcPr>
                <w:p w14:paraId="56486A27">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2.98</w:t>
                  </w:r>
                </w:p>
              </w:tc>
            </w:tr>
            <w:tr w14:paraId="234931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66" w:type="pct"/>
                  <w:tcBorders>
                    <w:tl2br w:val="nil"/>
                    <w:tr2bl w:val="nil"/>
                  </w:tcBorders>
                  <w:noWrap w:val="0"/>
                  <w:vAlign w:val="center"/>
                </w:tcPr>
                <w:p w14:paraId="4A574F54">
                  <w:pPr>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2</w:t>
                  </w:r>
                </w:p>
              </w:tc>
              <w:tc>
                <w:tcPr>
                  <w:tcW w:w="700" w:type="pct"/>
                  <w:tcBorders>
                    <w:tl2br w:val="nil"/>
                    <w:tr2bl w:val="nil"/>
                  </w:tcBorders>
                  <w:noWrap w:val="0"/>
                  <w:vAlign w:val="center"/>
                </w:tcPr>
                <w:p w14:paraId="714B8FAD">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装卸、进料</w:t>
                  </w:r>
                </w:p>
              </w:tc>
              <w:tc>
                <w:tcPr>
                  <w:tcW w:w="589" w:type="pct"/>
                  <w:vMerge w:val="continue"/>
                  <w:tcBorders>
                    <w:tl2br w:val="nil"/>
                    <w:tr2bl w:val="nil"/>
                  </w:tcBorders>
                  <w:noWrap w:val="0"/>
                  <w:vAlign w:val="center"/>
                </w:tcPr>
                <w:p w14:paraId="0AE6FB74">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p>
              </w:tc>
              <w:tc>
                <w:tcPr>
                  <w:tcW w:w="1147" w:type="pct"/>
                  <w:tcBorders>
                    <w:tl2br w:val="nil"/>
                    <w:tr2bl w:val="nil"/>
                  </w:tcBorders>
                  <w:noWrap w:val="0"/>
                  <w:vAlign w:val="center"/>
                </w:tcPr>
                <w:p w14:paraId="3C5CA448">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000000" w:themeColor="text1"/>
                      <w:spacing w:val="-1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11"/>
                      <w:kern w:val="0"/>
                      <w:sz w:val="21"/>
                      <w:szCs w:val="21"/>
                      <w:highlight w:val="none"/>
                      <w:vertAlign w:val="baseline"/>
                      <w:lang w:val="en-US" w:eastAsia="zh-CN"/>
                      <w14:textFill>
                        <w14:solidFill>
                          <w14:schemeClr w14:val="tx1"/>
                        </w14:solidFill>
                      </w14:textFill>
                    </w:rPr>
                    <w:t>装载、卸料工序加大洒水频率，卸料口半封闭</w:t>
                  </w:r>
                </w:p>
              </w:tc>
              <w:tc>
                <w:tcPr>
                  <w:tcW w:w="848" w:type="pct"/>
                  <w:vMerge w:val="continue"/>
                  <w:tcBorders>
                    <w:tl2br w:val="nil"/>
                    <w:tr2bl w:val="nil"/>
                  </w:tcBorders>
                  <w:noWrap w:val="0"/>
                  <w:vAlign w:val="center"/>
                </w:tcPr>
                <w:p w14:paraId="37A74D1C">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p>
              </w:tc>
              <w:tc>
                <w:tcPr>
                  <w:tcW w:w="714" w:type="pct"/>
                  <w:tcBorders>
                    <w:tl2br w:val="nil"/>
                    <w:tr2bl w:val="nil"/>
                  </w:tcBorders>
                  <w:noWrap w:val="0"/>
                  <w:vAlign w:val="center"/>
                </w:tcPr>
                <w:p w14:paraId="31F4C739">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0.5</w:t>
                  </w:r>
                </w:p>
              </w:tc>
              <w:tc>
                <w:tcPr>
                  <w:tcW w:w="633" w:type="pct"/>
                  <w:tcBorders>
                    <w:tl2br w:val="nil"/>
                    <w:tr2bl w:val="nil"/>
                  </w:tcBorders>
                  <w:noWrap w:val="0"/>
                  <w:vAlign w:val="center"/>
                </w:tcPr>
                <w:p w14:paraId="1B69BD50">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2.28</w:t>
                  </w:r>
                </w:p>
              </w:tc>
            </w:tr>
            <w:tr w14:paraId="130F8D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66" w:type="pct"/>
                  <w:tcBorders>
                    <w:tl2br w:val="nil"/>
                    <w:tr2bl w:val="nil"/>
                  </w:tcBorders>
                  <w:noWrap w:val="0"/>
                  <w:vAlign w:val="center"/>
                </w:tcPr>
                <w:p w14:paraId="1497F0EF">
                  <w:pPr>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3</w:t>
                  </w:r>
                </w:p>
              </w:tc>
              <w:tc>
                <w:tcPr>
                  <w:tcW w:w="700" w:type="pct"/>
                  <w:tcBorders>
                    <w:tl2br w:val="nil"/>
                    <w:tr2bl w:val="nil"/>
                  </w:tcBorders>
                  <w:noWrap w:val="0"/>
                  <w:vAlign w:val="center"/>
                </w:tcPr>
                <w:p w14:paraId="1B9B2835">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运输</w:t>
                  </w:r>
                </w:p>
              </w:tc>
              <w:tc>
                <w:tcPr>
                  <w:tcW w:w="589" w:type="pct"/>
                  <w:vMerge w:val="continue"/>
                  <w:tcBorders>
                    <w:tl2br w:val="nil"/>
                    <w:tr2bl w:val="nil"/>
                  </w:tcBorders>
                  <w:noWrap w:val="0"/>
                  <w:vAlign w:val="center"/>
                </w:tcPr>
                <w:p w14:paraId="77BEFC3C">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p>
              </w:tc>
              <w:tc>
                <w:tcPr>
                  <w:tcW w:w="1147" w:type="pct"/>
                  <w:tcBorders>
                    <w:tl2br w:val="nil"/>
                    <w:tr2bl w:val="nil"/>
                  </w:tcBorders>
                  <w:noWrap w:val="0"/>
                  <w:vAlign w:val="center"/>
                </w:tcPr>
                <w:p w14:paraId="6AC742F8">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洒水降尘</w:t>
                  </w:r>
                </w:p>
              </w:tc>
              <w:tc>
                <w:tcPr>
                  <w:tcW w:w="848" w:type="pct"/>
                  <w:vMerge w:val="continue"/>
                  <w:tcBorders>
                    <w:tl2br w:val="nil"/>
                    <w:tr2bl w:val="nil"/>
                  </w:tcBorders>
                  <w:noWrap w:val="0"/>
                  <w:vAlign w:val="center"/>
                </w:tcPr>
                <w:p w14:paraId="146C0306">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p>
              </w:tc>
              <w:tc>
                <w:tcPr>
                  <w:tcW w:w="714" w:type="pct"/>
                  <w:tcBorders>
                    <w:tl2br w:val="nil"/>
                    <w:tr2bl w:val="nil"/>
                  </w:tcBorders>
                  <w:noWrap w:val="0"/>
                  <w:vAlign w:val="center"/>
                </w:tcPr>
                <w:p w14:paraId="4AD92B92">
                  <w:pPr>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0.5</w:t>
                  </w:r>
                </w:p>
              </w:tc>
              <w:tc>
                <w:tcPr>
                  <w:tcW w:w="633" w:type="pct"/>
                  <w:tcBorders>
                    <w:tl2br w:val="nil"/>
                    <w:tr2bl w:val="nil"/>
                  </w:tcBorders>
                  <w:noWrap w:val="0"/>
                  <w:vAlign w:val="center"/>
                </w:tcPr>
                <w:p w14:paraId="109F4ECD">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000000" w:themeColor="text1"/>
                      <w:ker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bidi="ar-SA"/>
                      <w14:textFill>
                        <w14:solidFill>
                          <w14:schemeClr w14:val="tx1"/>
                        </w14:solidFill>
                      </w14:textFill>
                    </w:rPr>
                    <w:t>1.47</w:t>
                  </w:r>
                </w:p>
              </w:tc>
            </w:tr>
            <w:tr w14:paraId="018BA3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66" w:type="pct"/>
                  <w:tcBorders>
                    <w:tl2br w:val="nil"/>
                    <w:tr2bl w:val="nil"/>
                  </w:tcBorders>
                  <w:noWrap w:val="0"/>
                  <w:vAlign w:val="center"/>
                </w:tcPr>
                <w:p w14:paraId="190179B0">
                  <w:pPr>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4</w:t>
                  </w:r>
                </w:p>
              </w:tc>
              <w:tc>
                <w:tcPr>
                  <w:tcW w:w="700" w:type="pct"/>
                  <w:tcBorders>
                    <w:tl2br w:val="nil"/>
                    <w:tr2bl w:val="nil"/>
                  </w:tcBorders>
                  <w:noWrap w:val="0"/>
                  <w:vAlign w:val="center"/>
                </w:tcPr>
                <w:p w14:paraId="411A2DD3">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000000" w:themeColor="text1"/>
                      <w:ker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破碎</w:t>
                  </w:r>
                </w:p>
              </w:tc>
              <w:tc>
                <w:tcPr>
                  <w:tcW w:w="589" w:type="pct"/>
                  <w:vMerge w:val="continue"/>
                  <w:tcBorders>
                    <w:tl2br w:val="nil"/>
                    <w:tr2bl w:val="nil"/>
                  </w:tcBorders>
                  <w:noWrap w:val="0"/>
                  <w:vAlign w:val="center"/>
                </w:tcPr>
                <w:p w14:paraId="14311D44">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p>
              </w:tc>
              <w:tc>
                <w:tcPr>
                  <w:tcW w:w="1147" w:type="pct"/>
                  <w:tcBorders>
                    <w:tl2br w:val="nil"/>
                    <w:tr2bl w:val="nil"/>
                  </w:tcBorders>
                  <w:noWrap w:val="0"/>
                  <w:vAlign w:val="center"/>
                </w:tcPr>
                <w:p w14:paraId="215BA28F">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破碎系统洒水降尘。</w:t>
                  </w:r>
                </w:p>
              </w:tc>
              <w:tc>
                <w:tcPr>
                  <w:tcW w:w="848" w:type="pct"/>
                  <w:vMerge w:val="continue"/>
                  <w:tcBorders>
                    <w:tl2br w:val="nil"/>
                    <w:tr2bl w:val="nil"/>
                  </w:tcBorders>
                  <w:noWrap w:val="0"/>
                  <w:vAlign w:val="center"/>
                </w:tcPr>
                <w:p w14:paraId="72F6A192">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p>
              </w:tc>
              <w:tc>
                <w:tcPr>
                  <w:tcW w:w="714" w:type="pct"/>
                  <w:tcBorders>
                    <w:tl2br w:val="nil"/>
                    <w:tr2bl w:val="nil"/>
                  </w:tcBorders>
                  <w:noWrap w:val="0"/>
                  <w:vAlign w:val="center"/>
                </w:tcPr>
                <w:p w14:paraId="61F1B6EE">
                  <w:pPr>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0.5</w:t>
                  </w:r>
                </w:p>
              </w:tc>
              <w:tc>
                <w:tcPr>
                  <w:tcW w:w="633" w:type="pct"/>
                  <w:tcBorders>
                    <w:tl2br w:val="nil"/>
                    <w:tr2bl w:val="nil"/>
                  </w:tcBorders>
                  <w:noWrap w:val="0"/>
                  <w:vAlign w:val="center"/>
                </w:tcPr>
                <w:p w14:paraId="32B3CAC9">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0.64</w:t>
                  </w:r>
                </w:p>
              </w:tc>
            </w:tr>
            <w:tr w14:paraId="25542B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66" w:type="pct"/>
                  <w:tcBorders>
                    <w:tl2br w:val="nil"/>
                    <w:tr2bl w:val="nil"/>
                  </w:tcBorders>
                  <w:noWrap w:val="0"/>
                  <w:vAlign w:val="center"/>
                </w:tcPr>
                <w:p w14:paraId="6FD5E5C5">
                  <w:pPr>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5</w:t>
                  </w:r>
                </w:p>
              </w:tc>
              <w:tc>
                <w:tcPr>
                  <w:tcW w:w="700" w:type="pct"/>
                  <w:tcBorders>
                    <w:tl2br w:val="nil"/>
                    <w:tr2bl w:val="nil"/>
                  </w:tcBorders>
                  <w:noWrap w:val="0"/>
                  <w:vAlign w:val="center"/>
                </w:tcPr>
                <w:p w14:paraId="6194AA05">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筛分</w:t>
                  </w:r>
                </w:p>
              </w:tc>
              <w:tc>
                <w:tcPr>
                  <w:tcW w:w="589" w:type="pct"/>
                  <w:vMerge w:val="continue"/>
                  <w:tcBorders>
                    <w:tl2br w:val="nil"/>
                    <w:tr2bl w:val="nil"/>
                  </w:tcBorders>
                  <w:noWrap w:val="0"/>
                  <w:vAlign w:val="center"/>
                </w:tcPr>
                <w:p w14:paraId="38FAF58F">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p>
              </w:tc>
              <w:tc>
                <w:tcPr>
                  <w:tcW w:w="1147" w:type="pct"/>
                  <w:tcBorders>
                    <w:tl2br w:val="nil"/>
                    <w:tr2bl w:val="nil"/>
                  </w:tcBorders>
                  <w:noWrap w:val="0"/>
                  <w:vAlign w:val="center"/>
                </w:tcPr>
                <w:p w14:paraId="59BD3EBE">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筛分系统洒水降尘</w:t>
                  </w:r>
                </w:p>
              </w:tc>
              <w:tc>
                <w:tcPr>
                  <w:tcW w:w="848" w:type="pct"/>
                  <w:vMerge w:val="continue"/>
                  <w:tcBorders>
                    <w:tl2br w:val="nil"/>
                    <w:tr2bl w:val="nil"/>
                  </w:tcBorders>
                  <w:noWrap w:val="0"/>
                  <w:vAlign w:val="center"/>
                </w:tcPr>
                <w:p w14:paraId="54B98335">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p>
              </w:tc>
              <w:tc>
                <w:tcPr>
                  <w:tcW w:w="714" w:type="pct"/>
                  <w:tcBorders>
                    <w:tl2br w:val="nil"/>
                    <w:tr2bl w:val="nil"/>
                  </w:tcBorders>
                  <w:noWrap w:val="0"/>
                  <w:vAlign w:val="center"/>
                </w:tcPr>
                <w:p w14:paraId="48A0C758">
                  <w:pPr>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0.5</w:t>
                  </w:r>
                </w:p>
              </w:tc>
              <w:tc>
                <w:tcPr>
                  <w:tcW w:w="633" w:type="pct"/>
                  <w:tcBorders>
                    <w:tl2br w:val="nil"/>
                    <w:tr2bl w:val="nil"/>
                  </w:tcBorders>
                  <w:noWrap w:val="0"/>
                  <w:vAlign w:val="center"/>
                </w:tcPr>
                <w:p w14:paraId="10E94C05">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8.4</w:t>
                  </w:r>
                </w:p>
              </w:tc>
            </w:tr>
            <w:tr w14:paraId="6A7560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66" w:type="pct"/>
                  <w:tcBorders>
                    <w:tl2br w:val="nil"/>
                    <w:tr2bl w:val="nil"/>
                  </w:tcBorders>
                  <w:noWrap w:val="0"/>
                  <w:vAlign w:val="center"/>
                </w:tcPr>
                <w:p w14:paraId="7427C361">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6</w:t>
                  </w:r>
                </w:p>
              </w:tc>
              <w:tc>
                <w:tcPr>
                  <w:tcW w:w="700" w:type="pct"/>
                  <w:tcBorders>
                    <w:tl2br w:val="nil"/>
                    <w:tr2bl w:val="nil"/>
                  </w:tcBorders>
                  <w:noWrap w:val="0"/>
                  <w:vAlign w:val="center"/>
                </w:tcPr>
                <w:p w14:paraId="42F5FDAC">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堆场</w:t>
                  </w:r>
                </w:p>
              </w:tc>
              <w:tc>
                <w:tcPr>
                  <w:tcW w:w="589" w:type="pct"/>
                  <w:vMerge w:val="continue"/>
                  <w:tcBorders>
                    <w:tl2br w:val="nil"/>
                    <w:tr2bl w:val="nil"/>
                  </w:tcBorders>
                  <w:noWrap w:val="0"/>
                  <w:vAlign w:val="center"/>
                </w:tcPr>
                <w:p w14:paraId="3EDC61DC">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p>
              </w:tc>
              <w:tc>
                <w:tcPr>
                  <w:tcW w:w="1147" w:type="pct"/>
                  <w:tcBorders>
                    <w:tl2br w:val="nil"/>
                    <w:tr2bl w:val="nil"/>
                  </w:tcBorders>
                  <w:noWrap w:val="0"/>
                  <w:vAlign w:val="center"/>
                </w:tcPr>
                <w:p w14:paraId="3133C505">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000000" w:themeColor="text1"/>
                      <w:spacing w:val="-1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11"/>
                      <w:kern w:val="0"/>
                      <w:sz w:val="21"/>
                      <w:szCs w:val="21"/>
                      <w:highlight w:val="none"/>
                      <w:vertAlign w:val="baseline"/>
                      <w:lang w:val="en-US" w:eastAsia="zh-CN"/>
                      <w14:textFill>
                        <w14:solidFill>
                          <w14:schemeClr w14:val="tx1"/>
                        </w14:solidFill>
                      </w14:textFill>
                    </w:rPr>
                    <w:t>洒水降尘，编织覆盖，半封闭式等</w:t>
                  </w:r>
                </w:p>
              </w:tc>
              <w:tc>
                <w:tcPr>
                  <w:tcW w:w="848" w:type="pct"/>
                  <w:vMerge w:val="continue"/>
                  <w:tcBorders>
                    <w:tl2br w:val="nil"/>
                    <w:tr2bl w:val="nil"/>
                  </w:tcBorders>
                  <w:noWrap w:val="0"/>
                  <w:vAlign w:val="center"/>
                </w:tcPr>
                <w:p w14:paraId="36823373">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p>
              </w:tc>
              <w:tc>
                <w:tcPr>
                  <w:tcW w:w="714" w:type="pct"/>
                  <w:tcBorders>
                    <w:tl2br w:val="nil"/>
                    <w:tr2bl w:val="nil"/>
                  </w:tcBorders>
                  <w:noWrap w:val="0"/>
                  <w:vAlign w:val="center"/>
                </w:tcPr>
                <w:p w14:paraId="6EC3E8E1">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0.5</w:t>
                  </w:r>
                </w:p>
              </w:tc>
              <w:tc>
                <w:tcPr>
                  <w:tcW w:w="633" w:type="pct"/>
                  <w:tcBorders>
                    <w:tl2br w:val="nil"/>
                    <w:tr2bl w:val="nil"/>
                  </w:tcBorders>
                  <w:noWrap w:val="0"/>
                  <w:vAlign w:val="center"/>
                </w:tcPr>
                <w:p w14:paraId="112DF52F">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6.5</w:t>
                  </w:r>
                </w:p>
              </w:tc>
            </w:tr>
            <w:tr w14:paraId="4B5B4A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66" w:type="pct"/>
                  <w:tcBorders>
                    <w:tl2br w:val="nil"/>
                    <w:tr2bl w:val="nil"/>
                  </w:tcBorders>
                  <w:noWrap w:val="0"/>
                  <w:vAlign w:val="center"/>
                </w:tcPr>
                <w:p w14:paraId="1197B9C8">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7</w:t>
                  </w:r>
                </w:p>
              </w:tc>
              <w:tc>
                <w:tcPr>
                  <w:tcW w:w="700" w:type="pct"/>
                  <w:tcBorders>
                    <w:tl2br w:val="nil"/>
                    <w:tr2bl w:val="nil"/>
                  </w:tcBorders>
                  <w:noWrap w:val="0"/>
                  <w:vAlign w:val="center"/>
                </w:tcPr>
                <w:p w14:paraId="762B4C85">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筒仓</w:t>
                  </w:r>
                </w:p>
              </w:tc>
              <w:tc>
                <w:tcPr>
                  <w:tcW w:w="589" w:type="pct"/>
                  <w:vMerge w:val="continue"/>
                  <w:tcBorders>
                    <w:tl2br w:val="nil"/>
                    <w:tr2bl w:val="nil"/>
                  </w:tcBorders>
                  <w:noWrap w:val="0"/>
                  <w:vAlign w:val="center"/>
                </w:tcPr>
                <w:p w14:paraId="058E975F">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p>
              </w:tc>
              <w:tc>
                <w:tcPr>
                  <w:tcW w:w="1147" w:type="pct"/>
                  <w:tcBorders>
                    <w:tl2br w:val="nil"/>
                    <w:tr2bl w:val="nil"/>
                  </w:tcBorders>
                  <w:noWrap w:val="0"/>
                  <w:vAlign w:val="center"/>
                </w:tcPr>
                <w:p w14:paraId="58E0CA5F">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000000" w:themeColor="text1"/>
                      <w:spacing w:val="-1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11"/>
                      <w:kern w:val="0"/>
                      <w:sz w:val="21"/>
                      <w:szCs w:val="21"/>
                      <w:highlight w:val="none"/>
                      <w:vertAlign w:val="baseline"/>
                      <w:lang w:val="en-US" w:eastAsia="zh-CN"/>
                      <w14:textFill>
                        <w14:solidFill>
                          <w14:schemeClr w14:val="tx1"/>
                        </w14:solidFill>
                      </w14:textFill>
                    </w:rPr>
                    <w:t>脉冲布袋除尘</w:t>
                  </w:r>
                </w:p>
              </w:tc>
              <w:tc>
                <w:tcPr>
                  <w:tcW w:w="848" w:type="pct"/>
                  <w:vMerge w:val="continue"/>
                  <w:tcBorders>
                    <w:tl2br w:val="nil"/>
                    <w:tr2bl w:val="nil"/>
                  </w:tcBorders>
                  <w:noWrap w:val="0"/>
                  <w:vAlign w:val="center"/>
                </w:tcPr>
                <w:p w14:paraId="3CC4018A">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p>
              </w:tc>
              <w:tc>
                <w:tcPr>
                  <w:tcW w:w="714" w:type="pct"/>
                  <w:tcBorders>
                    <w:tl2br w:val="nil"/>
                    <w:tr2bl w:val="nil"/>
                  </w:tcBorders>
                  <w:noWrap w:val="0"/>
                  <w:vAlign w:val="center"/>
                </w:tcPr>
                <w:p w14:paraId="4C9F26B0">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0.5</w:t>
                  </w:r>
                </w:p>
              </w:tc>
              <w:tc>
                <w:tcPr>
                  <w:tcW w:w="633" w:type="pct"/>
                  <w:tcBorders>
                    <w:tl2br w:val="nil"/>
                    <w:tr2bl w:val="nil"/>
                  </w:tcBorders>
                  <w:noWrap w:val="0"/>
                  <w:vAlign w:val="center"/>
                </w:tcPr>
                <w:p w14:paraId="62C00D7F">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0.17</w:t>
                  </w:r>
                </w:p>
              </w:tc>
            </w:tr>
            <w:tr w14:paraId="698FE1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66" w:type="pct"/>
                  <w:tcBorders>
                    <w:tl2br w:val="nil"/>
                    <w:tr2bl w:val="nil"/>
                  </w:tcBorders>
                  <w:noWrap w:val="0"/>
                  <w:vAlign w:val="center"/>
                </w:tcPr>
                <w:p w14:paraId="0137BFC3">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p>
              </w:tc>
              <w:tc>
                <w:tcPr>
                  <w:tcW w:w="700" w:type="pct"/>
                  <w:tcBorders>
                    <w:tl2br w:val="nil"/>
                    <w:tr2bl w:val="nil"/>
                  </w:tcBorders>
                  <w:noWrap w:val="0"/>
                  <w:vAlign w:val="center"/>
                </w:tcPr>
                <w:p w14:paraId="2D82779C">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合计</w:t>
                  </w:r>
                </w:p>
              </w:tc>
              <w:tc>
                <w:tcPr>
                  <w:tcW w:w="589" w:type="pct"/>
                  <w:tcBorders>
                    <w:tl2br w:val="nil"/>
                    <w:tr2bl w:val="nil"/>
                  </w:tcBorders>
                  <w:noWrap w:val="0"/>
                  <w:vAlign w:val="center"/>
                </w:tcPr>
                <w:p w14:paraId="54A0734B">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p>
              </w:tc>
              <w:tc>
                <w:tcPr>
                  <w:tcW w:w="1147" w:type="pct"/>
                  <w:tcBorders>
                    <w:tl2br w:val="nil"/>
                    <w:tr2bl w:val="nil"/>
                  </w:tcBorders>
                  <w:noWrap w:val="0"/>
                  <w:vAlign w:val="center"/>
                </w:tcPr>
                <w:p w14:paraId="1CBD1E98">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000000" w:themeColor="text1"/>
                      <w:spacing w:val="-11"/>
                      <w:kern w:val="0"/>
                      <w:sz w:val="21"/>
                      <w:szCs w:val="21"/>
                      <w:highlight w:val="none"/>
                      <w:vertAlign w:val="baseline"/>
                      <w:lang w:val="en-US" w:eastAsia="zh-CN"/>
                      <w14:textFill>
                        <w14:solidFill>
                          <w14:schemeClr w14:val="tx1"/>
                        </w14:solidFill>
                      </w14:textFill>
                    </w:rPr>
                  </w:pPr>
                </w:p>
              </w:tc>
              <w:tc>
                <w:tcPr>
                  <w:tcW w:w="848" w:type="pct"/>
                  <w:tcBorders>
                    <w:tl2br w:val="nil"/>
                    <w:tr2bl w:val="nil"/>
                  </w:tcBorders>
                  <w:noWrap w:val="0"/>
                  <w:vAlign w:val="center"/>
                </w:tcPr>
                <w:p w14:paraId="2004647C">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p>
              </w:tc>
              <w:tc>
                <w:tcPr>
                  <w:tcW w:w="714" w:type="pct"/>
                  <w:tcBorders>
                    <w:tl2br w:val="nil"/>
                    <w:tr2bl w:val="nil"/>
                  </w:tcBorders>
                  <w:noWrap w:val="0"/>
                  <w:vAlign w:val="center"/>
                </w:tcPr>
                <w:p w14:paraId="1D356AC0">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p>
              </w:tc>
              <w:tc>
                <w:tcPr>
                  <w:tcW w:w="633" w:type="pct"/>
                  <w:tcBorders>
                    <w:tl2br w:val="nil"/>
                    <w:tr2bl w:val="nil"/>
                  </w:tcBorders>
                  <w:noWrap w:val="0"/>
                  <w:vAlign w:val="center"/>
                </w:tcPr>
                <w:p w14:paraId="58B94DB4">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vertAlign w:val="baseline"/>
                      <w:lang w:val="en-US" w:eastAsia="zh-CN"/>
                      <w14:textFill>
                        <w14:solidFill>
                          <w14:schemeClr w14:val="tx1"/>
                        </w14:solidFill>
                      </w14:textFill>
                    </w:rPr>
                    <w:t>22.44</w:t>
                  </w:r>
                </w:p>
              </w:tc>
            </w:tr>
          </w:tbl>
          <w:p w14:paraId="07A508FA">
            <w:pPr>
              <w:keepNext w:val="0"/>
              <w:keepLines w:val="0"/>
              <w:pageBreakBefore w:val="0"/>
              <w:widowControl/>
              <w:kinsoku/>
              <w:wordWrap/>
              <w:overflowPunct/>
              <w:topLinePunct w:val="0"/>
              <w:autoSpaceDE/>
              <w:autoSpaceDN/>
              <w:bidi w:val="0"/>
              <w:adjustRightInd/>
              <w:snapToGrid/>
              <w:spacing w:after="0" w:afterLines="0" w:line="360" w:lineRule="auto"/>
              <w:jc w:val="left"/>
              <w:textAlignment w:val="auto"/>
              <w:rPr>
                <w:rFonts w:hint="default"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b/>
                <w:bCs/>
                <w:color w:val="auto"/>
                <w:sz w:val="24"/>
                <w:highlight w:val="none"/>
                <w:lang w:val="en-US" w:eastAsia="zh-CN"/>
              </w:rPr>
              <w:t>1.2 非正常工况分析</w:t>
            </w:r>
          </w:p>
          <w:p w14:paraId="6B2F69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根据《环境影响评价技术导则 大气环境》（HJ2.2-2018），非正常排放包括设备检修、工艺设备异常运转、污染物排放控制措施不到位等。本项目非正常工况主要为布袋除尘装置损坏或沥青净化器损坏，布袋除尘装置发生故障时处理效率为0。发生频次按每年一次，一次1小时计，本项目非正常工况下颗粒物的产生情况和排放情况，具体见下表。</w:t>
            </w:r>
          </w:p>
          <w:p w14:paraId="0C05C36B">
            <w:pPr>
              <w:pStyle w:val="3"/>
              <w:keepNext w:val="0"/>
              <w:keepLines w:val="0"/>
              <w:pageBreakBefore w:val="0"/>
              <w:widowControl/>
              <w:kinsoku/>
              <w:wordWrap/>
              <w:overflowPunct/>
              <w:topLinePunct w:val="0"/>
              <w:autoSpaceDE/>
              <w:autoSpaceDN/>
              <w:bidi w:val="0"/>
              <w:adjustRightInd/>
              <w:snapToGrid w:val="0"/>
              <w:spacing w:before="0" w:after="0" w:line="240" w:lineRule="auto"/>
              <w:ind w:right="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表4-6    非正常工况下废气污染物排放情况一览表</w:t>
            </w:r>
          </w:p>
          <w:tbl>
            <w:tblPr>
              <w:tblStyle w:val="39"/>
              <w:tblW w:w="4997" w:type="pct"/>
              <w:tblInd w:w="0" w:type="dxa"/>
              <w:tblBorders>
                <w:top w:val="single" w:color="auto" w:sz="12" w:space="0"/>
                <w:left w:val="none" w:color="auto" w:sz="0" w:space="0"/>
                <w:bottom w:val="single" w:color="auto" w:sz="12" w:space="0"/>
                <w:right w:val="none" w:color="auto" w:sz="0" w:space="0"/>
                <w:insideH w:val="single" w:color="auto" w:sz="12" w:space="0"/>
                <w:insideV w:val="single" w:color="auto" w:sz="4" w:space="0"/>
              </w:tblBorders>
              <w:tblLayout w:type="fixed"/>
              <w:tblCellMar>
                <w:top w:w="0" w:type="dxa"/>
                <w:left w:w="108" w:type="dxa"/>
                <w:bottom w:w="0" w:type="dxa"/>
                <w:right w:w="108" w:type="dxa"/>
              </w:tblCellMar>
            </w:tblPr>
            <w:tblGrid>
              <w:gridCol w:w="927"/>
              <w:gridCol w:w="960"/>
              <w:gridCol w:w="1286"/>
              <w:gridCol w:w="1362"/>
              <w:gridCol w:w="1028"/>
              <w:gridCol w:w="791"/>
              <w:gridCol w:w="786"/>
              <w:gridCol w:w="1211"/>
            </w:tblGrid>
            <w:tr w14:paraId="60924260">
              <w:tblPrEx>
                <w:tblBorders>
                  <w:top w:val="single" w:color="auto" w:sz="12" w:space="0"/>
                  <w:left w:val="none" w:color="auto" w:sz="0" w:space="0"/>
                  <w:bottom w:val="single" w:color="auto" w:sz="12" w:space="0"/>
                  <w:right w:val="none" w:color="auto" w:sz="0" w:space="0"/>
                  <w:insideH w:val="single" w:color="auto" w:sz="12" w:space="0"/>
                  <w:insideV w:val="single" w:color="auto" w:sz="4" w:space="0"/>
                </w:tblBorders>
                <w:tblCellMar>
                  <w:top w:w="0" w:type="dxa"/>
                  <w:left w:w="108" w:type="dxa"/>
                  <w:bottom w:w="0" w:type="dxa"/>
                  <w:right w:w="108" w:type="dxa"/>
                </w:tblCellMar>
              </w:tblPrEx>
              <w:tc>
                <w:tcPr>
                  <w:tcW w:w="555" w:type="pct"/>
                  <w:tcBorders>
                    <w:tl2br w:val="nil"/>
                    <w:tr2bl w:val="nil"/>
                  </w:tcBorders>
                  <w:vAlign w:val="center"/>
                </w:tcPr>
                <w:p w14:paraId="2890FF92">
                  <w:pPr>
                    <w:pStyle w:val="3"/>
                    <w:keepNext w:val="0"/>
                    <w:keepLines w:val="0"/>
                    <w:pageBreakBefore w:val="0"/>
                    <w:widowControl/>
                    <w:kinsoku/>
                    <w:wordWrap/>
                    <w:overflowPunct/>
                    <w:topLinePunct w:val="0"/>
                    <w:autoSpaceDE/>
                    <w:autoSpaceDN/>
                    <w:bidi w:val="0"/>
                    <w:adjustRightInd/>
                    <w:snapToGrid w:val="0"/>
                    <w:spacing w:before="0" w:after="0" w:line="240" w:lineRule="auto"/>
                    <w:ind w:left="0" w:leftChars="0" w:right="0" w:firstLine="0" w:firstLineChars="0"/>
                    <w:jc w:val="both"/>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污染物</w:t>
                  </w:r>
                </w:p>
              </w:tc>
              <w:tc>
                <w:tcPr>
                  <w:tcW w:w="574" w:type="pct"/>
                  <w:tcBorders>
                    <w:tl2br w:val="nil"/>
                    <w:tr2bl w:val="nil"/>
                  </w:tcBorders>
                  <w:vAlign w:val="center"/>
                </w:tcPr>
                <w:p w14:paraId="43A71A6C">
                  <w:pPr>
                    <w:pStyle w:val="3"/>
                    <w:keepNext w:val="0"/>
                    <w:keepLines w:val="0"/>
                    <w:pageBreakBefore w:val="0"/>
                    <w:widowControl/>
                    <w:kinsoku/>
                    <w:wordWrap/>
                    <w:overflowPunct/>
                    <w:topLinePunct w:val="0"/>
                    <w:autoSpaceDE/>
                    <w:autoSpaceDN/>
                    <w:bidi w:val="0"/>
                    <w:adjustRightInd/>
                    <w:snapToGrid w:val="0"/>
                    <w:spacing w:before="0" w:after="0" w:line="240" w:lineRule="auto"/>
                    <w:ind w:left="0" w:leftChars="0" w:right="0" w:firstLine="0" w:firstLineChars="0"/>
                    <w:jc w:val="both"/>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排放工段</w:t>
                  </w:r>
                </w:p>
              </w:tc>
              <w:tc>
                <w:tcPr>
                  <w:tcW w:w="769" w:type="pct"/>
                  <w:tcBorders>
                    <w:tl2br w:val="nil"/>
                    <w:tr2bl w:val="nil"/>
                  </w:tcBorders>
                  <w:vAlign w:val="center"/>
                </w:tcPr>
                <w:p w14:paraId="740BAD01">
                  <w:pPr>
                    <w:pStyle w:val="3"/>
                    <w:keepNext w:val="0"/>
                    <w:keepLines w:val="0"/>
                    <w:pageBreakBefore w:val="0"/>
                    <w:widowControl/>
                    <w:kinsoku/>
                    <w:wordWrap/>
                    <w:overflowPunct/>
                    <w:topLinePunct w:val="0"/>
                    <w:autoSpaceDE/>
                    <w:autoSpaceDN/>
                    <w:bidi w:val="0"/>
                    <w:adjustRightInd/>
                    <w:snapToGrid w:val="0"/>
                    <w:spacing w:before="0" w:after="0" w:line="240" w:lineRule="auto"/>
                    <w:ind w:left="0" w:leftChars="0" w:right="0" w:firstLine="0" w:firstLineChars="0"/>
                    <w:jc w:val="both"/>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污染物产生量（t/a）</w:t>
                  </w:r>
                </w:p>
              </w:tc>
              <w:tc>
                <w:tcPr>
                  <w:tcW w:w="815" w:type="pct"/>
                  <w:tcBorders>
                    <w:tl2br w:val="nil"/>
                    <w:tr2bl w:val="nil"/>
                  </w:tcBorders>
                  <w:vAlign w:val="center"/>
                </w:tcPr>
                <w:p w14:paraId="70311BF4">
                  <w:pPr>
                    <w:pStyle w:val="3"/>
                    <w:keepNext w:val="0"/>
                    <w:keepLines w:val="0"/>
                    <w:pageBreakBefore w:val="0"/>
                    <w:widowControl/>
                    <w:kinsoku/>
                    <w:wordWrap/>
                    <w:overflowPunct/>
                    <w:topLinePunct w:val="0"/>
                    <w:autoSpaceDE/>
                    <w:autoSpaceDN/>
                    <w:bidi w:val="0"/>
                    <w:adjustRightInd/>
                    <w:snapToGrid w:val="0"/>
                    <w:spacing w:before="0" w:after="0" w:line="240" w:lineRule="auto"/>
                    <w:ind w:left="0" w:leftChars="0" w:right="0" w:firstLine="0" w:firstLineChars="0"/>
                    <w:jc w:val="both"/>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排放速率（kg/h）</w:t>
                  </w:r>
                </w:p>
              </w:tc>
              <w:tc>
                <w:tcPr>
                  <w:tcW w:w="615" w:type="pct"/>
                  <w:tcBorders>
                    <w:tl2br w:val="nil"/>
                    <w:tr2bl w:val="nil"/>
                  </w:tcBorders>
                  <w:vAlign w:val="center"/>
                </w:tcPr>
                <w:p w14:paraId="048EB401">
                  <w:pPr>
                    <w:pStyle w:val="3"/>
                    <w:keepNext w:val="0"/>
                    <w:keepLines w:val="0"/>
                    <w:pageBreakBefore w:val="0"/>
                    <w:widowControl/>
                    <w:kinsoku/>
                    <w:wordWrap/>
                    <w:overflowPunct/>
                    <w:topLinePunct w:val="0"/>
                    <w:autoSpaceDE/>
                    <w:autoSpaceDN/>
                    <w:bidi w:val="0"/>
                    <w:adjustRightInd/>
                    <w:snapToGrid w:val="0"/>
                    <w:spacing w:before="0" w:after="0" w:line="240" w:lineRule="auto"/>
                    <w:ind w:left="0" w:leftChars="0" w:right="0" w:firstLine="0" w:firstLineChars="0"/>
                    <w:jc w:val="both"/>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存在情况</w:t>
                  </w:r>
                </w:p>
              </w:tc>
              <w:tc>
                <w:tcPr>
                  <w:tcW w:w="473" w:type="pct"/>
                  <w:tcBorders>
                    <w:tl2br w:val="nil"/>
                    <w:tr2bl w:val="nil"/>
                  </w:tcBorders>
                  <w:vAlign w:val="center"/>
                </w:tcPr>
                <w:p w14:paraId="6A47C6EC">
                  <w:pPr>
                    <w:pStyle w:val="3"/>
                    <w:keepNext w:val="0"/>
                    <w:keepLines w:val="0"/>
                    <w:pageBreakBefore w:val="0"/>
                    <w:widowControl/>
                    <w:kinsoku/>
                    <w:wordWrap/>
                    <w:overflowPunct/>
                    <w:topLinePunct w:val="0"/>
                    <w:autoSpaceDE/>
                    <w:autoSpaceDN/>
                    <w:bidi w:val="0"/>
                    <w:adjustRightInd/>
                    <w:snapToGrid w:val="0"/>
                    <w:spacing w:before="0" w:after="0" w:line="240" w:lineRule="auto"/>
                    <w:ind w:left="0" w:leftChars="0" w:right="0" w:firstLine="0" w:firstLineChars="0"/>
                    <w:jc w:val="both"/>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持续时间</w:t>
                  </w:r>
                </w:p>
              </w:tc>
              <w:tc>
                <w:tcPr>
                  <w:tcW w:w="470" w:type="pct"/>
                  <w:tcBorders>
                    <w:tl2br w:val="nil"/>
                    <w:tr2bl w:val="nil"/>
                  </w:tcBorders>
                  <w:vAlign w:val="center"/>
                </w:tcPr>
                <w:p w14:paraId="1FF98609">
                  <w:pPr>
                    <w:pStyle w:val="3"/>
                    <w:keepNext w:val="0"/>
                    <w:keepLines w:val="0"/>
                    <w:pageBreakBefore w:val="0"/>
                    <w:widowControl/>
                    <w:kinsoku/>
                    <w:wordWrap/>
                    <w:overflowPunct/>
                    <w:topLinePunct w:val="0"/>
                    <w:autoSpaceDE/>
                    <w:autoSpaceDN/>
                    <w:bidi w:val="0"/>
                    <w:adjustRightInd/>
                    <w:snapToGrid w:val="0"/>
                    <w:spacing w:before="0" w:after="0" w:line="240" w:lineRule="auto"/>
                    <w:ind w:left="0" w:leftChars="0" w:right="0" w:firstLine="0" w:firstLineChars="0"/>
                    <w:jc w:val="both"/>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发生频率</w:t>
                  </w:r>
                </w:p>
              </w:tc>
              <w:tc>
                <w:tcPr>
                  <w:tcW w:w="725" w:type="pct"/>
                  <w:tcBorders>
                    <w:tl2br w:val="nil"/>
                    <w:tr2bl w:val="nil"/>
                  </w:tcBorders>
                  <w:vAlign w:val="center"/>
                </w:tcPr>
                <w:p w14:paraId="6BC01FDF">
                  <w:pPr>
                    <w:pStyle w:val="3"/>
                    <w:keepNext w:val="0"/>
                    <w:keepLines w:val="0"/>
                    <w:pageBreakBefore w:val="0"/>
                    <w:widowControl/>
                    <w:kinsoku/>
                    <w:wordWrap/>
                    <w:overflowPunct/>
                    <w:topLinePunct w:val="0"/>
                    <w:autoSpaceDE/>
                    <w:autoSpaceDN/>
                    <w:bidi w:val="0"/>
                    <w:adjustRightInd/>
                    <w:snapToGrid w:val="0"/>
                    <w:spacing w:before="0" w:after="0" w:line="240" w:lineRule="auto"/>
                    <w:ind w:left="0" w:leftChars="0" w:right="0" w:firstLine="0" w:firstLineChars="0"/>
                    <w:jc w:val="both"/>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应对措施</w:t>
                  </w:r>
                </w:p>
              </w:tc>
            </w:tr>
            <w:tr w14:paraId="2353198E">
              <w:tblPrEx>
                <w:tblBorders>
                  <w:top w:val="single" w:color="auto" w:sz="12" w:space="0"/>
                  <w:left w:val="none" w:color="auto" w:sz="0" w:space="0"/>
                  <w:bottom w:val="single" w:color="auto" w:sz="12" w:space="0"/>
                  <w:right w:val="none" w:color="auto" w:sz="0" w:space="0"/>
                  <w:insideH w:val="single" w:color="auto" w:sz="12" w:space="0"/>
                  <w:insideV w:val="single" w:color="auto" w:sz="4" w:space="0"/>
                </w:tblBorders>
                <w:tblCellMar>
                  <w:top w:w="0" w:type="dxa"/>
                  <w:left w:w="108" w:type="dxa"/>
                  <w:bottom w:w="0" w:type="dxa"/>
                  <w:right w:w="108" w:type="dxa"/>
                </w:tblCellMar>
              </w:tblPrEx>
              <w:tc>
                <w:tcPr>
                  <w:tcW w:w="555" w:type="pct"/>
                  <w:tcBorders>
                    <w:bottom w:val="single" w:color="auto" w:sz="4" w:space="0"/>
                    <w:tl2br w:val="nil"/>
                    <w:tr2bl w:val="nil"/>
                  </w:tcBorders>
                  <w:vAlign w:val="center"/>
                </w:tcPr>
                <w:p w14:paraId="6CB8D462">
                  <w:pPr>
                    <w:pStyle w:val="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颗粒物</w:t>
                  </w:r>
                </w:p>
              </w:tc>
              <w:tc>
                <w:tcPr>
                  <w:tcW w:w="574" w:type="pct"/>
                  <w:tcBorders>
                    <w:bottom w:val="single" w:color="auto" w:sz="4" w:space="0"/>
                    <w:tl2br w:val="nil"/>
                    <w:tr2bl w:val="nil"/>
                  </w:tcBorders>
                  <w:vAlign w:val="center"/>
                </w:tcPr>
                <w:p w14:paraId="150CA53A">
                  <w:pPr>
                    <w:pStyle w:val="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搅拌工序</w:t>
                  </w:r>
                </w:p>
              </w:tc>
              <w:tc>
                <w:tcPr>
                  <w:tcW w:w="769" w:type="pct"/>
                  <w:tcBorders>
                    <w:bottom w:val="single" w:color="auto" w:sz="4" w:space="0"/>
                    <w:tl2br w:val="nil"/>
                    <w:tr2bl w:val="nil"/>
                  </w:tcBorders>
                  <w:vAlign w:val="center"/>
                </w:tcPr>
                <w:p w14:paraId="507642DB">
                  <w:pPr>
                    <w:pStyle w:val="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156.9</w:t>
                  </w:r>
                </w:p>
              </w:tc>
              <w:tc>
                <w:tcPr>
                  <w:tcW w:w="815" w:type="pct"/>
                  <w:tcBorders>
                    <w:bottom w:val="single" w:color="auto" w:sz="4" w:space="0"/>
                    <w:tl2br w:val="nil"/>
                    <w:tr2bl w:val="nil"/>
                  </w:tcBorders>
                  <w:vAlign w:val="center"/>
                </w:tcPr>
                <w:p w14:paraId="4DB263A2">
                  <w:pPr>
                    <w:pStyle w:val="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46.7</w:t>
                  </w:r>
                </w:p>
              </w:tc>
              <w:tc>
                <w:tcPr>
                  <w:tcW w:w="615" w:type="pct"/>
                  <w:tcBorders>
                    <w:bottom w:val="single" w:color="auto" w:sz="4" w:space="0"/>
                    <w:tl2br w:val="nil"/>
                    <w:tr2bl w:val="nil"/>
                  </w:tcBorders>
                  <w:vAlign w:val="center"/>
                </w:tcPr>
                <w:p w14:paraId="18C02050">
                  <w:pPr>
                    <w:pStyle w:val="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除尘装置损坏</w:t>
                  </w:r>
                </w:p>
              </w:tc>
              <w:tc>
                <w:tcPr>
                  <w:tcW w:w="473" w:type="pct"/>
                  <w:tcBorders>
                    <w:bottom w:val="single" w:color="auto" w:sz="4" w:space="0"/>
                    <w:tl2br w:val="nil"/>
                    <w:tr2bl w:val="nil"/>
                  </w:tcBorders>
                  <w:vAlign w:val="center"/>
                </w:tcPr>
                <w:p w14:paraId="1B4E204C">
                  <w:pPr>
                    <w:pStyle w:val="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＜1h</w:t>
                  </w:r>
                </w:p>
              </w:tc>
              <w:tc>
                <w:tcPr>
                  <w:tcW w:w="470" w:type="pct"/>
                  <w:tcBorders>
                    <w:bottom w:val="single" w:color="auto" w:sz="4" w:space="0"/>
                    <w:tl2br w:val="nil"/>
                    <w:tr2bl w:val="nil"/>
                  </w:tcBorders>
                  <w:vAlign w:val="center"/>
                </w:tcPr>
                <w:p w14:paraId="7C49AAFB">
                  <w:pPr>
                    <w:pStyle w:val="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1次/a</w:t>
                  </w:r>
                </w:p>
              </w:tc>
              <w:tc>
                <w:tcPr>
                  <w:tcW w:w="725" w:type="pct"/>
                  <w:tcBorders>
                    <w:bottom w:val="single" w:color="auto" w:sz="4" w:space="0"/>
                    <w:tl2br w:val="nil"/>
                    <w:tr2bl w:val="nil"/>
                  </w:tcBorders>
                  <w:vAlign w:val="center"/>
                </w:tcPr>
                <w:p w14:paraId="5A317BF6">
                  <w:pPr>
                    <w:pStyle w:val="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立即停产进行维修</w:t>
                  </w:r>
                </w:p>
              </w:tc>
            </w:tr>
            <w:tr w14:paraId="6FC9D0D4">
              <w:tblPrEx>
                <w:tblBorders>
                  <w:top w:val="single" w:color="auto" w:sz="12" w:space="0"/>
                  <w:left w:val="none" w:color="auto" w:sz="0" w:space="0"/>
                  <w:bottom w:val="single" w:color="auto" w:sz="12" w:space="0"/>
                  <w:right w:val="none" w:color="auto" w:sz="0" w:space="0"/>
                  <w:insideH w:val="single" w:color="auto" w:sz="12" w:space="0"/>
                  <w:insideV w:val="single" w:color="auto" w:sz="4" w:space="0"/>
                </w:tblBorders>
                <w:tblCellMar>
                  <w:top w:w="0" w:type="dxa"/>
                  <w:left w:w="108" w:type="dxa"/>
                  <w:bottom w:w="0" w:type="dxa"/>
                  <w:right w:w="108" w:type="dxa"/>
                </w:tblCellMar>
              </w:tblPrEx>
              <w:tc>
                <w:tcPr>
                  <w:tcW w:w="555" w:type="pct"/>
                  <w:tcBorders>
                    <w:top w:val="single" w:color="auto" w:sz="4" w:space="0"/>
                    <w:bottom w:val="single" w:color="auto" w:sz="4" w:space="0"/>
                    <w:tl2br w:val="nil"/>
                    <w:tr2bl w:val="nil"/>
                  </w:tcBorders>
                  <w:vAlign w:val="center"/>
                </w:tcPr>
                <w:p w14:paraId="118B61D8">
                  <w:pPr>
                    <w:pStyle w:val="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颗粒物</w:t>
                  </w:r>
                </w:p>
              </w:tc>
              <w:tc>
                <w:tcPr>
                  <w:tcW w:w="574" w:type="pct"/>
                  <w:tcBorders>
                    <w:top w:val="single" w:color="auto" w:sz="4" w:space="0"/>
                    <w:bottom w:val="single" w:color="auto" w:sz="4" w:space="0"/>
                    <w:tl2br w:val="nil"/>
                    <w:tr2bl w:val="nil"/>
                  </w:tcBorders>
                  <w:vAlign w:val="center"/>
                </w:tcPr>
                <w:p w14:paraId="22985A97">
                  <w:pPr>
                    <w:pStyle w:val="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筒仓储存工序</w:t>
                  </w:r>
                </w:p>
              </w:tc>
              <w:tc>
                <w:tcPr>
                  <w:tcW w:w="769" w:type="pct"/>
                  <w:tcBorders>
                    <w:top w:val="single" w:color="auto" w:sz="4" w:space="0"/>
                    <w:bottom w:val="single" w:color="auto" w:sz="4" w:space="0"/>
                    <w:tl2br w:val="nil"/>
                    <w:tr2bl w:val="nil"/>
                  </w:tcBorders>
                  <w:vAlign w:val="center"/>
                </w:tcPr>
                <w:p w14:paraId="33885E23">
                  <w:pPr>
                    <w:pStyle w:val="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57</w:t>
                  </w:r>
                </w:p>
              </w:tc>
              <w:tc>
                <w:tcPr>
                  <w:tcW w:w="815" w:type="pct"/>
                  <w:tcBorders>
                    <w:top w:val="single" w:color="auto" w:sz="4" w:space="0"/>
                    <w:bottom w:val="single" w:color="auto" w:sz="4" w:space="0"/>
                    <w:tl2br w:val="nil"/>
                    <w:tr2bl w:val="nil"/>
                  </w:tcBorders>
                  <w:vAlign w:val="center"/>
                </w:tcPr>
                <w:p w14:paraId="6A283CDE">
                  <w:pPr>
                    <w:pStyle w:val="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16.96</w:t>
                  </w:r>
                </w:p>
              </w:tc>
              <w:tc>
                <w:tcPr>
                  <w:tcW w:w="615" w:type="pct"/>
                  <w:tcBorders>
                    <w:top w:val="single" w:color="auto" w:sz="4" w:space="0"/>
                    <w:bottom w:val="single" w:color="auto" w:sz="4" w:space="0"/>
                    <w:tl2br w:val="nil"/>
                    <w:tr2bl w:val="nil"/>
                  </w:tcBorders>
                  <w:vAlign w:val="center"/>
                </w:tcPr>
                <w:p w14:paraId="5BA7776C">
                  <w:pPr>
                    <w:pStyle w:val="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除尘装置损坏</w:t>
                  </w:r>
                </w:p>
              </w:tc>
              <w:tc>
                <w:tcPr>
                  <w:tcW w:w="473" w:type="pct"/>
                  <w:tcBorders>
                    <w:top w:val="single" w:color="auto" w:sz="4" w:space="0"/>
                    <w:bottom w:val="single" w:color="auto" w:sz="4" w:space="0"/>
                    <w:tl2br w:val="nil"/>
                    <w:tr2bl w:val="nil"/>
                  </w:tcBorders>
                  <w:vAlign w:val="center"/>
                </w:tcPr>
                <w:p w14:paraId="1AD2AFE1">
                  <w:pPr>
                    <w:pStyle w:val="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＜1h</w:t>
                  </w:r>
                </w:p>
              </w:tc>
              <w:tc>
                <w:tcPr>
                  <w:tcW w:w="470" w:type="pct"/>
                  <w:tcBorders>
                    <w:top w:val="single" w:color="auto" w:sz="4" w:space="0"/>
                    <w:bottom w:val="single" w:color="auto" w:sz="4" w:space="0"/>
                    <w:tl2br w:val="nil"/>
                    <w:tr2bl w:val="nil"/>
                  </w:tcBorders>
                  <w:vAlign w:val="center"/>
                </w:tcPr>
                <w:p w14:paraId="16702AC4">
                  <w:pPr>
                    <w:pStyle w:val="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1次/a</w:t>
                  </w:r>
                </w:p>
              </w:tc>
              <w:tc>
                <w:tcPr>
                  <w:tcW w:w="725" w:type="pct"/>
                  <w:tcBorders>
                    <w:top w:val="single" w:color="auto" w:sz="4" w:space="0"/>
                    <w:bottom w:val="single" w:color="auto" w:sz="4" w:space="0"/>
                    <w:tl2br w:val="nil"/>
                    <w:tr2bl w:val="nil"/>
                  </w:tcBorders>
                  <w:vAlign w:val="center"/>
                </w:tcPr>
                <w:p w14:paraId="7D5B5122">
                  <w:pPr>
                    <w:pStyle w:val="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立即停产进行维修</w:t>
                  </w:r>
                </w:p>
              </w:tc>
            </w:tr>
            <w:tr w14:paraId="6A8C16BB">
              <w:tblPrEx>
                <w:tblBorders>
                  <w:top w:val="single" w:color="auto" w:sz="12" w:space="0"/>
                  <w:left w:val="none" w:color="auto" w:sz="0" w:space="0"/>
                  <w:bottom w:val="single" w:color="auto" w:sz="12" w:space="0"/>
                  <w:right w:val="none" w:color="auto" w:sz="0" w:space="0"/>
                  <w:insideH w:val="single" w:color="auto" w:sz="12" w:space="0"/>
                  <w:insideV w:val="single" w:color="auto" w:sz="4" w:space="0"/>
                </w:tblBorders>
                <w:tblCellMar>
                  <w:top w:w="0" w:type="dxa"/>
                  <w:left w:w="108" w:type="dxa"/>
                  <w:bottom w:w="0" w:type="dxa"/>
                  <w:right w:w="108" w:type="dxa"/>
                </w:tblCellMar>
              </w:tblPrEx>
              <w:tc>
                <w:tcPr>
                  <w:tcW w:w="555" w:type="pct"/>
                  <w:tcBorders>
                    <w:top w:val="single" w:color="auto" w:sz="4" w:space="0"/>
                    <w:bottom w:val="single" w:color="auto" w:sz="4" w:space="0"/>
                    <w:tl2br w:val="nil"/>
                    <w:tr2bl w:val="nil"/>
                  </w:tcBorders>
                  <w:vAlign w:val="center"/>
                </w:tcPr>
                <w:p w14:paraId="5DF2B5B5">
                  <w:pPr>
                    <w:pStyle w:val="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颗粒物</w:t>
                  </w:r>
                </w:p>
              </w:tc>
              <w:tc>
                <w:tcPr>
                  <w:tcW w:w="574" w:type="pct"/>
                  <w:tcBorders>
                    <w:top w:val="single" w:color="auto" w:sz="4" w:space="0"/>
                    <w:bottom w:val="single" w:color="auto" w:sz="4" w:space="0"/>
                    <w:tl2br w:val="nil"/>
                    <w:tr2bl w:val="nil"/>
                  </w:tcBorders>
                  <w:vAlign w:val="center"/>
                </w:tcPr>
                <w:p w14:paraId="361955C4">
                  <w:pPr>
                    <w:pStyle w:val="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破碎</w:t>
                  </w:r>
                </w:p>
              </w:tc>
              <w:tc>
                <w:tcPr>
                  <w:tcW w:w="769" w:type="pct"/>
                  <w:tcBorders>
                    <w:top w:val="single" w:color="auto" w:sz="4" w:space="0"/>
                    <w:bottom w:val="single" w:color="auto" w:sz="4" w:space="0"/>
                    <w:tl2br w:val="nil"/>
                    <w:tr2bl w:val="nil"/>
                  </w:tcBorders>
                  <w:vAlign w:val="center"/>
                </w:tcPr>
                <w:p w14:paraId="1F3E1DDD">
                  <w:pPr>
                    <w:pStyle w:val="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32.24</w:t>
                  </w:r>
                </w:p>
              </w:tc>
              <w:tc>
                <w:tcPr>
                  <w:tcW w:w="815" w:type="pct"/>
                  <w:tcBorders>
                    <w:top w:val="single" w:color="auto" w:sz="4" w:space="0"/>
                    <w:bottom w:val="single" w:color="auto" w:sz="4" w:space="0"/>
                    <w:tl2br w:val="nil"/>
                    <w:tr2bl w:val="nil"/>
                  </w:tcBorders>
                  <w:vAlign w:val="center"/>
                </w:tcPr>
                <w:p w14:paraId="32BE918F">
                  <w:pPr>
                    <w:pStyle w:val="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9.6</w:t>
                  </w:r>
                </w:p>
              </w:tc>
              <w:tc>
                <w:tcPr>
                  <w:tcW w:w="615" w:type="pct"/>
                  <w:tcBorders>
                    <w:top w:val="single" w:color="auto" w:sz="4" w:space="0"/>
                    <w:bottom w:val="single" w:color="auto" w:sz="4" w:space="0"/>
                    <w:tl2br w:val="nil"/>
                    <w:tr2bl w:val="nil"/>
                  </w:tcBorders>
                  <w:vAlign w:val="center"/>
                </w:tcPr>
                <w:p w14:paraId="1A5707A4">
                  <w:pPr>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除尘装置损坏</w:t>
                  </w:r>
                </w:p>
              </w:tc>
              <w:tc>
                <w:tcPr>
                  <w:tcW w:w="473" w:type="pct"/>
                  <w:tcBorders>
                    <w:top w:val="single" w:color="auto" w:sz="4" w:space="0"/>
                    <w:bottom w:val="single" w:color="auto" w:sz="4" w:space="0"/>
                    <w:tl2br w:val="nil"/>
                    <w:tr2bl w:val="nil"/>
                  </w:tcBorders>
                  <w:vAlign w:val="center"/>
                </w:tcPr>
                <w:p w14:paraId="3A23C4DF">
                  <w:pPr>
                    <w:pStyle w:val="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＜1h</w:t>
                  </w:r>
                </w:p>
              </w:tc>
              <w:tc>
                <w:tcPr>
                  <w:tcW w:w="470" w:type="pct"/>
                  <w:tcBorders>
                    <w:top w:val="single" w:color="auto" w:sz="4" w:space="0"/>
                    <w:bottom w:val="single" w:color="auto" w:sz="4" w:space="0"/>
                    <w:tl2br w:val="nil"/>
                    <w:tr2bl w:val="nil"/>
                  </w:tcBorders>
                  <w:shd w:val="clear" w:color="auto" w:fill="auto"/>
                  <w:vAlign w:val="center"/>
                </w:tcPr>
                <w:p w14:paraId="434B3052">
                  <w:pPr>
                    <w:pStyle w:val="3"/>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zh-CN"/>
                    </w:rPr>
                  </w:pPr>
                  <w:r>
                    <w:rPr>
                      <w:rFonts w:hint="default" w:ascii="Times New Roman" w:hAnsi="Times New Roman" w:eastAsia="宋体" w:cs="Times New Roman"/>
                      <w:color w:val="auto"/>
                      <w:sz w:val="21"/>
                      <w:szCs w:val="21"/>
                      <w:highlight w:val="none"/>
                      <w:vertAlign w:val="baseline"/>
                      <w:lang w:val="en-US" w:eastAsia="zh-CN"/>
                    </w:rPr>
                    <w:t>1次/a</w:t>
                  </w:r>
                </w:p>
              </w:tc>
              <w:tc>
                <w:tcPr>
                  <w:tcW w:w="725" w:type="pct"/>
                  <w:tcBorders>
                    <w:top w:val="single" w:color="auto" w:sz="4" w:space="0"/>
                    <w:bottom w:val="single" w:color="auto" w:sz="4" w:space="0"/>
                    <w:tl2br w:val="nil"/>
                    <w:tr2bl w:val="nil"/>
                  </w:tcBorders>
                  <w:vAlign w:val="center"/>
                </w:tcPr>
                <w:p w14:paraId="5322188E">
                  <w:pPr>
                    <w:pStyle w:val="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立即停产进行维修</w:t>
                  </w:r>
                </w:p>
              </w:tc>
            </w:tr>
            <w:tr w14:paraId="3096EE8A">
              <w:tblPrEx>
                <w:tblBorders>
                  <w:top w:val="single" w:color="auto" w:sz="12" w:space="0"/>
                  <w:left w:val="none" w:color="auto" w:sz="0" w:space="0"/>
                  <w:bottom w:val="single" w:color="auto" w:sz="12" w:space="0"/>
                  <w:right w:val="none" w:color="auto" w:sz="0" w:space="0"/>
                  <w:insideH w:val="single" w:color="auto" w:sz="12" w:space="0"/>
                  <w:insideV w:val="single" w:color="auto" w:sz="4" w:space="0"/>
                </w:tblBorders>
                <w:tblCellMar>
                  <w:top w:w="0" w:type="dxa"/>
                  <w:left w:w="108" w:type="dxa"/>
                  <w:bottom w:w="0" w:type="dxa"/>
                  <w:right w:w="108" w:type="dxa"/>
                </w:tblCellMar>
              </w:tblPrEx>
              <w:tc>
                <w:tcPr>
                  <w:tcW w:w="555" w:type="pct"/>
                  <w:tcBorders>
                    <w:top w:val="single" w:color="auto" w:sz="4" w:space="0"/>
                    <w:bottom w:val="single" w:color="auto" w:sz="4" w:space="0"/>
                    <w:tl2br w:val="nil"/>
                    <w:tr2bl w:val="nil"/>
                  </w:tcBorders>
                  <w:vAlign w:val="center"/>
                </w:tcPr>
                <w:p w14:paraId="4E19CC6B">
                  <w:pPr>
                    <w:pStyle w:val="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lang w:val="en-US" w:eastAsia="zh-CN"/>
                    </w:rPr>
                    <w:t>颗粒物</w:t>
                  </w:r>
                </w:p>
              </w:tc>
              <w:tc>
                <w:tcPr>
                  <w:tcW w:w="574" w:type="pct"/>
                  <w:tcBorders>
                    <w:top w:val="single" w:color="auto" w:sz="4" w:space="0"/>
                    <w:bottom w:val="single" w:color="auto" w:sz="4" w:space="0"/>
                    <w:tl2br w:val="nil"/>
                    <w:tr2bl w:val="nil"/>
                  </w:tcBorders>
                  <w:vAlign w:val="center"/>
                </w:tcPr>
                <w:p w14:paraId="16AE38BF">
                  <w:pPr>
                    <w:pStyle w:val="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筛分</w:t>
                  </w:r>
                </w:p>
              </w:tc>
              <w:tc>
                <w:tcPr>
                  <w:tcW w:w="769" w:type="pct"/>
                  <w:tcBorders>
                    <w:top w:val="single" w:color="auto" w:sz="4" w:space="0"/>
                    <w:bottom w:val="single" w:color="auto" w:sz="4" w:space="0"/>
                    <w:tl2br w:val="nil"/>
                    <w:tr2bl w:val="nil"/>
                  </w:tcBorders>
                  <w:vAlign w:val="center"/>
                </w:tcPr>
                <w:p w14:paraId="0398617B">
                  <w:pPr>
                    <w:pStyle w:val="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420</w:t>
                  </w:r>
                </w:p>
              </w:tc>
              <w:tc>
                <w:tcPr>
                  <w:tcW w:w="815" w:type="pct"/>
                  <w:tcBorders>
                    <w:top w:val="single" w:color="auto" w:sz="4" w:space="0"/>
                    <w:bottom w:val="single" w:color="auto" w:sz="4" w:space="0"/>
                    <w:tl2br w:val="nil"/>
                    <w:tr2bl w:val="nil"/>
                  </w:tcBorders>
                  <w:vAlign w:val="center"/>
                </w:tcPr>
                <w:p w14:paraId="091F300D">
                  <w:pPr>
                    <w:pStyle w:val="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125</w:t>
                  </w:r>
                </w:p>
              </w:tc>
              <w:tc>
                <w:tcPr>
                  <w:tcW w:w="615" w:type="pct"/>
                  <w:tcBorders>
                    <w:top w:val="single" w:color="auto" w:sz="4" w:space="0"/>
                    <w:bottom w:val="single" w:color="auto" w:sz="4" w:space="0"/>
                    <w:tl2br w:val="nil"/>
                    <w:tr2bl w:val="nil"/>
                  </w:tcBorders>
                  <w:vAlign w:val="center"/>
                </w:tcPr>
                <w:p w14:paraId="2630A7C0">
                  <w:pPr>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除尘装置损坏</w:t>
                  </w:r>
                </w:p>
              </w:tc>
              <w:tc>
                <w:tcPr>
                  <w:tcW w:w="473" w:type="pct"/>
                  <w:tcBorders>
                    <w:top w:val="single" w:color="auto" w:sz="4" w:space="0"/>
                    <w:bottom w:val="single" w:color="auto" w:sz="4" w:space="0"/>
                    <w:tl2br w:val="nil"/>
                    <w:tr2bl w:val="nil"/>
                  </w:tcBorders>
                  <w:vAlign w:val="center"/>
                </w:tcPr>
                <w:p w14:paraId="32C25124">
                  <w:pPr>
                    <w:pStyle w:val="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＜1h</w:t>
                  </w:r>
                </w:p>
              </w:tc>
              <w:tc>
                <w:tcPr>
                  <w:tcW w:w="470" w:type="pct"/>
                  <w:tcBorders>
                    <w:top w:val="single" w:color="auto" w:sz="4" w:space="0"/>
                    <w:bottom w:val="single" w:color="auto" w:sz="4" w:space="0"/>
                    <w:tl2br w:val="nil"/>
                    <w:tr2bl w:val="nil"/>
                  </w:tcBorders>
                  <w:shd w:val="clear" w:color="auto" w:fill="auto"/>
                  <w:vAlign w:val="center"/>
                </w:tcPr>
                <w:p w14:paraId="2C2F9240">
                  <w:pPr>
                    <w:pStyle w:val="3"/>
                    <w:keepNext w:val="0"/>
                    <w:keepLines w:val="0"/>
                    <w:pageBreakBefore w:val="0"/>
                    <w:widowControl/>
                    <w:kinsoku/>
                    <w:wordWrap/>
                    <w:overflowPunct/>
                    <w:topLinePunct w:val="0"/>
                    <w:autoSpaceDE/>
                    <w:autoSpaceDN/>
                    <w:bidi w:val="0"/>
                    <w:adjustRightInd/>
                    <w:snapToGrid w:val="0"/>
                    <w:spacing w:before="0" w:after="0"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zh-CN"/>
                    </w:rPr>
                  </w:pPr>
                  <w:r>
                    <w:rPr>
                      <w:rFonts w:hint="default" w:ascii="Times New Roman" w:hAnsi="Times New Roman" w:eastAsia="宋体" w:cs="Times New Roman"/>
                      <w:color w:val="auto"/>
                      <w:sz w:val="21"/>
                      <w:szCs w:val="21"/>
                      <w:highlight w:val="none"/>
                      <w:vertAlign w:val="baseline"/>
                      <w:lang w:val="en-US" w:eastAsia="zh-CN"/>
                    </w:rPr>
                    <w:t>1次/a</w:t>
                  </w:r>
                </w:p>
              </w:tc>
              <w:tc>
                <w:tcPr>
                  <w:tcW w:w="725" w:type="pct"/>
                  <w:tcBorders>
                    <w:top w:val="single" w:color="auto" w:sz="4" w:space="0"/>
                    <w:bottom w:val="single" w:color="auto" w:sz="4" w:space="0"/>
                    <w:tl2br w:val="nil"/>
                    <w:tr2bl w:val="nil"/>
                  </w:tcBorders>
                  <w:vAlign w:val="center"/>
                </w:tcPr>
                <w:p w14:paraId="5DC5DE0A">
                  <w:pPr>
                    <w:pStyle w:val="3"/>
                    <w:keepNext w:val="0"/>
                    <w:keepLines w:val="0"/>
                    <w:pageBreakBefore w:val="0"/>
                    <w:widowControl/>
                    <w:kinsoku/>
                    <w:wordWrap/>
                    <w:overflowPunct/>
                    <w:topLinePunct w:val="0"/>
                    <w:autoSpaceDE/>
                    <w:autoSpaceDN/>
                    <w:bidi w:val="0"/>
                    <w:adjustRightInd/>
                    <w:snapToGrid w:val="0"/>
                    <w:spacing w:before="0" w:after="0" w:line="240" w:lineRule="auto"/>
                    <w:ind w:right="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立即停产进行维修</w:t>
                  </w:r>
                </w:p>
              </w:tc>
            </w:tr>
          </w:tbl>
          <w:p w14:paraId="66C0B7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由表4-4可知，非正常工况下污染物排放超标，对环境会造成较大的影响和危害，因此需设置应急措施以减小非正常工况下污染物对环境的影响，除了采用先进成熟的设备和工艺技术，还应该加强生产时的监督管理，严格执行操作规程，提高工作人员素质，精心操作仪器，保证防患于未然，将非正常工况出现的可能降到最低。一旦产生非正常工况，要能及时进行检修，并采取相应措施对污染物进行处理，确保此工况产生的污染物对环境造成的影响减到最低。</w:t>
            </w:r>
          </w:p>
          <w:p w14:paraId="70CB8264">
            <w:pPr>
              <w:spacing w:line="360" w:lineRule="auto"/>
              <w:rPr>
                <w:rFonts w:hint="default"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b/>
                <w:bCs/>
                <w:color w:val="auto"/>
                <w:sz w:val="24"/>
                <w:highlight w:val="none"/>
                <w:lang w:val="en-US" w:eastAsia="zh-CN"/>
              </w:rPr>
              <w:t>1.3 排放口设置情况</w:t>
            </w:r>
          </w:p>
          <w:p w14:paraId="77BF029A">
            <w:pPr>
              <w:spacing w:line="360" w:lineRule="auto"/>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本项目共设置</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个有组织废气排放口</w:t>
            </w:r>
            <w:r>
              <w:rPr>
                <w:rFonts w:hint="default" w:ascii="Times New Roman" w:hAnsi="Times New Roman" w:eastAsia="宋体" w:cs="Times New Roman"/>
                <w:color w:val="auto"/>
                <w:sz w:val="24"/>
                <w:szCs w:val="24"/>
                <w:highlight w:val="none"/>
                <w:lang w:val="en-US" w:eastAsia="zh-CN"/>
              </w:rPr>
              <w:t>。</w:t>
            </w:r>
          </w:p>
          <w:p w14:paraId="695E7B10">
            <w:pPr>
              <w:spacing w:line="360" w:lineRule="auto"/>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本项目有组织废气排放口基本情况见表4-</w:t>
            </w:r>
            <w:r>
              <w:rPr>
                <w:rFonts w:hint="default" w:ascii="Times New Roman" w:hAnsi="Times New Roman" w:eastAsia="宋体"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rPr>
              <w:t>。</w:t>
            </w:r>
          </w:p>
          <w:p w14:paraId="4002FDCC">
            <w:pPr>
              <w:pStyle w:val="76"/>
              <w:spacing w:line="240" w:lineRule="auto"/>
              <w:ind w:firstLine="405"/>
              <w:rPr>
                <w:rFonts w:hint="default" w:ascii="Times New Roman" w:hAnsi="Times New Roman" w:eastAsia="宋体" w:cs="Times New Roman"/>
                <w:color w:val="auto"/>
                <w:szCs w:val="21"/>
                <w:highlight w:val="none"/>
              </w:rPr>
            </w:pPr>
            <w:r>
              <w:rPr>
                <w:rFonts w:hint="default" w:ascii="Times New Roman" w:hAnsi="Times New Roman" w:eastAsia="宋体" w:cs="Times New Roman"/>
                <w:b/>
                <w:bCs/>
                <w:color w:val="auto"/>
                <w:szCs w:val="21"/>
                <w:highlight w:val="none"/>
              </w:rPr>
              <w:t>表4-</w:t>
            </w:r>
            <w:r>
              <w:rPr>
                <w:rFonts w:hint="default" w:ascii="Times New Roman" w:hAnsi="Times New Roman" w:eastAsia="宋体" w:cs="Times New Roman"/>
                <w:b/>
                <w:bCs/>
                <w:color w:val="auto"/>
                <w:szCs w:val="21"/>
                <w:highlight w:val="none"/>
                <w:lang w:val="en-US" w:eastAsia="zh-CN"/>
              </w:rPr>
              <w:t>7</w:t>
            </w:r>
            <w:r>
              <w:rPr>
                <w:rFonts w:hint="default" w:ascii="Times New Roman" w:hAnsi="Times New Roman" w:eastAsia="宋体" w:cs="Times New Roman"/>
                <w:b/>
                <w:bCs/>
                <w:color w:val="auto"/>
                <w:szCs w:val="21"/>
                <w:highlight w:val="none"/>
              </w:rPr>
              <w:t xml:space="preserve">    废气排放口设置一览表</w:t>
            </w:r>
          </w:p>
          <w:tbl>
            <w:tblPr>
              <w:tblStyle w:val="38"/>
              <w:tblW w:w="835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040"/>
              <w:gridCol w:w="920"/>
              <w:gridCol w:w="694"/>
              <w:gridCol w:w="565"/>
              <w:gridCol w:w="618"/>
              <w:gridCol w:w="608"/>
              <w:gridCol w:w="592"/>
              <w:gridCol w:w="691"/>
              <w:gridCol w:w="469"/>
              <w:gridCol w:w="735"/>
              <w:gridCol w:w="755"/>
            </w:tblGrid>
            <w:tr w14:paraId="391AC4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0" w:type="pct"/>
                  <w:vMerge w:val="restart"/>
                  <w:vAlign w:val="center"/>
                </w:tcPr>
                <w:p w14:paraId="2D0C4F04">
                  <w:pPr>
                    <w:pStyle w:val="77"/>
                    <w:spacing w:line="240" w:lineRule="auto"/>
                    <w:ind w:left="0" w:leftChars="0" w:firstLine="0" w:firstLineChars="0"/>
                    <w:jc w:val="both"/>
                    <w:rPr>
                      <w:rFonts w:hint="default" w:ascii="Times New Roman" w:hAnsi="Times New Roman" w:eastAsia="宋体" w:cs="Times New Roman"/>
                      <w:b/>
                      <w:bCs w:val="0"/>
                      <w:color w:val="auto"/>
                      <w:spacing w:val="-10"/>
                      <w:sz w:val="21"/>
                      <w:szCs w:val="21"/>
                      <w:highlight w:val="none"/>
                    </w:rPr>
                  </w:pPr>
                  <w:r>
                    <w:rPr>
                      <w:rFonts w:hint="default" w:ascii="Times New Roman" w:hAnsi="Times New Roman" w:eastAsia="宋体" w:cs="Times New Roman"/>
                      <w:b/>
                      <w:bCs w:val="0"/>
                      <w:color w:val="auto"/>
                      <w:spacing w:val="-10"/>
                      <w:sz w:val="21"/>
                      <w:szCs w:val="21"/>
                      <w:highlight w:val="none"/>
                    </w:rPr>
                    <w:t>排放口名称及编号</w:t>
                  </w:r>
                </w:p>
              </w:tc>
              <w:tc>
                <w:tcPr>
                  <w:tcW w:w="1172" w:type="pct"/>
                  <w:gridSpan w:val="2"/>
                  <w:vAlign w:val="center"/>
                </w:tcPr>
                <w:p w14:paraId="4728C478">
                  <w:pPr>
                    <w:pStyle w:val="77"/>
                    <w:spacing w:line="240" w:lineRule="auto"/>
                    <w:ind w:left="0" w:leftChars="0" w:firstLine="0" w:firstLineChars="0"/>
                    <w:jc w:val="both"/>
                    <w:rPr>
                      <w:rFonts w:hint="default" w:ascii="Times New Roman" w:hAnsi="Times New Roman" w:eastAsia="宋体" w:cs="Times New Roman"/>
                      <w:b/>
                      <w:bCs w:val="0"/>
                      <w:color w:val="auto"/>
                      <w:spacing w:val="-10"/>
                      <w:sz w:val="21"/>
                      <w:szCs w:val="21"/>
                      <w:highlight w:val="none"/>
                    </w:rPr>
                  </w:pPr>
                  <w:r>
                    <w:rPr>
                      <w:rFonts w:hint="default" w:ascii="Times New Roman" w:hAnsi="Times New Roman" w:eastAsia="宋体" w:cs="Times New Roman"/>
                      <w:b/>
                      <w:bCs w:val="0"/>
                      <w:color w:val="auto"/>
                      <w:spacing w:val="-10"/>
                      <w:sz w:val="21"/>
                      <w:szCs w:val="21"/>
                      <w:highlight w:val="none"/>
                    </w:rPr>
                    <w:t>排气筒底部中心坐标</w:t>
                  </w:r>
                </w:p>
              </w:tc>
              <w:tc>
                <w:tcPr>
                  <w:tcW w:w="1840" w:type="pct"/>
                  <w:gridSpan w:val="5"/>
                  <w:vAlign w:val="center"/>
                </w:tcPr>
                <w:p w14:paraId="1CE26C81">
                  <w:pPr>
                    <w:pStyle w:val="77"/>
                    <w:spacing w:line="240" w:lineRule="auto"/>
                    <w:ind w:left="0" w:leftChars="0" w:firstLine="0" w:firstLineChars="0"/>
                    <w:jc w:val="center"/>
                    <w:rPr>
                      <w:rFonts w:hint="default" w:ascii="Times New Roman" w:hAnsi="Times New Roman" w:eastAsia="宋体" w:cs="Times New Roman"/>
                      <w:b/>
                      <w:bCs w:val="0"/>
                      <w:color w:val="auto"/>
                      <w:spacing w:val="-10"/>
                      <w:sz w:val="21"/>
                      <w:szCs w:val="21"/>
                      <w:highlight w:val="none"/>
                    </w:rPr>
                  </w:pPr>
                  <w:r>
                    <w:rPr>
                      <w:rFonts w:hint="default" w:ascii="Times New Roman" w:hAnsi="Times New Roman" w:eastAsia="宋体" w:cs="Times New Roman"/>
                      <w:b/>
                      <w:bCs w:val="0"/>
                      <w:color w:val="auto"/>
                      <w:spacing w:val="-10"/>
                      <w:sz w:val="21"/>
                      <w:szCs w:val="21"/>
                      <w:highlight w:val="none"/>
                    </w:rPr>
                    <w:t>排气筒参数</w:t>
                  </w:r>
                </w:p>
              </w:tc>
              <w:tc>
                <w:tcPr>
                  <w:tcW w:w="694" w:type="pct"/>
                  <w:gridSpan w:val="2"/>
                  <w:vAlign w:val="center"/>
                </w:tcPr>
                <w:p w14:paraId="1564AFA5">
                  <w:pPr>
                    <w:pStyle w:val="77"/>
                    <w:spacing w:line="240" w:lineRule="auto"/>
                    <w:ind w:left="0" w:leftChars="0" w:firstLine="0" w:firstLineChars="0"/>
                    <w:jc w:val="both"/>
                    <w:rPr>
                      <w:rFonts w:hint="default" w:ascii="Times New Roman" w:hAnsi="Times New Roman" w:eastAsia="宋体" w:cs="Times New Roman"/>
                      <w:b/>
                      <w:bCs w:val="0"/>
                      <w:color w:val="auto"/>
                      <w:spacing w:val="-10"/>
                      <w:sz w:val="21"/>
                      <w:szCs w:val="21"/>
                      <w:highlight w:val="none"/>
                    </w:rPr>
                  </w:pPr>
                  <w:r>
                    <w:rPr>
                      <w:rFonts w:hint="default" w:ascii="Times New Roman" w:hAnsi="Times New Roman" w:eastAsia="宋体" w:cs="Times New Roman"/>
                      <w:b/>
                      <w:bCs w:val="0"/>
                      <w:color w:val="auto"/>
                      <w:spacing w:val="-10"/>
                      <w:sz w:val="21"/>
                      <w:szCs w:val="21"/>
                      <w:highlight w:val="none"/>
                    </w:rPr>
                    <w:t>运行参数</w:t>
                  </w:r>
                </w:p>
              </w:tc>
              <w:tc>
                <w:tcPr>
                  <w:tcW w:w="891" w:type="pct"/>
                  <w:gridSpan w:val="2"/>
                  <w:vAlign w:val="center"/>
                </w:tcPr>
                <w:p w14:paraId="2765174A">
                  <w:pPr>
                    <w:pStyle w:val="77"/>
                    <w:spacing w:line="240" w:lineRule="auto"/>
                    <w:ind w:left="0" w:leftChars="0" w:firstLine="0" w:firstLineChars="0"/>
                    <w:jc w:val="both"/>
                    <w:rPr>
                      <w:rFonts w:hint="default" w:ascii="Times New Roman" w:hAnsi="Times New Roman" w:eastAsia="宋体" w:cs="Times New Roman"/>
                      <w:b/>
                      <w:bCs w:val="0"/>
                      <w:color w:val="auto"/>
                      <w:spacing w:val="-10"/>
                      <w:sz w:val="21"/>
                      <w:szCs w:val="21"/>
                      <w:highlight w:val="none"/>
                    </w:rPr>
                  </w:pPr>
                  <w:r>
                    <w:rPr>
                      <w:rFonts w:hint="default" w:ascii="Times New Roman" w:hAnsi="Times New Roman" w:eastAsia="宋体" w:cs="Times New Roman"/>
                      <w:b/>
                      <w:bCs w:val="0"/>
                      <w:color w:val="auto"/>
                      <w:spacing w:val="-10"/>
                      <w:sz w:val="21"/>
                      <w:szCs w:val="21"/>
                      <w:highlight w:val="none"/>
                    </w:rPr>
                    <w:t>运行参数</w:t>
                  </w:r>
                </w:p>
              </w:tc>
            </w:tr>
            <w:tr w14:paraId="2CD735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0" w:type="pct"/>
                  <w:vMerge w:val="continue"/>
                  <w:tcBorders>
                    <w:bottom w:val="single" w:color="auto" w:sz="12" w:space="0"/>
                  </w:tcBorders>
                  <w:vAlign w:val="center"/>
                </w:tcPr>
                <w:p w14:paraId="78768A0E">
                  <w:pPr>
                    <w:pStyle w:val="77"/>
                    <w:spacing w:line="240" w:lineRule="auto"/>
                    <w:rPr>
                      <w:rFonts w:hint="default" w:ascii="Times New Roman" w:hAnsi="Times New Roman" w:eastAsia="宋体" w:cs="Times New Roman"/>
                      <w:b/>
                      <w:bCs w:val="0"/>
                      <w:color w:val="auto"/>
                      <w:spacing w:val="-10"/>
                      <w:sz w:val="21"/>
                      <w:szCs w:val="21"/>
                      <w:highlight w:val="none"/>
                    </w:rPr>
                  </w:pPr>
                </w:p>
              </w:tc>
              <w:tc>
                <w:tcPr>
                  <w:tcW w:w="622" w:type="pct"/>
                  <w:tcBorders>
                    <w:bottom w:val="single" w:color="auto" w:sz="12" w:space="0"/>
                  </w:tcBorders>
                  <w:vAlign w:val="center"/>
                </w:tcPr>
                <w:p w14:paraId="62998D9C">
                  <w:pPr>
                    <w:pStyle w:val="77"/>
                    <w:spacing w:line="240" w:lineRule="auto"/>
                    <w:ind w:left="0" w:leftChars="0" w:firstLine="0" w:firstLineChars="0"/>
                    <w:jc w:val="both"/>
                    <w:rPr>
                      <w:rFonts w:hint="default" w:ascii="Times New Roman" w:hAnsi="Times New Roman" w:eastAsia="宋体" w:cs="Times New Roman"/>
                      <w:b/>
                      <w:bCs w:val="0"/>
                      <w:color w:val="auto"/>
                      <w:spacing w:val="-10"/>
                      <w:sz w:val="21"/>
                      <w:szCs w:val="21"/>
                      <w:highlight w:val="none"/>
                    </w:rPr>
                  </w:pPr>
                  <w:r>
                    <w:rPr>
                      <w:rFonts w:hint="default" w:ascii="Times New Roman" w:hAnsi="Times New Roman" w:eastAsia="宋体" w:cs="Times New Roman"/>
                      <w:b/>
                      <w:bCs w:val="0"/>
                      <w:color w:val="auto"/>
                      <w:spacing w:val="-10"/>
                      <w:sz w:val="21"/>
                      <w:szCs w:val="21"/>
                      <w:highlight w:val="none"/>
                    </w:rPr>
                    <w:t>经度</w:t>
                  </w:r>
                </w:p>
              </w:tc>
              <w:tc>
                <w:tcPr>
                  <w:tcW w:w="550" w:type="pct"/>
                  <w:tcBorders>
                    <w:bottom w:val="single" w:color="auto" w:sz="12" w:space="0"/>
                  </w:tcBorders>
                  <w:vAlign w:val="center"/>
                </w:tcPr>
                <w:p w14:paraId="61E29359">
                  <w:pPr>
                    <w:pStyle w:val="77"/>
                    <w:spacing w:line="240" w:lineRule="auto"/>
                    <w:ind w:left="0" w:leftChars="0" w:firstLine="0" w:firstLineChars="0"/>
                    <w:jc w:val="both"/>
                    <w:rPr>
                      <w:rFonts w:hint="default" w:ascii="Times New Roman" w:hAnsi="Times New Roman" w:eastAsia="宋体" w:cs="Times New Roman"/>
                      <w:b/>
                      <w:bCs w:val="0"/>
                      <w:color w:val="auto"/>
                      <w:spacing w:val="-10"/>
                      <w:sz w:val="21"/>
                      <w:szCs w:val="21"/>
                      <w:highlight w:val="none"/>
                    </w:rPr>
                  </w:pPr>
                  <w:r>
                    <w:rPr>
                      <w:rFonts w:hint="default" w:ascii="Times New Roman" w:hAnsi="Times New Roman" w:eastAsia="宋体" w:cs="Times New Roman"/>
                      <w:b/>
                      <w:bCs w:val="0"/>
                      <w:color w:val="auto"/>
                      <w:spacing w:val="-10"/>
                      <w:sz w:val="21"/>
                      <w:szCs w:val="21"/>
                      <w:highlight w:val="none"/>
                    </w:rPr>
                    <w:t>纬度</w:t>
                  </w:r>
                </w:p>
              </w:tc>
              <w:tc>
                <w:tcPr>
                  <w:tcW w:w="415" w:type="pct"/>
                  <w:tcBorders>
                    <w:bottom w:val="single" w:color="auto" w:sz="12" w:space="0"/>
                  </w:tcBorders>
                  <w:vAlign w:val="center"/>
                </w:tcPr>
                <w:p w14:paraId="718C7B84">
                  <w:pPr>
                    <w:pStyle w:val="77"/>
                    <w:spacing w:line="240" w:lineRule="auto"/>
                    <w:ind w:left="0" w:leftChars="0" w:firstLine="0" w:firstLineChars="0"/>
                    <w:jc w:val="both"/>
                    <w:rPr>
                      <w:rFonts w:hint="default" w:ascii="Times New Roman" w:hAnsi="Times New Roman" w:eastAsia="宋体" w:cs="Times New Roman"/>
                      <w:b/>
                      <w:bCs w:val="0"/>
                      <w:color w:val="auto"/>
                      <w:spacing w:val="-10"/>
                      <w:sz w:val="21"/>
                      <w:szCs w:val="21"/>
                      <w:highlight w:val="none"/>
                    </w:rPr>
                  </w:pPr>
                  <w:r>
                    <w:rPr>
                      <w:rFonts w:hint="default" w:ascii="Times New Roman" w:hAnsi="Times New Roman" w:eastAsia="宋体" w:cs="Times New Roman"/>
                      <w:b/>
                      <w:bCs w:val="0"/>
                      <w:color w:val="auto"/>
                      <w:sz w:val="21"/>
                      <w:szCs w:val="21"/>
                      <w:highlight w:val="none"/>
                    </w:rPr>
                    <w:t>排气筒高度(m)</w:t>
                  </w:r>
                </w:p>
              </w:tc>
              <w:tc>
                <w:tcPr>
                  <w:tcW w:w="338" w:type="pct"/>
                  <w:tcBorders>
                    <w:bottom w:val="single" w:color="auto" w:sz="12" w:space="0"/>
                  </w:tcBorders>
                  <w:vAlign w:val="center"/>
                </w:tcPr>
                <w:p w14:paraId="556DD30C">
                  <w:pPr>
                    <w:pStyle w:val="77"/>
                    <w:spacing w:line="240" w:lineRule="auto"/>
                    <w:ind w:left="0" w:leftChars="0" w:firstLine="0" w:firstLineChars="0"/>
                    <w:jc w:val="both"/>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lang w:val="en-US" w:eastAsia="zh-CN"/>
                    </w:rPr>
                    <w:t>排气筒底部海拔高度</w:t>
                  </w:r>
                  <w:r>
                    <w:rPr>
                      <w:rFonts w:hint="default" w:ascii="Times New Roman" w:hAnsi="Times New Roman" w:eastAsia="宋体" w:cs="Times New Roman"/>
                      <w:b/>
                      <w:bCs w:val="0"/>
                      <w:color w:val="auto"/>
                      <w:sz w:val="21"/>
                      <w:szCs w:val="21"/>
                      <w:highlight w:val="none"/>
                    </w:rPr>
                    <w:t>(m)</w:t>
                  </w:r>
                </w:p>
              </w:tc>
              <w:tc>
                <w:tcPr>
                  <w:tcW w:w="369" w:type="pct"/>
                  <w:tcBorders>
                    <w:bottom w:val="single" w:color="auto" w:sz="12" w:space="0"/>
                  </w:tcBorders>
                  <w:vAlign w:val="center"/>
                </w:tcPr>
                <w:p w14:paraId="509F38AF">
                  <w:pPr>
                    <w:pStyle w:val="77"/>
                    <w:spacing w:line="240" w:lineRule="auto"/>
                    <w:ind w:left="0" w:leftChars="0" w:firstLine="0" w:firstLineChars="0"/>
                    <w:jc w:val="both"/>
                    <w:rPr>
                      <w:rFonts w:hint="default" w:ascii="Times New Roman" w:hAnsi="Times New Roman" w:eastAsia="宋体" w:cs="Times New Roman"/>
                      <w:b/>
                      <w:bCs w:val="0"/>
                      <w:color w:val="auto"/>
                      <w:spacing w:val="-10"/>
                      <w:sz w:val="21"/>
                      <w:szCs w:val="21"/>
                      <w:highlight w:val="none"/>
                    </w:rPr>
                  </w:pPr>
                  <w:r>
                    <w:rPr>
                      <w:rFonts w:hint="default" w:ascii="Times New Roman" w:hAnsi="Times New Roman" w:eastAsia="宋体" w:cs="Times New Roman"/>
                      <w:b/>
                      <w:bCs w:val="0"/>
                      <w:color w:val="auto"/>
                      <w:spacing w:val="-10"/>
                      <w:sz w:val="21"/>
                      <w:szCs w:val="21"/>
                      <w:highlight w:val="none"/>
                    </w:rPr>
                    <w:t>排气筒出口</w:t>
                  </w:r>
                  <w:r>
                    <w:rPr>
                      <w:rFonts w:hint="default" w:ascii="Times New Roman" w:hAnsi="Times New Roman" w:eastAsia="宋体" w:cs="Times New Roman"/>
                      <w:b/>
                      <w:bCs w:val="0"/>
                      <w:color w:val="auto"/>
                      <w:spacing w:val="-10"/>
                      <w:sz w:val="21"/>
                      <w:szCs w:val="21"/>
                      <w:highlight w:val="none"/>
                      <w:lang w:eastAsia="zh-CN"/>
                    </w:rPr>
                    <w:t>内径</w:t>
                  </w:r>
                  <w:r>
                    <w:rPr>
                      <w:rFonts w:hint="default" w:ascii="Times New Roman" w:hAnsi="Times New Roman" w:eastAsia="宋体" w:cs="Times New Roman"/>
                      <w:b/>
                      <w:bCs w:val="0"/>
                      <w:color w:val="auto"/>
                      <w:spacing w:val="-10"/>
                      <w:sz w:val="21"/>
                      <w:szCs w:val="21"/>
                      <w:highlight w:val="none"/>
                    </w:rPr>
                    <w:t>(m)</w:t>
                  </w:r>
                </w:p>
              </w:tc>
              <w:tc>
                <w:tcPr>
                  <w:tcW w:w="363" w:type="pct"/>
                  <w:tcBorders>
                    <w:bottom w:val="single" w:color="auto" w:sz="12" w:space="0"/>
                  </w:tcBorders>
                  <w:vAlign w:val="center"/>
                </w:tcPr>
                <w:p w14:paraId="1F3FBBD5">
                  <w:pPr>
                    <w:pStyle w:val="77"/>
                    <w:spacing w:line="240" w:lineRule="auto"/>
                    <w:ind w:left="0" w:leftChars="0" w:firstLine="0" w:firstLineChars="0"/>
                    <w:jc w:val="both"/>
                    <w:rPr>
                      <w:rFonts w:hint="default" w:ascii="Times New Roman" w:hAnsi="Times New Roman" w:eastAsia="宋体" w:cs="Times New Roman"/>
                      <w:b/>
                      <w:bCs w:val="0"/>
                      <w:color w:val="auto"/>
                      <w:spacing w:val="-10"/>
                      <w:sz w:val="21"/>
                      <w:szCs w:val="21"/>
                      <w:highlight w:val="none"/>
                    </w:rPr>
                  </w:pPr>
                  <w:r>
                    <w:rPr>
                      <w:rFonts w:hint="default" w:ascii="Times New Roman" w:hAnsi="Times New Roman" w:eastAsia="宋体" w:cs="Times New Roman"/>
                      <w:b/>
                      <w:bCs w:val="0"/>
                      <w:color w:val="auto"/>
                      <w:spacing w:val="-10"/>
                      <w:sz w:val="21"/>
                      <w:szCs w:val="21"/>
                      <w:highlight w:val="none"/>
                      <w:lang w:val="en-US" w:eastAsia="zh-CN"/>
                    </w:rPr>
                    <w:t>烟气流速</w:t>
                  </w:r>
                  <w:r>
                    <w:rPr>
                      <w:rFonts w:hint="default" w:ascii="Times New Roman" w:hAnsi="Times New Roman" w:eastAsia="宋体" w:cs="Times New Roman"/>
                      <w:b/>
                      <w:bCs w:val="0"/>
                      <w:color w:val="auto"/>
                      <w:spacing w:val="-10"/>
                      <w:sz w:val="21"/>
                      <w:szCs w:val="21"/>
                      <w:highlight w:val="none"/>
                    </w:rPr>
                    <w:t>(m/</w:t>
                  </w:r>
                  <w:r>
                    <w:rPr>
                      <w:rFonts w:hint="default" w:ascii="Times New Roman" w:hAnsi="Times New Roman" w:eastAsia="宋体" w:cs="Times New Roman"/>
                      <w:b/>
                      <w:bCs w:val="0"/>
                      <w:color w:val="auto"/>
                      <w:spacing w:val="-10"/>
                      <w:sz w:val="21"/>
                      <w:szCs w:val="21"/>
                      <w:highlight w:val="none"/>
                      <w:lang w:val="en-US" w:eastAsia="zh-CN"/>
                    </w:rPr>
                    <w:t>s</w:t>
                  </w:r>
                  <w:r>
                    <w:rPr>
                      <w:rFonts w:hint="default" w:ascii="Times New Roman" w:hAnsi="Times New Roman" w:eastAsia="宋体" w:cs="Times New Roman"/>
                      <w:b/>
                      <w:bCs w:val="0"/>
                      <w:color w:val="auto"/>
                      <w:spacing w:val="-10"/>
                      <w:sz w:val="21"/>
                      <w:szCs w:val="21"/>
                      <w:highlight w:val="none"/>
                    </w:rPr>
                    <w:t>)</w:t>
                  </w:r>
                </w:p>
              </w:tc>
              <w:tc>
                <w:tcPr>
                  <w:tcW w:w="354" w:type="pct"/>
                  <w:tcBorders>
                    <w:bottom w:val="single" w:color="auto" w:sz="12" w:space="0"/>
                  </w:tcBorders>
                  <w:vAlign w:val="center"/>
                </w:tcPr>
                <w:p w14:paraId="63B9CDB7">
                  <w:pPr>
                    <w:pStyle w:val="77"/>
                    <w:spacing w:line="240" w:lineRule="auto"/>
                    <w:ind w:left="0" w:leftChars="0" w:firstLine="0" w:firstLineChars="0"/>
                    <w:jc w:val="both"/>
                    <w:rPr>
                      <w:rFonts w:hint="default" w:ascii="Times New Roman" w:hAnsi="Times New Roman" w:eastAsia="宋体" w:cs="Times New Roman"/>
                      <w:b/>
                      <w:bCs w:val="0"/>
                      <w:color w:val="auto"/>
                      <w:spacing w:val="-10"/>
                      <w:sz w:val="21"/>
                      <w:szCs w:val="21"/>
                      <w:highlight w:val="none"/>
                    </w:rPr>
                  </w:pPr>
                  <w:r>
                    <w:rPr>
                      <w:rFonts w:hint="default" w:ascii="Times New Roman" w:hAnsi="Times New Roman" w:eastAsia="宋体" w:cs="Times New Roman"/>
                      <w:b/>
                      <w:bCs w:val="0"/>
                      <w:color w:val="auto"/>
                      <w:spacing w:val="-10"/>
                      <w:sz w:val="21"/>
                      <w:szCs w:val="21"/>
                      <w:highlight w:val="none"/>
                    </w:rPr>
                    <w:t>烟气温度(℃)</w:t>
                  </w:r>
                </w:p>
              </w:tc>
              <w:tc>
                <w:tcPr>
                  <w:tcW w:w="413" w:type="pct"/>
                  <w:tcBorders>
                    <w:bottom w:val="single" w:color="auto" w:sz="12" w:space="0"/>
                  </w:tcBorders>
                  <w:vAlign w:val="center"/>
                </w:tcPr>
                <w:p w14:paraId="5E0230BA">
                  <w:pPr>
                    <w:pStyle w:val="77"/>
                    <w:spacing w:line="240" w:lineRule="auto"/>
                    <w:ind w:left="0" w:leftChars="0" w:firstLine="0" w:firstLineChars="0"/>
                    <w:jc w:val="both"/>
                    <w:rPr>
                      <w:rFonts w:hint="default" w:ascii="Times New Roman" w:hAnsi="Times New Roman" w:eastAsia="宋体" w:cs="Times New Roman"/>
                      <w:b/>
                      <w:bCs w:val="0"/>
                      <w:color w:val="auto"/>
                      <w:spacing w:val="-10"/>
                      <w:sz w:val="21"/>
                      <w:szCs w:val="21"/>
                      <w:highlight w:val="none"/>
                    </w:rPr>
                  </w:pPr>
                  <w:r>
                    <w:rPr>
                      <w:rFonts w:hint="default" w:ascii="Times New Roman" w:hAnsi="Times New Roman" w:eastAsia="宋体" w:cs="Times New Roman"/>
                      <w:b/>
                      <w:bCs w:val="0"/>
                      <w:color w:val="auto"/>
                      <w:spacing w:val="-10"/>
                      <w:sz w:val="21"/>
                      <w:szCs w:val="21"/>
                      <w:highlight w:val="none"/>
                    </w:rPr>
                    <w:t>年排放小时数(h)</w:t>
                  </w:r>
                </w:p>
              </w:tc>
              <w:tc>
                <w:tcPr>
                  <w:tcW w:w="280" w:type="pct"/>
                  <w:tcBorders>
                    <w:bottom w:val="single" w:color="auto" w:sz="12" w:space="0"/>
                  </w:tcBorders>
                  <w:vAlign w:val="center"/>
                </w:tcPr>
                <w:p w14:paraId="77A593A4">
                  <w:pPr>
                    <w:pStyle w:val="77"/>
                    <w:spacing w:line="240" w:lineRule="auto"/>
                    <w:ind w:left="0" w:leftChars="0" w:firstLine="0" w:firstLineChars="0"/>
                    <w:jc w:val="both"/>
                    <w:rPr>
                      <w:rFonts w:hint="default" w:ascii="Times New Roman" w:hAnsi="Times New Roman" w:eastAsia="宋体" w:cs="Times New Roman"/>
                      <w:b/>
                      <w:bCs w:val="0"/>
                      <w:color w:val="auto"/>
                      <w:spacing w:val="-10"/>
                      <w:sz w:val="21"/>
                      <w:szCs w:val="21"/>
                      <w:highlight w:val="none"/>
                    </w:rPr>
                  </w:pPr>
                  <w:r>
                    <w:rPr>
                      <w:rFonts w:hint="default" w:ascii="Times New Roman" w:hAnsi="Times New Roman" w:eastAsia="宋体" w:cs="Times New Roman"/>
                      <w:b/>
                      <w:bCs w:val="0"/>
                      <w:color w:val="auto"/>
                      <w:spacing w:val="-10"/>
                      <w:sz w:val="21"/>
                      <w:szCs w:val="21"/>
                      <w:highlight w:val="none"/>
                    </w:rPr>
                    <w:t>排放工况</w:t>
                  </w:r>
                </w:p>
              </w:tc>
              <w:tc>
                <w:tcPr>
                  <w:tcW w:w="439" w:type="pct"/>
                  <w:tcBorders>
                    <w:bottom w:val="single" w:color="auto" w:sz="12" w:space="0"/>
                  </w:tcBorders>
                  <w:vAlign w:val="center"/>
                </w:tcPr>
                <w:p w14:paraId="3DAD7F65">
                  <w:pPr>
                    <w:pStyle w:val="77"/>
                    <w:spacing w:line="240" w:lineRule="auto"/>
                    <w:ind w:left="0" w:leftChars="0" w:firstLine="0" w:firstLineChars="0"/>
                    <w:jc w:val="both"/>
                    <w:rPr>
                      <w:rFonts w:hint="default" w:ascii="Times New Roman" w:hAnsi="Times New Roman" w:eastAsia="宋体" w:cs="Times New Roman"/>
                      <w:b/>
                      <w:bCs w:val="0"/>
                      <w:color w:val="auto"/>
                      <w:spacing w:val="-10"/>
                      <w:sz w:val="21"/>
                      <w:szCs w:val="21"/>
                      <w:highlight w:val="none"/>
                    </w:rPr>
                  </w:pPr>
                  <w:r>
                    <w:rPr>
                      <w:rFonts w:hint="default" w:ascii="Times New Roman" w:hAnsi="Times New Roman" w:eastAsia="宋体" w:cs="Times New Roman"/>
                      <w:b/>
                      <w:bCs w:val="0"/>
                      <w:color w:val="auto"/>
                      <w:spacing w:val="-10"/>
                      <w:sz w:val="21"/>
                      <w:szCs w:val="21"/>
                      <w:highlight w:val="none"/>
                    </w:rPr>
                    <w:t>污染源名称</w:t>
                  </w:r>
                </w:p>
              </w:tc>
              <w:tc>
                <w:tcPr>
                  <w:tcW w:w="451" w:type="pct"/>
                  <w:tcBorders>
                    <w:bottom w:val="single" w:color="auto" w:sz="12" w:space="0"/>
                  </w:tcBorders>
                  <w:vAlign w:val="center"/>
                </w:tcPr>
                <w:p w14:paraId="266F6401">
                  <w:pPr>
                    <w:pStyle w:val="77"/>
                    <w:spacing w:line="240" w:lineRule="auto"/>
                    <w:ind w:left="0" w:leftChars="0" w:firstLine="0" w:firstLineChars="0"/>
                    <w:jc w:val="both"/>
                    <w:rPr>
                      <w:rFonts w:hint="default" w:ascii="Times New Roman" w:hAnsi="Times New Roman" w:eastAsia="宋体" w:cs="Times New Roman"/>
                      <w:b/>
                      <w:bCs w:val="0"/>
                      <w:color w:val="auto"/>
                      <w:spacing w:val="-10"/>
                      <w:sz w:val="21"/>
                      <w:szCs w:val="21"/>
                      <w:highlight w:val="none"/>
                    </w:rPr>
                  </w:pPr>
                  <w:r>
                    <w:rPr>
                      <w:rFonts w:hint="default" w:ascii="Times New Roman" w:hAnsi="Times New Roman" w:eastAsia="宋体" w:cs="Times New Roman"/>
                      <w:b/>
                      <w:bCs w:val="0"/>
                      <w:color w:val="auto"/>
                      <w:spacing w:val="-10"/>
                      <w:sz w:val="21"/>
                      <w:szCs w:val="21"/>
                      <w:highlight w:val="none"/>
                    </w:rPr>
                    <w:t>污染物排放速率(kg/h)</w:t>
                  </w:r>
                </w:p>
              </w:tc>
            </w:tr>
            <w:tr w14:paraId="5F3434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0" w:type="pct"/>
                  <w:tcBorders>
                    <w:top w:val="single" w:color="auto" w:sz="12" w:space="0"/>
                    <w:bottom w:val="single" w:color="auto" w:sz="4" w:space="0"/>
                    <w:tl2br w:val="nil"/>
                    <w:tr2bl w:val="nil"/>
                  </w:tcBorders>
                  <w:vAlign w:val="center"/>
                </w:tcPr>
                <w:p w14:paraId="174F15BB">
                  <w:pPr>
                    <w:pStyle w:val="77"/>
                    <w:ind w:left="0" w:leftChars="0" w:firstLine="0" w:firstLineChars="0"/>
                    <w:jc w:val="both"/>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DA001</w:t>
                  </w:r>
                </w:p>
              </w:tc>
              <w:tc>
                <w:tcPr>
                  <w:tcW w:w="622" w:type="pct"/>
                  <w:tcBorders>
                    <w:top w:val="single" w:color="auto" w:sz="12" w:space="0"/>
                    <w:bottom w:val="single" w:color="auto" w:sz="4" w:space="0"/>
                    <w:tl2br w:val="nil"/>
                    <w:tr2bl w:val="nil"/>
                  </w:tcBorders>
                  <w:vAlign w:val="center"/>
                </w:tcPr>
                <w:p w14:paraId="2551CDFE">
                  <w:pPr>
                    <w:pStyle w:val="77"/>
                    <w:ind w:left="0" w:leftChars="0" w:firstLine="0" w:firstLineChars="0"/>
                    <w:jc w:val="both"/>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90°</w:t>
                  </w:r>
                  <w:r>
                    <w:rPr>
                      <w:rFonts w:hint="default" w:ascii="Times New Roman" w:hAnsi="Times New Roman" w:eastAsia="宋体" w:cs="Times New Roman"/>
                      <w:color w:val="auto"/>
                      <w:spacing w:val="-10"/>
                      <w:sz w:val="21"/>
                      <w:szCs w:val="21"/>
                      <w:highlight w:val="none"/>
                      <w:lang w:val="en-US" w:eastAsia="zh-CN"/>
                    </w:rPr>
                    <w:t>07</w:t>
                  </w:r>
                  <w:r>
                    <w:rPr>
                      <w:rFonts w:hint="default" w:ascii="Times New Roman" w:hAnsi="Times New Roman" w:eastAsia="宋体" w:cs="Times New Roman"/>
                      <w:color w:val="auto"/>
                      <w:spacing w:val="-10"/>
                      <w:sz w:val="21"/>
                      <w:szCs w:val="21"/>
                      <w:highlight w:val="none"/>
                    </w:rPr>
                    <w:t>′</w:t>
                  </w:r>
                  <w:r>
                    <w:rPr>
                      <w:rFonts w:hint="default" w:ascii="Times New Roman" w:hAnsi="Times New Roman" w:eastAsia="宋体" w:cs="Times New Roman"/>
                      <w:color w:val="auto"/>
                      <w:spacing w:val="-10"/>
                      <w:sz w:val="21"/>
                      <w:szCs w:val="21"/>
                      <w:highlight w:val="none"/>
                      <w:lang w:val="en-US" w:eastAsia="zh-CN"/>
                    </w:rPr>
                    <w:t>10.97</w:t>
                  </w:r>
                  <w:r>
                    <w:rPr>
                      <w:rFonts w:hint="default" w:ascii="Times New Roman" w:hAnsi="Times New Roman" w:eastAsia="宋体" w:cs="Times New Roman"/>
                      <w:color w:val="auto"/>
                      <w:spacing w:val="-10"/>
                      <w:sz w:val="21"/>
                      <w:szCs w:val="21"/>
                      <w:highlight w:val="none"/>
                    </w:rPr>
                    <w:t>″</w:t>
                  </w:r>
                </w:p>
              </w:tc>
              <w:tc>
                <w:tcPr>
                  <w:tcW w:w="550" w:type="pct"/>
                  <w:tcBorders>
                    <w:top w:val="single" w:color="auto" w:sz="12" w:space="0"/>
                    <w:bottom w:val="single" w:color="auto" w:sz="4" w:space="0"/>
                    <w:tl2br w:val="nil"/>
                    <w:tr2bl w:val="nil"/>
                  </w:tcBorders>
                  <w:vAlign w:val="center"/>
                </w:tcPr>
                <w:p w14:paraId="19F0B3D8">
                  <w:pPr>
                    <w:pStyle w:val="77"/>
                    <w:ind w:left="0" w:leftChars="0" w:firstLine="0" w:firstLineChars="0"/>
                    <w:jc w:val="both"/>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z w:val="21"/>
                      <w:szCs w:val="21"/>
                      <w:highlight w:val="none"/>
                    </w:rPr>
                    <w:t>44°</w:t>
                  </w:r>
                  <w:r>
                    <w:rPr>
                      <w:rFonts w:hint="default" w:ascii="Times New Roman" w:hAnsi="Times New Roman" w:eastAsia="宋体" w:cs="Times New Roman"/>
                      <w:color w:val="auto"/>
                      <w:sz w:val="21"/>
                      <w:szCs w:val="21"/>
                      <w:highlight w:val="none"/>
                      <w:lang w:val="en-US" w:eastAsia="zh-CN"/>
                    </w:rPr>
                    <w:t>6</w:t>
                  </w:r>
                  <w:r>
                    <w:rPr>
                      <w:rFonts w:hint="default" w:ascii="Times New Roman" w:hAnsi="Times New Roman" w:eastAsia="宋体" w:cs="Times New Roman"/>
                      <w:color w:val="auto"/>
                      <w:sz w:val="21"/>
                      <w:szCs w:val="21"/>
                      <w:highlight w:val="none"/>
                    </w:rPr>
                    <w:t>5′</w:t>
                  </w:r>
                  <w:r>
                    <w:rPr>
                      <w:rFonts w:hint="default" w:ascii="Times New Roman" w:hAnsi="Times New Roman" w:eastAsia="宋体" w:cs="Times New Roman"/>
                      <w:color w:val="auto"/>
                      <w:sz w:val="21"/>
                      <w:szCs w:val="21"/>
                      <w:highlight w:val="none"/>
                      <w:lang w:val="en-US" w:eastAsia="zh-CN"/>
                    </w:rPr>
                    <w:t>42.83</w:t>
                  </w:r>
                  <w:r>
                    <w:rPr>
                      <w:rFonts w:hint="default" w:ascii="Times New Roman" w:hAnsi="Times New Roman" w:eastAsia="宋体" w:cs="Times New Roman"/>
                      <w:color w:val="auto"/>
                      <w:sz w:val="21"/>
                      <w:szCs w:val="21"/>
                      <w:highlight w:val="none"/>
                    </w:rPr>
                    <w:t>″</w:t>
                  </w:r>
                </w:p>
              </w:tc>
              <w:tc>
                <w:tcPr>
                  <w:tcW w:w="415" w:type="pct"/>
                  <w:tcBorders>
                    <w:top w:val="single" w:color="auto" w:sz="12" w:space="0"/>
                    <w:bottom w:val="single" w:color="auto" w:sz="4" w:space="0"/>
                    <w:tl2br w:val="nil"/>
                    <w:tr2bl w:val="nil"/>
                  </w:tcBorders>
                  <w:vAlign w:val="center"/>
                </w:tcPr>
                <w:p w14:paraId="61E33785">
                  <w:pPr>
                    <w:pStyle w:val="77"/>
                    <w:ind w:left="0" w:leftChars="0" w:firstLine="0" w:firstLineChars="0"/>
                    <w:jc w:val="both"/>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15</w:t>
                  </w:r>
                </w:p>
              </w:tc>
              <w:tc>
                <w:tcPr>
                  <w:tcW w:w="338" w:type="pct"/>
                  <w:tcBorders>
                    <w:top w:val="single" w:color="auto" w:sz="12" w:space="0"/>
                    <w:bottom w:val="single" w:color="auto" w:sz="4" w:space="0"/>
                    <w:tl2br w:val="nil"/>
                    <w:tr2bl w:val="nil"/>
                  </w:tcBorders>
                  <w:vAlign w:val="center"/>
                </w:tcPr>
                <w:p w14:paraId="7F2BF431">
                  <w:pPr>
                    <w:pStyle w:val="77"/>
                    <w:ind w:left="0" w:leftChars="0" w:firstLine="0" w:firstLineChars="0"/>
                    <w:jc w:val="both"/>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792</w:t>
                  </w:r>
                </w:p>
              </w:tc>
              <w:tc>
                <w:tcPr>
                  <w:tcW w:w="369" w:type="pct"/>
                  <w:tcBorders>
                    <w:top w:val="single" w:color="auto" w:sz="12" w:space="0"/>
                    <w:bottom w:val="single" w:color="auto" w:sz="4" w:space="0"/>
                    <w:tl2br w:val="nil"/>
                    <w:tr2bl w:val="nil"/>
                  </w:tcBorders>
                  <w:vAlign w:val="center"/>
                </w:tcPr>
                <w:p w14:paraId="2355FFAB">
                  <w:pPr>
                    <w:pStyle w:val="77"/>
                    <w:ind w:left="0" w:leftChars="0" w:firstLine="0" w:firstLineChars="0"/>
                    <w:jc w:val="both"/>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0.6</w:t>
                  </w:r>
                </w:p>
              </w:tc>
              <w:tc>
                <w:tcPr>
                  <w:tcW w:w="363" w:type="pct"/>
                  <w:tcBorders>
                    <w:top w:val="single" w:color="auto" w:sz="12" w:space="0"/>
                    <w:bottom w:val="single" w:color="auto" w:sz="4" w:space="0"/>
                    <w:tl2br w:val="nil"/>
                    <w:tr2bl w:val="nil"/>
                  </w:tcBorders>
                  <w:vAlign w:val="center"/>
                </w:tcPr>
                <w:p w14:paraId="178DE146">
                  <w:pPr>
                    <w:pStyle w:val="77"/>
                    <w:ind w:left="0" w:leftChars="0" w:firstLine="0" w:firstLineChars="0"/>
                    <w:jc w:val="both"/>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19.63</w:t>
                  </w:r>
                </w:p>
              </w:tc>
              <w:tc>
                <w:tcPr>
                  <w:tcW w:w="354" w:type="pct"/>
                  <w:tcBorders>
                    <w:top w:val="single" w:color="auto" w:sz="12" w:space="0"/>
                    <w:bottom w:val="single" w:color="auto" w:sz="4" w:space="0"/>
                    <w:tl2br w:val="nil"/>
                    <w:tr2bl w:val="nil"/>
                  </w:tcBorders>
                  <w:vAlign w:val="center"/>
                </w:tcPr>
                <w:p w14:paraId="03286A79">
                  <w:pPr>
                    <w:pStyle w:val="77"/>
                    <w:ind w:left="0" w:leftChars="0" w:firstLine="0" w:firstLineChars="0"/>
                    <w:jc w:val="both"/>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25</w:t>
                  </w:r>
                </w:p>
              </w:tc>
              <w:tc>
                <w:tcPr>
                  <w:tcW w:w="413" w:type="pct"/>
                  <w:tcBorders>
                    <w:top w:val="single" w:color="auto" w:sz="12" w:space="0"/>
                    <w:bottom w:val="single" w:color="auto" w:sz="4" w:space="0"/>
                    <w:tl2br w:val="nil"/>
                    <w:tr2bl w:val="nil"/>
                  </w:tcBorders>
                  <w:vAlign w:val="center"/>
                </w:tcPr>
                <w:p w14:paraId="6EAC5F8D">
                  <w:pPr>
                    <w:pStyle w:val="77"/>
                    <w:ind w:left="0" w:leftChars="0" w:firstLine="0" w:firstLineChars="0"/>
                    <w:jc w:val="both"/>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3360</w:t>
                  </w:r>
                </w:p>
              </w:tc>
              <w:tc>
                <w:tcPr>
                  <w:tcW w:w="280" w:type="pct"/>
                  <w:tcBorders>
                    <w:top w:val="single" w:color="auto" w:sz="12" w:space="0"/>
                    <w:bottom w:val="single" w:color="auto" w:sz="4" w:space="0"/>
                    <w:tl2br w:val="nil"/>
                    <w:tr2bl w:val="nil"/>
                  </w:tcBorders>
                  <w:vAlign w:val="center"/>
                </w:tcPr>
                <w:p w14:paraId="39A392C2">
                  <w:pPr>
                    <w:pStyle w:val="77"/>
                    <w:ind w:left="0" w:leftChars="0" w:firstLine="0" w:firstLineChars="0"/>
                    <w:jc w:val="both"/>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正常</w:t>
                  </w:r>
                </w:p>
              </w:tc>
              <w:tc>
                <w:tcPr>
                  <w:tcW w:w="439" w:type="pct"/>
                  <w:tcBorders>
                    <w:top w:val="single" w:color="auto" w:sz="12" w:space="0"/>
                    <w:bottom w:val="single" w:color="auto" w:sz="4" w:space="0"/>
                    <w:tl2br w:val="nil"/>
                    <w:tr2bl w:val="nil"/>
                  </w:tcBorders>
                  <w:vAlign w:val="center"/>
                </w:tcPr>
                <w:p w14:paraId="3DE505CC">
                  <w:pPr>
                    <w:pStyle w:val="77"/>
                    <w:ind w:left="0" w:leftChars="0" w:firstLine="0" w:firstLineChars="0"/>
                    <w:jc w:val="both"/>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z w:val="21"/>
                      <w:szCs w:val="21"/>
                      <w:highlight w:val="none"/>
                    </w:rPr>
                    <w:t>颗粒物</w:t>
                  </w:r>
                </w:p>
              </w:tc>
              <w:tc>
                <w:tcPr>
                  <w:tcW w:w="451" w:type="pct"/>
                  <w:tcBorders>
                    <w:top w:val="single" w:color="auto" w:sz="12" w:space="0"/>
                    <w:bottom w:val="single" w:color="auto" w:sz="4" w:space="0"/>
                    <w:tl2br w:val="nil"/>
                    <w:tr2bl w:val="nil"/>
                  </w:tcBorders>
                  <w:vAlign w:val="center"/>
                </w:tcPr>
                <w:p w14:paraId="15B763C9">
                  <w:pPr>
                    <w:pStyle w:val="77"/>
                    <w:ind w:left="0" w:leftChars="0" w:firstLine="0" w:firstLineChars="0"/>
                    <w:jc w:val="both"/>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0.65</w:t>
                  </w:r>
                </w:p>
              </w:tc>
            </w:tr>
            <w:tr w14:paraId="5F1967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00" w:type="pct"/>
                  <w:tcBorders>
                    <w:top w:val="single" w:color="auto" w:sz="4" w:space="0"/>
                    <w:bottom w:val="single" w:color="auto" w:sz="4" w:space="0"/>
                    <w:tl2br w:val="nil"/>
                    <w:tr2bl w:val="nil"/>
                  </w:tcBorders>
                  <w:vAlign w:val="center"/>
                </w:tcPr>
                <w:p w14:paraId="73DE3DE0">
                  <w:pPr>
                    <w:pStyle w:val="77"/>
                    <w:ind w:left="0" w:leftChars="0" w:firstLine="0" w:firstLineChars="0"/>
                    <w:jc w:val="both"/>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rPr>
                    <w:t>DA00</w:t>
                  </w:r>
                  <w:r>
                    <w:rPr>
                      <w:rFonts w:hint="default" w:ascii="Times New Roman" w:hAnsi="Times New Roman" w:eastAsia="宋体" w:cs="Times New Roman"/>
                      <w:color w:val="auto"/>
                      <w:spacing w:val="-10"/>
                      <w:sz w:val="21"/>
                      <w:szCs w:val="21"/>
                      <w:highlight w:val="none"/>
                      <w:lang w:val="en-US" w:eastAsia="zh-CN"/>
                    </w:rPr>
                    <w:t>2</w:t>
                  </w:r>
                </w:p>
              </w:tc>
              <w:tc>
                <w:tcPr>
                  <w:tcW w:w="622" w:type="pct"/>
                  <w:tcBorders>
                    <w:top w:val="single" w:color="auto" w:sz="4" w:space="0"/>
                    <w:bottom w:val="single" w:color="auto" w:sz="4" w:space="0"/>
                    <w:tl2br w:val="nil"/>
                    <w:tr2bl w:val="nil"/>
                  </w:tcBorders>
                  <w:vAlign w:val="center"/>
                </w:tcPr>
                <w:p w14:paraId="3EB753A1">
                  <w:pPr>
                    <w:pStyle w:val="77"/>
                    <w:ind w:left="0" w:leftChars="0" w:firstLine="0" w:firstLineChars="0"/>
                    <w:jc w:val="both"/>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89°13'19.2747"</w:t>
                  </w:r>
                </w:p>
              </w:tc>
              <w:tc>
                <w:tcPr>
                  <w:tcW w:w="550" w:type="pct"/>
                  <w:tcBorders>
                    <w:top w:val="single" w:color="auto" w:sz="4" w:space="0"/>
                    <w:bottom w:val="single" w:color="auto" w:sz="4" w:space="0"/>
                    <w:tl2br w:val="nil"/>
                    <w:tr2bl w:val="nil"/>
                  </w:tcBorders>
                  <w:vAlign w:val="center"/>
                </w:tcPr>
                <w:p w14:paraId="066196E0">
                  <w:pPr>
                    <w:pStyle w:val="77"/>
                    <w:ind w:left="0" w:leftChars="0" w:firstLine="0" w:firstLineChars="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0"/>
                      <w:sz w:val="21"/>
                      <w:szCs w:val="21"/>
                      <w:highlight w:val="none"/>
                    </w:rPr>
                    <w:t>43°57'20.6976"</w:t>
                  </w:r>
                </w:p>
              </w:tc>
              <w:tc>
                <w:tcPr>
                  <w:tcW w:w="415" w:type="pct"/>
                  <w:tcBorders>
                    <w:top w:val="single" w:color="auto" w:sz="4" w:space="0"/>
                    <w:bottom w:val="single" w:color="auto" w:sz="4" w:space="0"/>
                    <w:tl2br w:val="nil"/>
                    <w:tr2bl w:val="nil"/>
                  </w:tcBorders>
                  <w:vAlign w:val="center"/>
                </w:tcPr>
                <w:p w14:paraId="289546DC">
                  <w:pPr>
                    <w:pStyle w:val="77"/>
                    <w:ind w:left="0" w:leftChars="0" w:firstLine="0" w:firstLineChars="0"/>
                    <w:jc w:val="both"/>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15</w:t>
                  </w:r>
                </w:p>
              </w:tc>
              <w:tc>
                <w:tcPr>
                  <w:tcW w:w="338" w:type="pct"/>
                  <w:tcBorders>
                    <w:top w:val="single" w:color="auto" w:sz="4" w:space="0"/>
                    <w:bottom w:val="single" w:color="auto" w:sz="4" w:space="0"/>
                    <w:tl2br w:val="nil"/>
                    <w:tr2bl w:val="nil"/>
                  </w:tcBorders>
                  <w:vAlign w:val="center"/>
                </w:tcPr>
                <w:p w14:paraId="776B5E50">
                  <w:pPr>
                    <w:pStyle w:val="77"/>
                    <w:ind w:left="0" w:leftChars="0" w:firstLine="0" w:firstLineChars="0"/>
                    <w:jc w:val="both"/>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791</w:t>
                  </w:r>
                </w:p>
              </w:tc>
              <w:tc>
                <w:tcPr>
                  <w:tcW w:w="369" w:type="pct"/>
                  <w:tcBorders>
                    <w:top w:val="single" w:color="auto" w:sz="4" w:space="0"/>
                    <w:bottom w:val="single" w:color="auto" w:sz="4" w:space="0"/>
                    <w:tl2br w:val="nil"/>
                    <w:tr2bl w:val="nil"/>
                  </w:tcBorders>
                  <w:vAlign w:val="center"/>
                </w:tcPr>
                <w:p w14:paraId="4F413133">
                  <w:pPr>
                    <w:pStyle w:val="77"/>
                    <w:ind w:left="0" w:leftChars="0" w:firstLine="0" w:firstLineChars="0"/>
                    <w:jc w:val="both"/>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0.6</w:t>
                  </w:r>
                </w:p>
              </w:tc>
              <w:tc>
                <w:tcPr>
                  <w:tcW w:w="363" w:type="pct"/>
                  <w:tcBorders>
                    <w:top w:val="single" w:color="auto" w:sz="4" w:space="0"/>
                    <w:bottom w:val="single" w:color="auto" w:sz="4" w:space="0"/>
                    <w:tl2br w:val="nil"/>
                    <w:tr2bl w:val="nil"/>
                  </w:tcBorders>
                  <w:vAlign w:val="center"/>
                </w:tcPr>
                <w:p w14:paraId="13C3323D">
                  <w:pPr>
                    <w:pStyle w:val="77"/>
                    <w:ind w:left="0" w:leftChars="0" w:firstLine="0" w:firstLineChars="0"/>
                    <w:jc w:val="both"/>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19.63</w:t>
                  </w:r>
                </w:p>
              </w:tc>
              <w:tc>
                <w:tcPr>
                  <w:tcW w:w="354" w:type="pct"/>
                  <w:tcBorders>
                    <w:top w:val="single" w:color="auto" w:sz="4" w:space="0"/>
                    <w:bottom w:val="single" w:color="auto" w:sz="4" w:space="0"/>
                    <w:tl2br w:val="nil"/>
                    <w:tr2bl w:val="nil"/>
                  </w:tcBorders>
                  <w:vAlign w:val="center"/>
                </w:tcPr>
                <w:p w14:paraId="073A88DB">
                  <w:pPr>
                    <w:pStyle w:val="77"/>
                    <w:ind w:left="0" w:leftChars="0" w:firstLine="0" w:firstLineChars="0"/>
                    <w:jc w:val="both"/>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25</w:t>
                  </w:r>
                </w:p>
              </w:tc>
              <w:tc>
                <w:tcPr>
                  <w:tcW w:w="413" w:type="pct"/>
                  <w:tcBorders>
                    <w:top w:val="single" w:color="auto" w:sz="4" w:space="0"/>
                    <w:bottom w:val="single" w:color="auto" w:sz="4" w:space="0"/>
                    <w:tl2br w:val="nil"/>
                    <w:tr2bl w:val="nil"/>
                  </w:tcBorders>
                  <w:vAlign w:val="center"/>
                </w:tcPr>
                <w:p w14:paraId="040216D8">
                  <w:pPr>
                    <w:pStyle w:val="77"/>
                    <w:ind w:left="0" w:leftChars="0" w:firstLine="0" w:firstLineChars="0"/>
                    <w:jc w:val="both"/>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3360</w:t>
                  </w:r>
                </w:p>
              </w:tc>
              <w:tc>
                <w:tcPr>
                  <w:tcW w:w="280" w:type="pct"/>
                  <w:tcBorders>
                    <w:top w:val="single" w:color="auto" w:sz="4" w:space="0"/>
                    <w:bottom w:val="single" w:color="auto" w:sz="4" w:space="0"/>
                    <w:tl2br w:val="nil"/>
                    <w:tr2bl w:val="nil"/>
                  </w:tcBorders>
                  <w:vAlign w:val="center"/>
                </w:tcPr>
                <w:p w14:paraId="7E7B85B2">
                  <w:pPr>
                    <w:pStyle w:val="77"/>
                    <w:ind w:left="0" w:leftChars="0" w:firstLine="0" w:firstLineChars="0"/>
                    <w:jc w:val="both"/>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正常</w:t>
                  </w:r>
                </w:p>
              </w:tc>
              <w:tc>
                <w:tcPr>
                  <w:tcW w:w="439" w:type="pct"/>
                  <w:tcBorders>
                    <w:top w:val="single" w:color="auto" w:sz="4" w:space="0"/>
                    <w:bottom w:val="single" w:color="auto" w:sz="4" w:space="0"/>
                    <w:tl2br w:val="nil"/>
                    <w:tr2bl w:val="nil"/>
                  </w:tcBorders>
                  <w:vAlign w:val="center"/>
                </w:tcPr>
                <w:p w14:paraId="4B19EFFB">
                  <w:pPr>
                    <w:pStyle w:val="77"/>
                    <w:ind w:left="0" w:leftChars="0" w:firstLine="0" w:firstLineChars="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颗粒物</w:t>
                  </w:r>
                </w:p>
              </w:tc>
              <w:tc>
                <w:tcPr>
                  <w:tcW w:w="451" w:type="pct"/>
                  <w:tcBorders>
                    <w:top w:val="single" w:color="auto" w:sz="4" w:space="0"/>
                    <w:bottom w:val="single" w:color="auto" w:sz="4" w:space="0"/>
                    <w:tl2br w:val="nil"/>
                    <w:tr2bl w:val="nil"/>
                  </w:tcBorders>
                  <w:vAlign w:val="center"/>
                </w:tcPr>
                <w:p w14:paraId="75CC198B">
                  <w:pPr>
                    <w:pStyle w:val="77"/>
                    <w:ind w:left="0" w:leftChars="0" w:firstLine="0" w:firstLineChars="0"/>
                    <w:jc w:val="both"/>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1.13</w:t>
                  </w:r>
                </w:p>
              </w:tc>
            </w:tr>
            <w:tr w14:paraId="4B3A34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400" w:type="pct"/>
                  <w:tcBorders>
                    <w:top w:val="single" w:color="auto" w:sz="4" w:space="0"/>
                    <w:tl2br w:val="nil"/>
                    <w:tr2bl w:val="nil"/>
                  </w:tcBorders>
                  <w:vAlign w:val="center"/>
                </w:tcPr>
                <w:p w14:paraId="0EA747E7">
                  <w:pPr>
                    <w:pStyle w:val="77"/>
                    <w:ind w:left="0" w:leftChars="0" w:firstLine="0" w:firstLineChars="0"/>
                    <w:jc w:val="both"/>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DA003</w:t>
                  </w:r>
                </w:p>
              </w:tc>
              <w:tc>
                <w:tcPr>
                  <w:tcW w:w="622" w:type="pct"/>
                  <w:tcBorders>
                    <w:top w:val="single" w:color="auto" w:sz="4" w:space="0"/>
                    <w:tl2br w:val="nil"/>
                    <w:tr2bl w:val="nil"/>
                  </w:tcBorders>
                  <w:vAlign w:val="center"/>
                </w:tcPr>
                <w:p w14:paraId="35F48B56">
                  <w:pPr>
                    <w:pStyle w:val="77"/>
                    <w:ind w:left="0" w:leftChars="0" w:firstLine="0" w:firstLineChars="0"/>
                    <w:jc w:val="both"/>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89°13'</w:t>
                  </w:r>
                  <w:r>
                    <w:rPr>
                      <w:rFonts w:hint="default" w:ascii="Times New Roman" w:hAnsi="Times New Roman" w:eastAsia="宋体" w:cs="Times New Roman"/>
                      <w:color w:val="auto"/>
                      <w:spacing w:val="-10"/>
                      <w:sz w:val="21"/>
                      <w:szCs w:val="21"/>
                      <w:highlight w:val="none"/>
                      <w:lang w:val="en-US" w:eastAsia="zh-CN"/>
                    </w:rPr>
                    <w:t>2</w:t>
                  </w:r>
                  <w:r>
                    <w:rPr>
                      <w:rFonts w:hint="default" w:ascii="Times New Roman" w:hAnsi="Times New Roman" w:eastAsia="宋体" w:cs="Times New Roman"/>
                      <w:color w:val="auto"/>
                      <w:spacing w:val="-10"/>
                      <w:sz w:val="21"/>
                      <w:szCs w:val="21"/>
                      <w:highlight w:val="none"/>
                    </w:rPr>
                    <w:t>9.</w:t>
                  </w:r>
                  <w:r>
                    <w:rPr>
                      <w:rFonts w:hint="default" w:ascii="Times New Roman" w:hAnsi="Times New Roman" w:eastAsia="宋体" w:cs="Times New Roman"/>
                      <w:color w:val="auto"/>
                      <w:spacing w:val="-10"/>
                      <w:sz w:val="21"/>
                      <w:szCs w:val="21"/>
                      <w:highlight w:val="none"/>
                      <w:lang w:val="en-US" w:eastAsia="zh-CN"/>
                    </w:rPr>
                    <w:t>3214</w:t>
                  </w:r>
                  <w:r>
                    <w:rPr>
                      <w:rFonts w:hint="default" w:ascii="Times New Roman" w:hAnsi="Times New Roman" w:eastAsia="宋体" w:cs="Times New Roman"/>
                      <w:color w:val="auto"/>
                      <w:spacing w:val="-10"/>
                      <w:sz w:val="21"/>
                      <w:szCs w:val="21"/>
                      <w:highlight w:val="none"/>
                    </w:rPr>
                    <w:t>"</w:t>
                  </w:r>
                </w:p>
              </w:tc>
              <w:tc>
                <w:tcPr>
                  <w:tcW w:w="550" w:type="pct"/>
                  <w:tcBorders>
                    <w:top w:val="single" w:color="auto" w:sz="4" w:space="0"/>
                    <w:tl2br w:val="nil"/>
                    <w:tr2bl w:val="nil"/>
                  </w:tcBorders>
                  <w:vAlign w:val="center"/>
                </w:tcPr>
                <w:p w14:paraId="54DD67BE">
                  <w:pPr>
                    <w:pStyle w:val="77"/>
                    <w:ind w:left="0" w:leftChars="0" w:firstLine="0" w:firstLineChars="0"/>
                    <w:jc w:val="both"/>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43°57'2</w:t>
                  </w:r>
                  <w:r>
                    <w:rPr>
                      <w:rFonts w:hint="default" w:ascii="Times New Roman" w:hAnsi="Times New Roman" w:eastAsia="宋体" w:cs="Times New Roman"/>
                      <w:color w:val="auto"/>
                      <w:spacing w:val="-10"/>
                      <w:sz w:val="21"/>
                      <w:szCs w:val="21"/>
                      <w:highlight w:val="none"/>
                      <w:lang w:val="en-US" w:eastAsia="zh-CN"/>
                    </w:rPr>
                    <w:t>6</w:t>
                  </w:r>
                  <w:r>
                    <w:rPr>
                      <w:rFonts w:hint="default" w:ascii="Times New Roman" w:hAnsi="Times New Roman" w:eastAsia="宋体" w:cs="Times New Roman"/>
                      <w:color w:val="auto"/>
                      <w:spacing w:val="-10"/>
                      <w:sz w:val="21"/>
                      <w:szCs w:val="21"/>
                      <w:highlight w:val="none"/>
                    </w:rPr>
                    <w:t>.</w:t>
                  </w:r>
                  <w:r>
                    <w:rPr>
                      <w:rFonts w:hint="default" w:ascii="Times New Roman" w:hAnsi="Times New Roman" w:eastAsia="宋体" w:cs="Times New Roman"/>
                      <w:color w:val="auto"/>
                      <w:spacing w:val="-10"/>
                      <w:sz w:val="21"/>
                      <w:szCs w:val="21"/>
                      <w:highlight w:val="none"/>
                      <w:lang w:val="en-US" w:eastAsia="zh-CN"/>
                    </w:rPr>
                    <w:t>8421</w:t>
                  </w:r>
                  <w:r>
                    <w:rPr>
                      <w:rFonts w:hint="default" w:ascii="Times New Roman" w:hAnsi="Times New Roman" w:eastAsia="宋体" w:cs="Times New Roman"/>
                      <w:color w:val="auto"/>
                      <w:spacing w:val="-10"/>
                      <w:sz w:val="21"/>
                      <w:szCs w:val="21"/>
                      <w:highlight w:val="none"/>
                    </w:rPr>
                    <w:t>"</w:t>
                  </w:r>
                </w:p>
              </w:tc>
              <w:tc>
                <w:tcPr>
                  <w:tcW w:w="415" w:type="pct"/>
                  <w:tcBorders>
                    <w:top w:val="single" w:color="auto" w:sz="4" w:space="0"/>
                    <w:tl2br w:val="nil"/>
                    <w:tr2bl w:val="nil"/>
                  </w:tcBorders>
                  <w:vAlign w:val="center"/>
                </w:tcPr>
                <w:p w14:paraId="6D395915">
                  <w:pPr>
                    <w:pStyle w:val="77"/>
                    <w:ind w:left="0" w:leftChars="0" w:firstLine="0" w:firstLineChars="0"/>
                    <w:jc w:val="both"/>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15</w:t>
                  </w:r>
                </w:p>
              </w:tc>
              <w:tc>
                <w:tcPr>
                  <w:tcW w:w="338" w:type="pct"/>
                  <w:tcBorders>
                    <w:top w:val="single" w:color="auto" w:sz="4" w:space="0"/>
                    <w:tl2br w:val="nil"/>
                    <w:tr2bl w:val="nil"/>
                  </w:tcBorders>
                  <w:vAlign w:val="center"/>
                </w:tcPr>
                <w:p w14:paraId="32A607D1">
                  <w:pPr>
                    <w:pStyle w:val="77"/>
                    <w:ind w:left="0" w:leftChars="0" w:firstLine="0" w:firstLineChars="0"/>
                    <w:jc w:val="both"/>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792</w:t>
                  </w:r>
                </w:p>
              </w:tc>
              <w:tc>
                <w:tcPr>
                  <w:tcW w:w="369" w:type="pct"/>
                  <w:tcBorders>
                    <w:top w:val="single" w:color="auto" w:sz="4" w:space="0"/>
                    <w:tl2br w:val="nil"/>
                    <w:tr2bl w:val="nil"/>
                  </w:tcBorders>
                  <w:vAlign w:val="center"/>
                </w:tcPr>
                <w:p w14:paraId="20671D9F">
                  <w:pPr>
                    <w:pStyle w:val="77"/>
                    <w:ind w:left="0" w:leftChars="0" w:firstLine="0" w:firstLineChars="0"/>
                    <w:jc w:val="both"/>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0.6</w:t>
                  </w:r>
                </w:p>
              </w:tc>
              <w:tc>
                <w:tcPr>
                  <w:tcW w:w="363" w:type="pct"/>
                  <w:tcBorders>
                    <w:top w:val="single" w:color="auto" w:sz="4" w:space="0"/>
                    <w:tl2br w:val="nil"/>
                    <w:tr2bl w:val="nil"/>
                  </w:tcBorders>
                  <w:vAlign w:val="center"/>
                </w:tcPr>
                <w:p w14:paraId="517CCA6D">
                  <w:pPr>
                    <w:pStyle w:val="77"/>
                    <w:ind w:left="0" w:leftChars="0" w:firstLine="0" w:firstLineChars="0"/>
                    <w:jc w:val="both"/>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19.63</w:t>
                  </w:r>
                </w:p>
              </w:tc>
              <w:tc>
                <w:tcPr>
                  <w:tcW w:w="354" w:type="pct"/>
                  <w:tcBorders>
                    <w:top w:val="single" w:color="auto" w:sz="4" w:space="0"/>
                    <w:tl2br w:val="nil"/>
                    <w:tr2bl w:val="nil"/>
                  </w:tcBorders>
                  <w:vAlign w:val="center"/>
                </w:tcPr>
                <w:p w14:paraId="7DC7F2DA">
                  <w:pPr>
                    <w:pStyle w:val="77"/>
                    <w:ind w:left="0" w:leftChars="0" w:firstLine="0" w:firstLineChars="0"/>
                    <w:jc w:val="both"/>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25</w:t>
                  </w:r>
                </w:p>
              </w:tc>
              <w:tc>
                <w:tcPr>
                  <w:tcW w:w="413" w:type="pct"/>
                  <w:tcBorders>
                    <w:top w:val="single" w:color="auto" w:sz="4" w:space="0"/>
                    <w:tl2br w:val="nil"/>
                    <w:tr2bl w:val="nil"/>
                  </w:tcBorders>
                  <w:vAlign w:val="center"/>
                </w:tcPr>
                <w:p w14:paraId="54CE3C0F">
                  <w:pPr>
                    <w:pStyle w:val="77"/>
                    <w:ind w:left="0" w:leftChars="0" w:firstLine="0" w:firstLineChars="0"/>
                    <w:jc w:val="both"/>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3360</w:t>
                  </w:r>
                </w:p>
              </w:tc>
              <w:tc>
                <w:tcPr>
                  <w:tcW w:w="280" w:type="pct"/>
                  <w:tcBorders>
                    <w:top w:val="single" w:color="auto" w:sz="4" w:space="0"/>
                    <w:tl2br w:val="nil"/>
                    <w:tr2bl w:val="nil"/>
                  </w:tcBorders>
                  <w:vAlign w:val="center"/>
                </w:tcPr>
                <w:p w14:paraId="469AAD79">
                  <w:pPr>
                    <w:pStyle w:val="77"/>
                    <w:ind w:left="0" w:leftChars="0" w:firstLine="0" w:firstLineChars="0"/>
                    <w:jc w:val="both"/>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正常</w:t>
                  </w:r>
                </w:p>
              </w:tc>
              <w:tc>
                <w:tcPr>
                  <w:tcW w:w="439" w:type="pct"/>
                  <w:tcBorders>
                    <w:top w:val="single" w:color="auto" w:sz="4" w:space="0"/>
                    <w:bottom w:val="single" w:color="000000" w:sz="12" w:space="0"/>
                    <w:tl2br w:val="nil"/>
                    <w:tr2bl w:val="nil"/>
                  </w:tcBorders>
                  <w:vAlign w:val="center"/>
                </w:tcPr>
                <w:p w14:paraId="4410BB72">
                  <w:pPr>
                    <w:pStyle w:val="77"/>
                    <w:ind w:left="0" w:leftChars="0" w:firstLine="0" w:firstLineChars="0"/>
                    <w:jc w:val="both"/>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颗粒物</w:t>
                  </w:r>
                </w:p>
              </w:tc>
              <w:tc>
                <w:tcPr>
                  <w:tcW w:w="451" w:type="pct"/>
                  <w:tcBorders>
                    <w:top w:val="single" w:color="auto" w:sz="4" w:space="0"/>
                    <w:tl2br w:val="nil"/>
                    <w:tr2bl w:val="nil"/>
                  </w:tcBorders>
                  <w:vAlign w:val="center"/>
                </w:tcPr>
                <w:p w14:paraId="6A935FBD">
                  <w:pPr>
                    <w:pStyle w:val="77"/>
                    <w:ind w:left="0" w:leftChars="0" w:firstLine="0" w:firstLineChars="0"/>
                    <w:jc w:val="both"/>
                    <w:rPr>
                      <w:rFonts w:hint="default" w:ascii="Times New Roman" w:hAnsi="Times New Roman" w:eastAsia="宋体" w:cs="Times New Roman"/>
                      <w:color w:val="auto"/>
                      <w:spacing w:val="-10"/>
                      <w:sz w:val="21"/>
                      <w:szCs w:val="21"/>
                      <w:highlight w:val="none"/>
                      <w:lang w:val="en-US" w:eastAsia="zh-CN"/>
                    </w:rPr>
                  </w:pPr>
                  <w:r>
                    <w:rPr>
                      <w:rFonts w:hint="default" w:ascii="Times New Roman" w:hAnsi="Times New Roman" w:eastAsia="宋体" w:cs="Times New Roman"/>
                      <w:color w:val="auto"/>
                      <w:spacing w:val="-10"/>
                      <w:sz w:val="21"/>
                      <w:szCs w:val="21"/>
                      <w:highlight w:val="none"/>
                      <w:lang w:val="en-US" w:eastAsia="zh-CN"/>
                    </w:rPr>
                    <w:t>0.09</w:t>
                  </w:r>
                </w:p>
              </w:tc>
            </w:tr>
          </w:tbl>
          <w:p w14:paraId="682B52D8">
            <w:pPr>
              <w:keepNext w:val="0"/>
              <w:keepLines w:val="0"/>
              <w:widowControl/>
              <w:suppressLineNumbers w:val="0"/>
              <w:spacing w:before="0" w:beforeAutospacing="0" w:after="0" w:afterAutospacing="0" w:line="360" w:lineRule="auto"/>
              <w:ind w:left="0" w:leftChars="0" w:right="0" w:firstLine="0" w:firstLineChars="0"/>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1.4废气处理措施及其可行性分析</w:t>
            </w:r>
          </w:p>
          <w:p w14:paraId="410024CC">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矿山建设生产排污单位目前相关部门未发布排污许可证申请与核发技术规范，</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本项目筛分、破碎粉尘参照《排污许可证申请与核发技术规范 石墨及其他非金属矿物制品制造》（HJ1119-2020）中表 A.1 石墨、碳素制品生产排污单位废气污染防治可行技术参数表，袋式除尘属于磨机、破碎机、振动筛等对应含颗粒物废气处理推荐可行技术，因此本项目筛分粉尘采用袋式除尘器处理技术可行。</w:t>
            </w:r>
          </w:p>
          <w:p w14:paraId="53876A62">
            <w:pPr>
              <w:keepNext w:val="0"/>
              <w:keepLines w:val="0"/>
              <w:pageBreakBefore w:val="0"/>
              <w:widowControl w:val="0"/>
              <w:kinsoku/>
              <w:wordWrap/>
              <w:overflowPunct/>
              <w:topLinePunct w:val="0"/>
              <w:autoSpaceDE/>
              <w:autoSpaceDN/>
              <w:bidi w:val="0"/>
              <w:adjustRightInd/>
              <w:snapToGrid/>
              <w:spacing w:line="360" w:lineRule="auto"/>
              <w:ind w:firstLine="360" w:firstLineChars="15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w:t>
            </w:r>
            <w:r>
              <w:rPr>
                <w:rFonts w:hint="default" w:ascii="Times New Roman" w:hAnsi="Times New Roman" w:eastAsia="宋体" w:cs="Times New Roman"/>
                <w:color w:val="000000" w:themeColor="text1"/>
                <w:sz w:val="24"/>
                <w:szCs w:val="24"/>
                <w:highlight w:val="none"/>
                <w14:textFill>
                  <w14:solidFill>
                    <w14:schemeClr w14:val="tx1"/>
                  </w14:solidFill>
                </w14:textFill>
              </w:rPr>
              <w:t>对采掘场地</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采用移动式</w:t>
            </w:r>
            <w:r>
              <w:rPr>
                <w:rFonts w:hint="default" w:ascii="Times New Roman" w:hAnsi="Times New Roman" w:eastAsia="宋体" w:cs="Times New Roman"/>
                <w:color w:val="000000" w:themeColor="text1"/>
                <w:sz w:val="24"/>
                <w:szCs w:val="24"/>
                <w:highlight w:val="none"/>
                <w14:textFill>
                  <w14:solidFill>
                    <w14:schemeClr w14:val="tx1"/>
                  </w14:solidFill>
                </w14:textFill>
              </w:rPr>
              <w:t>雾炮</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机</w:t>
            </w:r>
            <w:r>
              <w:rPr>
                <w:rFonts w:hint="default" w:ascii="Times New Roman" w:hAnsi="Times New Roman" w:eastAsia="宋体" w:cs="Times New Roman"/>
                <w:color w:val="000000" w:themeColor="text1"/>
                <w:sz w:val="24"/>
                <w:szCs w:val="24"/>
                <w:highlight w:val="none"/>
                <w14:textFill>
                  <w14:solidFill>
                    <w14:schemeClr w14:val="tx1"/>
                  </w14:solidFill>
                </w14:textFill>
              </w:rPr>
              <w:t>降尘、规定开采方式、大风天气不得生产、分区分片开采</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对进厂道路进行砾石复压硬化，</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矿区配备洒水车，采用洒水对道路进行充分预湿，</w:t>
            </w:r>
            <w:r>
              <w:rPr>
                <w:rFonts w:hint="default" w:ascii="Times New Roman" w:hAnsi="Times New Roman" w:eastAsia="宋体" w:cs="Times New Roman"/>
                <w:color w:val="000000" w:themeColor="text1"/>
                <w:sz w:val="24"/>
                <w:szCs w:val="24"/>
                <w:highlight w:val="none"/>
                <w14:textFill>
                  <w14:solidFill>
                    <w14:schemeClr w14:val="tx1"/>
                  </w14:solidFill>
                </w14:textFill>
              </w:rPr>
              <w:t>运输车辆出厂</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沿规定的道路行驶</w:t>
            </w:r>
            <w:r>
              <w:rPr>
                <w:rFonts w:hint="default" w:ascii="Times New Roman" w:hAnsi="Times New Roman" w:eastAsia="宋体" w:cs="Times New Roman"/>
                <w:color w:val="000000" w:themeColor="text1"/>
                <w:sz w:val="24"/>
                <w:szCs w:val="24"/>
                <w:highlight w:val="none"/>
                <w14:textFill>
                  <w14:solidFill>
                    <w14:schemeClr w14:val="tx1"/>
                  </w14:solidFill>
                </w14:textFill>
              </w:rPr>
              <w:t>，采取苫盖篷布的措施</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采用雾炮机设施对堆料场洒水抑尘，保持湿润；堆料场采用防尘布遮盖</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及洒水措施</w:t>
            </w:r>
            <w:r>
              <w:rPr>
                <w:rFonts w:hint="default" w:ascii="Times New Roman" w:hAnsi="Times New Roman" w:eastAsia="宋体" w:cs="Times New Roman"/>
                <w:color w:val="000000" w:themeColor="text1"/>
                <w:sz w:val="24"/>
                <w:szCs w:val="24"/>
                <w:highlight w:val="none"/>
                <w14:textFill>
                  <w14:solidFill>
                    <w14:schemeClr w14:val="tx1"/>
                  </w14:solidFill>
                </w14:textFill>
              </w:rPr>
              <w:t>，减少风力扬尘；装卸作业时降低装卸高度，也要尽可能选择无风或微风的天气条件下进行装卸，并规范作业；因此装卸过程中产生的粉尘量以及堆料场风力起尘量较少，不会对周围环境造成明显的粉尘影响。</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筛分、破碎、搅拌粉尘配备布袋式除尘器进行除尘后通过不低于15m高排气筒排放。</w:t>
            </w:r>
          </w:p>
          <w:p w14:paraId="5BF8680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采取上述措施后场界无组织颗粒物能够满足</w:t>
            </w:r>
            <w:r>
              <w:rPr>
                <w:rFonts w:hint="default" w:ascii="Times New Roman" w:hAnsi="Times New Roman" w:eastAsia="宋体" w:cs="Times New Roman"/>
                <w:color w:val="000000" w:themeColor="text1"/>
                <w:sz w:val="24"/>
                <w:szCs w:val="24"/>
                <w:highlight w:val="none"/>
                <w14:textFill>
                  <w14:solidFill>
                    <w14:schemeClr w14:val="tx1"/>
                  </w14:solidFill>
                </w14:textFill>
              </w:rPr>
              <w:t>无组织</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颗粒物</w:t>
            </w:r>
            <w:r>
              <w:rPr>
                <w:rFonts w:hint="default" w:ascii="Times New Roman" w:hAnsi="Times New Roman" w:eastAsia="宋体" w:cs="Times New Roman"/>
                <w:color w:val="000000" w:themeColor="text1"/>
                <w:sz w:val="24"/>
                <w:szCs w:val="24"/>
                <w:highlight w:val="none"/>
                <w14:textFill>
                  <w14:solidFill>
                    <w14:schemeClr w14:val="tx1"/>
                  </w14:solidFill>
                </w14:textFill>
              </w:rPr>
              <w:t>排放满足《大气污染</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物</w:t>
            </w:r>
            <w:r>
              <w:rPr>
                <w:rFonts w:hint="default" w:ascii="Times New Roman" w:hAnsi="Times New Roman" w:eastAsia="宋体" w:cs="Times New Roman"/>
                <w:color w:val="000000" w:themeColor="text1"/>
                <w:sz w:val="24"/>
                <w:szCs w:val="24"/>
                <w:highlight w:val="none"/>
                <w14:textFill>
                  <w14:solidFill>
                    <w14:schemeClr w14:val="tx1"/>
                  </w14:solidFill>
                </w14:textFill>
              </w:rPr>
              <w:t>综合排放标准》（GB16297-1996）中</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表2</w:t>
            </w:r>
            <w:r>
              <w:rPr>
                <w:rFonts w:hint="default" w:ascii="Times New Roman" w:hAnsi="Times New Roman" w:eastAsia="宋体" w:cs="Times New Roman"/>
                <w:color w:val="000000" w:themeColor="text1"/>
                <w:sz w:val="24"/>
                <w:szCs w:val="24"/>
                <w:highlight w:val="none"/>
                <w14:textFill>
                  <w14:solidFill>
                    <w14:schemeClr w14:val="tx1"/>
                  </w14:solidFill>
                </w14:textFill>
              </w:rPr>
              <w:t>无组织</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颗粒物</w:t>
            </w:r>
            <w:r>
              <w:rPr>
                <w:rFonts w:hint="default" w:ascii="Times New Roman" w:hAnsi="Times New Roman" w:eastAsia="宋体" w:cs="Times New Roman"/>
                <w:color w:val="000000" w:themeColor="text1"/>
                <w:sz w:val="24"/>
                <w:szCs w:val="24"/>
                <w:highlight w:val="none"/>
                <w14:textFill>
                  <w14:solidFill>
                    <w14:schemeClr w14:val="tx1"/>
                  </w14:solidFill>
                </w14:textFill>
              </w:rPr>
              <w:t>排放监控浓度限值</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1.0</w:t>
            </w:r>
            <w:r>
              <w:rPr>
                <w:rFonts w:hint="default" w:ascii="Times New Roman" w:hAnsi="Times New Roman" w:eastAsia="宋体" w:cs="Times New Roman"/>
                <w:color w:val="000000" w:themeColor="text1"/>
                <w:sz w:val="24"/>
                <w:szCs w:val="24"/>
                <w:highlight w:val="none"/>
                <w14:textFill>
                  <w14:solidFill>
                    <w14:schemeClr w14:val="tx1"/>
                  </w14:solidFill>
                </w14:textFill>
              </w:rPr>
              <w:t>mg/m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有组织颗粒物可以满足</w:t>
            </w:r>
            <w:r>
              <w:rPr>
                <w:rFonts w:hint="default" w:ascii="Times New Roman" w:hAnsi="Times New Roman" w:eastAsia="宋体" w:cs="Times New Roman"/>
                <w:color w:val="000000" w:themeColor="text1"/>
                <w:sz w:val="24"/>
                <w:szCs w:val="24"/>
                <w:highlight w:val="none"/>
                <w14:textFill>
                  <w14:solidFill>
                    <w14:schemeClr w14:val="tx1"/>
                  </w14:solidFill>
                </w14:textFill>
              </w:rPr>
              <w:t>《大气污染</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物</w:t>
            </w:r>
            <w:r>
              <w:rPr>
                <w:rFonts w:hint="default" w:ascii="Times New Roman" w:hAnsi="Times New Roman" w:eastAsia="宋体" w:cs="Times New Roman"/>
                <w:color w:val="000000" w:themeColor="text1"/>
                <w:sz w:val="24"/>
                <w:szCs w:val="24"/>
                <w:highlight w:val="none"/>
                <w14:textFill>
                  <w14:solidFill>
                    <w14:schemeClr w14:val="tx1"/>
                  </w14:solidFill>
                </w14:textFill>
              </w:rPr>
              <w:t>综合排放标准》（GB16297-1996）中</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颗粒物</w:t>
            </w:r>
            <w:r>
              <w:rPr>
                <w:rFonts w:hint="default" w:ascii="Times New Roman" w:hAnsi="Times New Roman" w:eastAsia="宋体" w:cs="Times New Roman"/>
                <w:color w:val="000000" w:themeColor="text1"/>
                <w:sz w:val="24"/>
                <w:szCs w:val="24"/>
                <w:highlight w:val="none"/>
                <w14:textFill>
                  <w14:solidFill>
                    <w14:schemeClr w14:val="tx1"/>
                  </w14:solidFill>
                </w14:textFill>
              </w:rPr>
              <w:t>排放监控浓度限值</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120</w:t>
            </w:r>
            <w:r>
              <w:rPr>
                <w:rFonts w:hint="default" w:ascii="Times New Roman" w:hAnsi="Times New Roman" w:eastAsia="宋体" w:cs="Times New Roman"/>
                <w:color w:val="000000" w:themeColor="text1"/>
                <w:sz w:val="24"/>
                <w:szCs w:val="24"/>
                <w:highlight w:val="none"/>
                <w14:textFill>
                  <w14:solidFill>
                    <w14:schemeClr w14:val="tx1"/>
                  </w14:solidFill>
                </w14:textFill>
              </w:rPr>
              <w:t>mg/m</w:t>
            </w:r>
            <w:r>
              <w:rPr>
                <w:rFonts w:hint="default" w:ascii="Times New Roman" w:hAnsi="Times New Roman" w:eastAsia="宋体" w:cs="Times New Roman"/>
                <w:color w:val="000000" w:themeColor="text1"/>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及排放速率（3.5kg/h）要求</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此外，厂内</w:t>
            </w:r>
            <w:r>
              <w:rPr>
                <w:rFonts w:hint="default" w:ascii="Times New Roman" w:hAnsi="Times New Roman" w:eastAsia="宋体" w:cs="Times New Roman"/>
                <w:color w:val="000000" w:themeColor="text1"/>
                <w:sz w:val="24"/>
                <w:szCs w:val="24"/>
                <w:highlight w:val="none"/>
                <w14:textFill>
                  <w14:solidFill>
                    <w14:schemeClr w14:val="tx1"/>
                  </w14:solidFill>
                </w14:textFill>
              </w:rPr>
              <w:t>洒水抑尘、</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篷布遮盖</w:t>
            </w:r>
            <w:r>
              <w:rPr>
                <w:rFonts w:hint="default" w:ascii="Times New Roman" w:hAnsi="Times New Roman" w:eastAsia="宋体" w:cs="Times New Roman"/>
                <w:color w:val="000000" w:themeColor="text1"/>
                <w:sz w:val="24"/>
                <w:szCs w:val="24"/>
                <w:highlight w:val="none"/>
                <w14:textFill>
                  <w14:solidFill>
                    <w14:schemeClr w14:val="tx1"/>
                  </w14:solidFill>
                </w14:textFill>
              </w:rPr>
              <w:t>等设备设施购置费用较低，使用寿命较长，日常运营费用仅涉及用水、用电及维护，具备经济可行性。</w:t>
            </w:r>
          </w:p>
          <w:p w14:paraId="3E63B784">
            <w:pPr>
              <w:keepNext w:val="0"/>
              <w:keepLines w:val="0"/>
              <w:widowControl/>
              <w:suppressLineNumbers w:val="0"/>
              <w:spacing w:before="0" w:beforeAutospacing="0" w:after="0" w:afterAutospacing="0" w:line="360" w:lineRule="auto"/>
              <w:ind w:left="0" w:leftChars="0" w:right="0" w:firstLine="0" w:firstLineChars="0"/>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1.5废气监测计划</w:t>
            </w:r>
          </w:p>
          <w:p w14:paraId="466E46E8">
            <w:pPr>
              <w:pStyle w:val="20"/>
              <w:keepNext w:val="0"/>
              <w:keepLines w:val="0"/>
              <w:pageBreakBefore w:val="0"/>
              <w:suppressLineNumbers w:val="0"/>
              <w:wordWrap/>
              <w:bidi w:val="0"/>
              <w:adjustRightInd/>
              <w:snapToGrid/>
              <w:spacing w:before="0" w:beforeAutospacing="0" w:after="0" w:afterAutospacing="0" w:line="360" w:lineRule="auto"/>
              <w:ind w:left="0" w:right="0" w:firstLine="476"/>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Cs/>
                <w:color w:val="000000" w:themeColor="text1"/>
                <w:kern w:val="2"/>
                <w:sz w:val="24"/>
                <w:szCs w:val="22"/>
                <w:highlight w:val="none"/>
                <w:lang w:val="en-US" w:eastAsia="zh-CN" w:bidi="ar-SA"/>
                <w14:textFill>
                  <w14:solidFill>
                    <w14:schemeClr w14:val="tx1"/>
                  </w14:solidFill>
                </w14:textFill>
              </w:rPr>
              <w:t>根据本项目生产工艺特点，其废气监测工作内容详见表4-8。</w:t>
            </w:r>
          </w:p>
          <w:p w14:paraId="3A6313B6">
            <w:pPr>
              <w:pStyle w:val="75"/>
              <w:keepNext w:val="0"/>
              <w:keepLines w:val="0"/>
              <w:pageBreakBefore w:val="0"/>
              <w:suppressLineNumbers w:val="0"/>
              <w:wordWrap/>
              <w:bidi w:val="0"/>
              <w:adjustRightInd/>
              <w:snapToGrid/>
              <w:spacing w:before="0" w:beforeAutospacing="0" w:after="0" w:afterAutospacing="0" w:line="240" w:lineRule="auto"/>
              <w:ind w:left="0" w:right="0" w:firstLine="0" w:firstLineChars="0"/>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表</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4-8</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废气自行监测要求</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一览表</w:t>
            </w:r>
          </w:p>
          <w:tbl>
            <w:tblPr>
              <w:tblStyle w:val="38"/>
              <w:tblW w:w="4995"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587"/>
              <w:gridCol w:w="1378"/>
              <w:gridCol w:w="2836"/>
              <w:gridCol w:w="2547"/>
            </w:tblGrid>
            <w:tr w14:paraId="4876B97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0" w:hRule="atLeast"/>
                <w:jc w:val="center"/>
              </w:trPr>
              <w:tc>
                <w:tcPr>
                  <w:tcW w:w="950" w:type="pct"/>
                  <w:tcBorders>
                    <w:bottom w:val="single" w:color="000000" w:sz="12" w:space="0"/>
                  </w:tcBorders>
                  <w:noWrap w:val="0"/>
                  <w:vAlign w:val="center"/>
                </w:tcPr>
                <w:p w14:paraId="27AD7580">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t>监测对象</w:t>
                  </w:r>
                </w:p>
              </w:tc>
              <w:tc>
                <w:tcPr>
                  <w:tcW w:w="825" w:type="pct"/>
                  <w:tcBorders>
                    <w:bottom w:val="single" w:color="000000" w:sz="12" w:space="0"/>
                  </w:tcBorders>
                  <w:noWrap w:val="0"/>
                  <w:vAlign w:val="center"/>
                </w:tcPr>
                <w:p w14:paraId="6A219CF7">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t>监测位置</w:t>
                  </w:r>
                </w:p>
              </w:tc>
              <w:tc>
                <w:tcPr>
                  <w:tcW w:w="1698" w:type="pct"/>
                  <w:tcBorders>
                    <w:bottom w:val="single" w:color="000000" w:sz="12" w:space="0"/>
                  </w:tcBorders>
                  <w:noWrap w:val="0"/>
                  <w:vAlign w:val="center"/>
                </w:tcPr>
                <w:p w14:paraId="0930F53D">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t>监测项目</w:t>
                  </w:r>
                </w:p>
              </w:tc>
              <w:tc>
                <w:tcPr>
                  <w:tcW w:w="1525" w:type="pct"/>
                  <w:tcBorders>
                    <w:bottom w:val="single" w:color="000000" w:sz="12" w:space="0"/>
                  </w:tcBorders>
                  <w:noWrap w:val="0"/>
                  <w:vAlign w:val="center"/>
                </w:tcPr>
                <w:p w14:paraId="21DBC823">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t>监测频次</w:t>
                  </w:r>
                </w:p>
              </w:tc>
            </w:tr>
            <w:tr w14:paraId="714F15C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0" w:hRule="atLeast"/>
                <w:jc w:val="center"/>
              </w:trPr>
              <w:tc>
                <w:tcPr>
                  <w:tcW w:w="950" w:type="pct"/>
                  <w:vMerge w:val="restart"/>
                  <w:tcBorders>
                    <w:top w:val="single" w:color="000000" w:sz="12" w:space="0"/>
                  </w:tcBorders>
                  <w:noWrap w:val="0"/>
                  <w:vAlign w:val="center"/>
                </w:tcPr>
                <w:p w14:paraId="2B625289">
                  <w:pPr>
                    <w:spacing w:line="240" w:lineRule="auto"/>
                    <w:ind w:firstLine="0" w:firstLineChars="0"/>
                    <w:jc w:val="cente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有组织废气</w:t>
                  </w:r>
                </w:p>
              </w:tc>
              <w:tc>
                <w:tcPr>
                  <w:tcW w:w="825" w:type="pct"/>
                  <w:tcBorders>
                    <w:top w:val="single" w:color="000000" w:sz="12" w:space="0"/>
                  </w:tcBorders>
                  <w:noWrap w:val="0"/>
                  <w:vAlign w:val="center"/>
                </w:tcPr>
                <w:p w14:paraId="55DA9A1B">
                  <w:pPr>
                    <w:keepNext w:val="0"/>
                    <w:keepLines w:val="0"/>
                    <w:widowControl/>
                    <w:suppressLineNumbers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t>DA001</w:t>
                  </w:r>
                </w:p>
              </w:tc>
              <w:tc>
                <w:tcPr>
                  <w:tcW w:w="1698" w:type="pct"/>
                  <w:tcBorders>
                    <w:top w:val="single" w:color="000000" w:sz="12" w:space="0"/>
                  </w:tcBorders>
                  <w:noWrap w:val="0"/>
                  <w:vAlign w:val="center"/>
                </w:tcPr>
                <w:p w14:paraId="14B3A9D2">
                  <w:pPr>
                    <w:keepNext w:val="0"/>
                    <w:keepLines w:val="0"/>
                    <w:widowControl/>
                    <w:suppressLineNumbers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t>颗粒物</w:t>
                  </w:r>
                </w:p>
              </w:tc>
              <w:tc>
                <w:tcPr>
                  <w:tcW w:w="1525" w:type="pct"/>
                  <w:tcBorders>
                    <w:top w:val="single" w:color="000000" w:sz="12" w:space="0"/>
                  </w:tcBorders>
                  <w:noWrap w:val="0"/>
                  <w:vAlign w:val="center"/>
                </w:tcPr>
                <w:p w14:paraId="61D4A746">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t>1次/年</w:t>
                  </w:r>
                </w:p>
              </w:tc>
            </w:tr>
            <w:tr w14:paraId="00388EA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0" w:hRule="atLeast"/>
                <w:jc w:val="center"/>
              </w:trPr>
              <w:tc>
                <w:tcPr>
                  <w:tcW w:w="950" w:type="pct"/>
                  <w:vMerge w:val="continue"/>
                  <w:noWrap w:val="0"/>
                  <w:vAlign w:val="center"/>
                </w:tcPr>
                <w:p w14:paraId="11FB9587">
                  <w:pPr>
                    <w:spacing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825" w:type="pct"/>
                  <w:noWrap w:val="0"/>
                  <w:vAlign w:val="center"/>
                </w:tcPr>
                <w:p w14:paraId="22F2B914">
                  <w:pPr>
                    <w:keepNext w:val="0"/>
                    <w:keepLines w:val="0"/>
                    <w:widowControl/>
                    <w:suppressLineNumbers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t>DA002</w:t>
                  </w:r>
                </w:p>
              </w:tc>
              <w:tc>
                <w:tcPr>
                  <w:tcW w:w="1698" w:type="pct"/>
                  <w:noWrap w:val="0"/>
                  <w:vAlign w:val="center"/>
                </w:tcPr>
                <w:p w14:paraId="551E5785">
                  <w:pPr>
                    <w:keepNext w:val="0"/>
                    <w:keepLines w:val="0"/>
                    <w:widowControl/>
                    <w:suppressLineNumbers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t>颗粒物</w:t>
                  </w:r>
                </w:p>
              </w:tc>
              <w:tc>
                <w:tcPr>
                  <w:tcW w:w="1525" w:type="pct"/>
                  <w:noWrap w:val="0"/>
                  <w:vAlign w:val="center"/>
                </w:tcPr>
                <w:p w14:paraId="0BC355AB">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t>1次/年</w:t>
                  </w:r>
                </w:p>
              </w:tc>
            </w:tr>
            <w:tr w14:paraId="31472A3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51" w:hRule="atLeast"/>
                <w:jc w:val="center"/>
              </w:trPr>
              <w:tc>
                <w:tcPr>
                  <w:tcW w:w="950" w:type="pct"/>
                  <w:vMerge w:val="continue"/>
                  <w:noWrap w:val="0"/>
                  <w:vAlign w:val="center"/>
                </w:tcPr>
                <w:p w14:paraId="49A275BC">
                  <w:pPr>
                    <w:spacing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825" w:type="pct"/>
                  <w:noWrap w:val="0"/>
                  <w:vAlign w:val="center"/>
                </w:tcPr>
                <w:p w14:paraId="514C5556">
                  <w:pPr>
                    <w:keepNext w:val="0"/>
                    <w:keepLines w:val="0"/>
                    <w:widowControl/>
                    <w:suppressLineNumbers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t>DA003</w:t>
                  </w:r>
                </w:p>
              </w:tc>
              <w:tc>
                <w:tcPr>
                  <w:tcW w:w="1698" w:type="pct"/>
                  <w:noWrap w:val="0"/>
                  <w:vAlign w:val="center"/>
                </w:tcPr>
                <w:p w14:paraId="0C41BCE7">
                  <w:pPr>
                    <w:keepNext w:val="0"/>
                    <w:keepLines w:val="0"/>
                    <w:widowControl/>
                    <w:suppressLineNumbers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t>颗粒物</w:t>
                  </w:r>
                </w:p>
              </w:tc>
              <w:tc>
                <w:tcPr>
                  <w:tcW w:w="1525" w:type="pct"/>
                  <w:noWrap w:val="0"/>
                  <w:vAlign w:val="center"/>
                </w:tcPr>
                <w:p w14:paraId="27E78334">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t>1次/年</w:t>
                  </w:r>
                </w:p>
              </w:tc>
            </w:tr>
            <w:tr w14:paraId="366B97D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0" w:hRule="atLeast"/>
                <w:jc w:val="center"/>
              </w:trPr>
              <w:tc>
                <w:tcPr>
                  <w:tcW w:w="950" w:type="pct"/>
                  <w:noWrap w:val="0"/>
                  <w:vAlign w:val="center"/>
                </w:tcPr>
                <w:p w14:paraId="407EB86D">
                  <w:pPr>
                    <w:spacing w:line="240" w:lineRule="auto"/>
                    <w:ind w:firstLine="0" w:firstLineChars="0"/>
                    <w:jc w:val="cente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无组织废气</w:t>
                  </w:r>
                </w:p>
              </w:tc>
              <w:tc>
                <w:tcPr>
                  <w:tcW w:w="825" w:type="pct"/>
                  <w:noWrap w:val="0"/>
                  <w:vAlign w:val="center"/>
                </w:tcPr>
                <w:p w14:paraId="6ED1CD1C">
                  <w:pPr>
                    <w:keepNext w:val="0"/>
                    <w:keepLines w:val="0"/>
                    <w:widowControl/>
                    <w:suppressLineNumbers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t>厂界</w:t>
                  </w:r>
                </w:p>
              </w:tc>
              <w:tc>
                <w:tcPr>
                  <w:tcW w:w="1698" w:type="pct"/>
                  <w:noWrap w:val="0"/>
                  <w:vAlign w:val="center"/>
                </w:tcPr>
                <w:p w14:paraId="2D31E965">
                  <w:pPr>
                    <w:keepNext w:val="0"/>
                    <w:keepLines w:val="0"/>
                    <w:widowControl/>
                    <w:suppressLineNumbers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t>颗粒物</w:t>
                  </w:r>
                </w:p>
              </w:tc>
              <w:tc>
                <w:tcPr>
                  <w:tcW w:w="1525" w:type="pct"/>
                  <w:noWrap w:val="0"/>
                  <w:vAlign w:val="center"/>
                </w:tcPr>
                <w:p w14:paraId="152A0BFB">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highlight w:val="none"/>
                      <w:lang w:val="en-US" w:eastAsia="zh-CN"/>
                      <w14:textFill>
                        <w14:solidFill>
                          <w14:schemeClr w14:val="tx1"/>
                        </w14:solidFill>
                      </w14:textFill>
                    </w:rPr>
                    <w:t>1次/年</w:t>
                  </w:r>
                </w:p>
              </w:tc>
            </w:tr>
          </w:tbl>
          <w:p w14:paraId="1A98FF38">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outlineLvl w:val="9"/>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b/>
                <w:color w:val="000000" w:themeColor="text1"/>
                <w:kern w:val="2"/>
                <w:sz w:val="24"/>
                <w:szCs w:val="24"/>
                <w:highlight w:val="none"/>
                <w:lang w:val="en-US" w:eastAsia="zh-CN" w:bidi="ar"/>
                <w14:textFill>
                  <w14:solidFill>
                    <w14:schemeClr w14:val="tx1"/>
                  </w14:solidFill>
                </w14:textFill>
              </w:rPr>
              <w:t>、</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水</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环境影响分析</w:t>
            </w:r>
          </w:p>
          <w:p w14:paraId="08E7B583">
            <w:pPr>
              <w:keepNext w:val="0"/>
              <w:keepLines w:val="0"/>
              <w:widowControl/>
              <w:suppressLineNumbers w:val="0"/>
              <w:spacing w:before="0" w:beforeAutospacing="0" w:after="0" w:afterAutospacing="0" w:line="360" w:lineRule="auto"/>
              <w:ind w:left="0" w:leftChars="0" w:right="0" w:firstLine="0" w:firstLineChars="0"/>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2.1污染源分析</w:t>
            </w:r>
          </w:p>
          <w:p w14:paraId="1A9AE0DC">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（1）产生情况</w:t>
            </w:r>
          </w:p>
          <w:p w14:paraId="69FE0F59">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本项目生产用水主要用于露天采场、石料堆场、工业广场、场内道路等洒水降尘用水、洗砂用水。降尘用水全部自然蒸发；洗砂废水经沉淀池处理后循环利用，不外排。</w:t>
            </w:r>
          </w:p>
          <w:p w14:paraId="10FCB88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本项目废水主要为生活污水，根据前文分析，生活污水以生活用水量的80%计，生活污水</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排入化粪池后委托拉运</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本项目运营期生活污水排放见下表。</w:t>
            </w:r>
          </w:p>
          <w:p w14:paraId="65C77AC1">
            <w:pPr>
              <w:pStyle w:val="75"/>
              <w:keepNext w:val="0"/>
              <w:keepLines w:val="0"/>
              <w:pageBreakBefore w:val="0"/>
              <w:suppressLineNumbers w:val="0"/>
              <w:wordWrap/>
              <w:bidi w:val="0"/>
              <w:adjustRightInd/>
              <w:snapToGrid/>
              <w:spacing w:before="0" w:beforeAutospacing="0" w:after="0" w:afterAutospacing="0" w:line="240" w:lineRule="auto"/>
              <w:ind w:left="0" w:right="0" w:firstLine="0" w:firstLineChars="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表4-9    运营期污水排放一览表</w:t>
            </w:r>
          </w:p>
          <w:tbl>
            <w:tblPr>
              <w:tblStyle w:val="38"/>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92"/>
              <w:gridCol w:w="869"/>
              <w:gridCol w:w="817"/>
              <w:gridCol w:w="1097"/>
              <w:gridCol w:w="972"/>
              <w:gridCol w:w="1521"/>
              <w:gridCol w:w="1142"/>
              <w:gridCol w:w="1142"/>
            </w:tblGrid>
            <w:tr w14:paraId="36F50C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4" w:type="pct"/>
                  <w:tcBorders>
                    <w:bottom w:val="single" w:color="000000" w:sz="12" w:space="0"/>
                    <w:tl2br w:val="nil"/>
                    <w:tr2bl w:val="nil"/>
                  </w:tcBorders>
                  <w:noWrap w:val="0"/>
                  <w:vAlign w:val="center"/>
                </w:tcPr>
                <w:p w14:paraId="6C2CA511">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废水类别</w:t>
                  </w:r>
                </w:p>
              </w:tc>
              <w:tc>
                <w:tcPr>
                  <w:tcW w:w="520" w:type="pct"/>
                  <w:tcBorders>
                    <w:bottom w:val="single" w:color="000000" w:sz="12" w:space="0"/>
                    <w:tl2br w:val="nil"/>
                    <w:tr2bl w:val="nil"/>
                  </w:tcBorders>
                  <w:noWrap w:val="0"/>
                  <w:vAlign w:val="center"/>
                </w:tcPr>
                <w:p w14:paraId="1AA484B1">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废水量</w:t>
                  </w:r>
                </w:p>
              </w:tc>
              <w:tc>
                <w:tcPr>
                  <w:tcW w:w="489" w:type="pct"/>
                  <w:tcBorders>
                    <w:bottom w:val="single" w:color="000000" w:sz="12" w:space="0"/>
                    <w:tl2br w:val="nil"/>
                    <w:tr2bl w:val="nil"/>
                  </w:tcBorders>
                  <w:noWrap w:val="0"/>
                  <w:vAlign w:val="center"/>
                </w:tcPr>
                <w:p w14:paraId="3EF8FCED">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污染物</w:t>
                  </w:r>
                </w:p>
              </w:tc>
              <w:tc>
                <w:tcPr>
                  <w:tcW w:w="656" w:type="pct"/>
                  <w:tcBorders>
                    <w:bottom w:val="single" w:color="000000" w:sz="12" w:space="0"/>
                    <w:tl2br w:val="nil"/>
                    <w:tr2bl w:val="nil"/>
                  </w:tcBorders>
                  <w:noWrap w:val="0"/>
                  <w:vAlign w:val="center"/>
                </w:tcPr>
                <w:p w14:paraId="197F907F">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产生浓度</w:t>
                  </w:r>
                </w:p>
              </w:tc>
              <w:tc>
                <w:tcPr>
                  <w:tcW w:w="581" w:type="pct"/>
                  <w:tcBorders>
                    <w:bottom w:val="single" w:color="000000" w:sz="12" w:space="0"/>
                    <w:tl2br w:val="nil"/>
                    <w:tr2bl w:val="nil"/>
                  </w:tcBorders>
                  <w:noWrap w:val="0"/>
                  <w:vAlign w:val="center"/>
                </w:tcPr>
                <w:p w14:paraId="2105E488">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产生量</w:t>
                  </w:r>
                </w:p>
              </w:tc>
              <w:tc>
                <w:tcPr>
                  <w:tcW w:w="910" w:type="pct"/>
                  <w:tcBorders>
                    <w:bottom w:val="single" w:color="000000" w:sz="12" w:space="0"/>
                    <w:tl2br w:val="nil"/>
                    <w:tr2bl w:val="nil"/>
                  </w:tcBorders>
                  <w:noWrap w:val="0"/>
                  <w:vAlign w:val="center"/>
                </w:tcPr>
                <w:p w14:paraId="523C2DD1">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治理措施与排放去向</w:t>
                  </w:r>
                </w:p>
              </w:tc>
              <w:tc>
                <w:tcPr>
                  <w:tcW w:w="683" w:type="pct"/>
                  <w:tcBorders>
                    <w:bottom w:val="single" w:color="000000" w:sz="12" w:space="0"/>
                    <w:tl2br w:val="nil"/>
                    <w:tr2bl w:val="nil"/>
                  </w:tcBorders>
                  <w:noWrap w:val="0"/>
                  <w:vAlign w:val="center"/>
                </w:tcPr>
                <w:p w14:paraId="58AD9937">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排放浓度</w:t>
                  </w:r>
                </w:p>
              </w:tc>
              <w:tc>
                <w:tcPr>
                  <w:tcW w:w="683" w:type="pct"/>
                  <w:tcBorders>
                    <w:bottom w:val="single" w:color="000000" w:sz="12" w:space="0"/>
                    <w:tl2br w:val="nil"/>
                    <w:tr2bl w:val="nil"/>
                  </w:tcBorders>
                  <w:noWrap w:val="0"/>
                  <w:vAlign w:val="center"/>
                </w:tcPr>
                <w:p w14:paraId="5B57ACFE">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排放量</w:t>
                  </w:r>
                </w:p>
              </w:tc>
            </w:tr>
            <w:tr w14:paraId="15C03D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4" w:type="pct"/>
                  <w:vMerge w:val="restart"/>
                  <w:tcBorders>
                    <w:top w:val="single" w:color="000000" w:sz="12" w:space="0"/>
                    <w:tl2br w:val="nil"/>
                    <w:tr2bl w:val="nil"/>
                  </w:tcBorders>
                  <w:noWrap w:val="0"/>
                  <w:vAlign w:val="center"/>
                </w:tcPr>
                <w:p w14:paraId="618536BF">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生活污水</w:t>
                  </w:r>
                </w:p>
              </w:tc>
              <w:tc>
                <w:tcPr>
                  <w:tcW w:w="520" w:type="pct"/>
                  <w:vMerge w:val="restart"/>
                  <w:tcBorders>
                    <w:top w:val="single" w:color="000000" w:sz="12" w:space="0"/>
                    <w:tl2br w:val="nil"/>
                    <w:tr2bl w:val="nil"/>
                  </w:tcBorders>
                  <w:noWrap w:val="0"/>
                  <w:vAlign w:val="center"/>
                </w:tcPr>
                <w:p w14:paraId="60D13FD9">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420m</w:t>
                  </w:r>
                  <w:r>
                    <w:rPr>
                      <w:rFonts w:hint="default" w:ascii="Times New Roman" w:hAnsi="Times New Roman" w:eastAsia="宋体" w:cs="Times New Roman"/>
                      <w:color w:val="000000" w:themeColor="text1"/>
                      <w:sz w:val="21"/>
                      <w:szCs w:val="21"/>
                      <w:highlight w:val="none"/>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/a</w:t>
                  </w:r>
                </w:p>
              </w:tc>
              <w:tc>
                <w:tcPr>
                  <w:tcW w:w="489" w:type="pct"/>
                  <w:tcBorders>
                    <w:top w:val="single" w:color="000000" w:sz="12" w:space="0"/>
                    <w:tl2br w:val="nil"/>
                    <w:tr2bl w:val="nil"/>
                  </w:tcBorders>
                  <w:noWrap w:val="0"/>
                  <w:vAlign w:val="center"/>
                </w:tcPr>
                <w:p w14:paraId="30C64FD5">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COD</w:t>
                  </w:r>
                </w:p>
              </w:tc>
              <w:tc>
                <w:tcPr>
                  <w:tcW w:w="656" w:type="pct"/>
                  <w:tcBorders>
                    <w:top w:val="single" w:color="000000" w:sz="12" w:space="0"/>
                    <w:tl2br w:val="nil"/>
                    <w:tr2bl w:val="nil"/>
                  </w:tcBorders>
                  <w:noWrap w:val="0"/>
                  <w:vAlign w:val="center"/>
                </w:tcPr>
                <w:p w14:paraId="655891B6">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400mg/L</w:t>
                  </w:r>
                </w:p>
              </w:tc>
              <w:tc>
                <w:tcPr>
                  <w:tcW w:w="581" w:type="pct"/>
                  <w:tcBorders>
                    <w:top w:val="single" w:color="000000" w:sz="12" w:space="0"/>
                    <w:tl2br w:val="nil"/>
                    <w:tr2bl w:val="nil"/>
                  </w:tcBorders>
                  <w:noWrap w:val="0"/>
                  <w:vAlign w:val="center"/>
                </w:tcPr>
                <w:p w14:paraId="6D739B23">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0.17t/a</w:t>
                  </w:r>
                </w:p>
              </w:tc>
              <w:tc>
                <w:tcPr>
                  <w:tcW w:w="910" w:type="pct"/>
                  <w:vMerge w:val="restart"/>
                  <w:tcBorders>
                    <w:top w:val="single" w:color="000000" w:sz="12" w:space="0"/>
                    <w:tl2br w:val="nil"/>
                    <w:tr2bl w:val="nil"/>
                  </w:tcBorders>
                  <w:noWrap w:val="0"/>
                  <w:vAlign w:val="center"/>
                </w:tcPr>
                <w:p w14:paraId="72B57D6C">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排入化粪池拉运</w:t>
                  </w:r>
                </w:p>
              </w:tc>
              <w:tc>
                <w:tcPr>
                  <w:tcW w:w="1142" w:type="dxa"/>
                  <w:tcBorders>
                    <w:top w:val="single" w:color="000000" w:sz="12" w:space="0"/>
                    <w:tl2br w:val="nil"/>
                    <w:tr2bl w:val="nil"/>
                  </w:tcBorders>
                  <w:noWrap w:val="0"/>
                  <w:vAlign w:val="center"/>
                </w:tcPr>
                <w:p w14:paraId="74F10678">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color w:val="FF0000"/>
                      <w:sz w:val="21"/>
                      <w:szCs w:val="21"/>
                      <w:highlight w:val="none"/>
                      <w:lang w:val="en-US" w:eastAsia="zh-CN"/>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400mg/L</w:t>
                  </w:r>
                </w:p>
              </w:tc>
              <w:tc>
                <w:tcPr>
                  <w:tcW w:w="1142" w:type="dxa"/>
                  <w:tcBorders>
                    <w:top w:val="single" w:color="000000" w:sz="12" w:space="0"/>
                    <w:tl2br w:val="nil"/>
                    <w:tr2bl w:val="nil"/>
                  </w:tcBorders>
                  <w:noWrap w:val="0"/>
                  <w:vAlign w:val="center"/>
                </w:tcPr>
                <w:p w14:paraId="2609E90E">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color w:val="FF0000"/>
                      <w:sz w:val="21"/>
                      <w:szCs w:val="21"/>
                      <w:highlight w:val="none"/>
                      <w:lang w:val="en-US" w:eastAsia="zh-CN"/>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0.17t/a</w:t>
                  </w:r>
                </w:p>
              </w:tc>
            </w:tr>
            <w:tr w14:paraId="75A932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pct"/>
                  <w:vMerge w:val="continue"/>
                  <w:tcBorders>
                    <w:tl2br w:val="nil"/>
                    <w:tr2bl w:val="nil"/>
                  </w:tcBorders>
                  <w:noWrap w:val="0"/>
                  <w:vAlign w:val="center"/>
                </w:tcPr>
                <w:p w14:paraId="5AC2F129">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520" w:type="pct"/>
                  <w:vMerge w:val="continue"/>
                  <w:tcBorders>
                    <w:tl2br w:val="nil"/>
                    <w:tr2bl w:val="nil"/>
                  </w:tcBorders>
                  <w:noWrap w:val="0"/>
                  <w:vAlign w:val="center"/>
                </w:tcPr>
                <w:p w14:paraId="11B92827">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489" w:type="pct"/>
                  <w:tcBorders>
                    <w:tl2br w:val="nil"/>
                    <w:tr2bl w:val="nil"/>
                  </w:tcBorders>
                  <w:noWrap w:val="0"/>
                  <w:vAlign w:val="center"/>
                </w:tcPr>
                <w:p w14:paraId="797BCA2B">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BOD</w:t>
                  </w:r>
                  <w:r>
                    <w:rPr>
                      <w:rFonts w:hint="default" w:ascii="Times New Roman" w:hAnsi="Times New Roman" w:eastAsia="宋体" w:cs="Times New Roman"/>
                      <w:color w:val="000000" w:themeColor="text1"/>
                      <w:sz w:val="21"/>
                      <w:szCs w:val="21"/>
                      <w:highlight w:val="none"/>
                      <w:vertAlign w:val="subscript"/>
                      <w:lang w:val="en-US" w:eastAsia="zh-CN"/>
                      <w14:textFill>
                        <w14:solidFill>
                          <w14:schemeClr w14:val="tx1"/>
                        </w14:solidFill>
                      </w14:textFill>
                    </w:rPr>
                    <w:t>5</w:t>
                  </w:r>
                </w:p>
              </w:tc>
              <w:tc>
                <w:tcPr>
                  <w:tcW w:w="656" w:type="pct"/>
                  <w:tcBorders>
                    <w:tl2br w:val="nil"/>
                    <w:tr2bl w:val="nil"/>
                  </w:tcBorders>
                  <w:noWrap w:val="0"/>
                  <w:vAlign w:val="center"/>
                </w:tcPr>
                <w:p w14:paraId="65B35703">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200mg/L</w:t>
                  </w:r>
                </w:p>
              </w:tc>
              <w:tc>
                <w:tcPr>
                  <w:tcW w:w="581" w:type="pct"/>
                  <w:tcBorders>
                    <w:tl2br w:val="nil"/>
                    <w:tr2bl w:val="nil"/>
                  </w:tcBorders>
                  <w:noWrap w:val="0"/>
                  <w:vAlign w:val="center"/>
                </w:tcPr>
                <w:p w14:paraId="5DCFFF71">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0.08t/a</w:t>
                  </w:r>
                </w:p>
              </w:tc>
              <w:tc>
                <w:tcPr>
                  <w:tcW w:w="910" w:type="pct"/>
                  <w:vMerge w:val="continue"/>
                  <w:tcBorders>
                    <w:tl2br w:val="nil"/>
                    <w:tr2bl w:val="nil"/>
                  </w:tcBorders>
                  <w:noWrap w:val="0"/>
                  <w:vAlign w:val="center"/>
                </w:tcPr>
                <w:p w14:paraId="04CCA367">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142" w:type="dxa"/>
                  <w:tcBorders>
                    <w:tl2br w:val="nil"/>
                    <w:tr2bl w:val="nil"/>
                  </w:tcBorders>
                  <w:noWrap w:val="0"/>
                  <w:vAlign w:val="center"/>
                </w:tcPr>
                <w:p w14:paraId="2D89AEC7">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color w:val="FF0000"/>
                      <w:sz w:val="21"/>
                      <w:szCs w:val="21"/>
                      <w:highlight w:val="none"/>
                      <w:lang w:val="en-US" w:eastAsia="zh-CN"/>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200mg/L</w:t>
                  </w:r>
                </w:p>
              </w:tc>
              <w:tc>
                <w:tcPr>
                  <w:tcW w:w="1142" w:type="dxa"/>
                  <w:tcBorders>
                    <w:tl2br w:val="nil"/>
                    <w:tr2bl w:val="nil"/>
                  </w:tcBorders>
                  <w:noWrap w:val="0"/>
                  <w:vAlign w:val="center"/>
                </w:tcPr>
                <w:p w14:paraId="4DDFD85F">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color w:val="FF0000"/>
                      <w:sz w:val="21"/>
                      <w:szCs w:val="21"/>
                      <w:highlight w:val="none"/>
                      <w:lang w:val="en-US" w:eastAsia="zh-CN"/>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0.08t/a</w:t>
                  </w:r>
                </w:p>
              </w:tc>
            </w:tr>
            <w:tr w14:paraId="424EFA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pct"/>
                  <w:vMerge w:val="continue"/>
                  <w:tcBorders>
                    <w:tl2br w:val="nil"/>
                    <w:tr2bl w:val="nil"/>
                  </w:tcBorders>
                  <w:noWrap w:val="0"/>
                  <w:vAlign w:val="center"/>
                </w:tcPr>
                <w:p w14:paraId="76B59056">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520" w:type="pct"/>
                  <w:vMerge w:val="continue"/>
                  <w:tcBorders>
                    <w:tl2br w:val="nil"/>
                    <w:tr2bl w:val="nil"/>
                  </w:tcBorders>
                  <w:noWrap w:val="0"/>
                  <w:vAlign w:val="center"/>
                </w:tcPr>
                <w:p w14:paraId="62F5864E">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489" w:type="pct"/>
                  <w:tcBorders>
                    <w:tl2br w:val="nil"/>
                    <w:tr2bl w:val="nil"/>
                  </w:tcBorders>
                  <w:noWrap w:val="0"/>
                  <w:vAlign w:val="center"/>
                </w:tcPr>
                <w:p w14:paraId="34E25397">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SS</w:t>
                  </w:r>
                </w:p>
              </w:tc>
              <w:tc>
                <w:tcPr>
                  <w:tcW w:w="656" w:type="pct"/>
                  <w:tcBorders>
                    <w:tl2br w:val="nil"/>
                    <w:tr2bl w:val="nil"/>
                  </w:tcBorders>
                  <w:noWrap w:val="0"/>
                  <w:vAlign w:val="center"/>
                </w:tcPr>
                <w:p w14:paraId="7CDF59A7">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200mg/L</w:t>
                  </w:r>
                </w:p>
              </w:tc>
              <w:tc>
                <w:tcPr>
                  <w:tcW w:w="581" w:type="pct"/>
                  <w:tcBorders>
                    <w:tl2br w:val="nil"/>
                    <w:tr2bl w:val="nil"/>
                  </w:tcBorders>
                  <w:noWrap w:val="0"/>
                  <w:vAlign w:val="center"/>
                </w:tcPr>
                <w:p w14:paraId="6A436DBE">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0.08t/a</w:t>
                  </w:r>
                </w:p>
              </w:tc>
              <w:tc>
                <w:tcPr>
                  <w:tcW w:w="910" w:type="pct"/>
                  <w:vMerge w:val="continue"/>
                  <w:tcBorders>
                    <w:tl2br w:val="nil"/>
                    <w:tr2bl w:val="nil"/>
                  </w:tcBorders>
                  <w:noWrap w:val="0"/>
                  <w:vAlign w:val="center"/>
                </w:tcPr>
                <w:p w14:paraId="7F06571E">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142" w:type="dxa"/>
                  <w:tcBorders>
                    <w:tl2br w:val="nil"/>
                    <w:tr2bl w:val="nil"/>
                  </w:tcBorders>
                  <w:noWrap w:val="0"/>
                  <w:vAlign w:val="center"/>
                </w:tcPr>
                <w:p w14:paraId="0CFC7D0E">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color w:val="FF0000"/>
                      <w:sz w:val="21"/>
                      <w:szCs w:val="21"/>
                      <w:highlight w:val="none"/>
                      <w:lang w:val="en-US" w:eastAsia="zh-CN"/>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200mg/L</w:t>
                  </w:r>
                </w:p>
              </w:tc>
              <w:tc>
                <w:tcPr>
                  <w:tcW w:w="1142" w:type="dxa"/>
                  <w:tcBorders>
                    <w:tl2br w:val="nil"/>
                    <w:tr2bl w:val="nil"/>
                  </w:tcBorders>
                  <w:noWrap w:val="0"/>
                  <w:vAlign w:val="center"/>
                </w:tcPr>
                <w:p w14:paraId="2CD9C7DD">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color w:val="FF0000"/>
                      <w:sz w:val="21"/>
                      <w:szCs w:val="21"/>
                      <w:highlight w:val="none"/>
                      <w:lang w:val="en-US" w:eastAsia="zh-CN"/>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0.08t/a</w:t>
                  </w:r>
                </w:p>
              </w:tc>
            </w:tr>
            <w:tr w14:paraId="3FAE02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74" w:type="pct"/>
                  <w:vMerge w:val="continue"/>
                  <w:tcBorders>
                    <w:tl2br w:val="nil"/>
                    <w:tr2bl w:val="nil"/>
                  </w:tcBorders>
                  <w:noWrap w:val="0"/>
                  <w:vAlign w:val="center"/>
                </w:tcPr>
                <w:p w14:paraId="5E2D5A2A">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520" w:type="pct"/>
                  <w:vMerge w:val="continue"/>
                  <w:tcBorders>
                    <w:tl2br w:val="nil"/>
                    <w:tr2bl w:val="nil"/>
                  </w:tcBorders>
                  <w:noWrap w:val="0"/>
                  <w:vAlign w:val="center"/>
                </w:tcPr>
                <w:p w14:paraId="7044A833">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489" w:type="pct"/>
                  <w:tcBorders>
                    <w:tl2br w:val="nil"/>
                    <w:tr2bl w:val="nil"/>
                  </w:tcBorders>
                  <w:noWrap w:val="0"/>
                  <w:vAlign w:val="center"/>
                </w:tcPr>
                <w:p w14:paraId="6D7CFB06">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NH</w:t>
                  </w:r>
                  <w:r>
                    <w:rPr>
                      <w:rFonts w:hint="default" w:ascii="Times New Roman" w:hAnsi="Times New Roman" w:eastAsia="宋体" w:cs="Times New Roman"/>
                      <w:color w:val="000000" w:themeColor="text1"/>
                      <w:sz w:val="21"/>
                      <w:szCs w:val="21"/>
                      <w:highlight w:val="none"/>
                      <w:vertAlign w:val="subscript"/>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-N</w:t>
                  </w:r>
                </w:p>
              </w:tc>
              <w:tc>
                <w:tcPr>
                  <w:tcW w:w="656" w:type="pct"/>
                  <w:tcBorders>
                    <w:tl2br w:val="nil"/>
                    <w:tr2bl w:val="nil"/>
                  </w:tcBorders>
                  <w:noWrap w:val="0"/>
                  <w:vAlign w:val="center"/>
                </w:tcPr>
                <w:p w14:paraId="28A0C6DA">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30mg/L</w:t>
                  </w:r>
                </w:p>
              </w:tc>
              <w:tc>
                <w:tcPr>
                  <w:tcW w:w="581" w:type="pct"/>
                  <w:tcBorders>
                    <w:tl2br w:val="nil"/>
                    <w:tr2bl w:val="nil"/>
                  </w:tcBorders>
                  <w:noWrap w:val="0"/>
                  <w:vAlign w:val="center"/>
                </w:tcPr>
                <w:p w14:paraId="008183A3">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0.01t/a</w:t>
                  </w:r>
                </w:p>
              </w:tc>
              <w:tc>
                <w:tcPr>
                  <w:tcW w:w="910" w:type="pct"/>
                  <w:vMerge w:val="continue"/>
                  <w:tcBorders>
                    <w:tl2br w:val="nil"/>
                    <w:tr2bl w:val="nil"/>
                  </w:tcBorders>
                  <w:noWrap w:val="0"/>
                  <w:vAlign w:val="center"/>
                </w:tcPr>
                <w:p w14:paraId="4B267462">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142" w:type="dxa"/>
                  <w:tcBorders>
                    <w:tl2br w:val="nil"/>
                    <w:tr2bl w:val="nil"/>
                  </w:tcBorders>
                  <w:noWrap w:val="0"/>
                  <w:vAlign w:val="center"/>
                </w:tcPr>
                <w:p w14:paraId="6E123667">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color w:val="FF0000"/>
                      <w:sz w:val="21"/>
                      <w:szCs w:val="21"/>
                      <w:highlight w:val="none"/>
                      <w:lang w:val="en-US" w:eastAsia="zh-CN"/>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30mg/L</w:t>
                  </w:r>
                </w:p>
              </w:tc>
              <w:tc>
                <w:tcPr>
                  <w:tcW w:w="1142" w:type="dxa"/>
                  <w:tcBorders>
                    <w:tl2br w:val="nil"/>
                    <w:tr2bl w:val="nil"/>
                  </w:tcBorders>
                  <w:noWrap w:val="0"/>
                  <w:vAlign w:val="center"/>
                </w:tcPr>
                <w:p w14:paraId="65FC8429">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color w:val="FF0000"/>
                      <w:sz w:val="21"/>
                      <w:szCs w:val="21"/>
                      <w:highlight w:val="none"/>
                      <w:lang w:val="en-US" w:eastAsia="zh-CN"/>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0.01t/a</w:t>
                  </w:r>
                </w:p>
              </w:tc>
            </w:tr>
          </w:tbl>
          <w:p w14:paraId="2A37786F">
            <w:pPr>
              <w:keepNext w:val="0"/>
              <w:keepLines w:val="0"/>
              <w:widowControl/>
              <w:suppressLineNumbers w:val="0"/>
              <w:spacing w:before="0" w:beforeAutospacing="0" w:after="0" w:afterAutospacing="0" w:line="360" w:lineRule="auto"/>
              <w:ind w:left="0" w:leftChars="0" w:right="0" w:firstLine="0" w:firstLineChars="0"/>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2.2</w:t>
            </w: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依托可行性分析</w:t>
            </w:r>
          </w:p>
          <w:p w14:paraId="1BB5058C">
            <w:pPr>
              <w:wordWrap w:val="0"/>
              <w:spacing w:line="360" w:lineRule="auto"/>
              <w:ind w:firstLine="482"/>
              <w:jc w:val="left"/>
              <w:rPr>
                <w:rFonts w:hint="eastAsia" w:ascii="Times New Roman" w:hAnsi="Times New Roman" w:eastAsia="宋体" w:cs="Times New Roman"/>
                <w:b w:val="0"/>
                <w:bCs w:val="0"/>
                <w:color w:val="000000"/>
                <w:sz w:val="24"/>
                <w:szCs w:val="24"/>
                <w:highlight w:val="none"/>
                <w:lang w:val="en-US" w:eastAsia="zh-CN"/>
              </w:rPr>
            </w:pPr>
            <w:r>
              <w:rPr>
                <w:rFonts w:hint="eastAsia" w:ascii="Times New Roman" w:hAnsi="Times New Roman" w:eastAsia="宋体" w:cs="Times New Roman"/>
                <w:b w:val="0"/>
                <w:bCs w:val="0"/>
                <w:color w:val="000000"/>
                <w:sz w:val="24"/>
                <w:szCs w:val="24"/>
                <w:highlight w:val="none"/>
                <w:lang w:val="en-US" w:eastAsia="zh-CN"/>
              </w:rPr>
              <w:t>本项目生活污水排入化粪池，定期委托吸污车拉运至</w:t>
            </w:r>
            <w:r>
              <w:rPr>
                <w:rFonts w:ascii="宋体" w:hAnsi="宋体" w:eastAsia="宋体" w:cs="宋体"/>
                <w:sz w:val="24"/>
                <w:szCs w:val="24"/>
              </w:rPr>
              <w:t>吉木萨尔县第二污水处理厂</w:t>
            </w:r>
            <w:r>
              <w:rPr>
                <w:rFonts w:hint="eastAsia" w:ascii="宋体" w:hAnsi="宋体" w:eastAsia="宋体" w:cs="宋体"/>
                <w:sz w:val="24"/>
                <w:szCs w:val="24"/>
                <w:lang w:val="en-US" w:eastAsia="zh-CN"/>
              </w:rPr>
              <w:t>处理。</w:t>
            </w:r>
          </w:p>
          <w:p w14:paraId="1DA68965">
            <w:pPr>
              <w:wordWrap w:val="0"/>
              <w:spacing w:line="360" w:lineRule="auto"/>
              <w:ind w:firstLine="482"/>
              <w:jc w:val="left"/>
              <w:rPr>
                <w:rFonts w:hint="eastAsia" w:ascii="Times New Roman" w:hAnsi="Times New Roman" w:eastAsia="宋体" w:cs="Times New Roman"/>
                <w:b w:val="0"/>
                <w:bCs w:val="0"/>
                <w:color w:val="000000"/>
                <w:sz w:val="24"/>
                <w:szCs w:val="24"/>
                <w:highlight w:val="none"/>
                <w:lang w:val="en-US" w:eastAsia="zh-CN"/>
              </w:rPr>
            </w:pPr>
            <w:r>
              <w:rPr>
                <w:rFonts w:hint="eastAsia" w:ascii="Times New Roman" w:hAnsi="Times New Roman" w:eastAsia="宋体" w:cs="Times New Roman"/>
                <w:b w:val="0"/>
                <w:bCs w:val="0"/>
                <w:color w:val="000000"/>
                <w:sz w:val="24"/>
                <w:szCs w:val="24"/>
                <w:highlight w:val="none"/>
                <w:lang w:val="en-US" w:eastAsia="zh-CN"/>
              </w:rPr>
              <w:t>吉木萨尔县第二污水处理厂位于北庭镇大庄子村，服务范围覆盖县城城北、城南片区及北庭工业园区生活污水与一般性生产废水；吉木萨尔县第二污水处理厂于2025年1月取得改扩建环评批复，文号为(昌州环评〔2025〕21号)，委托改扩建完成后总处理规模20000m³/d，主体采用强化脱氮改良A²/O+絮凝沉淀处理工艺，尾水执行《城镇污水处理厂污染物排放标准》（GB 18918-2002）一级A标准，处理后出水优先回用周边生态林绿化。污水厂配套完善的调节、生化、深度处理、消毒系统，设置在线监控设施，具备稳定接纳预处理后生活污水的条件。</w:t>
            </w:r>
          </w:p>
          <w:p w14:paraId="43415723">
            <w:pPr>
              <w:wordWrap w:val="0"/>
              <w:spacing w:line="360" w:lineRule="auto"/>
              <w:ind w:firstLine="482"/>
              <w:jc w:val="left"/>
              <w:rPr>
                <w:rFonts w:hint="eastAsia" w:ascii="Times New Roman" w:hAnsi="Times New Roman" w:eastAsia="宋体" w:cs="Times New Roman"/>
                <w:b w:val="0"/>
                <w:bCs w:val="0"/>
                <w:color w:val="000000"/>
                <w:sz w:val="24"/>
                <w:szCs w:val="24"/>
                <w:highlight w:val="none"/>
                <w:lang w:val="en-US" w:eastAsia="zh-CN"/>
              </w:rPr>
            </w:pPr>
            <w:r>
              <w:rPr>
                <w:rFonts w:hint="eastAsia" w:ascii="Times New Roman" w:hAnsi="Times New Roman" w:eastAsia="宋体" w:cs="Times New Roman"/>
                <w:b w:val="0"/>
                <w:bCs w:val="0"/>
                <w:color w:val="000000"/>
                <w:sz w:val="24"/>
                <w:szCs w:val="24"/>
                <w:highlight w:val="none"/>
                <w:lang w:val="en-US" w:eastAsia="zh-CN"/>
              </w:rPr>
              <w:t>矿区生活区设置地埋式防渗化粪池，生活污水经化粪池预处理，水质满足《污水综合排放标准》（GB 8978-1996）三级标准.</w:t>
            </w:r>
          </w:p>
          <w:p w14:paraId="364A2EC9">
            <w:pPr>
              <w:wordWrap w:val="0"/>
              <w:spacing w:line="360" w:lineRule="auto"/>
              <w:ind w:firstLine="482"/>
              <w:jc w:val="left"/>
              <w:rPr>
                <w:rFonts w:hint="default" w:ascii="宋体" w:hAnsi="宋体" w:eastAsia="宋体" w:cs="宋体"/>
                <w:sz w:val="24"/>
                <w:szCs w:val="24"/>
                <w:lang w:val="en-US" w:eastAsia="zh-CN"/>
              </w:rPr>
            </w:pPr>
            <w:r>
              <w:rPr>
                <w:rFonts w:hint="eastAsia" w:ascii="Times New Roman" w:hAnsi="Times New Roman" w:eastAsia="宋体" w:cs="Times New Roman"/>
                <w:b w:val="0"/>
                <w:bCs w:val="0"/>
                <w:color w:val="000000"/>
                <w:sz w:val="24"/>
                <w:szCs w:val="24"/>
                <w:highlight w:val="none"/>
                <w:lang w:val="en-US" w:eastAsia="zh-CN"/>
              </w:rPr>
              <w:t>吉木萨尔县第二污水处理厂总处理规模20000m³/d，剩余量约为5000m</w:t>
            </w:r>
            <w:r>
              <w:rPr>
                <w:rFonts w:hint="eastAsia" w:ascii="Times New Roman" w:hAnsi="Times New Roman" w:eastAsia="宋体" w:cs="Times New Roman"/>
                <w:b w:val="0"/>
                <w:bCs w:val="0"/>
                <w:color w:val="000000"/>
                <w:sz w:val="24"/>
                <w:szCs w:val="24"/>
                <w:highlight w:val="none"/>
                <w:vertAlign w:val="superscript"/>
                <w:lang w:val="en-US" w:eastAsia="zh-CN"/>
              </w:rPr>
              <w:t>3</w:t>
            </w:r>
            <w:r>
              <w:rPr>
                <w:rFonts w:hint="eastAsia" w:ascii="Times New Roman" w:hAnsi="Times New Roman" w:eastAsia="宋体" w:cs="Times New Roman"/>
                <w:b w:val="0"/>
                <w:bCs w:val="0"/>
                <w:color w:val="000000"/>
                <w:sz w:val="24"/>
                <w:szCs w:val="24"/>
                <w:highlight w:val="none"/>
                <w:lang w:val="en-US" w:eastAsia="zh-CN"/>
              </w:rPr>
              <w:t>/d，接纳区域现状污水量尚有富余。本项目生活污水产生量小，占污水厂富余处理容量比例极低，不会占用污水厂主要处理负荷。</w:t>
            </w:r>
          </w:p>
          <w:p w14:paraId="61449BAC">
            <w:pPr>
              <w:keepNext w:val="0"/>
              <w:keepLines w:val="0"/>
              <w:widowControl/>
              <w:suppressLineNumbers w:val="0"/>
              <w:spacing w:before="0" w:beforeAutospacing="0" w:after="0" w:afterAutospacing="0" w:line="360" w:lineRule="auto"/>
              <w:ind w:left="0" w:leftChars="0" w:right="0" w:firstLine="0" w:firstLineChars="0"/>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2.</w:t>
            </w: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监测要求</w:t>
            </w:r>
          </w:p>
          <w:p w14:paraId="719FD734">
            <w:pPr>
              <w:wordWrap w:val="0"/>
              <w:spacing w:line="360" w:lineRule="auto"/>
              <w:ind w:firstLine="482"/>
              <w:jc w:val="left"/>
              <w:rPr>
                <w:rFonts w:hint="default" w:ascii="Times New Roman" w:hAnsi="Times New Roman" w:eastAsia="宋体" w:cs="Times New Roman"/>
                <w:b w:val="0"/>
                <w:bCs w:val="0"/>
                <w:color w:val="000000"/>
                <w:sz w:val="24"/>
                <w:szCs w:val="24"/>
                <w:highlight w:val="none"/>
              </w:rPr>
            </w:pPr>
            <w:r>
              <w:rPr>
                <w:rFonts w:hint="default" w:ascii="Times New Roman" w:hAnsi="Times New Roman" w:eastAsia="宋体" w:cs="Times New Roman"/>
                <w:b w:val="0"/>
                <w:bCs w:val="0"/>
                <w:color w:val="000000"/>
                <w:sz w:val="24"/>
                <w:szCs w:val="24"/>
                <w:highlight w:val="none"/>
              </w:rPr>
              <w:t>根据《排污单位自行监测技术指南 总则》（HJ819-2017）排污单位在项目运营期对其污水总排口出水水质开展监测。</w:t>
            </w:r>
          </w:p>
          <w:p w14:paraId="736C7F8C">
            <w:pPr>
              <w:keepNext w:val="0"/>
              <w:keepLines w:val="0"/>
              <w:widowControl/>
              <w:suppressLineNumbers w:val="0"/>
              <w:spacing w:before="0" w:beforeAutospacing="0" w:after="0" w:afterAutospacing="0" w:line="360" w:lineRule="auto"/>
              <w:ind w:left="0" w:leftChars="0" w:right="0" w:firstLine="480" w:firstLineChars="200"/>
              <w:rPr>
                <w:rFonts w:hint="default" w:ascii="Times New Roman" w:hAnsi="Times New Roman" w:eastAsia="宋体" w:cs="Times New Roman"/>
                <w:b w:val="0"/>
                <w:bCs w:val="0"/>
                <w:color w:val="000000"/>
                <w:sz w:val="24"/>
                <w:szCs w:val="24"/>
                <w:highlight w:val="none"/>
              </w:rPr>
            </w:pPr>
            <w:r>
              <w:rPr>
                <w:rFonts w:hint="default" w:ascii="Times New Roman" w:hAnsi="Times New Roman" w:eastAsia="宋体" w:cs="Times New Roman"/>
                <w:b w:val="0"/>
                <w:bCs w:val="0"/>
                <w:color w:val="000000"/>
                <w:sz w:val="24"/>
                <w:szCs w:val="24"/>
                <w:highlight w:val="none"/>
              </w:rPr>
              <w:t>项目生活污水</w:t>
            </w:r>
            <w:r>
              <w:rPr>
                <w:rFonts w:hint="default" w:ascii="Times New Roman" w:hAnsi="Times New Roman" w:eastAsia="宋体" w:cs="Times New Roman"/>
                <w:b w:val="0"/>
                <w:bCs w:val="0"/>
                <w:color w:val="000000"/>
                <w:sz w:val="24"/>
                <w:szCs w:val="24"/>
                <w:highlight w:val="none"/>
                <w:lang w:val="en-US" w:eastAsia="zh-CN"/>
              </w:rPr>
              <w:t>排入化粪池后委托拉运</w:t>
            </w:r>
            <w:r>
              <w:rPr>
                <w:rFonts w:hint="default" w:ascii="Times New Roman" w:hAnsi="Times New Roman" w:eastAsia="宋体" w:cs="Times New Roman"/>
                <w:b w:val="0"/>
                <w:bCs w:val="0"/>
                <w:color w:val="000000"/>
                <w:sz w:val="24"/>
                <w:szCs w:val="24"/>
                <w:highlight w:val="none"/>
              </w:rPr>
              <w:t>，项目</w:t>
            </w:r>
            <w:r>
              <w:rPr>
                <w:rFonts w:hint="default" w:ascii="Times New Roman" w:hAnsi="Times New Roman" w:eastAsia="宋体" w:cs="Times New Roman"/>
                <w:b w:val="0"/>
                <w:bCs w:val="0"/>
                <w:color w:val="000000"/>
                <w:sz w:val="24"/>
                <w:szCs w:val="24"/>
                <w:highlight w:val="none"/>
                <w:lang w:val="en-US" w:eastAsia="zh-CN"/>
              </w:rPr>
              <w:t>用</w:t>
            </w:r>
            <w:r>
              <w:rPr>
                <w:rFonts w:hint="default" w:ascii="Times New Roman" w:hAnsi="Times New Roman" w:eastAsia="宋体" w:cs="Times New Roman"/>
                <w:b w:val="0"/>
                <w:bCs w:val="0"/>
                <w:color w:val="000000"/>
                <w:sz w:val="24"/>
                <w:szCs w:val="24"/>
                <w:highlight w:val="none"/>
              </w:rPr>
              <w:t>水不会对区域水环境产生明显影响。生活污水监测频次不作要求。本项目不做废水监测计划。</w:t>
            </w:r>
          </w:p>
          <w:p w14:paraId="1994AB14">
            <w:pPr>
              <w:keepNext w:val="0"/>
              <w:keepLines w:val="0"/>
              <w:widowControl/>
              <w:suppressLineNumbers w:val="0"/>
              <w:spacing w:before="0" w:beforeAutospacing="0" w:after="0" w:afterAutospacing="0" w:line="360" w:lineRule="auto"/>
              <w:ind w:left="0" w:leftChars="0" w:right="0" w:firstLine="0" w:firstLineChars="0"/>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2.</w:t>
            </w: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4</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环境影响分析</w:t>
            </w:r>
          </w:p>
          <w:p w14:paraId="20430FD3">
            <w:pPr>
              <w:spacing w:line="360" w:lineRule="auto"/>
              <w:ind w:firstLine="480" w:firstLineChars="200"/>
              <w:rPr>
                <w:rFonts w:hint="default" w:ascii="Times New Roman" w:hAnsi="Times New Roman" w:eastAsia="宋体" w:cs="Times New Roman"/>
                <w:color w:val="000000" w:themeColor="text1"/>
                <w:sz w:val="24"/>
                <w:szCs w:val="22"/>
                <w:highlight w:val="none"/>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0"/>
                <w:sz w:val="24"/>
                <w:szCs w:val="24"/>
                <w:highlight w:val="none"/>
                <w:lang w:val="en-US" w:eastAsia="zh-CN"/>
                <w14:textFill>
                  <w14:solidFill>
                    <w14:schemeClr w14:val="tx1"/>
                  </w14:solidFill>
                </w14:textFill>
              </w:rPr>
              <w:t>本项目</w:t>
            </w:r>
            <w:r>
              <w:rPr>
                <w:rFonts w:hint="default" w:ascii="Times New Roman" w:hAnsi="Times New Roman" w:eastAsia="宋体" w:cs="Times New Roman"/>
                <w:color w:val="000000" w:themeColor="text1"/>
                <w:sz w:val="24"/>
                <w:szCs w:val="22"/>
                <w:highlight w:val="none"/>
                <w:lang w:val="en-US" w:eastAsia="zh-CN" w:bidi="ar-SA"/>
                <w14:textFill>
                  <w14:solidFill>
                    <w14:schemeClr w14:val="tx1"/>
                  </w14:solidFill>
                </w14:textFill>
              </w:rPr>
              <w:t>生产用水主要用于露天采场、石料堆场、工业广场、场内道路等洒水降尘用水、洗砂用水。降尘用水全部自然蒸发；洗砂废水经沉淀池处理后循环利用，不外排。生活污水</w:t>
            </w:r>
            <w:r>
              <w:rPr>
                <w:rFonts w:hint="default" w:ascii="Times New Roman" w:hAnsi="Times New Roman" w:eastAsia="宋体" w:cs="Times New Roman"/>
                <w:b w:val="0"/>
                <w:bCs w:val="0"/>
                <w:color w:val="000000"/>
                <w:sz w:val="24"/>
                <w:szCs w:val="24"/>
                <w:highlight w:val="none"/>
                <w:lang w:val="en-US" w:eastAsia="zh-CN"/>
              </w:rPr>
              <w:t>排入化粪池后委托拉运</w:t>
            </w: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2"/>
                <w:highlight w:val="none"/>
                <w:lang w:val="en-US" w:eastAsia="zh-CN" w:bidi="ar-SA"/>
                <w14:textFill>
                  <w14:solidFill>
                    <w14:schemeClr w14:val="tx1"/>
                  </w14:solidFill>
                </w14:textFill>
              </w:rPr>
              <w:t>项目废水均妥善处置，对周边区域影响不大。</w:t>
            </w:r>
          </w:p>
          <w:p w14:paraId="0932875B">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outlineLvl w:val="9"/>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b/>
                <w:color w:val="000000" w:themeColor="text1"/>
                <w:kern w:val="2"/>
                <w:sz w:val="24"/>
                <w:szCs w:val="24"/>
                <w:highlight w:val="none"/>
                <w:lang w:val="en-US" w:eastAsia="zh-CN" w:bidi="ar"/>
                <w14:textFill>
                  <w14:solidFill>
                    <w14:schemeClr w14:val="tx1"/>
                  </w14:solidFill>
                </w14:textFill>
              </w:rPr>
              <w:t>、</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声环境影响分析</w:t>
            </w:r>
          </w:p>
          <w:p w14:paraId="654DF198">
            <w:pPr>
              <w:keepNext w:val="0"/>
              <w:keepLines w:val="0"/>
              <w:widowControl/>
              <w:suppressLineNumbers w:val="0"/>
              <w:spacing w:before="0" w:beforeAutospacing="0" w:after="0" w:afterAutospacing="0" w:line="360" w:lineRule="auto"/>
              <w:ind w:left="0" w:leftChars="0" w:right="0" w:firstLine="0" w:firstLineChars="0"/>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3.1污染源分析</w:t>
            </w:r>
          </w:p>
          <w:p w14:paraId="79887304">
            <w:pPr>
              <w:keepNext w:val="0"/>
              <w:keepLines w:val="0"/>
              <w:suppressLineNumbers w:val="0"/>
              <w:tabs>
                <w:tab w:val="left" w:pos="0"/>
              </w:tabs>
              <w:spacing w:before="0" w:beforeAutospacing="0" w:after="0" w:afterAutospacing="0" w:line="360" w:lineRule="auto"/>
              <w:ind w:left="0" w:right="0" w:firstLine="458" w:firstLineChars="191"/>
              <w:jc w:val="left"/>
              <w:rPr>
                <w:rFonts w:hint="default" w:ascii="Times New Roman" w:hAnsi="Times New Roman" w:eastAsia="宋体" w:cs="Times New Roman"/>
                <w:color w:val="000000" w:themeColor="text1"/>
                <w:sz w:val="21"/>
                <w:szCs w:val="13"/>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2"/>
                <w:highlight w:val="none"/>
                <w14:textFill>
                  <w14:solidFill>
                    <w14:schemeClr w14:val="tx1"/>
                  </w14:solidFill>
                </w14:textFill>
              </w:rPr>
              <w:t>项目噪声主要来自生产设备等</w:t>
            </w:r>
            <w:r>
              <w:rPr>
                <w:rFonts w:hint="default" w:ascii="Times New Roman" w:hAnsi="Times New Roman" w:eastAsia="宋体" w:cs="Times New Roman"/>
                <w:color w:val="000000" w:themeColor="text1"/>
                <w:sz w:val="24"/>
                <w:szCs w:val="22"/>
                <w:highlight w:val="none"/>
                <w:lang w:eastAsia="zh-CN"/>
                <w14:textFill>
                  <w14:solidFill>
                    <w14:schemeClr w14:val="tx1"/>
                  </w14:solidFill>
                </w14:textFill>
              </w:rPr>
              <w:t>，各噪声设备噪声值见表</w:t>
            </w: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4-10</w:t>
            </w:r>
            <w:r>
              <w:rPr>
                <w:rFonts w:hint="default" w:ascii="Times New Roman" w:hAnsi="Times New Roman" w:eastAsia="宋体" w:cs="Times New Roman"/>
                <w:color w:val="000000" w:themeColor="text1"/>
                <w:sz w:val="24"/>
                <w:szCs w:val="22"/>
                <w:highlight w:val="none"/>
                <w:lang w:eastAsia="zh-CN"/>
                <w14:textFill>
                  <w14:solidFill>
                    <w14:schemeClr w14:val="tx1"/>
                  </w14:solidFill>
                </w14:textFill>
              </w:rPr>
              <w:t>。</w:t>
            </w:r>
          </w:p>
          <w:p w14:paraId="2BE225FC">
            <w:pPr>
              <w:widowControl/>
              <w:adjustRightInd/>
              <w:snapToGrid/>
              <w:spacing w:line="240" w:lineRule="auto"/>
              <w:ind w:firstLine="422" w:firstLineChars="200"/>
              <w:jc w:val="center"/>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000000" w:themeColor="text1"/>
                <w:sz w:val="21"/>
                <w:szCs w:val="13"/>
                <w:highlight w:val="none"/>
                <w:lang w:val="en-US" w:eastAsia="zh-CN"/>
                <w14:textFill>
                  <w14:solidFill>
                    <w14:schemeClr w14:val="tx1"/>
                  </w14:solidFill>
                </w14:textFill>
              </w:rPr>
              <w:t xml:space="preserve">表4-10  </w:t>
            </w:r>
            <w:r>
              <w:rPr>
                <w:rFonts w:hint="default" w:ascii="Times New Roman" w:hAnsi="Times New Roman" w:eastAsia="宋体" w:cs="Times New Roman"/>
                <w:b/>
                <w:bCs/>
                <w:color w:val="auto"/>
                <w:sz w:val="21"/>
                <w:szCs w:val="21"/>
                <w:highlight w:val="none"/>
                <w:lang w:val="en-US" w:eastAsia="zh-CN"/>
              </w:rPr>
              <w:t>主要噪声源</w:t>
            </w:r>
            <w:r>
              <w:rPr>
                <w:rFonts w:hint="default" w:ascii="Times New Roman" w:hAnsi="Times New Roman" w:eastAsia="宋体" w:cs="Times New Roman"/>
                <w:b/>
                <w:bCs/>
                <w:color w:val="auto"/>
                <w:sz w:val="21"/>
                <w:szCs w:val="21"/>
                <w:highlight w:val="none"/>
              </w:rPr>
              <w:t>调查清单</w:t>
            </w:r>
            <w:r>
              <w:rPr>
                <w:rFonts w:hint="default" w:ascii="Times New Roman" w:hAnsi="Times New Roman" w:eastAsia="宋体"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lang w:val="en-US" w:eastAsia="zh-CN"/>
              </w:rPr>
              <w:t>室外声源</w:t>
            </w:r>
            <w:r>
              <w:rPr>
                <w:rFonts w:hint="default" w:ascii="Times New Roman" w:hAnsi="Times New Roman" w:eastAsia="宋体" w:cs="Times New Roman"/>
                <w:b/>
                <w:bCs/>
                <w:color w:val="auto"/>
                <w:sz w:val="21"/>
                <w:szCs w:val="21"/>
                <w:highlight w:val="none"/>
                <w:lang w:eastAsia="zh-CN"/>
              </w:rPr>
              <w:t>）</w:t>
            </w:r>
          </w:p>
          <w:tbl>
            <w:tblPr>
              <w:tblStyle w:val="38"/>
              <w:tblW w:w="4997" w:type="pct"/>
              <w:jc w:val="center"/>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399"/>
              <w:gridCol w:w="637"/>
              <w:gridCol w:w="1046"/>
              <w:gridCol w:w="1141"/>
              <w:gridCol w:w="916"/>
              <w:gridCol w:w="643"/>
              <w:gridCol w:w="617"/>
              <w:gridCol w:w="676"/>
              <w:gridCol w:w="1275"/>
            </w:tblGrid>
            <w:tr w14:paraId="49EA4F42">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837" w:type="pct"/>
                  <w:vMerge w:val="restart"/>
                  <w:tcBorders>
                    <w:top w:val="single" w:color="000000" w:sz="12" w:space="0"/>
                    <w:bottom w:val="single" w:color="000000" w:sz="12" w:space="0"/>
                  </w:tcBorders>
                  <w:noWrap w:val="0"/>
                  <w:vAlign w:val="center"/>
                </w:tcPr>
                <w:p w14:paraId="177D6D19">
                  <w:pPr>
                    <w:pStyle w:val="5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名称</w:t>
                  </w:r>
                </w:p>
              </w:tc>
              <w:tc>
                <w:tcPr>
                  <w:tcW w:w="381" w:type="pct"/>
                  <w:vMerge w:val="restart"/>
                  <w:tcBorders>
                    <w:top w:val="single" w:color="000000" w:sz="12" w:space="0"/>
                    <w:bottom w:val="single" w:color="000000" w:sz="12" w:space="0"/>
                  </w:tcBorders>
                  <w:noWrap w:val="0"/>
                  <w:vAlign w:val="center"/>
                </w:tcPr>
                <w:p w14:paraId="2DD2D238">
                  <w:pPr>
                    <w:pStyle w:val="5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型号</w:t>
                  </w:r>
                </w:p>
              </w:tc>
              <w:tc>
                <w:tcPr>
                  <w:tcW w:w="626" w:type="pct"/>
                  <w:vMerge w:val="restart"/>
                  <w:tcBorders>
                    <w:top w:val="single" w:color="000000" w:sz="12" w:space="0"/>
                    <w:bottom w:val="single" w:color="000000" w:sz="12" w:space="0"/>
                  </w:tcBorders>
                  <w:noWrap w:val="0"/>
                  <w:vAlign w:val="center"/>
                </w:tcPr>
                <w:p w14:paraId="1088087D">
                  <w:pPr>
                    <w:pStyle w:val="5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数量(套）</w:t>
                  </w:r>
                </w:p>
              </w:tc>
              <w:tc>
                <w:tcPr>
                  <w:tcW w:w="683" w:type="pct"/>
                  <w:vMerge w:val="restart"/>
                  <w:tcBorders>
                    <w:top w:val="single" w:color="000000" w:sz="12" w:space="0"/>
                    <w:bottom w:val="single" w:color="000000" w:sz="12" w:space="0"/>
                  </w:tcBorders>
                  <w:noWrap w:val="0"/>
                  <w:vAlign w:val="center"/>
                </w:tcPr>
                <w:p w14:paraId="5334886A">
                  <w:pPr>
                    <w:pStyle w:val="5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单台设备声源源强dB(A)</w:t>
                  </w:r>
                </w:p>
              </w:tc>
              <w:tc>
                <w:tcPr>
                  <w:tcW w:w="548" w:type="pct"/>
                  <w:vMerge w:val="restart"/>
                  <w:tcBorders>
                    <w:top w:val="single" w:color="000000" w:sz="12" w:space="0"/>
                    <w:bottom w:val="single" w:color="000000" w:sz="12" w:space="0"/>
                  </w:tcBorders>
                  <w:noWrap w:val="0"/>
                  <w:vAlign w:val="center"/>
                </w:tcPr>
                <w:p w14:paraId="7EC5A634">
                  <w:pPr>
                    <w:pStyle w:val="5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声源控制措施</w:t>
                  </w:r>
                </w:p>
              </w:tc>
              <w:tc>
                <w:tcPr>
                  <w:tcW w:w="1159" w:type="pct"/>
                  <w:gridSpan w:val="3"/>
                  <w:tcBorders>
                    <w:top w:val="single" w:color="000000" w:sz="12" w:space="0"/>
                  </w:tcBorders>
                  <w:noWrap w:val="0"/>
                  <w:vAlign w:val="center"/>
                </w:tcPr>
                <w:p w14:paraId="638572A9">
                  <w:pPr>
                    <w:pStyle w:val="5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空间相对位置</w:t>
                  </w:r>
                </w:p>
              </w:tc>
              <w:tc>
                <w:tcPr>
                  <w:tcW w:w="763" w:type="pct"/>
                  <w:vMerge w:val="restart"/>
                  <w:tcBorders>
                    <w:top w:val="single" w:color="000000" w:sz="12" w:space="0"/>
                  </w:tcBorders>
                  <w:noWrap w:val="0"/>
                  <w:vAlign w:val="center"/>
                </w:tcPr>
                <w:p w14:paraId="7A623F0B">
                  <w:pPr>
                    <w:pStyle w:val="5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运行时段</w:t>
                  </w:r>
                </w:p>
              </w:tc>
            </w:tr>
            <w:tr w14:paraId="085BCCA4">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837" w:type="pct"/>
                  <w:vMerge w:val="continue"/>
                  <w:tcBorders>
                    <w:top w:val="single" w:color="000000" w:sz="12" w:space="0"/>
                    <w:bottom w:val="single" w:color="000000" w:sz="12" w:space="0"/>
                  </w:tcBorders>
                  <w:noWrap w:val="0"/>
                  <w:vAlign w:val="center"/>
                </w:tcPr>
                <w:p w14:paraId="68B8AFAE">
                  <w:pPr>
                    <w:pStyle w:val="5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381" w:type="pct"/>
                  <w:vMerge w:val="continue"/>
                  <w:tcBorders>
                    <w:top w:val="single" w:color="000000" w:sz="12" w:space="0"/>
                    <w:bottom w:val="single" w:color="000000" w:sz="12" w:space="0"/>
                  </w:tcBorders>
                  <w:noWrap w:val="0"/>
                  <w:vAlign w:val="center"/>
                </w:tcPr>
                <w:p w14:paraId="48F95FF6">
                  <w:pPr>
                    <w:pStyle w:val="5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626" w:type="pct"/>
                  <w:vMerge w:val="continue"/>
                  <w:tcBorders>
                    <w:top w:val="single" w:color="000000" w:sz="12" w:space="0"/>
                    <w:bottom w:val="single" w:color="000000" w:sz="12" w:space="0"/>
                  </w:tcBorders>
                  <w:noWrap w:val="0"/>
                  <w:vAlign w:val="center"/>
                </w:tcPr>
                <w:p w14:paraId="781B3084">
                  <w:pPr>
                    <w:pStyle w:val="5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683" w:type="pct"/>
                  <w:vMerge w:val="continue"/>
                  <w:tcBorders>
                    <w:top w:val="single" w:color="000000" w:sz="12" w:space="0"/>
                    <w:bottom w:val="single" w:color="000000" w:sz="12" w:space="0"/>
                  </w:tcBorders>
                  <w:noWrap w:val="0"/>
                  <w:vAlign w:val="center"/>
                </w:tcPr>
                <w:p w14:paraId="4A8BB2E2">
                  <w:pPr>
                    <w:pStyle w:val="5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548" w:type="pct"/>
                  <w:vMerge w:val="continue"/>
                  <w:tcBorders>
                    <w:top w:val="single" w:color="000000" w:sz="12" w:space="0"/>
                    <w:bottom w:val="single" w:color="000000" w:sz="12" w:space="0"/>
                  </w:tcBorders>
                  <w:noWrap w:val="0"/>
                  <w:vAlign w:val="center"/>
                </w:tcPr>
                <w:p w14:paraId="452C9496">
                  <w:pPr>
                    <w:pStyle w:val="5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c>
                <w:tcPr>
                  <w:tcW w:w="385" w:type="pct"/>
                  <w:tcBorders>
                    <w:bottom w:val="single" w:color="000000" w:sz="12" w:space="0"/>
                  </w:tcBorders>
                  <w:noWrap w:val="0"/>
                  <w:vAlign w:val="center"/>
                </w:tcPr>
                <w:p w14:paraId="57B2A8E8">
                  <w:pPr>
                    <w:pStyle w:val="5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X</w:t>
                  </w:r>
                </w:p>
              </w:tc>
              <w:tc>
                <w:tcPr>
                  <w:tcW w:w="369" w:type="pct"/>
                  <w:tcBorders>
                    <w:bottom w:val="single" w:color="000000" w:sz="12" w:space="0"/>
                  </w:tcBorders>
                  <w:noWrap w:val="0"/>
                  <w:vAlign w:val="center"/>
                </w:tcPr>
                <w:p w14:paraId="52D83209">
                  <w:pPr>
                    <w:pStyle w:val="5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Y</w:t>
                  </w:r>
                </w:p>
              </w:tc>
              <w:tc>
                <w:tcPr>
                  <w:tcW w:w="404" w:type="pct"/>
                  <w:tcBorders>
                    <w:bottom w:val="single" w:color="000000" w:sz="12" w:space="0"/>
                  </w:tcBorders>
                  <w:noWrap w:val="0"/>
                  <w:vAlign w:val="center"/>
                </w:tcPr>
                <w:p w14:paraId="200AE71E">
                  <w:pPr>
                    <w:pStyle w:val="5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Z</w:t>
                  </w:r>
                </w:p>
              </w:tc>
              <w:tc>
                <w:tcPr>
                  <w:tcW w:w="763" w:type="pct"/>
                  <w:vMerge w:val="continue"/>
                  <w:tcBorders>
                    <w:bottom w:val="single" w:color="000000" w:sz="12" w:space="0"/>
                  </w:tcBorders>
                  <w:noWrap w:val="0"/>
                  <w:vAlign w:val="center"/>
                </w:tcPr>
                <w:p w14:paraId="051CB637">
                  <w:pPr>
                    <w:pStyle w:val="5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p>
              </w:tc>
            </w:tr>
            <w:tr w14:paraId="5F2269E5">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837" w:type="pct"/>
                  <w:tcBorders>
                    <w:top w:val="single" w:color="000000" w:sz="12" w:space="0"/>
                    <w:tl2br w:val="nil"/>
                    <w:tr2bl w:val="nil"/>
                  </w:tcBorders>
                  <w:noWrap w:val="0"/>
                  <w:vAlign w:val="center"/>
                </w:tcPr>
                <w:p w14:paraId="6F75C188">
                  <w:pPr>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卵式破碎机。</w:t>
                  </w:r>
                </w:p>
              </w:tc>
              <w:tc>
                <w:tcPr>
                  <w:tcW w:w="381" w:type="pct"/>
                  <w:tcBorders>
                    <w:top w:val="single" w:color="000000" w:sz="12" w:space="0"/>
                    <w:tl2br w:val="nil"/>
                    <w:tr2bl w:val="nil"/>
                  </w:tcBorders>
                  <w:noWrap w:val="0"/>
                  <w:vAlign w:val="center"/>
                </w:tcPr>
                <w:p w14:paraId="46598C5D">
                  <w:pPr>
                    <w:pStyle w:val="5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626" w:type="pct"/>
                  <w:tcBorders>
                    <w:top w:val="single" w:color="000000" w:sz="12" w:space="0"/>
                    <w:tl2br w:val="nil"/>
                    <w:tr2bl w:val="nil"/>
                  </w:tcBorders>
                  <w:noWrap w:val="0"/>
                  <w:vAlign w:val="center"/>
                </w:tcPr>
                <w:p w14:paraId="17D932BA">
                  <w:pPr>
                    <w:pStyle w:val="53"/>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c>
                <w:tcPr>
                  <w:tcW w:w="683" w:type="pct"/>
                  <w:tcBorders>
                    <w:top w:val="single" w:color="000000" w:sz="12" w:space="0"/>
                    <w:tl2br w:val="nil"/>
                    <w:tr2bl w:val="nil"/>
                  </w:tcBorders>
                  <w:noWrap w:val="0"/>
                  <w:vAlign w:val="center"/>
                </w:tcPr>
                <w:p w14:paraId="08A8EE35">
                  <w:pPr>
                    <w:pStyle w:val="53"/>
                    <w:ind w:firstLine="0" w:firstLineChars="0"/>
                    <w:jc w:val="center"/>
                    <w:rPr>
                      <w:rFonts w:hint="default" w:ascii="Times New Roman" w:hAnsi="Times New Roman" w:eastAsia="宋体" w:cs="Times New Roman"/>
                      <w:b w:val="0"/>
                      <w:color w:val="auto"/>
                      <w:sz w:val="21"/>
                      <w:szCs w:val="21"/>
                      <w:highlight w:val="none"/>
                      <w:lang w:val="en-US"/>
                    </w:rPr>
                  </w:pPr>
                  <w:r>
                    <w:rPr>
                      <w:rFonts w:hint="default" w:ascii="Times New Roman" w:hAnsi="Times New Roman" w:eastAsia="宋体" w:cs="Times New Roman"/>
                      <w:highlight w:val="none"/>
                      <w:lang w:val="en-US" w:eastAsia="zh-CN"/>
                    </w:rPr>
                    <w:t>85</w:t>
                  </w:r>
                </w:p>
              </w:tc>
              <w:tc>
                <w:tcPr>
                  <w:tcW w:w="548" w:type="pct"/>
                  <w:vMerge w:val="restart"/>
                  <w:tcBorders>
                    <w:top w:val="single" w:color="000000" w:sz="12" w:space="0"/>
                    <w:tl2br w:val="nil"/>
                    <w:tr2bl w:val="nil"/>
                  </w:tcBorders>
                  <w:noWrap w:val="0"/>
                  <w:vAlign w:val="center"/>
                </w:tcPr>
                <w:p w14:paraId="4699167D">
                  <w:pPr>
                    <w:pStyle w:val="5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低噪声设备、减振</w:t>
                  </w:r>
                </w:p>
              </w:tc>
              <w:tc>
                <w:tcPr>
                  <w:tcW w:w="385" w:type="pct"/>
                  <w:tcBorders>
                    <w:top w:val="single" w:color="000000" w:sz="12" w:space="0"/>
                    <w:tl2br w:val="nil"/>
                    <w:tr2bl w:val="nil"/>
                  </w:tcBorders>
                  <w:noWrap w:val="0"/>
                  <w:vAlign w:val="center"/>
                </w:tcPr>
                <w:p w14:paraId="763F390C">
                  <w:pPr>
                    <w:pStyle w:val="6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386</w:t>
                  </w:r>
                </w:p>
              </w:tc>
              <w:tc>
                <w:tcPr>
                  <w:tcW w:w="369" w:type="pct"/>
                  <w:tcBorders>
                    <w:top w:val="single" w:color="000000" w:sz="12" w:space="0"/>
                    <w:tl2br w:val="nil"/>
                    <w:tr2bl w:val="nil"/>
                  </w:tcBorders>
                  <w:noWrap w:val="0"/>
                  <w:vAlign w:val="center"/>
                </w:tcPr>
                <w:p w14:paraId="64709FFE">
                  <w:pPr>
                    <w:pStyle w:val="6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25</w:t>
                  </w:r>
                </w:p>
              </w:tc>
              <w:tc>
                <w:tcPr>
                  <w:tcW w:w="404" w:type="pct"/>
                  <w:tcBorders>
                    <w:top w:val="single" w:color="000000" w:sz="12" w:space="0"/>
                    <w:tl2br w:val="nil"/>
                    <w:tr2bl w:val="nil"/>
                  </w:tcBorders>
                  <w:noWrap w:val="0"/>
                  <w:vAlign w:val="center"/>
                </w:tcPr>
                <w:p w14:paraId="389A6747">
                  <w:pPr>
                    <w:pStyle w:val="6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c>
                <w:tcPr>
                  <w:tcW w:w="763" w:type="pct"/>
                  <w:vMerge w:val="restart"/>
                  <w:tcBorders>
                    <w:top w:val="single" w:color="000000" w:sz="12" w:space="0"/>
                    <w:tl2br w:val="nil"/>
                    <w:tr2bl w:val="nil"/>
                  </w:tcBorders>
                  <w:noWrap w:val="0"/>
                  <w:vAlign w:val="center"/>
                </w:tcPr>
                <w:p w14:paraId="62F07893">
                  <w:pPr>
                    <w:pStyle w:val="5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rPr>
                    <w:t>:00~2</w:t>
                  </w:r>
                  <w:r>
                    <w:rPr>
                      <w:rFonts w:hint="default" w:ascii="Times New Roman" w:hAnsi="Times New Roman" w:eastAsia="宋体"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rPr>
                    <w:t>00</w:t>
                  </w:r>
                </w:p>
              </w:tc>
            </w:tr>
            <w:tr w14:paraId="304C1227">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837" w:type="pct"/>
                  <w:tcBorders>
                    <w:tl2br w:val="nil"/>
                    <w:tr2bl w:val="nil"/>
                  </w:tcBorders>
                  <w:noWrap w:val="0"/>
                  <w:vAlign w:val="center"/>
                </w:tcPr>
                <w:p w14:paraId="5943BB26">
                  <w:pPr>
                    <w:spacing w:line="240" w:lineRule="auto"/>
                    <w:ind w:firstLine="0" w:firstLineChars="0"/>
                    <w:jc w:val="center"/>
                    <w:rPr>
                      <w:rFonts w:hint="default" w:ascii="Times New Roman" w:hAnsi="Times New Roman" w:eastAsia="宋体" w:cs="Times New Roman"/>
                      <w:highlight w:val="none"/>
                      <w:lang w:val="en-US" w:eastAsia="zh-CN"/>
                    </w:rPr>
                  </w:pPr>
                  <w:r>
                    <w:rPr>
                      <w:rFonts w:hint="default" w:ascii="Times New Roman" w:hAnsi="Times New Roman" w:eastAsia="宋体"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单缸液压圆锥破</w:t>
                  </w:r>
                </w:p>
              </w:tc>
              <w:tc>
                <w:tcPr>
                  <w:tcW w:w="381" w:type="pct"/>
                  <w:tcBorders>
                    <w:tl2br w:val="nil"/>
                    <w:tr2bl w:val="nil"/>
                  </w:tcBorders>
                  <w:noWrap w:val="0"/>
                  <w:vAlign w:val="center"/>
                </w:tcPr>
                <w:p w14:paraId="763BD256">
                  <w:pPr>
                    <w:pStyle w:val="5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26" w:type="pct"/>
                  <w:tcBorders>
                    <w:tl2br w:val="nil"/>
                    <w:tr2bl w:val="nil"/>
                  </w:tcBorders>
                  <w:noWrap w:val="0"/>
                  <w:vAlign w:val="center"/>
                </w:tcPr>
                <w:p w14:paraId="0E354BF0">
                  <w:pPr>
                    <w:pStyle w:val="53"/>
                    <w:ind w:left="0" w:leftChars="0" w:right="0" w:rightChars="0" w:firstLine="0" w:firstLineChars="0"/>
                    <w:jc w:val="center"/>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4</w:t>
                  </w:r>
                </w:p>
              </w:tc>
              <w:tc>
                <w:tcPr>
                  <w:tcW w:w="683" w:type="pct"/>
                  <w:tcBorders>
                    <w:tl2br w:val="nil"/>
                    <w:tr2bl w:val="nil"/>
                  </w:tcBorders>
                  <w:noWrap w:val="0"/>
                  <w:vAlign w:val="center"/>
                </w:tcPr>
                <w:p w14:paraId="71CB470E">
                  <w:pPr>
                    <w:pStyle w:val="53"/>
                    <w:ind w:firstLine="0" w:firstLineChars="0"/>
                    <w:jc w:val="center"/>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90</w:t>
                  </w:r>
                </w:p>
              </w:tc>
              <w:tc>
                <w:tcPr>
                  <w:tcW w:w="548" w:type="pct"/>
                  <w:vMerge w:val="continue"/>
                  <w:tcBorders>
                    <w:tl2br w:val="nil"/>
                    <w:tr2bl w:val="nil"/>
                  </w:tcBorders>
                  <w:noWrap w:val="0"/>
                  <w:vAlign w:val="center"/>
                </w:tcPr>
                <w:p w14:paraId="1B1127F6">
                  <w:pPr>
                    <w:pStyle w:val="5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385" w:type="pct"/>
                  <w:tcBorders>
                    <w:tl2br w:val="nil"/>
                    <w:tr2bl w:val="nil"/>
                  </w:tcBorders>
                  <w:noWrap w:val="0"/>
                  <w:vAlign w:val="center"/>
                </w:tcPr>
                <w:p w14:paraId="5242B9E4">
                  <w:pPr>
                    <w:pStyle w:val="6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257</w:t>
                  </w:r>
                </w:p>
              </w:tc>
              <w:tc>
                <w:tcPr>
                  <w:tcW w:w="369" w:type="pct"/>
                  <w:tcBorders>
                    <w:tl2br w:val="nil"/>
                    <w:tr2bl w:val="nil"/>
                  </w:tcBorders>
                  <w:noWrap w:val="0"/>
                  <w:vAlign w:val="center"/>
                </w:tcPr>
                <w:p w14:paraId="3EF70D97">
                  <w:pPr>
                    <w:pStyle w:val="6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35</w:t>
                  </w:r>
                </w:p>
              </w:tc>
              <w:tc>
                <w:tcPr>
                  <w:tcW w:w="404" w:type="pct"/>
                  <w:tcBorders>
                    <w:tl2br w:val="nil"/>
                    <w:tr2bl w:val="nil"/>
                  </w:tcBorders>
                  <w:noWrap w:val="0"/>
                  <w:vAlign w:val="center"/>
                </w:tcPr>
                <w:p w14:paraId="71F7FE6B">
                  <w:pPr>
                    <w:pStyle w:val="6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p>
              </w:tc>
              <w:tc>
                <w:tcPr>
                  <w:tcW w:w="763" w:type="pct"/>
                  <w:vMerge w:val="continue"/>
                  <w:tcBorders>
                    <w:tl2br w:val="nil"/>
                    <w:tr2bl w:val="nil"/>
                  </w:tcBorders>
                  <w:noWrap w:val="0"/>
                  <w:vAlign w:val="center"/>
                </w:tcPr>
                <w:p w14:paraId="5FFCDB95">
                  <w:pPr>
                    <w:pStyle w:val="5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r>
            <w:tr w14:paraId="2B76DA53">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837" w:type="pct"/>
                  <w:tcBorders>
                    <w:tl2br w:val="nil"/>
                    <w:tr2bl w:val="nil"/>
                  </w:tcBorders>
                  <w:noWrap w:val="0"/>
                  <w:vAlign w:val="center"/>
                </w:tcPr>
                <w:p w14:paraId="3074F038">
                  <w:pPr>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圆振动筛</w:t>
                  </w:r>
                </w:p>
              </w:tc>
              <w:tc>
                <w:tcPr>
                  <w:tcW w:w="381" w:type="pct"/>
                  <w:tcBorders>
                    <w:tl2br w:val="nil"/>
                    <w:tr2bl w:val="nil"/>
                  </w:tcBorders>
                  <w:noWrap w:val="0"/>
                  <w:vAlign w:val="center"/>
                </w:tcPr>
                <w:p w14:paraId="771CDD9D">
                  <w:pPr>
                    <w:pStyle w:val="5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626" w:type="pct"/>
                  <w:tcBorders>
                    <w:tl2br w:val="nil"/>
                    <w:tr2bl w:val="nil"/>
                  </w:tcBorders>
                  <w:noWrap w:val="0"/>
                  <w:vAlign w:val="center"/>
                </w:tcPr>
                <w:p w14:paraId="631E6562">
                  <w:pPr>
                    <w:pStyle w:val="53"/>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w:t>
                  </w:r>
                </w:p>
              </w:tc>
              <w:tc>
                <w:tcPr>
                  <w:tcW w:w="683" w:type="pct"/>
                  <w:tcBorders>
                    <w:tl2br w:val="nil"/>
                    <w:tr2bl w:val="nil"/>
                  </w:tcBorders>
                  <w:noWrap w:val="0"/>
                  <w:vAlign w:val="center"/>
                </w:tcPr>
                <w:p w14:paraId="1328C24F">
                  <w:pPr>
                    <w:pStyle w:val="53"/>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80</w:t>
                  </w:r>
                </w:p>
              </w:tc>
              <w:tc>
                <w:tcPr>
                  <w:tcW w:w="548" w:type="pct"/>
                  <w:vMerge w:val="continue"/>
                  <w:tcBorders>
                    <w:tl2br w:val="nil"/>
                    <w:tr2bl w:val="nil"/>
                  </w:tcBorders>
                  <w:noWrap w:val="0"/>
                  <w:vAlign w:val="center"/>
                </w:tcPr>
                <w:p w14:paraId="4E62CFBD">
                  <w:pPr>
                    <w:pStyle w:val="5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385" w:type="pct"/>
                  <w:tcBorders>
                    <w:tl2br w:val="nil"/>
                    <w:tr2bl w:val="nil"/>
                  </w:tcBorders>
                  <w:noWrap w:val="0"/>
                  <w:vAlign w:val="center"/>
                </w:tcPr>
                <w:p w14:paraId="75FDBA2C">
                  <w:pPr>
                    <w:pStyle w:val="6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197</w:t>
                  </w:r>
                </w:p>
              </w:tc>
              <w:tc>
                <w:tcPr>
                  <w:tcW w:w="369" w:type="pct"/>
                  <w:tcBorders>
                    <w:tl2br w:val="nil"/>
                    <w:tr2bl w:val="nil"/>
                  </w:tcBorders>
                  <w:noWrap w:val="0"/>
                  <w:vAlign w:val="center"/>
                </w:tcPr>
                <w:p w14:paraId="344932D7">
                  <w:pPr>
                    <w:pStyle w:val="6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28</w:t>
                  </w:r>
                </w:p>
              </w:tc>
              <w:tc>
                <w:tcPr>
                  <w:tcW w:w="404" w:type="pct"/>
                  <w:tcBorders>
                    <w:tl2br w:val="nil"/>
                    <w:tr2bl w:val="nil"/>
                  </w:tcBorders>
                  <w:noWrap w:val="0"/>
                  <w:vAlign w:val="center"/>
                </w:tcPr>
                <w:p w14:paraId="7C52A89B">
                  <w:pPr>
                    <w:pStyle w:val="6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p>
              </w:tc>
              <w:tc>
                <w:tcPr>
                  <w:tcW w:w="763" w:type="pct"/>
                  <w:vMerge w:val="continue"/>
                  <w:tcBorders>
                    <w:tl2br w:val="nil"/>
                    <w:tr2bl w:val="nil"/>
                  </w:tcBorders>
                  <w:noWrap w:val="0"/>
                  <w:vAlign w:val="center"/>
                </w:tcPr>
                <w:p w14:paraId="473ECB83">
                  <w:pPr>
                    <w:pStyle w:val="53"/>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r>
            <w:tr w14:paraId="4CA15951">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837" w:type="pct"/>
                  <w:tcBorders>
                    <w:tl2br w:val="nil"/>
                    <w:tr2bl w:val="nil"/>
                  </w:tcBorders>
                  <w:noWrap w:val="0"/>
                  <w:vAlign w:val="center"/>
                </w:tcPr>
                <w:p w14:paraId="5290B75C">
                  <w:pPr>
                    <w:spacing w:line="240" w:lineRule="auto"/>
                    <w:ind w:firstLine="0" w:firstLineChars="0"/>
                    <w:jc w:val="center"/>
                    <w:rPr>
                      <w:rFonts w:hint="default" w:ascii="Times New Roman" w:hAnsi="Times New Roman" w:eastAsia="宋体" w:cs="Times New Roman"/>
                      <w:highlight w:val="none"/>
                      <w:lang w:val="en-US" w:eastAsia="zh-CN"/>
                    </w:rPr>
                  </w:pPr>
                  <w:r>
                    <w:rPr>
                      <w:rFonts w:hint="default" w:ascii="Times New Roman" w:hAnsi="Times New Roman" w:eastAsia="宋体"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洗砂机</w:t>
                  </w:r>
                </w:p>
              </w:tc>
              <w:tc>
                <w:tcPr>
                  <w:tcW w:w="381" w:type="pct"/>
                  <w:tcBorders>
                    <w:tl2br w:val="nil"/>
                    <w:tr2bl w:val="nil"/>
                  </w:tcBorders>
                  <w:noWrap w:val="0"/>
                  <w:vAlign w:val="center"/>
                </w:tcPr>
                <w:p w14:paraId="0A43AD99">
                  <w:pPr>
                    <w:pStyle w:val="5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p>
              </w:tc>
              <w:tc>
                <w:tcPr>
                  <w:tcW w:w="626" w:type="pct"/>
                  <w:tcBorders>
                    <w:tl2br w:val="nil"/>
                    <w:tr2bl w:val="nil"/>
                  </w:tcBorders>
                  <w:noWrap w:val="0"/>
                  <w:vAlign w:val="center"/>
                </w:tcPr>
                <w:p w14:paraId="759DC485">
                  <w:pPr>
                    <w:pStyle w:val="53"/>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683" w:type="pct"/>
                  <w:tcBorders>
                    <w:tl2br w:val="nil"/>
                    <w:tr2bl w:val="nil"/>
                  </w:tcBorders>
                  <w:noWrap w:val="0"/>
                  <w:vAlign w:val="center"/>
                </w:tcPr>
                <w:p w14:paraId="35C5C896">
                  <w:pPr>
                    <w:pStyle w:val="53"/>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80</w:t>
                  </w:r>
                </w:p>
              </w:tc>
              <w:tc>
                <w:tcPr>
                  <w:tcW w:w="548" w:type="pct"/>
                  <w:vMerge w:val="continue"/>
                  <w:tcBorders>
                    <w:tl2br w:val="nil"/>
                    <w:tr2bl w:val="nil"/>
                  </w:tcBorders>
                  <w:noWrap w:val="0"/>
                  <w:vAlign w:val="center"/>
                </w:tcPr>
                <w:p w14:paraId="0033C4DA">
                  <w:pPr>
                    <w:pStyle w:val="5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385" w:type="pct"/>
                  <w:tcBorders>
                    <w:tl2br w:val="nil"/>
                    <w:tr2bl w:val="nil"/>
                  </w:tcBorders>
                  <w:noWrap w:val="0"/>
                  <w:vAlign w:val="center"/>
                </w:tcPr>
                <w:p w14:paraId="77DDEF59">
                  <w:pPr>
                    <w:pStyle w:val="6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105</w:t>
                  </w:r>
                </w:p>
              </w:tc>
              <w:tc>
                <w:tcPr>
                  <w:tcW w:w="369" w:type="pct"/>
                  <w:tcBorders>
                    <w:tl2br w:val="nil"/>
                    <w:tr2bl w:val="nil"/>
                  </w:tcBorders>
                  <w:noWrap w:val="0"/>
                  <w:vAlign w:val="center"/>
                </w:tcPr>
                <w:p w14:paraId="60C9FF50">
                  <w:pPr>
                    <w:pStyle w:val="6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17</w:t>
                  </w:r>
                </w:p>
              </w:tc>
              <w:tc>
                <w:tcPr>
                  <w:tcW w:w="404" w:type="pct"/>
                  <w:tcBorders>
                    <w:tl2br w:val="nil"/>
                    <w:tr2bl w:val="nil"/>
                  </w:tcBorders>
                  <w:noWrap w:val="0"/>
                  <w:vAlign w:val="center"/>
                </w:tcPr>
                <w:p w14:paraId="03E5E5DD">
                  <w:pPr>
                    <w:pStyle w:val="6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p>
              </w:tc>
              <w:tc>
                <w:tcPr>
                  <w:tcW w:w="763" w:type="pct"/>
                  <w:vMerge w:val="continue"/>
                  <w:tcBorders>
                    <w:tl2br w:val="nil"/>
                    <w:tr2bl w:val="nil"/>
                  </w:tcBorders>
                  <w:noWrap w:val="0"/>
                  <w:vAlign w:val="center"/>
                </w:tcPr>
                <w:p w14:paraId="739268D1">
                  <w:pPr>
                    <w:pStyle w:val="53"/>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r>
            <w:tr w14:paraId="411C0CBD">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837" w:type="pct"/>
                  <w:tcBorders>
                    <w:bottom w:val="single" w:color="000000" w:sz="12" w:space="0"/>
                    <w:tl2br w:val="nil"/>
                    <w:tr2bl w:val="nil"/>
                  </w:tcBorders>
                  <w:noWrap w:val="0"/>
                  <w:vAlign w:val="center"/>
                </w:tcPr>
                <w:p w14:paraId="3E419C61">
                  <w:pPr>
                    <w:spacing w:line="240" w:lineRule="auto"/>
                    <w:ind w:firstLine="0" w:firstLineChars="0"/>
                    <w:jc w:val="center"/>
                    <w:rPr>
                      <w:rFonts w:hint="default" w:ascii="Times New Roman" w:hAnsi="Times New Roman" w:eastAsia="宋体" w:cs="Times New Roman"/>
                      <w:highlight w:val="none"/>
                      <w:lang w:val="en-US" w:eastAsia="zh-CN"/>
                    </w:rPr>
                  </w:pPr>
                  <w:r>
                    <w:rPr>
                      <w:rFonts w:hint="default" w:ascii="Times New Roman" w:hAnsi="Times New Roman" w:eastAsia="宋体" w:cs="Times New Roman"/>
                      <w:b w:val="0"/>
                      <w:bCs w:val="0"/>
                      <w:i w:val="0"/>
                      <w:iCs w:val="0"/>
                      <w:color w:val="000000" w:themeColor="text1"/>
                      <w:kern w:val="0"/>
                      <w:sz w:val="21"/>
                      <w:szCs w:val="21"/>
                      <w:highlight w:val="none"/>
                      <w:u w:val="none"/>
                      <w:lang w:val="en-US" w:eastAsia="zh-CN" w:bidi="ar"/>
                      <w14:textFill>
                        <w14:solidFill>
                          <w14:schemeClr w14:val="tx1"/>
                        </w14:solidFill>
                      </w14:textFill>
                    </w:rPr>
                    <w:t>给料机</w:t>
                  </w:r>
                </w:p>
              </w:tc>
              <w:tc>
                <w:tcPr>
                  <w:tcW w:w="381" w:type="pct"/>
                  <w:tcBorders>
                    <w:bottom w:val="single" w:color="000000" w:sz="12" w:space="0"/>
                    <w:tl2br w:val="nil"/>
                    <w:tr2bl w:val="nil"/>
                  </w:tcBorders>
                  <w:noWrap w:val="0"/>
                  <w:vAlign w:val="center"/>
                </w:tcPr>
                <w:p w14:paraId="3690AAE5">
                  <w:pPr>
                    <w:pStyle w:val="5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p>
              </w:tc>
              <w:tc>
                <w:tcPr>
                  <w:tcW w:w="626" w:type="pct"/>
                  <w:tcBorders>
                    <w:bottom w:val="single" w:color="000000" w:sz="12" w:space="0"/>
                    <w:tl2br w:val="nil"/>
                    <w:tr2bl w:val="nil"/>
                  </w:tcBorders>
                  <w:noWrap w:val="0"/>
                  <w:vAlign w:val="center"/>
                </w:tcPr>
                <w:p w14:paraId="547140D2">
                  <w:pPr>
                    <w:pStyle w:val="53"/>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c>
                <w:tcPr>
                  <w:tcW w:w="683" w:type="pct"/>
                  <w:tcBorders>
                    <w:bottom w:val="single" w:color="000000" w:sz="12" w:space="0"/>
                    <w:tl2br w:val="nil"/>
                    <w:tr2bl w:val="nil"/>
                  </w:tcBorders>
                  <w:noWrap w:val="0"/>
                  <w:vAlign w:val="center"/>
                </w:tcPr>
                <w:p w14:paraId="2707599A">
                  <w:pPr>
                    <w:pStyle w:val="53"/>
                    <w:ind w:left="0" w:leftChars="0" w:right="0" w:rightChars="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75</w:t>
                  </w:r>
                </w:p>
              </w:tc>
              <w:tc>
                <w:tcPr>
                  <w:tcW w:w="548" w:type="pct"/>
                  <w:vMerge w:val="continue"/>
                  <w:tcBorders>
                    <w:bottom w:val="single" w:color="000000" w:sz="12" w:space="0"/>
                    <w:tl2br w:val="nil"/>
                    <w:tr2bl w:val="nil"/>
                  </w:tcBorders>
                  <w:noWrap w:val="0"/>
                  <w:vAlign w:val="center"/>
                </w:tcPr>
                <w:p w14:paraId="6B5BC030">
                  <w:pPr>
                    <w:pStyle w:val="5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rPr>
                  </w:pPr>
                </w:p>
              </w:tc>
              <w:tc>
                <w:tcPr>
                  <w:tcW w:w="385" w:type="pct"/>
                  <w:tcBorders>
                    <w:bottom w:val="single" w:color="000000" w:sz="12" w:space="0"/>
                    <w:tl2br w:val="nil"/>
                    <w:tr2bl w:val="nil"/>
                  </w:tcBorders>
                  <w:noWrap w:val="0"/>
                  <w:vAlign w:val="center"/>
                </w:tcPr>
                <w:p w14:paraId="78650559">
                  <w:pPr>
                    <w:pStyle w:val="6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96</w:t>
                  </w:r>
                </w:p>
              </w:tc>
              <w:tc>
                <w:tcPr>
                  <w:tcW w:w="369" w:type="pct"/>
                  <w:tcBorders>
                    <w:bottom w:val="single" w:color="000000" w:sz="12" w:space="0"/>
                    <w:tl2br w:val="nil"/>
                    <w:tr2bl w:val="nil"/>
                  </w:tcBorders>
                  <w:noWrap w:val="0"/>
                  <w:vAlign w:val="center"/>
                </w:tcPr>
                <w:p w14:paraId="41554FBD">
                  <w:pPr>
                    <w:pStyle w:val="6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14</w:t>
                  </w:r>
                </w:p>
              </w:tc>
              <w:tc>
                <w:tcPr>
                  <w:tcW w:w="404" w:type="pct"/>
                  <w:tcBorders>
                    <w:bottom w:val="single" w:color="000000" w:sz="12" w:space="0"/>
                    <w:tl2br w:val="nil"/>
                    <w:tr2bl w:val="nil"/>
                  </w:tcBorders>
                  <w:noWrap w:val="0"/>
                  <w:vAlign w:val="center"/>
                </w:tcPr>
                <w:p w14:paraId="467496E1">
                  <w:pPr>
                    <w:pStyle w:val="6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p>
              </w:tc>
              <w:tc>
                <w:tcPr>
                  <w:tcW w:w="763" w:type="pct"/>
                  <w:vMerge w:val="continue"/>
                  <w:tcBorders>
                    <w:bottom w:val="single" w:color="000000" w:sz="12" w:space="0"/>
                    <w:tl2br w:val="nil"/>
                    <w:tr2bl w:val="nil"/>
                  </w:tcBorders>
                  <w:noWrap w:val="0"/>
                  <w:vAlign w:val="center"/>
                </w:tcPr>
                <w:p w14:paraId="228AAAFF">
                  <w:pPr>
                    <w:pStyle w:val="53"/>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r>
          </w:tbl>
          <w:p w14:paraId="7B85DDAC">
            <w:pPr>
              <w:pStyle w:val="52"/>
              <w:keepNext w:val="0"/>
              <w:keepLines w:val="0"/>
              <w:suppressLineNumbers w:val="0"/>
              <w:spacing w:before="0" w:beforeAutospacing="0" w:after="0" w:afterAutospacing="0" w:line="240" w:lineRule="auto"/>
              <w:ind w:left="0" w:right="0" w:firstLine="2530" w:firstLineChars="1200"/>
              <w:rPr>
                <w:rFonts w:hint="default" w:ascii="Times New Roman" w:hAnsi="Times New Roman" w:eastAsia="宋体" w:cs="Times New Roman"/>
                <w:color w:val="000000" w:themeColor="text1"/>
                <w:sz w:val="21"/>
                <w:szCs w:val="13"/>
                <w:highlight w:val="none"/>
                <w:lang w:val="en-US" w:eastAsia="zh-CN"/>
                <w14:textFill>
                  <w14:solidFill>
                    <w14:schemeClr w14:val="tx1"/>
                  </w14:solidFill>
                </w14:textFill>
              </w:rPr>
            </w:pPr>
          </w:p>
          <w:p w14:paraId="039AD8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color w:val="000000" w:themeColor="text1"/>
                <w:sz w:val="24"/>
                <w:szCs w:val="24"/>
                <w:highlight w:val="none"/>
                <w:lang w:val="en-US" w:eastAsia="zh-CN"/>
                <w14:textFill>
                  <w14:solidFill>
                    <w14:schemeClr w14:val="tx1"/>
                  </w14:solidFill>
                </w14:textFill>
              </w:rPr>
              <w:t>3.2</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预测模式</w:t>
            </w:r>
          </w:p>
          <w:p w14:paraId="18CFFDD5">
            <w:pPr>
              <w:keepNext w:val="0"/>
              <w:keepLines w:val="0"/>
              <w:widowControl w:val="0"/>
              <w:suppressLineNumbers w:val="0"/>
              <w:spacing w:before="0" w:beforeAutospacing="0" w:after="0" w:afterAutospacing="0" w:line="360" w:lineRule="auto"/>
              <w:ind w:left="0" w:right="0" w:firstLine="544" w:firstLineChars="200"/>
              <w:jc w:val="both"/>
              <w:rPr>
                <w:rFonts w:hint="default" w:ascii="Times New Roman" w:hAnsi="Times New Roman" w:eastAsia="宋体" w:cs="Times New Roman"/>
                <w:color w:val="000000" w:themeColor="text1"/>
                <w:spacing w:val="8"/>
                <w:kern w:val="2"/>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spacing w:val="16"/>
                <w:kern w:val="2"/>
                <w:sz w:val="24"/>
                <w:szCs w:val="24"/>
                <w:highlight w:val="none"/>
                <w:lang w:val="en-US" w:eastAsia="zh-CN" w:bidi="ar"/>
                <w14:textFill>
                  <w14:solidFill>
                    <w14:schemeClr w14:val="tx1"/>
                  </w14:solidFill>
                </w14:textFill>
              </w:rPr>
              <w:t>本</w:t>
            </w:r>
            <w:r>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次评价选用点源的噪声预测模式，点噪声源在传播过程中经距离衰减及空气吸收后，到达受声点，根据本项目运营期各噪声源的特征以及《环境影响评价技术导则 声环境》(HJ2.4-2021)的技术要求，本次</w:t>
            </w:r>
            <w:r>
              <w:rPr>
                <w:rFonts w:hint="default" w:ascii="Times New Roman" w:hAnsi="Times New Roman" w:eastAsia="宋体" w:cs="Times New Roman"/>
                <w:color w:val="000000" w:themeColor="text1"/>
                <w:spacing w:val="5"/>
                <w:kern w:val="2"/>
                <w:sz w:val="24"/>
                <w:szCs w:val="24"/>
                <w:highlight w:val="none"/>
                <w:lang w:val="en-US" w:eastAsia="zh-CN" w:bidi="ar"/>
                <w14:textFill>
                  <w14:solidFill>
                    <w14:schemeClr w14:val="tx1"/>
                  </w14:solidFill>
                </w14:textFill>
              </w:rPr>
              <w:t>评</w:t>
            </w:r>
            <w:r>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价采取导则上推荐模式，具体预测公式如下</w:t>
            </w:r>
            <w:r>
              <w:rPr>
                <w:rFonts w:hint="default" w:ascii="Times New Roman" w:hAnsi="Times New Roman" w:eastAsia="宋体" w:cs="Times New Roman"/>
                <w:color w:val="000000" w:themeColor="text1"/>
                <w:spacing w:val="8"/>
                <w:kern w:val="2"/>
                <w:sz w:val="24"/>
                <w:szCs w:val="24"/>
                <w:highlight w:val="none"/>
                <w:lang w:val="en-US" w:eastAsia="zh-CN" w:bidi="ar"/>
                <w14:textFill>
                  <w14:solidFill>
                    <w14:schemeClr w14:val="tx1"/>
                  </w14:solidFill>
                </w14:textFill>
              </w:rPr>
              <w:t>：</w:t>
            </w:r>
          </w:p>
          <w:p w14:paraId="08A9B4AA">
            <w:pPr>
              <w:adjustRightInd w:val="0"/>
              <w:snapToGrid w:val="0"/>
              <w:spacing w:line="360" w:lineRule="auto"/>
              <w:ind w:firstLine="480" w:firstLineChars="2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计算室外靠近围护结构处的声压级：</w:t>
            </w:r>
          </w:p>
          <w:p w14:paraId="7E0055DB">
            <w:pPr>
              <w:adjustRightInd w:val="0"/>
              <w:snapToGrid w:val="0"/>
              <w:spacing w:line="240" w:lineRule="auto"/>
              <w:jc w:val="center"/>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highlight w:val="none"/>
              </w:rPr>
              <w:drawing>
                <wp:inline distT="0" distB="0" distL="114300" distR="114300">
                  <wp:extent cx="2250440" cy="215900"/>
                  <wp:effectExtent l="0" t="0" r="5080" b="12700"/>
                  <wp:docPr id="17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7"/>
                          <pic:cNvPicPr>
                            <a:picLocks noChangeAspect="1"/>
                          </pic:cNvPicPr>
                        </pic:nvPicPr>
                        <pic:blipFill>
                          <a:blip r:embed="rId16"/>
                          <a:stretch>
                            <a:fillRect/>
                          </a:stretch>
                        </pic:blipFill>
                        <pic:spPr>
                          <a:xfrm>
                            <a:off x="0" y="0"/>
                            <a:ext cx="2250440" cy="215900"/>
                          </a:xfrm>
                          <a:prstGeom prst="rect">
                            <a:avLst/>
                          </a:prstGeom>
                          <a:noFill/>
                          <a:ln>
                            <a:noFill/>
                          </a:ln>
                        </pic:spPr>
                      </pic:pic>
                    </a:graphicData>
                  </a:graphic>
                </wp:inline>
              </w:drawing>
            </w:r>
          </w:p>
          <w:p w14:paraId="45FDE8A4">
            <w:pPr>
              <w:adjustRightInd w:val="0"/>
              <w:snapToGrid w:val="0"/>
              <w:spacing w:line="360" w:lineRule="auto"/>
              <w:ind w:firstLine="480" w:firstLineChars="2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将室外声级Loct,2（T）和透声面积换算成等效的室外声源，计算等效声源第i个Lwoct：</w:t>
            </w:r>
          </w:p>
          <w:p w14:paraId="24B969ED">
            <w:pPr>
              <w:adjustRightInd w:val="0"/>
              <w:snapToGrid w:val="0"/>
              <w:spacing w:line="240" w:lineRule="auto"/>
              <w:jc w:val="center"/>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highlight w:val="none"/>
              </w:rPr>
              <w:drawing>
                <wp:inline distT="0" distB="0" distL="114300" distR="114300">
                  <wp:extent cx="1809750" cy="431800"/>
                  <wp:effectExtent l="0" t="0" r="3810" b="10160"/>
                  <wp:docPr id="17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8"/>
                          <pic:cNvPicPr>
                            <a:picLocks noChangeAspect="1"/>
                          </pic:cNvPicPr>
                        </pic:nvPicPr>
                        <pic:blipFill>
                          <a:blip r:embed="rId17"/>
                          <a:stretch>
                            <a:fillRect/>
                          </a:stretch>
                        </pic:blipFill>
                        <pic:spPr>
                          <a:xfrm>
                            <a:off x="0" y="0"/>
                            <a:ext cx="1809750" cy="431800"/>
                          </a:xfrm>
                          <a:prstGeom prst="rect">
                            <a:avLst/>
                          </a:prstGeom>
                          <a:noFill/>
                          <a:ln>
                            <a:noFill/>
                          </a:ln>
                        </pic:spPr>
                      </pic:pic>
                    </a:graphicData>
                  </a:graphic>
                </wp:inline>
              </w:drawing>
            </w:r>
          </w:p>
          <w:p w14:paraId="2A62DBF4">
            <w:pPr>
              <w:adjustRightInd w:val="0"/>
              <w:snapToGrid w:val="0"/>
              <w:spacing w:line="360" w:lineRule="auto"/>
              <w:ind w:firstLine="480" w:firstLineChars="200"/>
              <w:rPr>
                <w:rFonts w:hint="default" w:ascii="Times New Roman" w:hAnsi="Times New Roman" w:eastAsia="宋体" w:cs="Times New Roman"/>
                <w:color w:val="auto"/>
                <w:kern w:val="0"/>
                <w:sz w:val="24"/>
                <w:highlight w:val="none"/>
                <w:lang w:val="en-US" w:eastAsia="zh-CN"/>
              </w:rPr>
            </w:pPr>
            <w:r>
              <w:rPr>
                <w:rFonts w:hint="default" w:ascii="Times New Roman" w:hAnsi="Times New Roman" w:eastAsia="宋体" w:cs="Times New Roman"/>
                <w:color w:val="auto"/>
                <w:kern w:val="0"/>
                <w:sz w:val="24"/>
                <w:highlight w:val="none"/>
              </w:rPr>
              <w:t>式中：S—透声面积，</w:t>
            </w:r>
            <w:r>
              <w:rPr>
                <w:rFonts w:hint="default" w:ascii="Times New Roman" w:hAnsi="Times New Roman" w:eastAsia="宋体" w:cs="Times New Roman"/>
                <w:color w:val="auto"/>
                <w:kern w:val="0"/>
                <w:sz w:val="24"/>
                <w:highlight w:val="none"/>
                <w:lang w:val="en-US" w:eastAsia="zh-CN"/>
              </w:rPr>
              <w:t>m</w:t>
            </w:r>
            <w:r>
              <w:rPr>
                <w:rFonts w:hint="default" w:ascii="Times New Roman" w:hAnsi="Times New Roman" w:eastAsia="宋体" w:cs="Times New Roman"/>
                <w:color w:val="auto"/>
                <w:kern w:val="0"/>
                <w:sz w:val="24"/>
                <w:highlight w:val="none"/>
                <w:vertAlign w:val="superscript"/>
                <w:lang w:val="en-US" w:eastAsia="zh-CN"/>
              </w:rPr>
              <w:t>2</w:t>
            </w:r>
          </w:p>
          <w:p w14:paraId="2C262334">
            <w:pPr>
              <w:adjustRightInd w:val="0"/>
              <w:snapToGrid w:val="0"/>
              <w:spacing w:line="360" w:lineRule="auto"/>
              <w:ind w:firstLine="480" w:firstLineChars="2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等效室外声源的位置为围护结构的位置，其倍频带声功率级为Lwoct，由此按室外声源方法计算等效室外声源在预测点产生的声级。计算某个室外声源在预测点产生的倍频带声压级：</w:t>
            </w:r>
          </w:p>
          <w:p w14:paraId="0F4ACC4E">
            <w:pPr>
              <w:adjustRightInd w:val="0"/>
              <w:snapToGrid w:val="0"/>
              <w:spacing w:line="240" w:lineRule="auto"/>
              <w:jc w:val="center"/>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highlight w:val="none"/>
              </w:rPr>
              <w:drawing>
                <wp:inline distT="0" distB="0" distL="114300" distR="114300">
                  <wp:extent cx="2515870" cy="467995"/>
                  <wp:effectExtent l="0" t="0" r="13970" b="4445"/>
                  <wp:docPr id="17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9"/>
                          <pic:cNvPicPr>
                            <a:picLocks noChangeAspect="1"/>
                          </pic:cNvPicPr>
                        </pic:nvPicPr>
                        <pic:blipFill>
                          <a:blip r:embed="rId18"/>
                          <a:stretch>
                            <a:fillRect/>
                          </a:stretch>
                        </pic:blipFill>
                        <pic:spPr>
                          <a:xfrm>
                            <a:off x="0" y="0"/>
                            <a:ext cx="2515870" cy="467995"/>
                          </a:xfrm>
                          <a:prstGeom prst="rect">
                            <a:avLst/>
                          </a:prstGeom>
                          <a:noFill/>
                          <a:ln>
                            <a:noFill/>
                          </a:ln>
                        </pic:spPr>
                      </pic:pic>
                    </a:graphicData>
                  </a:graphic>
                </wp:inline>
              </w:drawing>
            </w:r>
          </w:p>
          <w:p w14:paraId="5A534061">
            <w:pPr>
              <w:adjustRightInd w:val="0"/>
              <w:snapToGrid w:val="0"/>
              <w:spacing w:line="360" w:lineRule="auto"/>
              <w:ind w:firstLine="480" w:firstLineChars="2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式中：Loct（r）—点声源在预测点产生的倍频带声压级，dB；</w:t>
            </w:r>
          </w:p>
          <w:p w14:paraId="775FCAF6">
            <w:pPr>
              <w:adjustRightInd w:val="0"/>
              <w:snapToGrid w:val="0"/>
              <w:spacing w:line="360" w:lineRule="auto"/>
              <w:ind w:firstLine="1200" w:firstLineChars="5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Loct（r0）—参考位置r0处的倍频带声压级，dB；</w:t>
            </w:r>
          </w:p>
          <w:p w14:paraId="7C888B19">
            <w:pPr>
              <w:adjustRightInd w:val="0"/>
              <w:snapToGrid w:val="0"/>
              <w:spacing w:line="360" w:lineRule="auto"/>
              <w:ind w:firstLine="1200" w:firstLineChars="5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r—预测点距声源的距离，</w:t>
            </w:r>
            <w:r>
              <w:rPr>
                <w:rFonts w:hint="default" w:ascii="Times New Roman" w:hAnsi="Times New Roman" w:eastAsia="宋体" w:cs="Times New Roman"/>
                <w:color w:val="auto"/>
                <w:kern w:val="0"/>
                <w:sz w:val="24"/>
                <w:highlight w:val="none"/>
                <w:lang w:val="en-US" w:eastAsia="zh-CN"/>
              </w:rPr>
              <w:t>m</w:t>
            </w:r>
            <w:r>
              <w:rPr>
                <w:rFonts w:hint="default" w:ascii="Times New Roman" w:hAnsi="Times New Roman" w:eastAsia="宋体" w:cs="Times New Roman"/>
                <w:color w:val="auto"/>
                <w:kern w:val="0"/>
                <w:sz w:val="24"/>
                <w:highlight w:val="none"/>
              </w:rPr>
              <w:t>；</w:t>
            </w:r>
          </w:p>
          <w:p w14:paraId="5825A8B4">
            <w:pPr>
              <w:adjustRightInd w:val="0"/>
              <w:snapToGrid w:val="0"/>
              <w:spacing w:line="360" w:lineRule="auto"/>
              <w:ind w:firstLine="1200" w:firstLineChars="5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r0—参考位置距声源的距离，</w:t>
            </w:r>
            <w:r>
              <w:rPr>
                <w:rFonts w:hint="default" w:ascii="Times New Roman" w:hAnsi="Times New Roman" w:eastAsia="宋体" w:cs="Times New Roman"/>
                <w:color w:val="auto"/>
                <w:kern w:val="0"/>
                <w:sz w:val="24"/>
                <w:highlight w:val="none"/>
                <w:lang w:val="en-US" w:eastAsia="zh-CN"/>
              </w:rPr>
              <w:t>m</w:t>
            </w:r>
            <w:r>
              <w:rPr>
                <w:rFonts w:hint="default" w:ascii="Times New Roman" w:hAnsi="Times New Roman" w:eastAsia="宋体" w:cs="Times New Roman"/>
                <w:color w:val="auto"/>
                <w:kern w:val="0"/>
                <w:sz w:val="24"/>
                <w:highlight w:val="none"/>
              </w:rPr>
              <w:t>；</w:t>
            </w:r>
          </w:p>
          <w:p w14:paraId="0BA76747">
            <w:pPr>
              <w:adjustRightInd w:val="0"/>
              <w:snapToGrid w:val="0"/>
              <w:spacing w:line="360" w:lineRule="auto"/>
              <w:ind w:firstLine="1200" w:firstLineChars="5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Loct—各种因素引起的衰减量，dB。</w:t>
            </w:r>
          </w:p>
          <w:p w14:paraId="65E93F51">
            <w:pPr>
              <w:adjustRightInd w:val="0"/>
              <w:snapToGrid w:val="0"/>
              <w:spacing w:line="360" w:lineRule="auto"/>
              <w:ind w:firstLine="456" w:firstLineChars="200"/>
              <w:rPr>
                <w:rFonts w:hint="default" w:ascii="Times New Roman" w:hAnsi="Times New Roman" w:eastAsia="宋体" w:cs="Times New Roman"/>
                <w:color w:val="auto"/>
                <w:spacing w:val="-6"/>
                <w:kern w:val="0"/>
                <w:sz w:val="24"/>
                <w:highlight w:val="none"/>
              </w:rPr>
            </w:pPr>
            <w:r>
              <w:rPr>
                <w:rFonts w:hint="default" w:ascii="Times New Roman" w:hAnsi="Times New Roman" w:eastAsia="宋体" w:cs="Times New Roman"/>
                <w:color w:val="auto"/>
                <w:spacing w:val="-6"/>
                <w:kern w:val="0"/>
                <w:sz w:val="24"/>
                <w:highlight w:val="none"/>
              </w:rPr>
              <w:t>如已知声源的倍频带声功率级Lwoct，且声源可看作是位于地面上的，则：</w:t>
            </w:r>
          </w:p>
          <w:p w14:paraId="060FD11F">
            <w:pPr>
              <w:adjustRightInd w:val="0"/>
              <w:snapToGrid w:val="0"/>
              <w:spacing w:line="240" w:lineRule="auto"/>
              <w:jc w:val="center"/>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highlight w:val="none"/>
              </w:rPr>
              <w:drawing>
                <wp:inline distT="0" distB="0" distL="114300" distR="114300">
                  <wp:extent cx="2002790" cy="264795"/>
                  <wp:effectExtent l="0" t="0" r="8890" b="9525"/>
                  <wp:docPr id="17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0"/>
                          <pic:cNvPicPr>
                            <a:picLocks noChangeAspect="1"/>
                          </pic:cNvPicPr>
                        </pic:nvPicPr>
                        <pic:blipFill>
                          <a:blip r:embed="rId19"/>
                          <a:srcRect t="18529" b="20147"/>
                          <a:stretch>
                            <a:fillRect/>
                          </a:stretch>
                        </pic:blipFill>
                        <pic:spPr>
                          <a:xfrm>
                            <a:off x="0" y="0"/>
                            <a:ext cx="2002790" cy="264795"/>
                          </a:xfrm>
                          <a:prstGeom prst="rect">
                            <a:avLst/>
                          </a:prstGeom>
                          <a:noFill/>
                          <a:ln>
                            <a:noFill/>
                          </a:ln>
                        </pic:spPr>
                      </pic:pic>
                    </a:graphicData>
                  </a:graphic>
                </wp:inline>
              </w:drawing>
            </w:r>
          </w:p>
          <w:p w14:paraId="2E6F89A6">
            <w:pPr>
              <w:adjustRightInd w:val="0"/>
              <w:snapToGrid w:val="0"/>
              <w:spacing w:line="360" w:lineRule="auto"/>
              <w:ind w:firstLine="480" w:firstLineChars="2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计算总声压级</w:t>
            </w:r>
          </w:p>
          <w:p w14:paraId="0DEA1ACC">
            <w:pPr>
              <w:adjustRightInd w:val="0"/>
              <w:snapToGrid w:val="0"/>
              <w:spacing w:line="360" w:lineRule="auto"/>
              <w:ind w:firstLine="480" w:firstLineChars="2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设第i个室外声源在预测点产生的A声级为LAin,i，在T时间内该声源工作时间为tin,i，第j个等效室外声源在预测点产生的A声级为LAout,j，在T时间内该声源工作时间为tout,j，则预测点的总等效声级为：</w:t>
            </w:r>
          </w:p>
          <w:p w14:paraId="4312FD3A">
            <w:pPr>
              <w:adjustRightInd w:val="0"/>
              <w:snapToGrid w:val="0"/>
              <w:spacing w:line="240" w:lineRule="auto"/>
              <w:jc w:val="center"/>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highlight w:val="none"/>
              </w:rPr>
              <w:drawing>
                <wp:inline distT="0" distB="0" distL="114300" distR="114300">
                  <wp:extent cx="2689225" cy="400685"/>
                  <wp:effectExtent l="0" t="0" r="8255" b="10795"/>
                  <wp:docPr id="17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1"/>
                          <pic:cNvPicPr>
                            <a:picLocks noChangeAspect="1"/>
                          </pic:cNvPicPr>
                        </pic:nvPicPr>
                        <pic:blipFill>
                          <a:blip r:embed="rId20"/>
                          <a:srcRect b="14383"/>
                          <a:stretch>
                            <a:fillRect/>
                          </a:stretch>
                        </pic:blipFill>
                        <pic:spPr>
                          <a:xfrm>
                            <a:off x="0" y="0"/>
                            <a:ext cx="2689225" cy="400685"/>
                          </a:xfrm>
                          <a:prstGeom prst="rect">
                            <a:avLst/>
                          </a:prstGeom>
                          <a:noFill/>
                          <a:ln>
                            <a:noFill/>
                          </a:ln>
                        </pic:spPr>
                      </pic:pic>
                    </a:graphicData>
                  </a:graphic>
                </wp:inline>
              </w:drawing>
            </w:r>
          </w:p>
          <w:p w14:paraId="65290ABD">
            <w:pPr>
              <w:adjustRightInd w:val="0"/>
              <w:snapToGrid w:val="0"/>
              <w:spacing w:line="360" w:lineRule="auto"/>
              <w:ind w:firstLine="480" w:firstLineChars="2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式中：T—计算等效声级的时间，</w:t>
            </w:r>
            <w:r>
              <w:rPr>
                <w:rFonts w:hint="default" w:ascii="Times New Roman" w:hAnsi="Times New Roman" w:eastAsia="宋体" w:cs="Times New Roman"/>
                <w:color w:val="auto"/>
                <w:kern w:val="0"/>
                <w:sz w:val="24"/>
                <w:highlight w:val="none"/>
                <w:lang w:val="en-US" w:eastAsia="zh-CN"/>
              </w:rPr>
              <w:t>h</w:t>
            </w:r>
            <w:r>
              <w:rPr>
                <w:rFonts w:hint="default" w:ascii="Times New Roman" w:hAnsi="Times New Roman" w:eastAsia="宋体" w:cs="Times New Roman"/>
                <w:color w:val="auto"/>
                <w:kern w:val="0"/>
                <w:sz w:val="24"/>
                <w:highlight w:val="none"/>
              </w:rPr>
              <w:t>；</w:t>
            </w:r>
          </w:p>
          <w:p w14:paraId="3F2C7BB1">
            <w:pPr>
              <w:adjustRightInd w:val="0"/>
              <w:snapToGrid w:val="0"/>
              <w:spacing w:line="360" w:lineRule="auto"/>
              <w:ind w:firstLine="1200" w:firstLineChars="5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N—室外声源个数；</w:t>
            </w:r>
          </w:p>
          <w:p w14:paraId="46205A40">
            <w:pPr>
              <w:adjustRightInd w:val="0"/>
              <w:snapToGrid w:val="0"/>
              <w:spacing w:line="360" w:lineRule="auto"/>
              <w:ind w:firstLine="1200" w:firstLineChars="5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M—等效室外声源个数。</w:t>
            </w:r>
          </w:p>
          <w:p w14:paraId="4E425E10">
            <w:pPr>
              <w:adjustRightInd w:val="0"/>
              <w:snapToGrid w:val="0"/>
              <w:spacing w:line="360" w:lineRule="auto"/>
              <w:ind w:firstLine="1200" w:firstLineChars="500"/>
              <w:rPr>
                <w:rFonts w:hint="default" w:ascii="Times New Roman" w:hAnsi="Times New Roman" w:eastAsia="宋体" w:cs="Times New Roman"/>
                <w:color w:val="auto"/>
                <w:kern w:val="0"/>
                <w:sz w:val="24"/>
                <w:highlight w:val="none"/>
              </w:rPr>
            </w:pPr>
            <w:r>
              <w:rPr>
                <w:rFonts w:hint="default" w:ascii="Times New Roman" w:hAnsi="Times New Roman" w:eastAsia="宋体" w:cs="Times New Roman"/>
                <w:color w:val="auto"/>
                <w:kern w:val="0"/>
                <w:sz w:val="24"/>
                <w:highlight w:val="none"/>
              </w:rPr>
              <w:t>Leqb－预测点的背景值，dB(A)。</w:t>
            </w:r>
          </w:p>
          <w:p w14:paraId="2F9B5B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3.3 预测内容</w:t>
            </w:r>
          </w:p>
          <w:p w14:paraId="5F4AC0A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拟建项目50m范围之内没有声环境敏感目标。本环评将预测本项目各生产设备噪声源对场界外1m处声环境的最大贡献值。</w:t>
            </w:r>
          </w:p>
          <w:p w14:paraId="2B2751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default" w:ascii="Times New Roman" w:hAnsi="Times New Roman" w:eastAsia="宋体" w:cs="Times New Roman"/>
                <w:b/>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color w:val="000000" w:themeColor="text1"/>
                <w:sz w:val="24"/>
                <w:szCs w:val="24"/>
                <w:highlight w:val="none"/>
                <w:lang w:val="en-US" w:eastAsia="zh-CN"/>
                <w14:textFill>
                  <w14:solidFill>
                    <w14:schemeClr w14:val="tx1"/>
                  </w14:solidFill>
                </w14:textFill>
              </w:rPr>
              <w:t>3.4 噪声预测结果</w:t>
            </w:r>
          </w:p>
          <w:p w14:paraId="7B9323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rightChars="0" w:firstLine="480" w:firstLineChars="200"/>
              <w:jc w:val="both"/>
              <w:textAlignment w:val="auto"/>
              <w:outlineLvl w:val="9"/>
              <w:rPr>
                <w:rFonts w:hint="default" w:ascii="Times New Roman" w:hAnsi="Times New Roman" w:eastAsia="宋体" w:cs="Times New Roman"/>
                <w:b w:val="0"/>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4"/>
                <w:szCs w:val="24"/>
                <w:highlight w:val="none"/>
                <w:lang w:val="en-US" w:eastAsia="zh-CN" w:bidi="ar-SA"/>
                <w14:textFill>
                  <w14:solidFill>
                    <w14:schemeClr w14:val="tx1"/>
                  </w14:solidFill>
                </w14:textFill>
              </w:rPr>
              <w:t>在考虑距离衰减、建筑物及墙体隔声因素，噪声源叠加后，场界噪声贡献值见表4-11。</w:t>
            </w:r>
          </w:p>
          <w:p w14:paraId="3ECD79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422" w:firstLineChars="200"/>
              <w:jc w:val="center"/>
              <w:textAlignment w:val="auto"/>
              <w:outlineLvl w:val="9"/>
              <w:rPr>
                <w:rFonts w:hint="default" w:ascii="Times New Roman" w:hAnsi="Times New Roman" w:eastAsia="宋体" w:cs="Times New Roman"/>
                <w:b/>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val="0"/>
                <w:color w:val="000000" w:themeColor="text1"/>
                <w:kern w:val="2"/>
                <w:sz w:val="21"/>
                <w:szCs w:val="21"/>
                <w:highlight w:val="none"/>
                <w:lang w:val="en-US" w:eastAsia="zh-CN" w:bidi="ar-SA"/>
                <w14:textFill>
                  <w14:solidFill>
                    <w14:schemeClr w14:val="tx1"/>
                  </w14:solidFill>
                </w14:textFill>
              </w:rPr>
              <w:t>表4-11   建设项目</w:t>
            </w:r>
            <w:r>
              <w:rPr>
                <w:rFonts w:hint="eastAsia" w:ascii="Times New Roman" w:hAnsi="Times New Roman" w:eastAsia="宋体" w:cs="Times New Roman"/>
                <w:b/>
                <w:bCs w:val="0"/>
                <w:color w:val="000000" w:themeColor="text1"/>
                <w:kern w:val="2"/>
                <w:sz w:val="21"/>
                <w:szCs w:val="21"/>
                <w:highlight w:val="none"/>
                <w:lang w:val="en-US" w:eastAsia="zh-CN" w:bidi="ar-SA"/>
                <w14:textFill>
                  <w14:solidFill>
                    <w14:schemeClr w14:val="tx1"/>
                  </w14:solidFill>
                </w14:textFill>
              </w:rPr>
              <w:t>生产区</w:t>
            </w:r>
            <w:r>
              <w:rPr>
                <w:rFonts w:hint="default" w:ascii="Times New Roman" w:hAnsi="Times New Roman" w:eastAsia="宋体" w:cs="Times New Roman"/>
                <w:b/>
                <w:bCs w:val="0"/>
                <w:color w:val="000000" w:themeColor="text1"/>
                <w:kern w:val="2"/>
                <w:sz w:val="21"/>
                <w:szCs w:val="21"/>
                <w:highlight w:val="none"/>
                <w:lang w:val="en-US" w:eastAsia="zh-CN" w:bidi="ar-SA"/>
                <w14:textFill>
                  <w14:solidFill>
                    <w14:schemeClr w14:val="tx1"/>
                  </w14:solidFill>
                </w14:textFill>
              </w:rPr>
              <w:t>场界噪声预测结果  单位：dB（A）</w:t>
            </w:r>
          </w:p>
          <w:tbl>
            <w:tblPr>
              <w:tblStyle w:val="38"/>
              <w:tblW w:w="4906" w:type="pct"/>
              <w:tblInd w:w="0" w:type="dxa"/>
              <w:tblBorders>
                <w:top w:val="single" w:color="auto" w:sz="8" w:space="0"/>
                <w:left w:val="none" w:color="auto" w:sz="0" w:space="0"/>
                <w:bottom w:val="single" w:color="auto" w:sz="8"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440"/>
              <w:gridCol w:w="1708"/>
              <w:gridCol w:w="2819"/>
              <w:gridCol w:w="1121"/>
              <w:gridCol w:w="1110"/>
            </w:tblGrid>
            <w:tr w14:paraId="7523AE68">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78" w:type="pct"/>
                  <w:tcBorders>
                    <w:top w:val="single" w:color="000000" w:sz="12" w:space="0"/>
                    <w:bottom w:val="single" w:color="000000" w:sz="12" w:space="0"/>
                  </w:tcBorders>
                  <w:noWrap w:val="0"/>
                  <w:vAlign w:val="center"/>
                </w:tcPr>
                <w:p w14:paraId="7E48CC2C">
                  <w:pPr>
                    <w:pStyle w:val="78"/>
                    <w:widowControl/>
                    <w:spacing w:line="240" w:lineRule="auto"/>
                    <w:rPr>
                      <w:rFonts w:hint="default" w:ascii="Times New Roman" w:hAnsi="Times New Roman" w:eastAsia="宋体" w:cs="Times New Roman"/>
                      <w:highlight w:val="none"/>
                    </w:rPr>
                  </w:pPr>
                  <w:r>
                    <w:rPr>
                      <w:rFonts w:hint="default" w:ascii="Times New Roman" w:hAnsi="Times New Roman" w:eastAsia="宋体" w:cs="Times New Roman"/>
                      <w:highlight w:val="none"/>
                    </w:rPr>
                    <w:t>预测点</w:t>
                  </w:r>
                </w:p>
              </w:tc>
              <w:tc>
                <w:tcPr>
                  <w:tcW w:w="1041" w:type="pct"/>
                  <w:vMerge w:val="restart"/>
                  <w:tcBorders>
                    <w:top w:val="single" w:color="000000" w:sz="12" w:space="0"/>
                    <w:bottom w:val="single" w:color="000000" w:sz="12" w:space="0"/>
                  </w:tcBorders>
                  <w:noWrap w:val="0"/>
                  <w:vAlign w:val="center"/>
                </w:tcPr>
                <w:p w14:paraId="10B78525">
                  <w:pPr>
                    <w:pStyle w:val="78"/>
                    <w:widowControl/>
                    <w:spacing w:line="240" w:lineRule="auto"/>
                    <w:rPr>
                      <w:rFonts w:hint="default" w:ascii="Times New Roman" w:hAnsi="Times New Roman" w:eastAsia="宋体" w:cs="Times New Roman"/>
                      <w:highlight w:val="none"/>
                      <w:lang w:eastAsia="zh-CN"/>
                    </w:rPr>
                  </w:pPr>
                  <w:r>
                    <w:rPr>
                      <w:rFonts w:hint="default" w:ascii="Times New Roman" w:hAnsi="Times New Roman" w:eastAsia="宋体" w:cs="Times New Roman"/>
                      <w:highlight w:val="none"/>
                      <w:lang w:val="en-US" w:eastAsia="zh-CN"/>
                    </w:rPr>
                    <w:t>预测时段</w:t>
                  </w:r>
                </w:p>
              </w:tc>
              <w:tc>
                <w:tcPr>
                  <w:tcW w:w="1719" w:type="pct"/>
                  <w:tcBorders>
                    <w:top w:val="single" w:color="000000" w:sz="12" w:space="0"/>
                    <w:bottom w:val="single" w:color="000000" w:sz="12" w:space="0"/>
                  </w:tcBorders>
                  <w:noWrap w:val="0"/>
                  <w:vAlign w:val="center"/>
                </w:tcPr>
                <w:p w14:paraId="405121D6">
                  <w:pPr>
                    <w:pStyle w:val="78"/>
                    <w:widowControl/>
                    <w:spacing w:line="240" w:lineRule="auto"/>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贡献值</w:t>
                  </w:r>
                </w:p>
              </w:tc>
              <w:tc>
                <w:tcPr>
                  <w:tcW w:w="683" w:type="pct"/>
                  <w:vMerge w:val="restart"/>
                  <w:tcBorders>
                    <w:top w:val="single" w:color="000000" w:sz="12" w:space="0"/>
                  </w:tcBorders>
                  <w:noWrap w:val="0"/>
                  <w:vAlign w:val="center"/>
                </w:tcPr>
                <w:p w14:paraId="4E1C3E5B">
                  <w:pPr>
                    <w:pStyle w:val="78"/>
                    <w:widowControl/>
                    <w:spacing w:line="240" w:lineRule="auto"/>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标准值</w:t>
                  </w:r>
                </w:p>
              </w:tc>
              <w:tc>
                <w:tcPr>
                  <w:tcW w:w="676" w:type="pct"/>
                  <w:tcBorders>
                    <w:top w:val="single" w:color="000000" w:sz="12" w:space="0"/>
                  </w:tcBorders>
                  <w:noWrap w:val="0"/>
                  <w:vAlign w:val="center"/>
                </w:tcPr>
                <w:p w14:paraId="48FC42DE">
                  <w:pPr>
                    <w:pStyle w:val="78"/>
                    <w:widowControl/>
                    <w:spacing w:line="240" w:lineRule="auto"/>
                    <w:rPr>
                      <w:rFonts w:hint="default" w:ascii="Times New Roman" w:hAnsi="Times New Roman" w:eastAsia="宋体" w:cs="Times New Roman"/>
                      <w:highlight w:val="none"/>
                    </w:rPr>
                  </w:pPr>
                  <w:r>
                    <w:rPr>
                      <w:rFonts w:hint="default" w:ascii="Times New Roman" w:hAnsi="Times New Roman" w:eastAsia="宋体" w:cs="Times New Roman"/>
                      <w:highlight w:val="none"/>
                    </w:rPr>
                    <w:t>达标情况</w:t>
                  </w:r>
                </w:p>
              </w:tc>
            </w:tr>
            <w:tr w14:paraId="172F17E3">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95" w:hRule="atLeast"/>
              </w:trPr>
              <w:tc>
                <w:tcPr>
                  <w:tcW w:w="878" w:type="pct"/>
                  <w:tcBorders>
                    <w:top w:val="single" w:color="000000" w:sz="12" w:space="0"/>
                    <w:tl2br w:val="nil"/>
                    <w:tr2bl w:val="nil"/>
                  </w:tcBorders>
                  <w:noWrap w:val="0"/>
                  <w:vAlign w:val="top"/>
                </w:tcPr>
                <w:p w14:paraId="2A37CD9A">
                  <w:pPr>
                    <w:pStyle w:val="78"/>
                    <w:widowControl/>
                    <w:spacing w:line="240" w:lineRule="auto"/>
                    <w:rPr>
                      <w:rFonts w:hint="default" w:ascii="Times New Roman" w:hAnsi="Times New Roman" w:eastAsia="宋体" w:cs="Times New Roman"/>
                      <w:highlight w:val="none"/>
                    </w:rPr>
                  </w:pPr>
                  <w:r>
                    <w:rPr>
                      <w:rFonts w:hint="default" w:ascii="Times New Roman" w:hAnsi="Times New Roman" w:eastAsia="宋体" w:cs="Times New Roman"/>
                      <w:highlight w:val="none"/>
                    </w:rPr>
                    <w:t>东厂界</w:t>
                  </w:r>
                </w:p>
              </w:tc>
              <w:tc>
                <w:tcPr>
                  <w:tcW w:w="1041" w:type="pct"/>
                  <w:vMerge w:val="restart"/>
                  <w:tcBorders>
                    <w:top w:val="single" w:color="000000" w:sz="12" w:space="0"/>
                    <w:tl2br w:val="nil"/>
                    <w:tr2bl w:val="nil"/>
                  </w:tcBorders>
                  <w:noWrap w:val="0"/>
                  <w:vAlign w:val="center"/>
                </w:tcPr>
                <w:p w14:paraId="477AE43E">
                  <w:pPr>
                    <w:pStyle w:val="78"/>
                    <w:widowControl/>
                    <w:spacing w:line="240" w:lineRule="auto"/>
                    <w:jc w:val="center"/>
                    <w:rPr>
                      <w:rFonts w:hint="default" w:ascii="Times New Roman" w:hAnsi="Times New Roman" w:eastAsia="宋体" w:cs="Times New Roman"/>
                      <w:snapToGrid w:val="0"/>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昼间</w:t>
                  </w:r>
                </w:p>
              </w:tc>
              <w:tc>
                <w:tcPr>
                  <w:tcW w:w="1719" w:type="pct"/>
                  <w:tcBorders>
                    <w:top w:val="single" w:color="000000" w:sz="12" w:space="0"/>
                    <w:tl2br w:val="nil"/>
                    <w:tr2bl w:val="nil"/>
                  </w:tcBorders>
                  <w:noWrap w:val="0"/>
                  <w:vAlign w:val="top"/>
                </w:tcPr>
                <w:p w14:paraId="0F7DDCDF">
                  <w:pPr>
                    <w:pStyle w:val="78"/>
                    <w:widowControl/>
                    <w:spacing w:line="240" w:lineRule="auto"/>
                    <w:rPr>
                      <w:rFonts w:hint="eastAsia" w:ascii="Times New Roman" w:hAnsi="Times New Roman" w:eastAsia="宋体" w:cs="Times New Roman"/>
                      <w:highlight w:val="none"/>
                      <w:lang w:eastAsia="zh-CN"/>
                    </w:rPr>
                  </w:pPr>
                  <w:r>
                    <w:rPr>
                      <w:rFonts w:hint="default" w:ascii="Times New Roman" w:hAnsi="Times New Roman" w:eastAsia="宋体" w:cs="Times New Roman"/>
                      <w:highlight w:val="none"/>
                      <w:lang w:val="en-US" w:eastAsia="zh-CN"/>
                    </w:rPr>
                    <w:t>52.5</w:t>
                  </w:r>
                </w:p>
              </w:tc>
              <w:tc>
                <w:tcPr>
                  <w:tcW w:w="683" w:type="pct"/>
                  <w:vMerge w:val="restart"/>
                  <w:tcBorders>
                    <w:top w:val="single" w:color="000000" w:sz="12" w:space="0"/>
                    <w:tl2br w:val="nil"/>
                    <w:tr2bl w:val="nil"/>
                  </w:tcBorders>
                  <w:noWrap w:val="0"/>
                  <w:vAlign w:val="center"/>
                </w:tcPr>
                <w:p w14:paraId="00231C5E">
                  <w:pPr>
                    <w:pStyle w:val="78"/>
                    <w:widowControl/>
                    <w:spacing w:line="240" w:lineRule="auto"/>
                    <w:jc w:val="center"/>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60</w:t>
                  </w:r>
                </w:p>
              </w:tc>
              <w:tc>
                <w:tcPr>
                  <w:tcW w:w="676" w:type="pct"/>
                  <w:tcBorders>
                    <w:top w:val="single" w:color="000000" w:sz="12" w:space="0"/>
                    <w:tl2br w:val="nil"/>
                    <w:tr2bl w:val="nil"/>
                  </w:tcBorders>
                  <w:noWrap w:val="0"/>
                  <w:vAlign w:val="top"/>
                </w:tcPr>
                <w:p w14:paraId="0085797B">
                  <w:pPr>
                    <w:pStyle w:val="78"/>
                    <w:widowControl/>
                    <w:spacing w:line="240" w:lineRule="auto"/>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达标</w:t>
                  </w:r>
                </w:p>
              </w:tc>
            </w:tr>
            <w:tr w14:paraId="734AAB80">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90" w:hRule="atLeast"/>
              </w:trPr>
              <w:tc>
                <w:tcPr>
                  <w:tcW w:w="878" w:type="pct"/>
                  <w:tcBorders>
                    <w:tl2br w:val="nil"/>
                    <w:tr2bl w:val="nil"/>
                  </w:tcBorders>
                  <w:noWrap w:val="0"/>
                  <w:vAlign w:val="top"/>
                </w:tcPr>
                <w:p w14:paraId="188E3FC8">
                  <w:pPr>
                    <w:pStyle w:val="78"/>
                    <w:widowControl/>
                    <w:spacing w:line="240" w:lineRule="auto"/>
                    <w:rPr>
                      <w:rFonts w:hint="default" w:ascii="Times New Roman" w:hAnsi="Times New Roman" w:eastAsia="宋体" w:cs="Times New Roman"/>
                      <w:highlight w:val="none"/>
                    </w:rPr>
                  </w:pPr>
                  <w:r>
                    <w:rPr>
                      <w:rFonts w:hint="default" w:ascii="Times New Roman" w:hAnsi="Times New Roman" w:eastAsia="宋体" w:cs="Times New Roman"/>
                      <w:highlight w:val="none"/>
                    </w:rPr>
                    <w:t>南厂界</w:t>
                  </w:r>
                </w:p>
              </w:tc>
              <w:tc>
                <w:tcPr>
                  <w:tcW w:w="1041" w:type="pct"/>
                  <w:vMerge w:val="continue"/>
                  <w:tcBorders>
                    <w:tl2br w:val="nil"/>
                    <w:tr2bl w:val="nil"/>
                  </w:tcBorders>
                  <w:noWrap w:val="0"/>
                  <w:vAlign w:val="top"/>
                </w:tcPr>
                <w:p w14:paraId="15160292">
                  <w:pPr>
                    <w:pStyle w:val="78"/>
                    <w:widowControl/>
                    <w:spacing w:line="240" w:lineRule="auto"/>
                    <w:rPr>
                      <w:rFonts w:hint="default" w:ascii="Times New Roman" w:hAnsi="Times New Roman" w:eastAsia="宋体" w:cs="Times New Roman"/>
                      <w:snapToGrid w:val="0"/>
                      <w:kern w:val="2"/>
                      <w:sz w:val="21"/>
                      <w:szCs w:val="21"/>
                      <w:highlight w:val="none"/>
                      <w:lang w:val="en-US" w:eastAsia="zh-CN" w:bidi="ar-SA"/>
                    </w:rPr>
                  </w:pPr>
                </w:p>
              </w:tc>
              <w:tc>
                <w:tcPr>
                  <w:tcW w:w="1719" w:type="pct"/>
                  <w:tcBorders>
                    <w:tl2br w:val="nil"/>
                    <w:tr2bl w:val="nil"/>
                  </w:tcBorders>
                  <w:noWrap w:val="0"/>
                  <w:vAlign w:val="top"/>
                </w:tcPr>
                <w:p w14:paraId="17A12471">
                  <w:pPr>
                    <w:pStyle w:val="78"/>
                    <w:widowControl/>
                    <w:spacing w:line="240" w:lineRule="auto"/>
                    <w:rPr>
                      <w:rFonts w:hint="eastAsia"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51.9</w:t>
                  </w:r>
                </w:p>
              </w:tc>
              <w:tc>
                <w:tcPr>
                  <w:tcW w:w="683" w:type="pct"/>
                  <w:vMerge w:val="continue"/>
                  <w:tcBorders>
                    <w:tl2br w:val="nil"/>
                    <w:tr2bl w:val="nil"/>
                  </w:tcBorders>
                  <w:noWrap w:val="0"/>
                  <w:vAlign w:val="top"/>
                </w:tcPr>
                <w:p w14:paraId="0947B678">
                  <w:pPr>
                    <w:pStyle w:val="78"/>
                    <w:widowControl/>
                    <w:spacing w:line="240" w:lineRule="auto"/>
                    <w:rPr>
                      <w:rFonts w:hint="default" w:ascii="Times New Roman" w:hAnsi="Times New Roman" w:eastAsia="宋体" w:cs="Times New Roman"/>
                      <w:highlight w:val="none"/>
                    </w:rPr>
                  </w:pPr>
                </w:p>
              </w:tc>
              <w:tc>
                <w:tcPr>
                  <w:tcW w:w="676" w:type="pct"/>
                  <w:tcBorders>
                    <w:tl2br w:val="nil"/>
                    <w:tr2bl w:val="nil"/>
                  </w:tcBorders>
                  <w:noWrap w:val="0"/>
                  <w:vAlign w:val="center"/>
                </w:tcPr>
                <w:p w14:paraId="7A955BA6">
                  <w:pPr>
                    <w:widowControl/>
                    <w:spacing w:line="240" w:lineRule="auto"/>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lang w:val="en-US" w:eastAsia="zh-CN"/>
                    </w:rPr>
                    <w:t>达标</w:t>
                  </w:r>
                </w:p>
              </w:tc>
            </w:tr>
            <w:tr w14:paraId="7C373C8B">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90" w:hRule="atLeast"/>
              </w:trPr>
              <w:tc>
                <w:tcPr>
                  <w:tcW w:w="878" w:type="pct"/>
                  <w:tcBorders>
                    <w:tl2br w:val="nil"/>
                    <w:tr2bl w:val="nil"/>
                  </w:tcBorders>
                  <w:noWrap w:val="0"/>
                  <w:vAlign w:val="top"/>
                </w:tcPr>
                <w:p w14:paraId="4CF13C6B">
                  <w:pPr>
                    <w:pStyle w:val="78"/>
                    <w:widowControl/>
                    <w:spacing w:line="240" w:lineRule="auto"/>
                    <w:rPr>
                      <w:rFonts w:hint="default" w:ascii="Times New Roman" w:hAnsi="Times New Roman" w:eastAsia="宋体" w:cs="Times New Roman"/>
                      <w:highlight w:val="none"/>
                    </w:rPr>
                  </w:pPr>
                  <w:r>
                    <w:rPr>
                      <w:rFonts w:hint="default" w:ascii="Times New Roman" w:hAnsi="Times New Roman" w:eastAsia="宋体" w:cs="Times New Roman"/>
                      <w:highlight w:val="none"/>
                    </w:rPr>
                    <w:t>西厂界</w:t>
                  </w:r>
                </w:p>
              </w:tc>
              <w:tc>
                <w:tcPr>
                  <w:tcW w:w="1041" w:type="pct"/>
                  <w:vMerge w:val="continue"/>
                  <w:tcBorders>
                    <w:tl2br w:val="nil"/>
                    <w:tr2bl w:val="nil"/>
                  </w:tcBorders>
                  <w:noWrap w:val="0"/>
                  <w:vAlign w:val="top"/>
                </w:tcPr>
                <w:p w14:paraId="56902820">
                  <w:pPr>
                    <w:pStyle w:val="78"/>
                    <w:widowControl/>
                    <w:spacing w:line="240" w:lineRule="auto"/>
                    <w:rPr>
                      <w:rFonts w:hint="default" w:ascii="Times New Roman" w:hAnsi="Times New Roman" w:eastAsia="宋体" w:cs="Times New Roman"/>
                      <w:snapToGrid w:val="0"/>
                      <w:kern w:val="2"/>
                      <w:sz w:val="21"/>
                      <w:szCs w:val="21"/>
                      <w:highlight w:val="none"/>
                      <w:lang w:val="en-US" w:eastAsia="zh-CN" w:bidi="ar-SA"/>
                    </w:rPr>
                  </w:pPr>
                </w:p>
              </w:tc>
              <w:tc>
                <w:tcPr>
                  <w:tcW w:w="1719" w:type="pct"/>
                  <w:tcBorders>
                    <w:tl2br w:val="nil"/>
                    <w:tr2bl w:val="nil"/>
                  </w:tcBorders>
                  <w:noWrap w:val="0"/>
                  <w:vAlign w:val="top"/>
                </w:tcPr>
                <w:p w14:paraId="7715B3BE">
                  <w:pPr>
                    <w:pStyle w:val="78"/>
                    <w:widowControl/>
                    <w:spacing w:line="240" w:lineRule="auto"/>
                    <w:rPr>
                      <w:rFonts w:hint="eastAsia"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57.9</w:t>
                  </w:r>
                </w:p>
              </w:tc>
              <w:tc>
                <w:tcPr>
                  <w:tcW w:w="683" w:type="pct"/>
                  <w:vMerge w:val="continue"/>
                  <w:tcBorders>
                    <w:tl2br w:val="nil"/>
                    <w:tr2bl w:val="nil"/>
                  </w:tcBorders>
                  <w:noWrap w:val="0"/>
                  <w:vAlign w:val="top"/>
                </w:tcPr>
                <w:p w14:paraId="48551E5A">
                  <w:pPr>
                    <w:pStyle w:val="78"/>
                    <w:widowControl/>
                    <w:spacing w:line="240" w:lineRule="auto"/>
                    <w:rPr>
                      <w:rFonts w:hint="default" w:ascii="Times New Roman" w:hAnsi="Times New Roman" w:eastAsia="宋体" w:cs="Times New Roman"/>
                      <w:highlight w:val="none"/>
                    </w:rPr>
                  </w:pPr>
                </w:p>
              </w:tc>
              <w:tc>
                <w:tcPr>
                  <w:tcW w:w="676" w:type="pct"/>
                  <w:tcBorders>
                    <w:tl2br w:val="nil"/>
                    <w:tr2bl w:val="nil"/>
                  </w:tcBorders>
                  <w:noWrap w:val="0"/>
                  <w:vAlign w:val="center"/>
                </w:tcPr>
                <w:p w14:paraId="65DF41D8">
                  <w:pPr>
                    <w:widowControl/>
                    <w:spacing w:line="240" w:lineRule="auto"/>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lang w:val="en-US" w:eastAsia="zh-CN"/>
                    </w:rPr>
                    <w:t>达标</w:t>
                  </w:r>
                </w:p>
              </w:tc>
            </w:tr>
            <w:tr w14:paraId="65E36DB7">
              <w:tblPrEx>
                <w:tblBorders>
                  <w:top w:val="single" w:color="auto" w:sz="8" w:space="0"/>
                  <w:left w:val="none" w:color="auto" w:sz="0" w:space="0"/>
                  <w:bottom w:val="single" w:color="auto" w:sz="8"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0" w:hRule="atLeast"/>
              </w:trPr>
              <w:tc>
                <w:tcPr>
                  <w:tcW w:w="878" w:type="pct"/>
                  <w:tcBorders>
                    <w:tl2br w:val="nil"/>
                    <w:tr2bl w:val="nil"/>
                  </w:tcBorders>
                  <w:noWrap w:val="0"/>
                  <w:vAlign w:val="top"/>
                </w:tcPr>
                <w:p w14:paraId="562E3BB5">
                  <w:pPr>
                    <w:pStyle w:val="78"/>
                    <w:widowControl/>
                    <w:spacing w:line="240" w:lineRule="auto"/>
                    <w:rPr>
                      <w:rFonts w:hint="default" w:ascii="Times New Roman" w:hAnsi="Times New Roman" w:eastAsia="宋体" w:cs="Times New Roman"/>
                      <w:highlight w:val="none"/>
                    </w:rPr>
                  </w:pPr>
                  <w:r>
                    <w:rPr>
                      <w:rFonts w:hint="default" w:ascii="Times New Roman" w:hAnsi="Times New Roman" w:eastAsia="宋体" w:cs="Times New Roman"/>
                      <w:highlight w:val="none"/>
                    </w:rPr>
                    <w:t>北厂界</w:t>
                  </w:r>
                </w:p>
              </w:tc>
              <w:tc>
                <w:tcPr>
                  <w:tcW w:w="1041" w:type="pct"/>
                  <w:vMerge w:val="continue"/>
                  <w:tcBorders>
                    <w:tl2br w:val="nil"/>
                    <w:tr2bl w:val="nil"/>
                  </w:tcBorders>
                  <w:noWrap w:val="0"/>
                  <w:vAlign w:val="top"/>
                </w:tcPr>
                <w:p w14:paraId="3BA25E4B">
                  <w:pPr>
                    <w:pStyle w:val="78"/>
                    <w:widowControl/>
                    <w:spacing w:line="240" w:lineRule="auto"/>
                    <w:rPr>
                      <w:rFonts w:hint="default" w:ascii="Times New Roman" w:hAnsi="Times New Roman" w:eastAsia="宋体" w:cs="Times New Roman"/>
                      <w:snapToGrid w:val="0"/>
                      <w:kern w:val="2"/>
                      <w:sz w:val="21"/>
                      <w:szCs w:val="21"/>
                      <w:highlight w:val="none"/>
                      <w:lang w:val="en-US" w:eastAsia="zh-CN" w:bidi="ar-SA"/>
                    </w:rPr>
                  </w:pPr>
                </w:p>
              </w:tc>
              <w:tc>
                <w:tcPr>
                  <w:tcW w:w="1719" w:type="pct"/>
                  <w:tcBorders>
                    <w:tl2br w:val="nil"/>
                    <w:tr2bl w:val="nil"/>
                  </w:tcBorders>
                  <w:noWrap w:val="0"/>
                  <w:vAlign w:val="top"/>
                </w:tcPr>
                <w:p w14:paraId="69E28A39">
                  <w:pPr>
                    <w:pStyle w:val="78"/>
                    <w:widowControl/>
                    <w:spacing w:line="240" w:lineRule="auto"/>
                    <w:rPr>
                      <w:rFonts w:hint="eastAsia"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58.6</w:t>
                  </w:r>
                </w:p>
              </w:tc>
              <w:tc>
                <w:tcPr>
                  <w:tcW w:w="683" w:type="pct"/>
                  <w:vMerge w:val="continue"/>
                  <w:tcBorders>
                    <w:tl2br w:val="nil"/>
                    <w:tr2bl w:val="nil"/>
                  </w:tcBorders>
                  <w:noWrap w:val="0"/>
                  <w:vAlign w:val="top"/>
                </w:tcPr>
                <w:p w14:paraId="21A7126F">
                  <w:pPr>
                    <w:pStyle w:val="78"/>
                    <w:widowControl/>
                    <w:spacing w:line="240" w:lineRule="auto"/>
                    <w:rPr>
                      <w:rFonts w:hint="default" w:ascii="Times New Roman" w:hAnsi="Times New Roman" w:eastAsia="宋体" w:cs="Times New Roman"/>
                      <w:highlight w:val="none"/>
                    </w:rPr>
                  </w:pPr>
                </w:p>
              </w:tc>
              <w:tc>
                <w:tcPr>
                  <w:tcW w:w="676" w:type="pct"/>
                  <w:tcBorders>
                    <w:tl2br w:val="nil"/>
                    <w:tr2bl w:val="nil"/>
                  </w:tcBorders>
                  <w:noWrap w:val="0"/>
                  <w:vAlign w:val="center"/>
                </w:tcPr>
                <w:p w14:paraId="0840EFDC">
                  <w:pPr>
                    <w:widowControl/>
                    <w:spacing w:line="240" w:lineRule="auto"/>
                    <w:jc w:val="center"/>
                    <w:rPr>
                      <w:rFonts w:hint="default" w:ascii="Times New Roman" w:hAnsi="Times New Roman" w:eastAsia="宋体" w:cs="Times New Roman"/>
                      <w:highlight w:val="none"/>
                    </w:rPr>
                  </w:pPr>
                  <w:r>
                    <w:rPr>
                      <w:rFonts w:hint="default" w:ascii="Times New Roman" w:hAnsi="Times New Roman" w:eastAsia="宋体" w:cs="Times New Roman"/>
                      <w:highlight w:val="none"/>
                      <w:lang w:val="en-US" w:eastAsia="zh-CN"/>
                    </w:rPr>
                    <w:t>达标</w:t>
                  </w:r>
                </w:p>
              </w:tc>
            </w:tr>
          </w:tbl>
          <w:p w14:paraId="44D379C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59" w:rightChars="-28" w:firstLine="480" w:firstLineChars="200"/>
              <w:jc w:val="both"/>
              <w:textAlignment w:val="auto"/>
              <w:rPr>
                <w:rFonts w:hint="default" w:ascii="Times New Roman" w:hAnsi="Times New Roman" w:eastAsia="宋体" w:cs="Times New Roman"/>
                <w:b w:val="0"/>
                <w:bCs/>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4"/>
                <w:szCs w:val="24"/>
                <w:highlight w:val="none"/>
                <w:lang w:val="en-US" w:eastAsia="zh-CN" w:bidi="ar-SA"/>
                <w14:textFill>
                  <w14:solidFill>
                    <w14:schemeClr w14:val="tx1"/>
                  </w14:solidFill>
                </w14:textFill>
              </w:rPr>
              <w:t>根据预测，厂界昼间噪声值可满足《工业企业场界环境噪声排放标准》（GB12348-2008）2类昼间[60dB（A）]、夜间[50dB（A）]标准。因此本项目对周围声环境影响较小。</w:t>
            </w:r>
          </w:p>
          <w:p w14:paraId="3FB4BB28">
            <w:pPr>
              <w:keepNext w:val="0"/>
              <w:keepLines w:val="0"/>
              <w:widowControl/>
              <w:suppressLineNumbers w:val="0"/>
              <w:spacing w:before="0" w:beforeAutospacing="0" w:after="0" w:afterAutospacing="0" w:line="360" w:lineRule="auto"/>
              <w:ind w:left="0" w:leftChars="0" w:right="0" w:firstLine="0" w:firstLineChars="0"/>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3.5噪声防治措施</w:t>
            </w:r>
          </w:p>
          <w:p w14:paraId="4811BC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outlineLvl w:val="9"/>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项目生产高噪声设备主要集中在原料破碎、筛分、皮带输送、物料落料、振动给料等工序，设备运行噪声多为中高频连续噪声，声源声级高、集中性强。为有效控制设备噪声对厂界及周边环境影响，本次针对破碎、筛分系统采取源头降噪+设备减振+密闭隔声+传播衰减+管理管控的综合降噪措施：</w:t>
            </w:r>
          </w:p>
          <w:p w14:paraId="4940DC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outlineLvl w:val="9"/>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2"/>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源头设备选型降噪</w:t>
            </w:r>
          </w:p>
          <w:p w14:paraId="17D52A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outlineLvl w:val="9"/>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项目破碎机、振动筛、给料机、输送设备均选用低噪声、节能型成熟设备，严禁选用高噪声老旧淘汰设备；设备出厂自带减振、降噪结构，从声源上降低设备基础噪声水平，减少原生噪声排放强度。</w:t>
            </w:r>
          </w:p>
          <w:p w14:paraId="31CC6D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outlineLvl w:val="9"/>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2"/>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、设备基础减振措施</w:t>
            </w:r>
          </w:p>
          <w:p w14:paraId="53DB71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outlineLvl w:val="9"/>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破碎机、振动筛为强振动、高噪声设备，设备底座全部设置专用减振基座+橡胶减振垫/弹簧减振器，设备与基础之间柔性连接，阻断振动固体传声；设备基础采用加厚混凝土浇筑，增大基础配重，降低设备共振噪声，有效削减振动引发的次生噪声。</w:t>
            </w:r>
          </w:p>
          <w:p w14:paraId="44A135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outlineLvl w:val="9"/>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2"/>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、破碎、筛分系统全密闭隔声措施</w:t>
            </w:r>
          </w:p>
          <w:p w14:paraId="36B3F2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outlineLvl w:val="9"/>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破碎、筛分工序整体设置封闭式厂房/密闭彩钢隔声罩，所有产噪设备布置在封闭车间内部，车间墙体、门窗采用隔声结构，厂房整体形成隔声屏障；破碎机进出料口、振动筛整体设置密闭防尘隔声罩，减少设备机械噪声、物料撞击噪声外逸。</w:t>
            </w:r>
          </w:p>
          <w:p w14:paraId="3F4D47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outlineLvl w:val="9"/>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皮带输送机全程设置封闭通廊/密闭防尘罩，避免物料跌落、皮带摩擦产生的噪声向外扩散，大幅降低输送系统沿线噪声影响。</w:t>
            </w:r>
          </w:p>
          <w:p w14:paraId="26A472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outlineLvl w:val="9"/>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2"/>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、物料缓冲降噪</w:t>
            </w:r>
          </w:p>
          <w:p w14:paraId="04F70E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outlineLvl w:val="9"/>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针对原料进料、破碎出料、筛分落料、转载点撞击噪声，在各落料点、转载点设置耐磨橡胶缓冲衬板、缓冲溜槽，减缓物料坠落撞击力度，大幅降低物料撞击产生的中高频瞬时噪声，有效抑制间歇性冲击噪声。</w:t>
            </w:r>
          </w:p>
          <w:p w14:paraId="60586A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outlineLvl w:val="9"/>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2"/>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、厂区布局隔声衰减</w:t>
            </w:r>
          </w:p>
          <w:p w14:paraId="154954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outlineLvl w:val="9"/>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破碎、筛分等高噪声设备集中布置在厂区中部、远离厂界及敏感点一侧，利用厂区办公楼、库房、绿化林带、构筑物形成天然隔声屏障，通过距离衰减、建筑遮挡进一步降低厂界噪声贡献值，最大限度减小对外环境影响。</w:t>
            </w:r>
          </w:p>
          <w:p w14:paraId="3EFEA1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outlineLvl w:val="9"/>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2"/>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、风机、辅助设备降噪</w:t>
            </w:r>
          </w:p>
          <w:p w14:paraId="178992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outlineLvl w:val="9"/>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破碎筛分配套除尘风机为重点噪声源，风机进出口加装阻抗复合式消声器，风机底座设置减振装置，风机布置于室内或隔声机房内，有效控制空气动力性噪声。</w:t>
            </w:r>
          </w:p>
          <w:p w14:paraId="2A89DF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outlineLvl w:val="9"/>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2"/>
                <w:highlight w:val="none"/>
                <w:lang w:val="en-US" w:eastAsia="zh-CN"/>
                <w14:textFill>
                  <w14:solidFill>
                    <w14:schemeClr w14:val="tx1"/>
                  </w14:solidFill>
                </w14:textFill>
              </w:rPr>
              <w:t>7</w:t>
            </w: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、生产管理降噪措施</w:t>
            </w:r>
          </w:p>
          <w:p w14:paraId="6987B7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outlineLvl w:val="9"/>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定期对破碎机、振动筛、轴承、皮带、紧固部件进行检修维护，及时更换磨损配件，避免设备松动、异常振动产生超标突发噪声；规范物料堆放、进料速度，杜绝空转、超负荷运行产生额外噪声。</w:t>
            </w:r>
          </w:p>
          <w:p w14:paraId="27A789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outlineLvl w:val="9"/>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2"/>
                <w:highlight w:val="none"/>
                <w:lang w:val="en-US" w:eastAsia="zh-CN"/>
                <w14:textFill>
                  <w14:solidFill>
                    <w14:schemeClr w14:val="tx1"/>
                  </w14:solidFill>
                </w14:textFill>
              </w:rPr>
              <w:t>8</w:t>
            </w: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、操作人员防护</w:t>
            </w:r>
          </w:p>
          <w:p w14:paraId="25E9E3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outlineLvl w:val="9"/>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车间操作岗位设置隔声操作值班室，操作人员巡检佩戴耳塞、耳罩等降噪劳保用品，减少岗位噪声暴露影响，满足职业卫生防护要求。</w:t>
            </w:r>
          </w:p>
          <w:p w14:paraId="1C4331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outlineLvl w:val="9"/>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2"/>
                <w:highlight w:val="none"/>
                <w:lang w:val="en-US" w:eastAsia="zh-CN"/>
                <w14:textFill>
                  <w14:solidFill>
                    <w14:schemeClr w14:val="tx1"/>
                  </w14:solidFill>
                </w14:textFill>
              </w:rPr>
              <w:t>9</w:t>
            </w: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、措施有效性结论</w:t>
            </w:r>
          </w:p>
          <w:p w14:paraId="575361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textAlignment w:val="auto"/>
              <w:outlineLvl w:val="9"/>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通过采取设备低噪选型、基础减振、全密闭隔声、落料缓冲、消声降噪、合理布局及运维管控等综合措施，可有效降低破碎、筛分系统设备噪声排放，厂界噪声可满足《工业企业厂界环境噪声排放标准》（GB12348-2008）相应标准要求，对周边声环境影响较小，措施可行、有效。</w:t>
            </w:r>
          </w:p>
          <w:p w14:paraId="793BB2D2">
            <w:pPr>
              <w:keepNext w:val="0"/>
              <w:keepLines w:val="0"/>
              <w:widowControl/>
              <w:suppressLineNumbers w:val="0"/>
              <w:spacing w:before="0" w:beforeAutospacing="0" w:after="0" w:afterAutospacing="0" w:line="360" w:lineRule="auto"/>
              <w:ind w:left="0" w:leftChars="0" w:right="0" w:firstLine="0" w:firstLineChars="0"/>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3.6噪声监测计划</w:t>
            </w:r>
          </w:p>
          <w:p w14:paraId="2618A2CC">
            <w:pPr>
              <w:keepNext w:val="0"/>
              <w:keepLines w:val="0"/>
              <w:suppressLineNumbers w:val="0"/>
              <w:tabs>
                <w:tab w:val="left" w:pos="0"/>
              </w:tabs>
              <w:spacing w:before="0" w:beforeAutospacing="0" w:after="0" w:afterAutospacing="0" w:line="360" w:lineRule="auto"/>
              <w:ind w:left="0" w:right="0" w:firstLine="458" w:firstLineChars="191"/>
              <w:jc w:val="left"/>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根据《排污单位自行监测技术指南 总则》（HJ819-2017），本项目环境噪声监测方案见表4-12。</w:t>
            </w:r>
          </w:p>
          <w:p w14:paraId="15E80791">
            <w:pPr>
              <w:keepNext w:val="0"/>
              <w:keepLines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000000" w:themeColor="text1"/>
                <w:sz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highlight w:val="none"/>
                <w:lang w:val="en-US" w:eastAsia="zh-CN"/>
                <w14:textFill>
                  <w14:solidFill>
                    <w14:schemeClr w14:val="tx1"/>
                  </w14:solidFill>
                </w14:textFill>
              </w:rPr>
              <w:t>表4-12    项目运营期噪声监测计划</w:t>
            </w:r>
          </w:p>
          <w:tbl>
            <w:tblPr>
              <w:tblStyle w:val="39"/>
              <w:tblW w:w="4998" w:type="pct"/>
              <w:tblInd w:w="1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13"/>
              <w:gridCol w:w="2367"/>
              <w:gridCol w:w="1511"/>
              <w:gridCol w:w="1366"/>
              <w:gridCol w:w="1895"/>
            </w:tblGrid>
            <w:tr w14:paraId="17CF7A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26" w:type="pct"/>
                  <w:tcBorders>
                    <w:bottom w:val="single" w:color="000000" w:sz="12" w:space="0"/>
                    <w:tl2br w:val="nil"/>
                    <w:tr2bl w:val="nil"/>
                  </w:tcBorders>
                  <w:noWrap w:val="0"/>
                  <w:vAlign w:val="center"/>
                </w:tcPr>
                <w:p w14:paraId="498461DD">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类别</w:t>
                  </w:r>
                </w:p>
              </w:tc>
              <w:tc>
                <w:tcPr>
                  <w:tcW w:w="1416" w:type="pct"/>
                  <w:tcBorders>
                    <w:bottom w:val="single" w:color="000000" w:sz="12" w:space="0"/>
                    <w:tl2br w:val="nil"/>
                    <w:tr2bl w:val="nil"/>
                  </w:tcBorders>
                  <w:noWrap w:val="0"/>
                  <w:vAlign w:val="center"/>
                </w:tcPr>
                <w:p w14:paraId="6D555D8F">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监测位置</w:t>
                  </w:r>
                </w:p>
              </w:tc>
              <w:tc>
                <w:tcPr>
                  <w:tcW w:w="904" w:type="pct"/>
                  <w:tcBorders>
                    <w:bottom w:val="single" w:color="000000" w:sz="12" w:space="0"/>
                    <w:tl2br w:val="nil"/>
                    <w:tr2bl w:val="nil"/>
                  </w:tcBorders>
                  <w:noWrap w:val="0"/>
                  <w:vAlign w:val="center"/>
                </w:tcPr>
                <w:p w14:paraId="4A74FB31">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监测项目</w:t>
                  </w:r>
                </w:p>
              </w:tc>
              <w:tc>
                <w:tcPr>
                  <w:tcW w:w="817" w:type="pct"/>
                  <w:tcBorders>
                    <w:bottom w:val="single" w:color="000000" w:sz="12" w:space="0"/>
                    <w:tl2br w:val="nil"/>
                    <w:tr2bl w:val="nil"/>
                  </w:tcBorders>
                  <w:noWrap w:val="0"/>
                  <w:vAlign w:val="center"/>
                </w:tcPr>
                <w:p w14:paraId="080C45BE">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监测频率</w:t>
                  </w:r>
                </w:p>
              </w:tc>
              <w:tc>
                <w:tcPr>
                  <w:tcW w:w="1134" w:type="pct"/>
                  <w:tcBorders>
                    <w:bottom w:val="single" w:color="000000" w:sz="12" w:space="0"/>
                    <w:tl2br w:val="nil"/>
                    <w:tr2bl w:val="nil"/>
                  </w:tcBorders>
                  <w:noWrap w:val="0"/>
                  <w:vAlign w:val="center"/>
                </w:tcPr>
                <w:p w14:paraId="38DBD096">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实施单位</w:t>
                  </w:r>
                </w:p>
              </w:tc>
            </w:tr>
            <w:tr w14:paraId="45B054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726" w:type="pct"/>
                  <w:tcBorders>
                    <w:top w:val="single" w:color="000000" w:sz="12" w:space="0"/>
                    <w:tl2br w:val="nil"/>
                    <w:tr2bl w:val="nil"/>
                  </w:tcBorders>
                  <w:noWrap w:val="0"/>
                  <w:vAlign w:val="center"/>
                </w:tcPr>
                <w:p w14:paraId="0EBE2810">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场界噪声</w:t>
                  </w:r>
                </w:p>
              </w:tc>
              <w:tc>
                <w:tcPr>
                  <w:tcW w:w="1416" w:type="pct"/>
                  <w:tcBorders>
                    <w:top w:val="single" w:color="000000" w:sz="12" w:space="0"/>
                    <w:tl2br w:val="nil"/>
                    <w:tr2bl w:val="nil"/>
                  </w:tcBorders>
                  <w:noWrap w:val="0"/>
                  <w:vAlign w:val="center"/>
                </w:tcPr>
                <w:p w14:paraId="3082757D">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生产区</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场界外东西南北侧1m</w:t>
                  </w:r>
                </w:p>
              </w:tc>
              <w:tc>
                <w:tcPr>
                  <w:tcW w:w="904" w:type="pct"/>
                  <w:tcBorders>
                    <w:top w:val="single" w:color="000000" w:sz="12" w:space="0"/>
                    <w:tl2br w:val="nil"/>
                    <w:tr2bl w:val="nil"/>
                  </w:tcBorders>
                  <w:noWrap w:val="0"/>
                  <w:vAlign w:val="center"/>
                </w:tcPr>
                <w:p w14:paraId="709F4D9F">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等效A声级</w:t>
                  </w:r>
                </w:p>
              </w:tc>
              <w:tc>
                <w:tcPr>
                  <w:tcW w:w="817" w:type="pct"/>
                  <w:tcBorders>
                    <w:top w:val="single" w:color="000000" w:sz="12" w:space="0"/>
                    <w:tl2br w:val="nil"/>
                    <w:tr2bl w:val="nil"/>
                  </w:tcBorders>
                  <w:noWrap w:val="0"/>
                  <w:vAlign w:val="center"/>
                </w:tcPr>
                <w:p w14:paraId="1F56DAE2">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1次/季</w:t>
                  </w:r>
                </w:p>
              </w:tc>
              <w:tc>
                <w:tcPr>
                  <w:tcW w:w="1134" w:type="pct"/>
                  <w:tcBorders>
                    <w:top w:val="single" w:color="000000" w:sz="12" w:space="0"/>
                    <w:tl2br w:val="nil"/>
                    <w:tr2bl w:val="nil"/>
                  </w:tcBorders>
                  <w:noWrap w:val="0"/>
                  <w:vAlign w:val="center"/>
                </w:tcPr>
                <w:p w14:paraId="0A3B0910">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企业自行委托</w:t>
                  </w:r>
                </w:p>
              </w:tc>
            </w:tr>
          </w:tbl>
          <w:p w14:paraId="2329FD8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4</w:t>
            </w:r>
            <w:r>
              <w:rPr>
                <w:rFonts w:hint="default" w:ascii="Times New Roman" w:hAnsi="Times New Roman" w:eastAsia="宋体" w:cs="Times New Roman"/>
                <w:b/>
                <w:color w:val="000000" w:themeColor="text1"/>
                <w:kern w:val="2"/>
                <w:sz w:val="24"/>
                <w:szCs w:val="24"/>
                <w:highlight w:val="none"/>
                <w:lang w:val="en-US" w:eastAsia="zh-CN" w:bidi="ar"/>
                <w14:textFill>
                  <w14:solidFill>
                    <w14:schemeClr w14:val="tx1"/>
                  </w14:solidFill>
                </w14:textFill>
              </w:rPr>
              <w:t>、</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固体废物</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环境影响分析</w:t>
            </w:r>
          </w:p>
          <w:p w14:paraId="70A3E050">
            <w:pPr>
              <w:pStyle w:val="73"/>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outlineLvl w:val="9"/>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t>本项目运营期间产生的固体废物主要</w:t>
            </w:r>
            <w:r>
              <w:rPr>
                <w:rFonts w:hint="default" w:ascii="Times New Roman" w:hAnsi="Times New Roman" w:eastAsia="宋体" w:cs="Times New Roman"/>
                <w:bCs/>
                <w:color w:val="000000" w:themeColor="text1"/>
                <w:kern w:val="0"/>
                <w:sz w:val="24"/>
                <w:szCs w:val="22"/>
                <w:highlight w:val="none"/>
                <w:lang w:eastAsia="zh-CN"/>
                <w14:textFill>
                  <w14:solidFill>
                    <w14:schemeClr w14:val="tx1"/>
                  </w14:solidFill>
                </w14:textFill>
              </w:rPr>
              <w:t>为</w:t>
            </w: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生活垃圾、布袋除尘器收集粉尘、沉淀池底泥、废旧的输送皮带、生活污水处理设施污泥</w:t>
            </w:r>
            <w:r>
              <w:rPr>
                <w:rFonts w:hint="default" w:ascii="Times New Roman" w:hAnsi="Times New Roman" w:eastAsia="宋体" w:cs="Times New Roman"/>
                <w:color w:val="000000" w:themeColor="text1"/>
                <w:highlight w:val="none"/>
                <w:lang w:val="en-US" w:eastAsia="zh-CN"/>
                <w14:textFill>
                  <w14:solidFill>
                    <w14:schemeClr w14:val="tx1"/>
                  </w14:solidFill>
                </w14:textFill>
              </w:rPr>
              <w:t>和废机油。</w:t>
            </w:r>
          </w:p>
          <w:p w14:paraId="3F1F20FC">
            <w:pPr>
              <w:pStyle w:val="73"/>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outlineLvl w:val="9"/>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（1）生活垃圾</w:t>
            </w:r>
          </w:p>
          <w:p w14:paraId="58F3ECDA">
            <w:pPr>
              <w:pStyle w:val="73"/>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outlineLvl w:val="9"/>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pPr>
            <w:r>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t>本项目运营期间产生的固体废物主要</w:t>
            </w:r>
            <w:r>
              <w:rPr>
                <w:rFonts w:hint="default" w:ascii="Times New Roman" w:hAnsi="Times New Roman" w:eastAsia="宋体" w:cs="Times New Roman"/>
                <w:bCs/>
                <w:color w:val="000000" w:themeColor="text1"/>
                <w:kern w:val="0"/>
                <w:sz w:val="24"/>
                <w:szCs w:val="22"/>
                <w:highlight w:val="none"/>
                <w:lang w:eastAsia="zh-CN"/>
                <w14:textFill>
                  <w14:solidFill>
                    <w14:schemeClr w14:val="tx1"/>
                  </w14:solidFill>
                </w14:textFill>
              </w:rPr>
              <w:t>为</w:t>
            </w: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生活垃圾，</w:t>
            </w:r>
            <w:r>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t>运营期劳动定员</w:t>
            </w: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20人</w:t>
            </w:r>
            <w:r>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t>，生活垃圾的产生量按</w:t>
            </w: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1</w:t>
            </w:r>
            <w:r>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t>kg/人·d计算，则生活垃圾产生量约为</w:t>
            </w: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20</w:t>
            </w:r>
            <w:r>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t>kg/d（</w:t>
            </w: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4.2</w:t>
            </w:r>
            <w:r>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t>t/a），集中收集后，定期运往垃圾</w:t>
            </w:r>
            <w:r>
              <w:rPr>
                <w:rFonts w:hint="default" w:ascii="Times New Roman" w:hAnsi="Times New Roman" w:eastAsia="宋体" w:cs="Times New Roman"/>
                <w:bCs/>
                <w:color w:val="000000" w:themeColor="text1"/>
                <w:kern w:val="0"/>
                <w:sz w:val="24"/>
                <w:szCs w:val="22"/>
                <w:highlight w:val="none"/>
                <w:lang w:eastAsia="zh-CN"/>
                <w14:textFill>
                  <w14:solidFill>
                    <w14:schemeClr w14:val="tx1"/>
                  </w14:solidFill>
                </w14:textFill>
              </w:rPr>
              <w:t>填埋场</w:t>
            </w:r>
            <w:r>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t>处置。</w:t>
            </w:r>
          </w:p>
          <w:p w14:paraId="706ADAC4">
            <w:pPr>
              <w:pStyle w:val="73"/>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outlineLvl w:val="9"/>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4"/>
                <w:szCs w:val="22"/>
                <w:highlight w:val="none"/>
                <w:lang w:eastAsia="zh-CN"/>
                <w14:textFill>
                  <w14:solidFill>
                    <w14:schemeClr w14:val="tx1"/>
                  </w14:solidFill>
                </w14:textFill>
              </w:rPr>
              <w:t>（</w:t>
            </w: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2</w:t>
            </w:r>
            <w:r>
              <w:rPr>
                <w:rFonts w:hint="default" w:ascii="Times New Roman" w:hAnsi="Times New Roman" w:eastAsia="宋体" w:cs="Times New Roman"/>
                <w:bCs/>
                <w:color w:val="000000" w:themeColor="text1"/>
                <w:kern w:val="0"/>
                <w:sz w:val="24"/>
                <w:szCs w:val="22"/>
                <w:highlight w:val="none"/>
                <w:lang w:eastAsia="zh-CN"/>
                <w14:textFill>
                  <w14:solidFill>
                    <w14:schemeClr w14:val="tx1"/>
                  </w14:solidFill>
                </w14:textFill>
              </w:rPr>
              <w:t>）</w:t>
            </w: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剥离表土</w:t>
            </w:r>
          </w:p>
          <w:p w14:paraId="4916CB48">
            <w:pPr>
              <w:pStyle w:val="73"/>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outlineLvl w:val="9"/>
              <w:rPr>
                <w:rFonts w:hint="default" w:ascii="Times New Roman" w:hAnsi="Times New Roman" w:eastAsia="宋体" w:cs="Times New Roman"/>
                <w:bCs/>
                <w:color w:val="000000" w:themeColor="text1"/>
                <w:kern w:val="0"/>
                <w:sz w:val="24"/>
                <w:szCs w:val="22"/>
                <w:highlight w:val="none"/>
                <w:lang w:eastAsia="zh-CN"/>
                <w14:textFill>
                  <w14:solidFill>
                    <w14:schemeClr w14:val="tx1"/>
                  </w14:solidFill>
                </w14:textFill>
              </w:rPr>
            </w:pPr>
            <w:r>
              <w:rPr>
                <w:rFonts w:hint="eastAsia"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根据业主提供的资料，本项目</w:t>
            </w:r>
            <w:r>
              <w:rPr>
                <w:rFonts w:hint="default" w:ascii="Times New Roman" w:hAnsi="Times New Roman" w:eastAsia="宋体" w:cs="Times New Roman"/>
                <w:bCs/>
                <w:color w:val="000000" w:themeColor="text1"/>
                <w:kern w:val="0"/>
                <w:sz w:val="24"/>
                <w:szCs w:val="22"/>
                <w:highlight w:val="none"/>
                <w:lang w:eastAsia="zh-CN"/>
                <w14:textFill>
                  <w14:solidFill>
                    <w14:schemeClr w14:val="tx1"/>
                  </w14:solidFill>
                </w14:textFill>
              </w:rPr>
              <w:t>表土层平均厚度1m，规划露采场表土土剥离面积为520700</w:t>
            </w:r>
            <w:r>
              <w:rPr>
                <w:rFonts w:hint="eastAsia"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m</w:t>
            </w:r>
            <w:r>
              <w:rPr>
                <w:rFonts w:hint="eastAsia" w:ascii="Times New Roman" w:hAnsi="Times New Roman" w:eastAsia="宋体" w:cs="Times New Roman"/>
                <w:bCs/>
                <w:color w:val="000000" w:themeColor="text1"/>
                <w:kern w:val="0"/>
                <w:sz w:val="24"/>
                <w:szCs w:val="22"/>
                <w:highlight w:val="none"/>
                <w:vertAlign w:val="superscript"/>
                <w:lang w:val="en-US" w:eastAsia="zh-CN"/>
                <w14:textFill>
                  <w14:solidFill>
                    <w14:schemeClr w14:val="tx1"/>
                  </w14:solidFill>
                </w14:textFill>
              </w:rPr>
              <w:t>2</w:t>
            </w:r>
            <w:r>
              <w:rPr>
                <w:rFonts w:hint="default" w:ascii="Times New Roman" w:hAnsi="Times New Roman" w:eastAsia="宋体" w:cs="Times New Roman"/>
                <w:bCs/>
                <w:color w:val="000000" w:themeColor="text1"/>
                <w:kern w:val="0"/>
                <w:sz w:val="24"/>
                <w:szCs w:val="22"/>
                <w:highlight w:val="none"/>
                <w:lang w:eastAsia="zh-CN"/>
                <w14:textFill>
                  <w14:solidFill>
                    <w14:schemeClr w14:val="tx1"/>
                  </w14:solidFill>
                </w14:textFill>
              </w:rPr>
              <w:t>，平均剥离厚度约1米，剥离量约52.07万</w:t>
            </w:r>
            <w:r>
              <w:rPr>
                <w:rFonts w:hint="eastAsia"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m</w:t>
            </w:r>
            <w:r>
              <w:rPr>
                <w:rFonts w:hint="eastAsia" w:ascii="Times New Roman" w:hAnsi="Times New Roman" w:eastAsia="宋体" w:cs="Times New Roman"/>
                <w:bCs/>
                <w:color w:val="000000" w:themeColor="text1"/>
                <w:kern w:val="0"/>
                <w:sz w:val="24"/>
                <w:szCs w:val="22"/>
                <w:highlight w:val="none"/>
                <w:vertAlign w:val="superscript"/>
                <w:lang w:val="en-US" w:eastAsia="zh-CN"/>
                <w14:textFill>
                  <w14:solidFill>
                    <w14:schemeClr w14:val="tx1"/>
                  </w14:solidFill>
                </w14:textFill>
              </w:rPr>
              <w:t>3</w:t>
            </w: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w:t>
            </w:r>
          </w:p>
          <w:p w14:paraId="50107152">
            <w:pPr>
              <w:pStyle w:val="73"/>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outlineLvl w:val="9"/>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4"/>
                <w:szCs w:val="22"/>
                <w:highlight w:val="none"/>
                <w:lang w:eastAsia="zh-CN"/>
                <w14:textFill>
                  <w14:solidFill>
                    <w14:schemeClr w14:val="tx1"/>
                  </w14:solidFill>
                </w14:textFill>
              </w:rPr>
              <w:t>（</w:t>
            </w: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3</w:t>
            </w:r>
            <w:r>
              <w:rPr>
                <w:rFonts w:hint="default" w:ascii="Times New Roman" w:hAnsi="Times New Roman" w:eastAsia="宋体" w:cs="Times New Roman"/>
                <w:bCs/>
                <w:color w:val="000000" w:themeColor="text1"/>
                <w:kern w:val="0"/>
                <w:sz w:val="24"/>
                <w:szCs w:val="22"/>
                <w:highlight w:val="none"/>
                <w:lang w:eastAsia="zh-CN"/>
                <w14:textFill>
                  <w14:solidFill>
                    <w14:schemeClr w14:val="tx1"/>
                  </w14:solidFill>
                </w14:textFill>
              </w:rPr>
              <w:t>）</w:t>
            </w: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不合格品</w:t>
            </w:r>
          </w:p>
          <w:p w14:paraId="74D8839D">
            <w:pPr>
              <w:pStyle w:val="73"/>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outlineLvl w:val="9"/>
              <w:rPr>
                <w:rFonts w:hint="default" w:ascii="Times New Roman" w:hAnsi="Times New Roman" w:eastAsia="宋体" w:cs="Times New Roman"/>
                <w:bCs/>
                <w:color w:val="000000" w:themeColor="text1"/>
                <w:kern w:val="0"/>
                <w:sz w:val="24"/>
                <w:szCs w:val="22"/>
                <w:highlight w:val="none"/>
                <w:lang w:eastAsia="zh-CN"/>
                <w14:textFill>
                  <w14:solidFill>
                    <w14:schemeClr w14:val="tx1"/>
                  </w14:solidFill>
                </w14:textFill>
              </w:rPr>
            </w:pP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根据业主提供的资料，本项目水稳站在生产过程中会有不合格品，产生量为53t/a，收集回用于生产</w:t>
            </w:r>
            <w:r>
              <w:rPr>
                <w:rFonts w:hint="default" w:ascii="Times New Roman" w:hAnsi="Times New Roman" w:eastAsia="宋体" w:cs="Times New Roman"/>
                <w:bCs/>
                <w:color w:val="000000" w:themeColor="text1"/>
                <w:kern w:val="0"/>
                <w:sz w:val="24"/>
                <w:szCs w:val="22"/>
                <w:highlight w:val="none"/>
                <w:lang w:eastAsia="zh-CN"/>
                <w14:textFill>
                  <w14:solidFill>
                    <w14:schemeClr w14:val="tx1"/>
                  </w14:solidFill>
                </w14:textFill>
              </w:rPr>
              <w:t>。</w:t>
            </w:r>
          </w:p>
          <w:p w14:paraId="407E67E1">
            <w:pPr>
              <w:pStyle w:val="73"/>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outlineLvl w:val="9"/>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4"/>
                <w:szCs w:val="22"/>
                <w:highlight w:val="none"/>
                <w:lang w:eastAsia="zh-CN"/>
                <w14:textFill>
                  <w14:solidFill>
                    <w14:schemeClr w14:val="tx1"/>
                  </w14:solidFill>
                </w14:textFill>
              </w:rPr>
              <w:t>（</w:t>
            </w: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4</w:t>
            </w:r>
            <w:r>
              <w:rPr>
                <w:rFonts w:hint="default" w:ascii="Times New Roman" w:hAnsi="Times New Roman" w:eastAsia="宋体" w:cs="Times New Roman"/>
                <w:bCs/>
                <w:color w:val="000000" w:themeColor="text1"/>
                <w:kern w:val="0"/>
                <w:sz w:val="24"/>
                <w:szCs w:val="22"/>
                <w:highlight w:val="none"/>
                <w:lang w:eastAsia="zh-CN"/>
                <w14:textFill>
                  <w14:solidFill>
                    <w14:schemeClr w14:val="tx1"/>
                  </w14:solidFill>
                </w14:textFill>
              </w:rPr>
              <w:t>）</w:t>
            </w: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沉淀池沉渣</w:t>
            </w:r>
          </w:p>
          <w:p w14:paraId="63483285">
            <w:pPr>
              <w:keepNext w:val="0"/>
              <w:keepLines w:val="0"/>
              <w:pageBreakBefore w:val="0"/>
              <w:widowControl w:val="0"/>
              <w:kinsoku/>
              <w:wordWrap/>
              <w:overflowPunct w:val="0"/>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t>本项目</w:t>
            </w: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沉淀池底泥产生量约为2300t/a，</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成分主要是砂石表面附着的石粉（粒径≤</w:t>
            </w: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0.075</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mm）</w:t>
            </w:r>
            <w:r>
              <w:rPr>
                <w:rFonts w:hint="default" w:ascii="Times New Roman" w:hAnsi="Times New Roman" w:eastAsia="宋体" w:cs="Times New Roman"/>
                <w:color w:val="000000" w:themeColor="text1"/>
                <w:sz w:val="24"/>
                <w:szCs w:val="22"/>
                <w:highlight w:val="none"/>
                <w:shd w:val="clear" w:color="auto" w:fill="FFFFFF"/>
                <w:lang w:eastAsia="zh-CN"/>
                <w14:textFill>
                  <w14:solidFill>
                    <w14:schemeClr w14:val="tx1"/>
                  </w14:solidFill>
                </w14:textFill>
              </w:rPr>
              <w:t>，</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定期</w:t>
            </w: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清掏底泥集中收集后自然晾干，堆存过程中四周设置防风抑尘网，避免二次扬尘污染，后期回用于生产。</w:t>
            </w:r>
          </w:p>
          <w:p w14:paraId="2EC0C0D6">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4"/>
                <w:szCs w:val="22"/>
                <w:highlight w:val="none"/>
                <w:lang w:val="en-US" w:eastAsia="zh-CN" w:bidi="ar-SA"/>
                <w14:textFill>
                  <w14:solidFill>
                    <w14:schemeClr w14:val="tx1"/>
                  </w14:solidFill>
                </w14:textFill>
              </w:rPr>
              <w:t>（5）</w:t>
            </w: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除尘灰</w:t>
            </w:r>
          </w:p>
          <w:p w14:paraId="4758F620">
            <w:pPr>
              <w:keepNext w:val="0"/>
              <w:keepLines w:val="0"/>
              <w:pageBreakBefore w:val="0"/>
              <w:widowControl w:val="0"/>
              <w:numPr>
                <w:ilvl w:val="0"/>
                <w:numId w:val="0"/>
              </w:numPr>
              <w:kinsoku/>
              <w:wordWrap/>
              <w:overflowPunct w:val="0"/>
              <w:topLinePunct w:val="0"/>
              <w:autoSpaceDE/>
              <w:autoSpaceDN/>
              <w:bidi w:val="0"/>
              <w:adjustRightInd/>
              <w:snapToGrid/>
              <w:spacing w:line="360" w:lineRule="auto"/>
              <w:ind w:leftChars="200" w:right="0" w:rightChars="0"/>
              <w:jc w:val="both"/>
              <w:textAlignment w:val="auto"/>
              <w:outlineLvl w:val="9"/>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本项目除尘设备收集的除尘灰为661.43t/a，收集回用于生产。</w:t>
            </w:r>
          </w:p>
          <w:p w14:paraId="637347EB">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pP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（6）废机油及油桶</w:t>
            </w:r>
          </w:p>
          <w:p w14:paraId="6F15EF34">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本项目</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生产过程中设备会产生少量的废机油，根据业主提供资料。废机油产生量为0.</w:t>
            </w: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t/a，根据《国家危险废物名录》（2021版），废机油属于危险废物，类别为HW08废矿物油与含矿物油废液，废物代码为</w:t>
            </w: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900-214-08</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，经收集后暂存危废</w:t>
            </w: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贮存库</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，定期交由有资质的危险废物处理单位处置。</w:t>
            </w: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本项目固体废物排放信息见下表。</w:t>
            </w:r>
          </w:p>
          <w:p w14:paraId="2168A90A">
            <w:pPr>
              <w:keepNext w:val="0"/>
              <w:keepLines w:val="0"/>
              <w:suppressLineNumbers w:val="0"/>
              <w:bidi w:val="0"/>
              <w:spacing w:before="0" w:beforeAutospacing="0" w:after="0" w:afterAutospacing="0" w:line="240" w:lineRule="auto"/>
              <w:ind w:left="0" w:right="0" w:firstLine="0" w:firstLineChars="0"/>
              <w:jc w:val="center"/>
              <w:rPr>
                <w:rFonts w:hint="default" w:ascii="Times New Roman" w:hAnsi="Times New Roman" w:eastAsia="宋体" w:cs="Times New Roman"/>
                <w:b/>
                <w:bCs/>
                <w:color w:val="000000" w:themeColor="text1"/>
                <w:sz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highlight w:val="none"/>
                <w:lang w:val="en-US" w:eastAsia="zh-CN"/>
                <w14:textFill>
                  <w14:solidFill>
                    <w14:schemeClr w14:val="tx1"/>
                  </w14:solidFill>
                </w14:textFill>
              </w:rPr>
              <w:t>表4-13    固体废物排放信息</w:t>
            </w:r>
          </w:p>
          <w:tbl>
            <w:tblPr>
              <w:tblStyle w:val="38"/>
              <w:tblW w:w="4997"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100"/>
              <w:gridCol w:w="998"/>
              <w:gridCol w:w="1345"/>
              <w:gridCol w:w="918"/>
              <w:gridCol w:w="1026"/>
              <w:gridCol w:w="1541"/>
              <w:gridCol w:w="1422"/>
            </w:tblGrid>
            <w:tr w14:paraId="0B03ECA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0" w:hRule="atLeast"/>
                <w:jc w:val="center"/>
              </w:trPr>
              <w:tc>
                <w:tcPr>
                  <w:tcW w:w="658" w:type="pct"/>
                  <w:tcBorders>
                    <w:bottom w:val="single" w:color="000000" w:sz="12" w:space="0"/>
                  </w:tcBorders>
                  <w:noWrap w:val="0"/>
                  <w:vAlign w:val="center"/>
                </w:tcPr>
                <w:p w14:paraId="78943F64">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固废名称</w:t>
                  </w:r>
                </w:p>
              </w:tc>
              <w:tc>
                <w:tcPr>
                  <w:tcW w:w="597" w:type="pct"/>
                  <w:tcBorders>
                    <w:bottom w:val="single" w:color="000000" w:sz="12" w:space="0"/>
                  </w:tcBorders>
                  <w:noWrap w:val="0"/>
                  <w:vAlign w:val="center"/>
                </w:tcPr>
                <w:p w14:paraId="7FAEB38B">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固废属性</w:t>
                  </w:r>
                </w:p>
              </w:tc>
              <w:tc>
                <w:tcPr>
                  <w:tcW w:w="805" w:type="pct"/>
                  <w:tcBorders>
                    <w:bottom w:val="single" w:color="000000" w:sz="12" w:space="0"/>
                  </w:tcBorders>
                  <w:noWrap w:val="0"/>
                  <w:vAlign w:val="center"/>
                </w:tcPr>
                <w:p w14:paraId="76475225">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代码</w:t>
                  </w:r>
                </w:p>
              </w:tc>
              <w:tc>
                <w:tcPr>
                  <w:tcW w:w="549" w:type="pct"/>
                  <w:tcBorders>
                    <w:bottom w:val="single" w:color="000000" w:sz="12" w:space="0"/>
                  </w:tcBorders>
                  <w:noWrap w:val="0"/>
                  <w:vAlign w:val="center"/>
                </w:tcPr>
                <w:p w14:paraId="275B3AEE">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环境危险特性</w:t>
                  </w:r>
                </w:p>
              </w:tc>
              <w:tc>
                <w:tcPr>
                  <w:tcW w:w="614" w:type="pct"/>
                  <w:tcBorders>
                    <w:bottom w:val="single" w:color="000000" w:sz="12" w:space="0"/>
                  </w:tcBorders>
                  <w:noWrap w:val="0"/>
                  <w:vAlign w:val="center"/>
                </w:tcPr>
                <w:p w14:paraId="1C7F114C">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产生量（t/a）</w:t>
                  </w:r>
                </w:p>
              </w:tc>
              <w:tc>
                <w:tcPr>
                  <w:tcW w:w="922" w:type="pct"/>
                  <w:tcBorders>
                    <w:bottom w:val="single" w:color="000000" w:sz="12" w:space="0"/>
                  </w:tcBorders>
                  <w:noWrap w:val="0"/>
                  <w:vAlign w:val="center"/>
                </w:tcPr>
                <w:p w14:paraId="396CDB6D">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储存方式</w:t>
                  </w:r>
                </w:p>
              </w:tc>
              <w:tc>
                <w:tcPr>
                  <w:tcW w:w="851" w:type="pct"/>
                  <w:tcBorders>
                    <w:bottom w:val="single" w:color="000000" w:sz="12" w:space="0"/>
                  </w:tcBorders>
                  <w:noWrap w:val="0"/>
                  <w:vAlign w:val="center"/>
                </w:tcPr>
                <w:p w14:paraId="3447C2EF">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处理方式</w:t>
                  </w:r>
                </w:p>
              </w:tc>
            </w:tr>
            <w:tr w14:paraId="0E6E1C6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0" w:hRule="atLeast"/>
                <w:jc w:val="center"/>
              </w:trPr>
              <w:tc>
                <w:tcPr>
                  <w:tcW w:w="658" w:type="pct"/>
                  <w:tcBorders>
                    <w:top w:val="single" w:color="000000" w:sz="12" w:space="0"/>
                  </w:tcBorders>
                  <w:noWrap w:val="0"/>
                  <w:vAlign w:val="center"/>
                </w:tcPr>
                <w:p w14:paraId="3CC1F0B1">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生活垃圾</w:t>
                  </w:r>
                </w:p>
              </w:tc>
              <w:tc>
                <w:tcPr>
                  <w:tcW w:w="597" w:type="pct"/>
                  <w:tcBorders>
                    <w:top w:val="single" w:color="000000" w:sz="12" w:space="0"/>
                  </w:tcBorders>
                  <w:noWrap w:val="0"/>
                  <w:vAlign w:val="center"/>
                </w:tcPr>
                <w:p w14:paraId="6A79AA27">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805" w:type="pct"/>
                  <w:tcBorders>
                    <w:top w:val="single" w:color="000000" w:sz="12" w:space="0"/>
                  </w:tcBorders>
                  <w:noWrap w:val="0"/>
                  <w:vAlign w:val="center"/>
                </w:tcPr>
                <w:p w14:paraId="52DD2F8E">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900-001-S61</w:t>
                  </w:r>
                </w:p>
              </w:tc>
              <w:tc>
                <w:tcPr>
                  <w:tcW w:w="549" w:type="pct"/>
                  <w:tcBorders>
                    <w:top w:val="single" w:color="000000" w:sz="12" w:space="0"/>
                  </w:tcBorders>
                  <w:noWrap w:val="0"/>
                  <w:vAlign w:val="center"/>
                </w:tcPr>
                <w:p w14:paraId="0A9A9FAC">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614" w:type="pct"/>
                  <w:tcBorders>
                    <w:top w:val="single" w:color="000000" w:sz="12" w:space="0"/>
                  </w:tcBorders>
                  <w:noWrap w:val="0"/>
                  <w:vAlign w:val="center"/>
                </w:tcPr>
                <w:p w14:paraId="15B2BA4C">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4.2</w:t>
                  </w:r>
                </w:p>
              </w:tc>
              <w:tc>
                <w:tcPr>
                  <w:tcW w:w="922" w:type="pct"/>
                  <w:tcBorders>
                    <w:top w:val="single" w:color="000000" w:sz="12" w:space="0"/>
                  </w:tcBorders>
                  <w:noWrap w:val="0"/>
                  <w:vAlign w:val="center"/>
                </w:tcPr>
                <w:p w14:paraId="0183BFC4">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分类收集、暂存在垃圾桶内</w:t>
                  </w:r>
                </w:p>
              </w:tc>
              <w:tc>
                <w:tcPr>
                  <w:tcW w:w="851" w:type="pct"/>
                  <w:tcBorders>
                    <w:top w:val="single" w:color="000000" w:sz="12" w:space="0"/>
                  </w:tcBorders>
                  <w:noWrap w:val="0"/>
                  <w:vAlign w:val="center"/>
                </w:tcPr>
                <w:p w14:paraId="6EDB5F65">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运至垃圾填埋场处理</w:t>
                  </w:r>
                </w:p>
              </w:tc>
            </w:tr>
            <w:tr w14:paraId="7CB415A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0" w:hRule="atLeast"/>
                <w:jc w:val="center"/>
              </w:trPr>
              <w:tc>
                <w:tcPr>
                  <w:tcW w:w="658" w:type="pct"/>
                  <w:noWrap w:val="0"/>
                  <w:vAlign w:val="center"/>
                </w:tcPr>
                <w:p w14:paraId="11E75C98">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表土</w:t>
                  </w:r>
                </w:p>
              </w:tc>
              <w:tc>
                <w:tcPr>
                  <w:tcW w:w="597" w:type="pct"/>
                  <w:vMerge w:val="restart"/>
                  <w:noWrap w:val="0"/>
                  <w:vAlign w:val="center"/>
                </w:tcPr>
                <w:p w14:paraId="0C3F19D5">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一般工业固体废物</w:t>
                  </w:r>
                </w:p>
              </w:tc>
              <w:tc>
                <w:tcPr>
                  <w:tcW w:w="805" w:type="pct"/>
                  <w:noWrap w:val="0"/>
                  <w:vAlign w:val="center"/>
                </w:tcPr>
                <w:p w14:paraId="3BCFF202">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900-001-S70</w:t>
                  </w:r>
                </w:p>
              </w:tc>
              <w:tc>
                <w:tcPr>
                  <w:tcW w:w="549" w:type="pct"/>
                  <w:noWrap w:val="0"/>
                  <w:vAlign w:val="center"/>
                </w:tcPr>
                <w:p w14:paraId="0DDD4B11">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614" w:type="pct"/>
                  <w:noWrap w:val="0"/>
                  <w:vAlign w:val="center"/>
                </w:tcPr>
                <w:p w14:paraId="7F72E7FF">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52.07</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万</w:t>
                  </w:r>
                </w:p>
              </w:tc>
              <w:tc>
                <w:tcPr>
                  <w:tcW w:w="922" w:type="pct"/>
                  <w:noWrap w:val="0"/>
                  <w:vAlign w:val="center"/>
                </w:tcPr>
                <w:p w14:paraId="26B5EEF8">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表土堆场</w:t>
                  </w:r>
                </w:p>
              </w:tc>
              <w:tc>
                <w:tcPr>
                  <w:tcW w:w="851" w:type="pct"/>
                  <w:noWrap w:val="0"/>
                  <w:vAlign w:val="center"/>
                </w:tcPr>
                <w:p w14:paraId="727C4017">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回填采坑</w:t>
                  </w:r>
                </w:p>
              </w:tc>
            </w:tr>
            <w:tr w14:paraId="6BD8AD1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0" w:hRule="atLeast"/>
                <w:jc w:val="center"/>
              </w:trPr>
              <w:tc>
                <w:tcPr>
                  <w:tcW w:w="658" w:type="pct"/>
                  <w:noWrap w:val="0"/>
                  <w:vAlign w:val="center"/>
                </w:tcPr>
                <w:p w14:paraId="43889F48">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除尘灰</w:t>
                  </w:r>
                </w:p>
              </w:tc>
              <w:tc>
                <w:tcPr>
                  <w:tcW w:w="597" w:type="pct"/>
                  <w:vMerge w:val="continue"/>
                  <w:noWrap w:val="0"/>
                  <w:vAlign w:val="center"/>
                </w:tcPr>
                <w:p w14:paraId="0BA12379">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805" w:type="pct"/>
                  <w:noWrap w:val="0"/>
                  <w:vAlign w:val="center"/>
                </w:tcPr>
                <w:p w14:paraId="27D0B227">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101-999-66</w:t>
                  </w:r>
                </w:p>
              </w:tc>
              <w:tc>
                <w:tcPr>
                  <w:tcW w:w="549" w:type="pct"/>
                  <w:noWrap w:val="0"/>
                  <w:vAlign w:val="center"/>
                </w:tcPr>
                <w:p w14:paraId="0D9FB24A">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614" w:type="pct"/>
                  <w:noWrap w:val="0"/>
                  <w:vAlign w:val="center"/>
                </w:tcPr>
                <w:p w14:paraId="238A7E40">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661.43</w:t>
                  </w:r>
                </w:p>
              </w:tc>
              <w:tc>
                <w:tcPr>
                  <w:tcW w:w="922" w:type="pct"/>
                  <w:noWrap w:val="0"/>
                  <w:vAlign w:val="center"/>
                </w:tcPr>
                <w:p w14:paraId="3753A5BC">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表土堆场</w:t>
                  </w:r>
                </w:p>
              </w:tc>
              <w:tc>
                <w:tcPr>
                  <w:tcW w:w="851" w:type="pct"/>
                  <w:noWrap w:val="0"/>
                  <w:vAlign w:val="center"/>
                </w:tcPr>
                <w:p w14:paraId="13B66B42">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回用于生产</w:t>
                  </w:r>
                </w:p>
              </w:tc>
            </w:tr>
            <w:tr w14:paraId="242E0E6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0" w:hRule="atLeast"/>
                <w:jc w:val="center"/>
              </w:trPr>
              <w:tc>
                <w:tcPr>
                  <w:tcW w:w="658" w:type="pct"/>
                  <w:noWrap w:val="0"/>
                  <w:vAlign w:val="center"/>
                </w:tcPr>
                <w:p w14:paraId="5A702AA7">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不合格品</w:t>
                  </w:r>
                </w:p>
              </w:tc>
              <w:tc>
                <w:tcPr>
                  <w:tcW w:w="597" w:type="pct"/>
                  <w:vMerge w:val="continue"/>
                  <w:noWrap w:val="0"/>
                  <w:vAlign w:val="center"/>
                </w:tcPr>
                <w:p w14:paraId="0AE4384C">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805" w:type="pct"/>
                  <w:noWrap w:val="0"/>
                  <w:vAlign w:val="center"/>
                </w:tcPr>
                <w:p w14:paraId="328222D6">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101-999-29</w:t>
                  </w:r>
                </w:p>
              </w:tc>
              <w:tc>
                <w:tcPr>
                  <w:tcW w:w="549" w:type="pct"/>
                  <w:noWrap w:val="0"/>
                  <w:vAlign w:val="center"/>
                </w:tcPr>
                <w:p w14:paraId="48851985">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614" w:type="pct"/>
                  <w:noWrap w:val="0"/>
                  <w:vAlign w:val="center"/>
                </w:tcPr>
                <w:p w14:paraId="4FF07DA8">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53</w:t>
                  </w:r>
                </w:p>
              </w:tc>
              <w:tc>
                <w:tcPr>
                  <w:tcW w:w="922" w:type="pct"/>
                  <w:noWrap w:val="0"/>
                  <w:vAlign w:val="center"/>
                </w:tcPr>
                <w:p w14:paraId="40F31BD7">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851" w:type="pct"/>
                  <w:noWrap w:val="0"/>
                  <w:vAlign w:val="center"/>
                </w:tcPr>
                <w:p w14:paraId="5D13CEF1">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回用于生产</w:t>
                  </w:r>
                </w:p>
              </w:tc>
            </w:tr>
            <w:tr w14:paraId="5C8F4B1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0" w:hRule="atLeast"/>
                <w:jc w:val="center"/>
              </w:trPr>
              <w:tc>
                <w:tcPr>
                  <w:tcW w:w="658" w:type="pct"/>
                  <w:noWrap w:val="0"/>
                  <w:vAlign w:val="center"/>
                </w:tcPr>
                <w:p w14:paraId="08FEC05E">
                  <w:pPr>
                    <w:keepNext w:val="0"/>
                    <w:keepLines w:val="0"/>
                    <w:suppressLineNumbers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沉淀池</w:t>
                  </w:r>
                </w:p>
                <w:p w14:paraId="28ED063E">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底泥</w:t>
                  </w:r>
                </w:p>
              </w:tc>
              <w:tc>
                <w:tcPr>
                  <w:tcW w:w="597" w:type="pct"/>
                  <w:vMerge w:val="continue"/>
                  <w:noWrap w:val="0"/>
                  <w:vAlign w:val="center"/>
                </w:tcPr>
                <w:p w14:paraId="305C4312">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805" w:type="pct"/>
                  <w:noWrap w:val="0"/>
                  <w:vAlign w:val="center"/>
                </w:tcPr>
                <w:p w14:paraId="05F3E849">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101-999-61</w:t>
                  </w:r>
                </w:p>
              </w:tc>
              <w:tc>
                <w:tcPr>
                  <w:tcW w:w="549" w:type="pct"/>
                  <w:noWrap w:val="0"/>
                  <w:vAlign w:val="center"/>
                </w:tcPr>
                <w:p w14:paraId="5D32BCA2">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614" w:type="pct"/>
                  <w:noWrap w:val="0"/>
                  <w:vAlign w:val="center"/>
                </w:tcPr>
                <w:p w14:paraId="2BF5DCBA">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2300</w:t>
                  </w:r>
                </w:p>
              </w:tc>
              <w:tc>
                <w:tcPr>
                  <w:tcW w:w="922" w:type="pct"/>
                  <w:noWrap w:val="0"/>
                  <w:vAlign w:val="center"/>
                </w:tcPr>
                <w:p w14:paraId="0DF22586">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沉淀池</w:t>
                  </w:r>
                </w:p>
              </w:tc>
              <w:tc>
                <w:tcPr>
                  <w:tcW w:w="851" w:type="pct"/>
                  <w:noWrap w:val="0"/>
                  <w:vAlign w:val="center"/>
                </w:tcPr>
                <w:p w14:paraId="3002A223">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回用于生产</w:t>
                  </w:r>
                </w:p>
              </w:tc>
            </w:tr>
            <w:tr w14:paraId="5758E7A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0" w:hRule="atLeast"/>
                <w:jc w:val="center"/>
              </w:trPr>
              <w:tc>
                <w:tcPr>
                  <w:tcW w:w="658" w:type="pct"/>
                  <w:noWrap w:val="0"/>
                  <w:vAlign w:val="center"/>
                </w:tcPr>
                <w:p w14:paraId="62C25925">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废机油</w:t>
                  </w:r>
                </w:p>
              </w:tc>
              <w:tc>
                <w:tcPr>
                  <w:tcW w:w="597" w:type="pct"/>
                  <w:noWrap w:val="0"/>
                  <w:vAlign w:val="center"/>
                </w:tcPr>
                <w:p w14:paraId="66FB85DE">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危险废物</w:t>
                  </w:r>
                </w:p>
              </w:tc>
              <w:tc>
                <w:tcPr>
                  <w:tcW w:w="805" w:type="pct"/>
                  <w:noWrap w:val="0"/>
                  <w:vAlign w:val="center"/>
                </w:tcPr>
                <w:p w14:paraId="5981A8E4">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900-214-08</w:t>
                  </w:r>
                </w:p>
              </w:tc>
              <w:tc>
                <w:tcPr>
                  <w:tcW w:w="549" w:type="pct"/>
                  <w:noWrap w:val="0"/>
                  <w:vAlign w:val="center"/>
                </w:tcPr>
                <w:p w14:paraId="5846B611">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T，I</w:t>
                  </w:r>
                </w:p>
              </w:tc>
              <w:tc>
                <w:tcPr>
                  <w:tcW w:w="614" w:type="pct"/>
                  <w:noWrap w:val="0"/>
                  <w:vAlign w:val="center"/>
                </w:tcPr>
                <w:p w14:paraId="115E25BB">
                  <w:pPr>
                    <w:keepNext w:val="0"/>
                    <w:keepLines w:val="0"/>
                    <w:suppressLineNumbers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0.1</w:t>
                  </w:r>
                </w:p>
              </w:tc>
              <w:tc>
                <w:tcPr>
                  <w:tcW w:w="922" w:type="pct"/>
                  <w:noWrap w:val="0"/>
                  <w:vAlign w:val="center"/>
                </w:tcPr>
                <w:p w14:paraId="25AFDD89">
                  <w:pPr>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暂存危废</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贮存库</w:t>
                  </w:r>
                </w:p>
              </w:tc>
              <w:tc>
                <w:tcPr>
                  <w:tcW w:w="851" w:type="pct"/>
                  <w:noWrap w:val="0"/>
                  <w:vAlign w:val="center"/>
                </w:tcPr>
                <w:p w14:paraId="25DB72B5">
                  <w:pPr>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定期交由有资质的危险废物处理单位处置</w:t>
                  </w:r>
                </w:p>
              </w:tc>
            </w:tr>
          </w:tbl>
          <w:p w14:paraId="3BEF7401">
            <w:pPr>
              <w:spacing w:line="360" w:lineRule="auto"/>
              <w:ind w:firstLine="0" w:firstLineChars="0"/>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14:textFill>
                  <w14:solidFill>
                    <w14:schemeClr w14:val="tx1"/>
                  </w14:solidFill>
                </w14:textFill>
              </w:rPr>
              <w:t>4.2环境管理要求</w:t>
            </w:r>
          </w:p>
          <w:p w14:paraId="5EDA26B3">
            <w:pPr>
              <w:spacing w:line="360" w:lineRule="auto"/>
              <w:ind w:firstLine="0" w:firstLineChars="0"/>
              <w:rPr>
                <w:rFonts w:hint="default" w:ascii="Times New Roman" w:hAnsi="Times New Roman" w:eastAsia="宋体" w:cs="Times New Roman"/>
                <w:b/>
                <w:color w:val="000000" w:themeColor="text1"/>
                <w:sz w:val="24"/>
                <w:szCs w:val="24"/>
                <w:highlight w:val="none"/>
                <w:lang w:bidi="ar"/>
                <w14:textFill>
                  <w14:solidFill>
                    <w14:schemeClr w14:val="tx1"/>
                  </w14:solidFill>
                </w14:textFill>
              </w:rPr>
            </w:pPr>
            <w:r>
              <w:rPr>
                <w:rFonts w:hint="default" w:ascii="Times New Roman" w:hAnsi="Times New Roman" w:eastAsia="宋体" w:cs="Times New Roman"/>
                <w:b/>
                <w:color w:val="000000" w:themeColor="text1"/>
                <w:sz w:val="24"/>
                <w:szCs w:val="24"/>
                <w:highlight w:val="none"/>
                <w:lang w:bidi="ar"/>
                <w14:textFill>
                  <w14:solidFill>
                    <w14:schemeClr w14:val="tx1"/>
                  </w14:solidFill>
                </w14:textFill>
              </w:rPr>
              <w:t>4.2.1 一般固废管理要求</w:t>
            </w:r>
          </w:p>
          <w:p w14:paraId="6640B07B">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pPr>
            <w:r>
              <w:rPr>
                <w:rFonts w:hint="default" w:ascii="Times New Roman" w:hAnsi="Times New Roman" w:eastAsia="宋体" w:cs="Times New Roman"/>
                <w:color w:val="000000" w:themeColor="text1"/>
                <w:sz w:val="24"/>
                <w:szCs w:val="22"/>
                <w:highlight w:val="none"/>
                <w:shd w:val="clear" w:color="auto" w:fill="FFFFFF"/>
                <w:lang w:eastAsia="zh-CN"/>
                <w14:textFill>
                  <w14:solidFill>
                    <w14:schemeClr w14:val="tx1"/>
                  </w14:solidFill>
                </w14:textFill>
              </w:rPr>
              <w:t>本项目剥离</w:t>
            </w: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表土拉运至表土堆场堆放，并进行防尘网苫盖，用于后期矿区回填。沉淀池底泥</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定期</w:t>
            </w: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清掏底泥集中收集后堆放于堆场自然晾干，堆存过程中四周设置防风抑尘网，并覆盖编织物进行抑尘，避免二次扬尘污染，年度开采结束用于回填采坑。</w:t>
            </w:r>
          </w:p>
          <w:p w14:paraId="2D4E2464">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pP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企业应当建立健全工业固体废物产生、收集、贮存、运输、利用、处置全过程的污染环境防治责任制度，建立工业固体废物管理台账，如实记录产生工业固体废物的种类、数量、流向、贮存、利用、处置等信息，实现工业固体废物可追溯、可查询，并采取防治工业固体废物污染环境的措施。禁止向生活垃圾收集设施中投放工业固体废物。企业委托他人运输、利用、处置工业固体废物的，应当对受托方的主体资格和技术能力进行核实，依法签订书面合同，在合同中约定污染防治要求。受托方运输、利用、处置工业固体废物，应当依照有关法律法规的规定和合同约定履行污染防治要求，并将运输、利用、处置情况告知产生工业固体废物的单位。</w:t>
            </w:r>
          </w:p>
          <w:p w14:paraId="5590719F">
            <w:pPr>
              <w:spacing w:line="360" w:lineRule="auto"/>
              <w:ind w:firstLine="0" w:firstLineChars="0"/>
              <w:rPr>
                <w:rFonts w:hint="default" w:ascii="Times New Roman" w:hAnsi="Times New Roman" w:eastAsia="宋体" w:cs="Times New Roman"/>
                <w:b/>
                <w:color w:val="000000" w:themeColor="text1"/>
                <w:sz w:val="24"/>
                <w:szCs w:val="24"/>
                <w:highlight w:val="none"/>
                <w:lang w:bidi="ar"/>
                <w14:textFill>
                  <w14:solidFill>
                    <w14:schemeClr w14:val="tx1"/>
                  </w14:solidFill>
                </w14:textFill>
              </w:rPr>
            </w:pPr>
            <w:r>
              <w:rPr>
                <w:rFonts w:hint="default" w:ascii="Times New Roman" w:hAnsi="Times New Roman" w:eastAsia="宋体" w:cs="Times New Roman"/>
                <w:b/>
                <w:color w:val="000000" w:themeColor="text1"/>
                <w:sz w:val="24"/>
                <w:szCs w:val="24"/>
                <w:highlight w:val="none"/>
                <w:lang w:bidi="ar"/>
                <w14:textFill>
                  <w14:solidFill>
                    <w14:schemeClr w14:val="tx1"/>
                  </w14:solidFill>
                </w14:textFill>
              </w:rPr>
              <w:t>4.2.2 危险废物管理要求</w:t>
            </w:r>
          </w:p>
          <w:p w14:paraId="4FAE6686">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default" w:ascii="Times New Roman" w:hAnsi="Times New Roman" w:eastAsia="宋体" w:cs="Times New Roman"/>
                <w:color w:val="000000" w:themeColor="text1"/>
                <w:sz w:val="24"/>
                <w:szCs w:val="24"/>
                <w:highlight w:val="none"/>
                <w:shd w:val="clear" w:color="auto" w:fill="FFFFFF"/>
                <w14:textFill>
                  <w14:solidFill>
                    <w14:schemeClr w14:val="tx1"/>
                  </w14:solidFill>
                </w14:textFill>
              </w:rPr>
            </w:pPr>
            <w:r>
              <w:rPr>
                <w:rFonts w:hint="default" w:ascii="Times New Roman" w:hAnsi="Times New Roman" w:eastAsia="宋体" w:cs="Times New Roman"/>
                <w:color w:val="000000" w:themeColor="text1"/>
                <w:sz w:val="24"/>
                <w:szCs w:val="24"/>
                <w:highlight w:val="none"/>
                <w:shd w:val="clear" w:color="auto" w:fill="FFFFFF"/>
                <w14:textFill>
                  <w14:solidFill>
                    <w14:schemeClr w14:val="tx1"/>
                  </w14:solidFill>
                </w14:textFill>
              </w:rPr>
              <w:t>本项目产生的危险废物暂存于危废</w:t>
            </w:r>
            <w:r>
              <w:rPr>
                <w:rFonts w:hint="default" w:ascii="Times New Roman" w:hAnsi="Times New Roman" w:eastAsia="宋体" w:cs="Times New Roman"/>
                <w:color w:val="000000" w:themeColor="text1"/>
                <w:sz w:val="24"/>
                <w:szCs w:val="24"/>
                <w:highlight w:val="none"/>
                <w:shd w:val="clear" w:color="auto" w:fill="FFFFFF"/>
                <w:lang w:val="en-US" w:eastAsia="zh-CN"/>
                <w14:textFill>
                  <w14:solidFill>
                    <w14:schemeClr w14:val="tx1"/>
                  </w14:solidFill>
                </w14:textFill>
              </w:rPr>
              <w:t>贮存库</w:t>
            </w:r>
            <w:r>
              <w:rPr>
                <w:rFonts w:hint="default" w:ascii="Times New Roman" w:hAnsi="Times New Roman" w:eastAsia="宋体" w:cs="Times New Roman"/>
                <w:color w:val="000000" w:themeColor="text1"/>
                <w:sz w:val="24"/>
                <w:szCs w:val="24"/>
                <w:highlight w:val="none"/>
                <w:shd w:val="clear" w:color="auto" w:fill="FFFFFF"/>
                <w14:textFill>
                  <w14:solidFill>
                    <w14:schemeClr w14:val="tx1"/>
                  </w14:solidFill>
                </w14:textFill>
              </w:rPr>
              <w:t>，面积约5m</w:t>
            </w:r>
            <w:r>
              <w:rPr>
                <w:rFonts w:hint="default" w:ascii="Times New Roman" w:hAnsi="Times New Roman" w:eastAsia="宋体" w:cs="Times New Roman"/>
                <w:color w:val="000000" w:themeColor="text1"/>
                <w:sz w:val="24"/>
                <w:szCs w:val="24"/>
                <w:highlight w:val="none"/>
                <w:shd w:val="clear" w:color="auto" w:fill="FFFFFF"/>
                <w:vertAlign w:val="superscript"/>
                <w14:textFill>
                  <w14:solidFill>
                    <w14:schemeClr w14:val="tx1"/>
                  </w14:solidFill>
                </w14:textFill>
              </w:rPr>
              <w:t>2</w:t>
            </w:r>
            <w:r>
              <w:rPr>
                <w:rFonts w:hint="default" w:ascii="Times New Roman" w:hAnsi="Times New Roman" w:eastAsia="宋体" w:cs="Times New Roman"/>
                <w:color w:val="000000" w:themeColor="text1"/>
                <w:sz w:val="24"/>
                <w:szCs w:val="24"/>
                <w:highlight w:val="none"/>
                <w:shd w:val="clear" w:color="auto" w:fill="FFFFFF"/>
                <w:lang w:eastAsia="zh-CN"/>
                <w14:textFill>
                  <w14:solidFill>
                    <w14:schemeClr w14:val="tx1"/>
                  </w14:solidFill>
                </w14:textFill>
              </w:rPr>
              <w:t>，主要用来储存废机油</w:t>
            </w:r>
            <w:r>
              <w:rPr>
                <w:rFonts w:hint="default" w:ascii="Times New Roman" w:hAnsi="Times New Roman" w:eastAsia="宋体" w:cs="Times New Roman"/>
                <w:color w:val="000000" w:themeColor="text1"/>
                <w:sz w:val="24"/>
                <w:szCs w:val="24"/>
                <w:highlight w:val="none"/>
                <w:shd w:val="clear" w:color="auto" w:fill="FFFFFF"/>
                <w:lang w:val="en-US" w:eastAsia="zh-CN"/>
                <w14:textFill>
                  <w14:solidFill>
                    <w14:schemeClr w14:val="tx1"/>
                  </w14:solidFill>
                </w14:textFill>
              </w:rPr>
              <w:t>及油桶</w:t>
            </w:r>
            <w:r>
              <w:rPr>
                <w:rFonts w:hint="default" w:ascii="Times New Roman" w:hAnsi="Times New Roman" w:eastAsia="宋体" w:cs="Times New Roman"/>
                <w:color w:val="000000" w:themeColor="text1"/>
                <w:sz w:val="24"/>
                <w:szCs w:val="24"/>
                <w:highlight w:val="none"/>
                <w:shd w:val="clear" w:color="auto" w:fill="FFFFFF"/>
                <w:lang w:eastAsia="zh-CN"/>
                <w14:textFill>
                  <w14:solidFill>
                    <w14:schemeClr w14:val="tx1"/>
                  </w14:solidFill>
                </w14:textFill>
              </w:rPr>
              <w:t>，废机油产生量为</w:t>
            </w:r>
            <w:r>
              <w:rPr>
                <w:rFonts w:hint="default" w:ascii="Times New Roman" w:hAnsi="Times New Roman" w:eastAsia="宋体" w:cs="Times New Roman"/>
                <w:color w:val="000000" w:themeColor="text1"/>
                <w:sz w:val="24"/>
                <w:szCs w:val="24"/>
                <w:highlight w:val="none"/>
                <w:shd w:val="clear" w:color="auto" w:fill="FFFFFF"/>
                <w:lang w:val="en-US" w:eastAsia="zh-CN"/>
                <w14:textFill>
                  <w14:solidFill>
                    <w14:schemeClr w14:val="tx1"/>
                  </w14:solidFill>
                </w14:textFill>
              </w:rPr>
              <w:t>0.1t/a，本项目危废贮存库规模合理。</w:t>
            </w:r>
            <w:r>
              <w:rPr>
                <w:rFonts w:hint="default" w:ascii="Times New Roman" w:hAnsi="Times New Roman" w:eastAsia="宋体" w:cs="Times New Roman"/>
                <w:color w:val="000000" w:themeColor="text1"/>
                <w:sz w:val="24"/>
                <w:szCs w:val="24"/>
                <w:highlight w:val="none"/>
                <w:shd w:val="clear" w:color="auto" w:fill="FFFFFF"/>
                <w14:textFill>
                  <w14:solidFill>
                    <w14:schemeClr w14:val="tx1"/>
                  </w14:solidFill>
                </w14:textFill>
              </w:rPr>
              <w:t>贮存及产生危险废物的暂存、运输应严格按照《危险废物收集、贮存、运输技术规范》（HJ2025-2012）和《危险废物贮存污染控制标准》（GB18597-20</w:t>
            </w:r>
            <w:r>
              <w:rPr>
                <w:rFonts w:hint="default" w:ascii="Times New Roman" w:hAnsi="Times New Roman" w:eastAsia="宋体" w:cs="Times New Roman"/>
                <w:color w:val="000000" w:themeColor="text1"/>
                <w:sz w:val="24"/>
                <w:szCs w:val="24"/>
                <w:highlight w:val="none"/>
                <w:shd w:val="clear" w:color="auto" w:fill="FFFFFF"/>
                <w:lang w:val="en-US" w:eastAsia="zh-CN"/>
                <w14:textFill>
                  <w14:solidFill>
                    <w14:schemeClr w14:val="tx1"/>
                  </w14:solidFill>
                </w14:textFill>
              </w:rPr>
              <w:t>23</w:t>
            </w:r>
            <w:r>
              <w:rPr>
                <w:rFonts w:hint="default" w:ascii="Times New Roman" w:hAnsi="Times New Roman" w:eastAsia="宋体" w:cs="Times New Roman"/>
                <w:color w:val="000000" w:themeColor="text1"/>
                <w:sz w:val="24"/>
                <w:szCs w:val="24"/>
                <w:highlight w:val="none"/>
                <w:shd w:val="clear" w:color="auto" w:fill="FFFFFF"/>
                <w14:textFill>
                  <w14:solidFill>
                    <w14:schemeClr w14:val="tx1"/>
                  </w14:solidFill>
                </w14:textFill>
              </w:rPr>
              <w:t>）进行。危险废物的收集、贮存、外运，应采取下述措施：</w:t>
            </w:r>
          </w:p>
          <w:p w14:paraId="221E086F">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default" w:ascii="Times New Roman" w:hAnsi="Times New Roman" w:eastAsia="宋体" w:cs="Times New Roman"/>
                <w:color w:val="000000" w:themeColor="text1"/>
                <w:sz w:val="24"/>
                <w:szCs w:val="24"/>
                <w:highlight w:val="none"/>
                <w:shd w:val="clear" w:color="auto" w:fill="FFFFFF"/>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shd w:val="clear" w:color="auto" w:fill="FFFFFF"/>
                <w:lang w:val="en-US" w:eastAsia="zh-CN"/>
                <w14:textFill>
                  <w14:solidFill>
                    <w14:schemeClr w14:val="tx1"/>
                  </w14:solidFill>
                </w14:textFill>
              </w:rPr>
              <w:t xml:space="preserve">①企业应制定详细的危险废物收集操作规程，内容包括适用范围、操作程序和方法、专用设备和工具、转移和交换、安全保障和应急防护等；收集和转运人员应根据需要配置必备的个人防护设备，如手套、防护镜、防护服和口罩等。     </w:t>
            </w:r>
          </w:p>
          <w:p w14:paraId="323B974D">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default" w:ascii="Times New Roman" w:hAnsi="Times New Roman" w:eastAsia="宋体" w:cs="Times New Roman"/>
                <w:color w:val="000000" w:themeColor="text1"/>
                <w:sz w:val="24"/>
                <w:szCs w:val="24"/>
                <w:highlight w:val="none"/>
                <w:shd w:val="clear" w:color="auto" w:fill="FFFFFF"/>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shd w:val="clear" w:color="auto" w:fill="FFFFFF"/>
                <w:lang w:val="en-US" w:eastAsia="zh-CN"/>
                <w14:textFill>
                  <w14:solidFill>
                    <w14:schemeClr w14:val="tx1"/>
                  </w14:solidFill>
                </w14:textFill>
              </w:rPr>
              <w:t>②危险废物的收集和转运过程中，应采取相应的安全防护和污染防治措施，包括防泄漏、防雨或其它防止污染环境的措施。</w:t>
            </w:r>
          </w:p>
          <w:p w14:paraId="431911C0">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default" w:ascii="Times New Roman" w:hAnsi="Times New Roman" w:eastAsia="宋体" w:cs="Times New Roman"/>
                <w:color w:val="000000" w:themeColor="text1"/>
                <w:sz w:val="24"/>
                <w:szCs w:val="24"/>
                <w:highlight w:val="none"/>
                <w:shd w:val="clear" w:color="auto" w:fill="FFFFFF"/>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shd w:val="clear" w:color="auto" w:fill="FFFFFF"/>
                <w:lang w:val="en-US" w:eastAsia="zh-CN"/>
                <w14:textFill>
                  <w14:solidFill>
                    <w14:schemeClr w14:val="tx1"/>
                  </w14:solidFill>
                </w14:textFill>
              </w:rPr>
              <w:t>③及时将生产过程中产生的各种危险废物进行处理，在未处理期间，应集中收集，集中贮存。</w:t>
            </w:r>
          </w:p>
          <w:p w14:paraId="1864E15A">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default" w:ascii="Times New Roman" w:hAnsi="Times New Roman" w:eastAsia="宋体" w:cs="Times New Roman"/>
                <w:color w:val="000000" w:themeColor="text1"/>
                <w:sz w:val="24"/>
                <w:szCs w:val="24"/>
                <w:highlight w:val="none"/>
                <w:shd w:val="clear" w:color="auto" w:fill="FFFFFF"/>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shd w:val="clear" w:color="auto" w:fill="FFFFFF"/>
                <w:lang w:val="en-US" w:eastAsia="zh-CN"/>
                <w14:textFill>
                  <w14:solidFill>
                    <w14:schemeClr w14:val="tx1"/>
                  </w14:solidFill>
                </w14:textFill>
              </w:rPr>
              <w:t>④危废贮存库应满足《危险废物贮存污染控制标准》（GB18597-2023）要求：</w:t>
            </w:r>
          </w:p>
          <w:p w14:paraId="319C3517">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default" w:ascii="Times New Roman" w:hAnsi="Times New Roman" w:eastAsia="宋体" w:cs="Times New Roman"/>
                <w:color w:val="000000" w:themeColor="text1"/>
                <w:sz w:val="24"/>
                <w:szCs w:val="24"/>
                <w:highlight w:val="none"/>
                <w:shd w:val="clear" w:color="auto" w:fill="FFFFFF"/>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shd w:val="clear" w:color="auto" w:fill="FFFFFF"/>
                <w:lang w:val="en-US" w:eastAsia="zh-CN"/>
                <w14:textFill>
                  <w14:solidFill>
                    <w14:schemeClr w14:val="tx1"/>
                  </w14:solidFill>
                </w14:textFill>
              </w:rPr>
              <w:t>a、贮存设施应根据危险废物的形态、物理化学性质、包装形式和污染物迁移途径，采取必要的防风、防晒、防雨、防漏、防渗、防腐以及其他环境污染防治措施，不应露天堆放危险废物；</w:t>
            </w:r>
          </w:p>
          <w:p w14:paraId="040E3511">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default" w:ascii="Times New Roman" w:hAnsi="Times New Roman" w:eastAsia="宋体" w:cs="Times New Roman"/>
                <w:color w:val="000000" w:themeColor="text1"/>
                <w:sz w:val="24"/>
                <w:szCs w:val="24"/>
                <w:highlight w:val="none"/>
                <w:shd w:val="clear" w:color="auto" w:fill="FFFFFF"/>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shd w:val="clear" w:color="auto" w:fill="FFFFFF"/>
                <w:lang w:val="en-US" w:eastAsia="zh-CN"/>
                <w14:textFill>
                  <w14:solidFill>
                    <w14:schemeClr w14:val="tx1"/>
                  </w14:solidFill>
                </w14:textFill>
              </w:rPr>
              <w:t>b、贮存设施应根据危险废物的类别、数量、形态、物理化学性质和污染防治等要求设置必要的贮存分区，避免不相容的危险废物接触、混合；</w:t>
            </w:r>
          </w:p>
          <w:p w14:paraId="7BEA5D4D">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default" w:ascii="Times New Roman" w:hAnsi="Times New Roman" w:eastAsia="宋体" w:cs="Times New Roman"/>
                <w:color w:val="000000" w:themeColor="text1"/>
                <w:sz w:val="24"/>
                <w:szCs w:val="24"/>
                <w:highlight w:val="none"/>
                <w:shd w:val="clear" w:color="auto" w:fill="FFFFFF"/>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shd w:val="clear" w:color="auto" w:fill="FFFFFF"/>
                <w:lang w:val="en-US" w:eastAsia="zh-CN"/>
                <w14:textFill>
                  <w14:solidFill>
                    <w14:schemeClr w14:val="tx1"/>
                  </w14:solidFill>
                </w14:textFill>
              </w:rPr>
              <w:t>c、贮存设施或贮存分区内地面、墙面裙脚、堵截泄漏的围堰、接触危险废物的隔板和墙体等应采用坚固的材料建造，表面无裂缝；</w:t>
            </w:r>
          </w:p>
          <w:p w14:paraId="60E448F7">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default" w:ascii="Times New Roman" w:hAnsi="Times New Roman" w:eastAsia="宋体" w:cs="Times New Roman"/>
                <w:color w:val="000000" w:themeColor="text1"/>
                <w:sz w:val="24"/>
                <w:szCs w:val="24"/>
                <w:highlight w:val="none"/>
                <w:shd w:val="clear" w:color="auto" w:fill="FFFFFF"/>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shd w:val="clear" w:color="auto" w:fill="FFFFFF"/>
                <w:lang w:val="en-US" w:eastAsia="zh-CN"/>
                <w14:textFill>
                  <w14:solidFill>
                    <w14:schemeClr w14:val="tx1"/>
                  </w14:solidFill>
                </w14:textFill>
              </w:rPr>
              <w:t>d、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m厚黏土层（渗透系数不大于1×10-7cm/s），或至少2mm厚高密度聚乙烯膜等人工防渗材料（渗透系数不大于1×10-10cm/s），或其他防渗性能等效的材料；</w:t>
            </w:r>
          </w:p>
          <w:p w14:paraId="44C1669B">
            <w:pPr>
              <w:keepNext w:val="0"/>
              <w:keepLines w:val="0"/>
              <w:widowControl w:val="0"/>
              <w:suppressLineNumbers w:val="0"/>
              <w:autoSpaceDE w:val="0"/>
              <w:autoSpaceDN w:val="0"/>
              <w:spacing w:before="0" w:beforeAutospacing="0" w:after="0" w:afterAutospacing="0" w:line="360" w:lineRule="auto"/>
              <w:ind w:left="0" w:right="0" w:firstLine="480" w:firstLineChars="200"/>
              <w:jc w:val="left"/>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e、同一贮存设施宜采用相同的防渗、防腐工艺（包括防渗、防腐结构或材料），防渗、防腐材料应覆盖所有可能与废物及其渗滤液、渗漏液等接触的构筑物表面；采用不同防渗、防腐工艺应分别建设贮存分区；</w:t>
            </w:r>
          </w:p>
          <w:p w14:paraId="5FD32AD3">
            <w:pPr>
              <w:keepNext w:val="0"/>
              <w:keepLines w:val="0"/>
              <w:suppressLineNumbers w:val="0"/>
              <w:autoSpaceDE w:val="0"/>
              <w:autoSpaceDN w:val="0"/>
              <w:spacing w:before="0" w:beforeAutospacing="0" w:after="0" w:afterAutospacing="0" w:line="360" w:lineRule="auto"/>
              <w:ind w:left="0" w:right="0" w:firstLine="480"/>
              <w:jc w:val="left"/>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f</w:t>
            </w:r>
            <w:r>
              <w:rPr>
                <w:rFonts w:hint="default" w:ascii="Times New Roman" w:hAnsi="Times New Roman" w:eastAsia="宋体" w:cs="Times New Roman"/>
                <w:color w:val="000000" w:themeColor="text1"/>
                <w:sz w:val="24"/>
                <w:szCs w:val="24"/>
                <w:highlight w:val="none"/>
                <w14:textFill>
                  <w14:solidFill>
                    <w14:schemeClr w14:val="tx1"/>
                  </w14:solidFill>
                </w14:textFill>
              </w:rPr>
              <w:t>、贮存设施应采取技术和管理措施防止无关人员进入。</w:t>
            </w:r>
          </w:p>
          <w:p w14:paraId="5CD8C77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kern w:val="2"/>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14:textFill>
                  <w14:solidFill>
                    <w14:schemeClr w14:val="tx1"/>
                  </w14:solidFill>
                </w14:textFill>
              </w:rPr>
              <w:t>根据《危险废物管理计划和台账制定技术导则》规定，本单位属于危险废物登记管理单位，其管理计划制定内容应包括单位基本信息、危险废物产生情况信息、危 险废物转移情况信息。危险废物应建立环境管理台账制度，设置专职人员进行台账的记录、整理、维护和管理，并对台账记录结果的真实性、准确性、完整性负责；在线填报危险废物管理计划、办理电子转移联单内容。危废台账保存时间5年，危险废物台账应当按照电子储存和纸质储存两种形式同步管理。</w:t>
            </w:r>
          </w:p>
          <w:p w14:paraId="078FA67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综上所述，本项目对危险废物进行了妥善处置，符合《危险废物贮存污染控制标准》（GB18597-20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23</w:t>
            </w:r>
            <w:r>
              <w:rPr>
                <w:rFonts w:hint="default" w:ascii="Times New Roman" w:hAnsi="Times New Roman" w:eastAsia="宋体" w:cs="Times New Roman"/>
                <w:color w:val="000000" w:themeColor="text1"/>
                <w:sz w:val="24"/>
                <w:szCs w:val="24"/>
                <w:highlight w:val="none"/>
                <w14:textFill>
                  <w14:solidFill>
                    <w14:schemeClr w14:val="tx1"/>
                  </w14:solidFill>
                </w14:textFill>
              </w:rPr>
              <w:t>），对周围环境影响较小。</w:t>
            </w:r>
          </w:p>
          <w:p w14:paraId="114BE4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5、地下水</w:t>
            </w:r>
            <w:r>
              <w:rPr>
                <w:rFonts w:hint="eastAsia" w:ascii="Times New Roman" w:hAnsi="Times New Roman" w:eastAsia="宋体" w:cs="Times New Roman"/>
                <w:b/>
                <w:bCs/>
                <w:color w:val="000000" w:themeColor="text1"/>
                <w:sz w:val="24"/>
                <w:highlight w:val="none"/>
                <w:lang w:val="en-US" w:eastAsia="zh-CN"/>
                <w14:textFill>
                  <w14:solidFill>
                    <w14:schemeClr w14:val="tx1"/>
                  </w14:solidFill>
                </w14:textFill>
              </w:rPr>
              <w:t>环境影响分析</w:t>
            </w:r>
          </w:p>
          <w:p w14:paraId="49BE246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jc w:val="both"/>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1、正常工况地下水影响分析</w:t>
            </w:r>
          </w:p>
          <w:p w14:paraId="390FF84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jc w:val="both"/>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项目运营期生产废水、生活污水全部收集处置，无外排废水。厂区按照地下水污染防控要求实施分区防渗，将厂区划分为重点防渗区、一般防渗区和简单防渗区。生产装置区、污水收集池、管网沟槽、危废贮存库、事故应急池等污染单元均按照重点防渗标准建设，防渗层渗透系数满足规范要求；地面、池体、沟体全部采取防渗、防腐、导流、截留措施，可完全阻断污染物垂向入渗途径。正常生产工况下无污染物散落、渗漏、淋溶情况，不会对包气带及浅层地下水水质造成不利影响，对地下水水量、水位、径流条件无改变。</w:t>
            </w:r>
          </w:p>
          <w:p w14:paraId="329D1EE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jc w:val="both"/>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、地下水补给、径流、排泄影响分析</w:t>
            </w:r>
          </w:p>
          <w:p w14:paraId="5ED3388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jc w:val="both"/>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项目占地范围较小，厂区硬化、绿化布置合理，不改变区域地下水补给、径流、排泄规律；无地下水开采、无疏干排水行为，不会造成地下水位下降、地下水漏斗、泉水干涸等水文地质问题，对区域地下水动力场基本无影响。</w:t>
            </w:r>
          </w:p>
          <w:p w14:paraId="637235E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jc w:val="both"/>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、地下水敏感目标影响分析</w:t>
            </w:r>
          </w:p>
          <w:p w14:paraId="2F34593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jc w:val="both"/>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评价区内无集中式地下水饮用水水源地、水源保护区、泉眼、地下水补给敏感区等环境保护目标。项目运营期污染物不外排、不漫流、不持续下渗，不会对周边居民饮用水及地下水生态功能造成影响。</w:t>
            </w:r>
          </w:p>
          <w:p w14:paraId="2D352F9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6</w:t>
            </w:r>
            <w:r>
              <w:rPr>
                <w:rFonts w:hint="default" w:ascii="Times New Roman" w:hAnsi="Times New Roman" w:eastAsia="宋体" w:cs="Times New Roman"/>
                <w:b/>
                <w:color w:val="000000" w:themeColor="text1"/>
                <w:kern w:val="2"/>
                <w:sz w:val="24"/>
                <w:szCs w:val="24"/>
                <w:highlight w:val="none"/>
                <w:lang w:val="en-US" w:eastAsia="zh-CN" w:bidi="ar"/>
                <w14:textFill>
                  <w14:solidFill>
                    <w14:schemeClr w14:val="tx1"/>
                  </w14:solidFill>
                </w14:textFill>
              </w:rPr>
              <w:t>、</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生态</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环境影响分析</w:t>
            </w:r>
          </w:p>
          <w:p w14:paraId="534A95C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6.1 对土地利用影响分析</w:t>
            </w:r>
          </w:p>
          <w:p w14:paraId="71B54E9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jc w:val="both"/>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矿区建设项目在其建设和生产过程中将不可避免地会占用和破坏一定量的土地。矿区总占地面积为531099.04m</w:t>
            </w:r>
            <w:r>
              <w:rPr>
                <w:rFonts w:hint="default" w:ascii="Times New Roman" w:hAnsi="Times New Roman" w:eastAsia="宋体" w:cs="Times New Roman"/>
                <w:color w:val="000000" w:themeColor="text1"/>
                <w:sz w:val="24"/>
                <w:szCs w:val="24"/>
                <w:highlight w:val="none"/>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全部隶属于吉木萨尔县管辖范围，占地类型为其他草地和林地，生态类型较为单一，矿区内各个单元占地面积较大，损毁土地的形式主要为压占、挖损，矿山开采在一定程度上加剧了土壤的侵蚀性，易导致水土流失，土地复垦工程通过土地平整、生态恢复等土体重塑，植被重建过程，可起到有效涵养水源、保持水土作用，防止周边生态系统退化的作用。因此，采矿区的建设运营不会对该区域的土地资源及利用类型产生较大影响。</w:t>
            </w:r>
          </w:p>
          <w:p w14:paraId="6CEAE7D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6.2 对土壤环境的影响分析</w:t>
            </w:r>
          </w:p>
          <w:p w14:paraId="5B2C077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jc w:val="both"/>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本项目矿石开采过程中，对土壤的影响主要是对土壤的开挖，由于挖方、土层扰乱以及对土壤肥力和性质的破坏。本项目对土壤的影响主要表现为对土壤性质、土壤肥力的影响和土壤污染三个方面。</w:t>
            </w:r>
          </w:p>
          <w:p w14:paraId="397CBFE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6.2.1 对土壤性质的影响</w:t>
            </w:r>
          </w:p>
          <w:p w14:paraId="5D8B44E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jc w:val="both"/>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在矿石开采过程中，矿石开挖以及运输车辆的碾压等活动都将对土壤理化性质产生影响。</w:t>
            </w:r>
          </w:p>
          <w:p w14:paraId="5909FC5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jc w:val="both"/>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（1）混合土壤层次，改变土体构型</w:t>
            </w:r>
          </w:p>
          <w:p w14:paraId="1388452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jc w:val="both"/>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自然土壤在形成过程中，由于物质和能量长期垂直分异的结果，形成质地、结构、性质和厚度差异明显的土壤剖面构型。开采区的开挖使原来的土壤层次混合，原有的土体构型破坏。土体构型的破坏，将明显的改变土体中物质和能量的运动变化规律，很可能使表层通气透水性变差，使亚表层保水、保肥的性能降低。</w:t>
            </w:r>
          </w:p>
          <w:p w14:paraId="552681B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jc w:val="both"/>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（2）影响土壤紧实度</w:t>
            </w:r>
          </w:p>
          <w:p w14:paraId="5816F71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jc w:val="both"/>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自然土壤在自重作用下，形成上松下紧的土壤紧实度垂直差异。开采过程中的机械碾压，将大大改变土壤的紧实程度，与原有的上松下紧结构相比，极不利于土壤的通气、透水作用，形成局部线状人工荒漠现象。</w:t>
            </w:r>
          </w:p>
          <w:p w14:paraId="58AA25B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6.2.2 对土壤污染的影响</w:t>
            </w:r>
          </w:p>
          <w:p w14:paraId="10F81D1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jc w:val="both"/>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生产过程中工作人员产生的一次性餐具、饮料瓶等废物残留于土壤中，这些在土壤中难以生物降解的固体废物，影响植物的生长。因此，生产过程中必须对固体废物实施严格的管理措施，进行统一回收和专门处理，不得随意抛撒。</w:t>
            </w:r>
          </w:p>
          <w:p w14:paraId="7925669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jc w:val="both"/>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由此可见，矿石开采生产过程中受重型机械的碾压、工作人员践踏、土体的扰动等影响，导致自然土壤的理化性质、肥力水平都受到一定程度的破坏。</w:t>
            </w:r>
          </w:p>
          <w:p w14:paraId="60A8B1B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6.3 对地表植被影响分析</w:t>
            </w:r>
          </w:p>
          <w:p w14:paraId="3C96728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jc w:val="both"/>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工程建设不可避免的破坏、扰动原地形地貌和植被，本项目工程所在区域非生物多样性区域，区域内没有需要特殊保护的自然植被物种及农业特殊保护物种。工程严格控制施工范围，运营期满后进行土地复垦，因此相对于整个区域而言，本项目的建设对植物区系、植被类型的影响较小，不会引起当地生态多样性的降低。</w:t>
            </w:r>
          </w:p>
          <w:p w14:paraId="76EECE2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jc w:val="both"/>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项目已对草场损失补偿缴纳足额的占地补偿金，项目开采完毕后，严格按照指定的复垦方案及《矿山生态环境保护与污染防治技术政策》及《砂石行业绿色矿山建设规范》对项目区进行土地平整并播撒草籽进行生态恢复，优先采用原生表土及乡土物种进行恢复，减轻项目建设对项目区域生态环境的影响。</w:t>
            </w:r>
          </w:p>
          <w:p w14:paraId="69101F3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6.4 野生动物的影响</w:t>
            </w:r>
          </w:p>
          <w:p w14:paraId="52C8F71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jc w:val="both"/>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项目矿区及工业广场周边均为农村道路，人为干扰明显，在评价区域内未发现大型野生动植物种群，也不存在大的野生动物栖息地以及迁徙路线。项目区野生动物鸟类有麻雀、乌鸦、啮齿类动物有2-3种鼠类，无国家级保护物种。矿山开采对野生动物的影响主要表现在：区域野生动物数量由于开采挖掘受到惊吓而下降，引起部分动物的近距离迁移。开采活动会使某些野生动物远离矿区，使区域内野生动物种群和数量减少，使局部生物量减少。随着矿区生态绿化工程的建设，部分低等的小型动物可逐渐适应，总体上项目建设对野生动物影响有限。</w:t>
            </w:r>
          </w:p>
          <w:p w14:paraId="70CF647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6.5 对自然景观的影响分析</w:t>
            </w:r>
          </w:p>
          <w:p w14:paraId="42C0B54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jc w:val="both"/>
              <w:textAlignment w:val="auto"/>
              <w:outlineLvl w:val="9"/>
              <w:rPr>
                <w:rFonts w:hint="default" w:ascii="Times New Roman" w:hAnsi="Times New Roman" w:eastAsia="宋体" w:cs="Times New Roman"/>
                <w:color w:val="000000" w:themeColor="text1"/>
                <w:sz w:val="24"/>
                <w:szCs w:val="24"/>
                <w:highlight w:val="none"/>
                <w:lang w:val="zh-CN"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zh-CN" w:eastAsia="zh-CN"/>
                <w14:textFill>
                  <w14:solidFill>
                    <w14:schemeClr w14:val="tx1"/>
                  </w14:solidFill>
                </w14:textFill>
              </w:rPr>
              <w:t>矿</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区</w:t>
            </w:r>
            <w:r>
              <w:rPr>
                <w:rFonts w:hint="default" w:ascii="Times New Roman" w:hAnsi="Times New Roman" w:eastAsia="宋体" w:cs="Times New Roman"/>
                <w:color w:val="000000" w:themeColor="text1"/>
                <w:sz w:val="24"/>
                <w:szCs w:val="24"/>
                <w:highlight w:val="none"/>
                <w:lang w:val="zh-CN" w:eastAsia="zh-CN"/>
                <w14:textFill>
                  <w14:solidFill>
                    <w14:schemeClr w14:val="tx1"/>
                  </w14:solidFill>
                </w14:textFill>
              </w:rPr>
              <w:t>的开发建设将原来的</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山地</w:t>
            </w:r>
            <w:r>
              <w:rPr>
                <w:rFonts w:hint="default" w:ascii="Times New Roman" w:hAnsi="Times New Roman" w:eastAsia="宋体" w:cs="Times New Roman"/>
                <w:color w:val="000000" w:themeColor="text1"/>
                <w:sz w:val="24"/>
                <w:szCs w:val="24"/>
                <w:highlight w:val="none"/>
                <w:lang w:val="zh-CN" w:eastAsia="zh-CN"/>
                <w14:textFill>
                  <w14:solidFill>
                    <w14:schemeClr w14:val="tx1"/>
                  </w14:solidFill>
                </w14:textFill>
              </w:rPr>
              <w:t>景观变为开采作业区甚至是采坑等，使原地表形态、地层层序等发生直接的破坏，将使区域内的自然景观遭受一定程度的破坏；使局部地区由单纯的荒漠生态景观向着人工化、工业化、多样化的方向发展，使原来的自然景观类型变为容纳道路、供电线路等人为景观，而且会对原来的景观进行分隔，造成空间上的非连续性和一些人为的劣质景观，造成与周围自然环境的不相协调。生产期采矿凹陷坑的形成，将使矿区范围内部分地区地表的完整性与平整性发生变化，进而对地表造成影响和破坏，使评价区的景观属性发生变化。</w:t>
            </w:r>
          </w:p>
          <w:p w14:paraId="771AF83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jc w:val="both"/>
              <w:textAlignment w:val="auto"/>
              <w:outlineLvl w:val="9"/>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zh-CN" w:eastAsia="zh-CN"/>
                <w14:textFill>
                  <w14:solidFill>
                    <w14:schemeClr w14:val="tx1"/>
                  </w14:solidFill>
                </w14:textFill>
              </w:rPr>
              <w:t>在矿</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区</w:t>
            </w:r>
            <w:r>
              <w:rPr>
                <w:rFonts w:hint="default" w:ascii="Times New Roman" w:hAnsi="Times New Roman" w:eastAsia="宋体" w:cs="Times New Roman"/>
                <w:color w:val="000000" w:themeColor="text1"/>
                <w:sz w:val="24"/>
                <w:szCs w:val="24"/>
                <w:highlight w:val="none"/>
                <w:lang w:val="zh-CN" w:eastAsia="zh-CN"/>
                <w14:textFill>
                  <w14:solidFill>
                    <w14:schemeClr w14:val="tx1"/>
                  </w14:solidFill>
                </w14:textFill>
              </w:rPr>
              <w:t>建设和开采过程中由于地表扰动使区域内原有的自然景观受到影响，在项目实施过程中，必须采取措施使原有的自然景观得到一定的恢复或改善。根据本矿</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区</w:t>
            </w:r>
            <w:r>
              <w:rPr>
                <w:rFonts w:hint="default" w:ascii="Times New Roman" w:hAnsi="Times New Roman" w:eastAsia="宋体" w:cs="Times New Roman"/>
                <w:color w:val="000000" w:themeColor="text1"/>
                <w:sz w:val="24"/>
                <w:szCs w:val="24"/>
                <w:highlight w:val="none"/>
                <w:lang w:val="zh-CN" w:eastAsia="zh-CN"/>
                <w14:textFill>
                  <w14:solidFill>
                    <w14:schemeClr w14:val="tx1"/>
                  </w14:solidFill>
                </w14:textFill>
              </w:rPr>
              <w:t>建设特点，要求在矿</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区</w:t>
            </w:r>
            <w:r>
              <w:rPr>
                <w:rFonts w:hint="default" w:ascii="Times New Roman" w:hAnsi="Times New Roman" w:eastAsia="宋体" w:cs="Times New Roman"/>
                <w:color w:val="000000" w:themeColor="text1"/>
                <w:sz w:val="24"/>
                <w:szCs w:val="24"/>
                <w:highlight w:val="none"/>
                <w:lang w:val="zh-CN" w:eastAsia="zh-CN"/>
                <w14:textFill>
                  <w14:solidFill>
                    <w14:schemeClr w14:val="tx1"/>
                  </w14:solidFill>
                </w14:textFill>
              </w:rPr>
              <w:t>务后期</w:t>
            </w:r>
            <w:r>
              <w:rPr>
                <w:rFonts w:hint="default" w:ascii="Times New Roman" w:hAnsi="Times New Roman" w:eastAsia="宋体" w:cs="Times New Roman"/>
                <w:color w:val="000000" w:themeColor="text1"/>
                <w:sz w:val="24"/>
                <w:szCs w:val="22"/>
                <w:highlight w:val="none"/>
                <w:lang w:val="zh-CN"/>
                <w14:textFill>
                  <w14:solidFill>
                    <w14:schemeClr w14:val="tx1"/>
                  </w14:solidFill>
                </w14:textFill>
              </w:rPr>
              <w:t>，拆除所有建筑物、构筑物等，对地表进行清理，实施复垦方案，对危险地带设置围栏等保护措施，</w:t>
            </w:r>
            <w:r>
              <w:rPr>
                <w:rFonts w:hint="default" w:ascii="Times New Roman" w:hAnsi="Times New Roman" w:eastAsia="宋体" w:cs="Times New Roman"/>
                <w:color w:val="000000" w:themeColor="text1"/>
                <w:sz w:val="24"/>
                <w:highlight w:val="none"/>
                <w14:textFill>
                  <w14:solidFill>
                    <w14:schemeClr w14:val="tx1"/>
                  </w14:solidFill>
                </w14:textFill>
              </w:rPr>
              <w:t>保护区域自然景观。</w:t>
            </w:r>
          </w:p>
          <w:p w14:paraId="49591F6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default" w:ascii="Times New Roman" w:hAnsi="Times New Roman" w:eastAsia="宋体" w:cs="Times New Roman"/>
                <w:b/>
                <w:bCs/>
                <w:color w:val="000000" w:themeColor="text1"/>
                <w:spacing w:val="0"/>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spacing w:val="0"/>
                <w:kern w:val="2"/>
                <w:sz w:val="24"/>
                <w:szCs w:val="24"/>
                <w:highlight w:val="none"/>
                <w:lang w:val="en-US" w:eastAsia="zh-CN" w:bidi="ar-SA"/>
                <w14:textFill>
                  <w14:solidFill>
                    <w14:schemeClr w14:val="tx1"/>
                  </w14:solidFill>
                </w14:textFill>
              </w:rPr>
              <w:t>6.6 运输道路扬尘影响分析</w:t>
            </w:r>
          </w:p>
          <w:p w14:paraId="71D9F9F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jc w:val="both"/>
              <w:textAlignment w:val="auto"/>
              <w:outlineLvl w:val="9"/>
              <w:rPr>
                <w:rFonts w:hint="default" w:ascii="Times New Roman" w:hAnsi="Times New Roman" w:eastAsia="宋体" w:cs="Times New Roman"/>
                <w:color w:val="000000" w:themeColor="text1"/>
                <w:kern w:val="28"/>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lang w:eastAsia="zh-CN"/>
                <w14:textFill>
                  <w14:solidFill>
                    <w14:schemeClr w14:val="tx1"/>
                  </w14:solidFill>
                </w14:textFill>
              </w:rPr>
              <w:t>砂石料场内</w:t>
            </w:r>
            <w:r>
              <w:rPr>
                <w:rFonts w:hint="default" w:ascii="Times New Roman" w:hAnsi="Times New Roman" w:eastAsia="宋体" w:cs="Times New Roman"/>
                <w:color w:val="000000" w:themeColor="text1"/>
                <w:sz w:val="24"/>
                <w:highlight w:val="none"/>
                <w14:textFill>
                  <w14:solidFill>
                    <w14:schemeClr w14:val="tx1"/>
                  </w14:solidFill>
                </w14:textFill>
              </w:rPr>
              <w:t>道路为泥结碎石路面，</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双</w:t>
            </w:r>
            <w:r>
              <w:rPr>
                <w:rFonts w:hint="default" w:ascii="Times New Roman" w:hAnsi="Times New Roman" w:eastAsia="宋体" w:cs="Times New Roman"/>
                <w:color w:val="000000" w:themeColor="text1"/>
                <w:sz w:val="24"/>
                <w:highlight w:val="none"/>
                <w14:textFill>
                  <w14:solidFill>
                    <w14:schemeClr w14:val="tx1"/>
                  </w14:solidFill>
                </w14:textFill>
              </w:rPr>
              <w:t>车道，</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路基</w:t>
            </w:r>
            <w:r>
              <w:rPr>
                <w:rFonts w:hint="default" w:ascii="Times New Roman" w:hAnsi="Times New Roman" w:eastAsia="宋体" w:cs="Times New Roman"/>
                <w:color w:val="000000" w:themeColor="text1"/>
                <w:sz w:val="24"/>
                <w:highlight w:val="none"/>
                <w14:textFill>
                  <w14:solidFill>
                    <w14:schemeClr w14:val="tx1"/>
                  </w14:solidFill>
                </w14:textFill>
              </w:rPr>
              <w:t>宽</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highlight w:val="none"/>
                <w14:textFill>
                  <w14:solidFill>
                    <w14:schemeClr w14:val="tx1"/>
                  </w14:solidFill>
                </w14:textFill>
              </w:rPr>
              <w:t>m，</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长</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420m；</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出矿区</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为简易砾石道路接乡</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道</w:t>
            </w:r>
            <w:r>
              <w:rPr>
                <w:rFonts w:hint="default" w:ascii="Times New Roman" w:hAnsi="Times New Roman" w:eastAsia="宋体" w:cs="Times New Roman"/>
                <w:color w:val="000000" w:themeColor="text1"/>
                <w:sz w:val="24"/>
                <w:highlight w:val="none"/>
                <w14:textFill>
                  <w14:solidFill>
                    <w14:schemeClr w14:val="tx1"/>
                  </w14:solidFill>
                </w14:textFill>
              </w:rPr>
              <w:t>。运输道路上运输车辆产生的扬尘对沿线区域内动植物及环境空气</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会</w:t>
            </w:r>
            <w:r>
              <w:rPr>
                <w:rFonts w:hint="default" w:ascii="Times New Roman" w:hAnsi="Times New Roman" w:eastAsia="宋体" w:cs="Times New Roman"/>
                <w:color w:val="000000" w:themeColor="text1"/>
                <w:sz w:val="24"/>
                <w:highlight w:val="none"/>
                <w14:textFill>
                  <w14:solidFill>
                    <w14:schemeClr w14:val="tx1"/>
                  </w14:solidFill>
                </w14:textFill>
              </w:rPr>
              <w:t>产生一定的不良影响。</w:t>
            </w:r>
          </w:p>
          <w:p w14:paraId="71CF6F1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jc w:val="both"/>
              <w:textAlignment w:val="auto"/>
              <w:outlineLvl w:val="9"/>
              <w:rPr>
                <w:rFonts w:hint="default" w:ascii="Times New Roman" w:hAnsi="Times New Roman" w:eastAsia="宋体" w:cs="Times New Roman"/>
                <w:bCs/>
                <w:color w:val="000000" w:themeColor="text1"/>
                <w:sz w:val="24"/>
                <w:highlight w:val="none"/>
                <w:lang w:val="zh-CN"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zh-CN"/>
                <w14:textFill>
                  <w14:solidFill>
                    <w14:schemeClr w14:val="tx1"/>
                  </w14:solidFill>
                </w14:textFill>
              </w:rPr>
              <w:t>物料运输对环境的影响主要是汽车在运输途中带起的路面扬尘，其产尘量的大小与车辆、路面状况及季节干湿、风速大小等方面因素有关。</w:t>
            </w:r>
            <w:r>
              <w:rPr>
                <w:rFonts w:hint="default" w:ascii="Times New Roman" w:hAnsi="Times New Roman" w:eastAsia="宋体" w:cs="Times New Roman"/>
                <w:bCs/>
                <w:color w:val="000000" w:themeColor="text1"/>
                <w:sz w:val="24"/>
                <w:highlight w:val="none"/>
                <w14:textFill>
                  <w14:solidFill>
                    <w14:schemeClr w14:val="tx1"/>
                  </w14:solidFill>
                </w14:textFill>
              </w:rPr>
              <w:t>因此，企业</w:t>
            </w:r>
            <w:r>
              <w:rPr>
                <w:rFonts w:hint="default" w:ascii="Times New Roman" w:hAnsi="Times New Roman" w:eastAsia="宋体" w:cs="Times New Roman"/>
                <w:color w:val="000000" w:themeColor="text1"/>
                <w:sz w:val="24"/>
                <w:highlight w:val="none"/>
                <w:lang w:val="zh-CN"/>
                <w14:textFill>
                  <w14:solidFill>
                    <w14:schemeClr w14:val="tx1"/>
                  </w14:solidFill>
                </w14:textFill>
              </w:rPr>
              <w:t>必须</w:t>
            </w:r>
            <w:r>
              <w:rPr>
                <w:rFonts w:hint="default" w:ascii="Times New Roman" w:hAnsi="Times New Roman" w:eastAsia="宋体" w:cs="Times New Roman"/>
                <w:color w:val="000000" w:themeColor="text1"/>
                <w:sz w:val="24"/>
                <w:highlight w:val="none"/>
                <w14:textFill>
                  <w14:solidFill>
                    <w14:schemeClr w14:val="tx1"/>
                  </w14:solidFill>
                </w14:textFill>
              </w:rPr>
              <w:t>加强运输车辆管理，采取限制车速、严禁道外行驶、</w:t>
            </w:r>
            <w:r>
              <w:rPr>
                <w:rFonts w:hint="default" w:ascii="Times New Roman" w:hAnsi="Times New Roman" w:eastAsia="宋体" w:cs="Times New Roman"/>
                <w:bCs/>
                <w:color w:val="000000" w:themeColor="text1"/>
                <w:sz w:val="24"/>
                <w:highlight w:val="none"/>
                <w14:textFill>
                  <w14:solidFill>
                    <w14:schemeClr w14:val="tx1"/>
                  </w14:solidFill>
                </w14:textFill>
              </w:rPr>
              <w:t>加强道路日常维护，及时对坑洼路面进行修复平整，尽可能减少道路影响。</w:t>
            </w:r>
            <w:r>
              <w:rPr>
                <w:rFonts w:hint="default" w:ascii="Times New Roman" w:hAnsi="Times New Roman" w:eastAsia="宋体" w:cs="Times New Roman"/>
                <w:bCs/>
                <w:color w:val="000000" w:themeColor="text1"/>
                <w:sz w:val="24"/>
                <w:highlight w:val="none"/>
                <w:lang w:eastAsia="zh-CN"/>
                <w14:textFill>
                  <w14:solidFill>
                    <w14:schemeClr w14:val="tx1"/>
                  </w14:solidFill>
                </w14:textFill>
              </w:rPr>
              <w:t>同时企业</w:t>
            </w:r>
            <w:r>
              <w:rPr>
                <w:rFonts w:hint="default" w:ascii="Times New Roman" w:hAnsi="Times New Roman" w:eastAsia="宋体" w:cs="Times New Roman"/>
                <w:color w:val="000000" w:themeColor="text1"/>
                <w:sz w:val="24"/>
                <w:highlight w:val="none"/>
                <w14:textFill>
                  <w14:solidFill>
                    <w14:schemeClr w14:val="tx1"/>
                  </w14:solidFill>
                </w14:textFill>
              </w:rPr>
              <w:t>必须做到：要求驾驶员在运输过程中做到文明驾驶，</w:t>
            </w:r>
            <w:r>
              <w:rPr>
                <w:rFonts w:hint="default" w:ascii="Times New Roman" w:hAnsi="Times New Roman" w:eastAsia="宋体" w:cs="Times New Roman"/>
                <w:color w:val="000000" w:themeColor="text1"/>
                <w:sz w:val="24"/>
                <w:highlight w:val="none"/>
                <w:lang w:val="zh-CN"/>
                <w14:textFill>
                  <w14:solidFill>
                    <w14:schemeClr w14:val="tx1"/>
                  </w14:solidFill>
                </w14:textFill>
              </w:rPr>
              <w:t>运料车辆必须盖蓬布</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减速慢行</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4"/>
                <w:highlight w:val="none"/>
                <w14:textFill>
                  <w14:solidFill>
                    <w14:schemeClr w14:val="tx1"/>
                  </w14:solidFill>
                </w14:textFill>
              </w:rPr>
              <w:t>适时适量洒水</w:t>
            </w:r>
            <w:r>
              <w:rPr>
                <w:rFonts w:hint="default" w:ascii="Times New Roman" w:hAnsi="Times New Roman" w:eastAsia="宋体" w:cs="Times New Roman"/>
                <w:color w:val="000000" w:themeColor="text1"/>
                <w:sz w:val="24"/>
                <w:highlight w:val="none"/>
                <w14:textFill>
                  <w14:solidFill>
                    <w14:schemeClr w14:val="tx1"/>
                  </w14:solidFill>
                </w14:textFill>
              </w:rPr>
              <w:t>降尘，将物料运输过程中产生的扬尘</w:t>
            </w:r>
            <w:r>
              <w:rPr>
                <w:rFonts w:hint="default" w:ascii="Times New Roman" w:hAnsi="Times New Roman" w:eastAsia="宋体" w:cs="Times New Roman"/>
                <w:bCs/>
                <w:color w:val="000000" w:themeColor="text1"/>
                <w:sz w:val="24"/>
                <w:highlight w:val="none"/>
                <w:lang w:eastAsia="zh-CN"/>
                <w14:textFill>
                  <w14:solidFill>
                    <w14:schemeClr w14:val="tx1"/>
                  </w14:solidFill>
                </w14:textFill>
              </w:rPr>
              <w:t>降低到最低程度</w:t>
            </w:r>
            <w:r>
              <w:rPr>
                <w:rFonts w:hint="default" w:ascii="Times New Roman" w:hAnsi="Times New Roman" w:eastAsia="宋体" w:cs="Times New Roman"/>
                <w:bCs/>
                <w:color w:val="000000" w:themeColor="text1"/>
                <w:sz w:val="24"/>
                <w:highlight w:val="none"/>
                <w:lang w:val="zh-CN" w:eastAsia="zh-CN"/>
                <w14:textFill>
                  <w14:solidFill>
                    <w14:schemeClr w14:val="tx1"/>
                  </w14:solidFill>
                </w14:textFill>
              </w:rPr>
              <w:t>，减轻物料运输对环境的影响。</w:t>
            </w:r>
          </w:p>
          <w:p w14:paraId="76BB332C">
            <w:pPr>
              <w:keepNext w:val="0"/>
              <w:keepLines w:val="0"/>
              <w:widowControl/>
              <w:suppressLineNumbers w:val="0"/>
              <w:jc w:val="left"/>
            </w:pPr>
            <w:r>
              <w:rPr>
                <w:rFonts w:hint="eastAsia" w:ascii="Times New Roman" w:hAnsi="Times New Roman" w:eastAsia="宋体" w:cs="Times New Roman"/>
                <w:b/>
                <w:bCs w:val="0"/>
                <w:color w:val="auto"/>
                <w:sz w:val="24"/>
                <w:highlight w:val="none"/>
                <w:lang w:val="en-US" w:eastAsia="zh-CN"/>
              </w:rPr>
              <w:t>6.7运营期土地沙化影响分析</w:t>
            </w:r>
          </w:p>
          <w:p w14:paraId="30C5223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jc w:val="both"/>
              <w:textAlignment w:val="auto"/>
              <w:outlineLvl w:val="9"/>
              <w:rPr>
                <w:rFonts w:hint="default" w:ascii="Times New Roman" w:hAnsi="Times New Roman" w:eastAsia="宋体" w:cs="Times New Roman"/>
                <w:bCs/>
                <w:color w:val="000000" w:themeColor="text1"/>
                <w:sz w:val="24"/>
                <w:szCs w:val="24"/>
                <w:highlight w:val="none"/>
                <w:lang w:val="zh-CN" w:eastAsia="zh-CN"/>
                <w14:textFill>
                  <w14:solidFill>
                    <w14:schemeClr w14:val="tx1"/>
                  </w14:solidFill>
                </w14:textFill>
              </w:rPr>
            </w:pP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1、</w:t>
            </w: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临时</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占地固化，原生沙化扰动终止</w:t>
            </w:r>
          </w:p>
          <w:p w14:paraId="60E5DC7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jc w:val="both"/>
              <w:textAlignment w:val="auto"/>
              <w:outlineLvl w:val="9"/>
              <w:rPr>
                <w:rFonts w:hint="default" w:ascii="Times New Roman" w:hAnsi="Times New Roman" w:eastAsia="宋体" w:cs="Times New Roman"/>
                <w:bCs/>
                <w:color w:val="000000" w:themeColor="text1"/>
                <w:sz w:val="24"/>
                <w:szCs w:val="24"/>
                <w:highlight w:val="none"/>
                <w:lang w:val="zh-CN" w:eastAsia="zh-CN"/>
                <w14:textFill>
                  <w14:solidFill>
                    <w14:schemeClr w14:val="tx1"/>
                  </w14:solidFill>
                </w14:textFill>
              </w:rPr>
            </w:pP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项目运营期厂区建构筑物、硬化道路、硬化地坪全部固化地表，无大面积裸露松散土体，从根源上消除了风力侵蚀、就地起沙条件，不再新增地表扰动，不会加剧区域土地沙化。</w:t>
            </w:r>
          </w:p>
          <w:p w14:paraId="1E3C934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jc w:val="both"/>
              <w:textAlignment w:val="auto"/>
              <w:outlineLvl w:val="9"/>
              <w:rPr>
                <w:rFonts w:hint="default" w:ascii="Times New Roman" w:hAnsi="Times New Roman" w:eastAsia="宋体" w:cs="Times New Roman"/>
                <w:bCs/>
                <w:color w:val="000000" w:themeColor="text1"/>
                <w:sz w:val="24"/>
                <w:szCs w:val="24"/>
                <w:highlight w:val="none"/>
                <w:lang w:val="zh-CN" w:eastAsia="zh-CN"/>
                <w14:textFill>
                  <w14:solidFill>
                    <w14:schemeClr w14:val="tx1"/>
                  </w14:solidFill>
                </w14:textFill>
              </w:rPr>
            </w:pP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2、厂区绿化提升区域固沙能力</w:t>
            </w:r>
          </w:p>
          <w:p w14:paraId="18DAB4E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jc w:val="both"/>
              <w:textAlignment w:val="auto"/>
              <w:outlineLvl w:val="9"/>
              <w:rPr>
                <w:rFonts w:hint="default" w:ascii="Times New Roman" w:hAnsi="Times New Roman" w:eastAsia="宋体" w:cs="Times New Roman"/>
                <w:bCs/>
                <w:color w:val="000000" w:themeColor="text1"/>
                <w:sz w:val="24"/>
                <w:szCs w:val="24"/>
                <w:highlight w:val="none"/>
                <w:lang w:val="zh-CN" w:eastAsia="zh-CN"/>
                <w14:textFill>
                  <w14:solidFill>
                    <w14:schemeClr w14:val="tx1"/>
                  </w14:solidFill>
                </w14:textFill>
              </w:rPr>
            </w:pP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运营期厂区配套绿化、植被恢复区种植耐旱固沙植被，形成人工防风固沙植被带，相比原有稀疏荒漠植被，植被覆盖度、地表稳定性显著提升，可有效抑制局部风蚀，对区域土地沙化起到抑制、改善作用。</w:t>
            </w:r>
          </w:p>
          <w:p w14:paraId="117FEF7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jc w:val="both"/>
              <w:textAlignment w:val="auto"/>
              <w:outlineLvl w:val="9"/>
              <w:rPr>
                <w:rFonts w:hint="default" w:ascii="Times New Roman" w:hAnsi="Times New Roman" w:eastAsia="宋体" w:cs="Times New Roman"/>
                <w:bCs/>
                <w:color w:val="000000" w:themeColor="text1"/>
                <w:sz w:val="24"/>
                <w:szCs w:val="24"/>
                <w:highlight w:val="none"/>
                <w:lang w:val="zh-CN" w:eastAsia="zh-CN"/>
                <w14:textFill>
                  <w14:solidFill>
                    <w14:schemeClr w14:val="tx1"/>
                  </w14:solidFill>
                </w14:textFill>
              </w:rPr>
            </w:pP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3、无持续扰动源</w:t>
            </w:r>
          </w:p>
          <w:p w14:paraId="0F624C7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jc w:val="both"/>
              <w:textAlignment w:val="auto"/>
              <w:outlineLvl w:val="9"/>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运营期无开挖、无大面积土方作业、无地表扰动，生产运行稳定，不会产生新增沙化诱因。项目占地范围外保持原有荒漠生态原貌，不改变区域整体沙化格局。</w:t>
            </w:r>
          </w:p>
          <w:p w14:paraId="296B6EDC">
            <w:pPr>
              <w:keepNext w:val="0"/>
              <w:keepLines w:val="0"/>
              <w:widowControl/>
              <w:suppressLineNumbers w:val="0"/>
              <w:jc w:val="left"/>
              <w:rPr>
                <w:rFonts w:hint="default" w:ascii="Times New Roman" w:hAnsi="Times New Roman" w:eastAsia="宋体" w:cs="Times New Roman"/>
                <w:b/>
                <w:bCs w:val="0"/>
                <w:color w:val="auto"/>
                <w:sz w:val="24"/>
                <w:highlight w:val="none"/>
                <w:lang w:val="en-US" w:eastAsia="zh-CN"/>
              </w:rPr>
            </w:pPr>
            <w:r>
              <w:rPr>
                <w:rFonts w:hint="eastAsia" w:ascii="Times New Roman" w:hAnsi="Times New Roman" w:eastAsia="宋体" w:cs="Times New Roman"/>
                <w:b/>
                <w:bCs w:val="0"/>
                <w:color w:val="auto"/>
                <w:sz w:val="24"/>
                <w:highlight w:val="none"/>
                <w:lang w:val="en-US" w:eastAsia="zh-CN"/>
              </w:rPr>
              <w:t>7、闭矿期环境影响分析</w:t>
            </w:r>
          </w:p>
          <w:p w14:paraId="55F735FD">
            <w:pPr>
              <w:keepNext w:val="0"/>
              <w:keepLines w:val="0"/>
              <w:pageBreakBefore w:val="0"/>
              <w:widowControl w:val="0"/>
              <w:kinsoku/>
              <w:wordWrap/>
              <w:overflowPunct/>
              <w:topLinePunct w:val="0"/>
              <w:autoSpaceDE/>
              <w:autoSpaceDN/>
              <w:bidi w:val="0"/>
              <w:adjustRightInd/>
              <w:snapToGrid/>
              <w:spacing w:after="0" w:afterLines="0" w:line="360" w:lineRule="auto"/>
              <w:ind w:firstLine="482"/>
              <w:textAlignment w:val="auto"/>
              <w:outlineLvl w:val="9"/>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t>1、生态环境影响分析</w:t>
            </w:r>
          </w:p>
          <w:p w14:paraId="1428B93B">
            <w:pPr>
              <w:keepNext w:val="0"/>
              <w:keepLines w:val="0"/>
              <w:pageBreakBefore w:val="0"/>
              <w:widowControl w:val="0"/>
              <w:kinsoku/>
              <w:wordWrap/>
              <w:overflowPunct/>
              <w:topLinePunct w:val="0"/>
              <w:autoSpaceDE/>
              <w:autoSpaceDN/>
              <w:bidi w:val="0"/>
              <w:adjustRightInd/>
              <w:snapToGrid/>
              <w:spacing w:after="0" w:afterLines="0" w:line="360" w:lineRule="auto"/>
              <w:ind w:firstLine="482"/>
              <w:textAlignment w:val="auto"/>
              <w:outlineLvl w:val="9"/>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t>闭矿期设备拆除、场地清理、土方平整作业会短暂扰动局部地表土层，轻微破坏现状地表植被及原有地表结皮，短期内降低局部植被覆盖度。地表扰动后短期存在局部风蚀、沙化加重的潜在风险。本次闭矿作业严格限定在厂区</w:t>
            </w:r>
            <w:r>
              <w:rPr>
                <w:rFonts w:hint="eastAsia"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t>临时</w:t>
            </w:r>
            <w:r>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t>占地范围内，不新增外围地表扰动，作业结束后立即开展场地平整、植被恢复、地貌复原工作，原有生态结构可逐步恢复，不会造成区域性生态破坏、生物多样性损失及不可逆生态影响。</w:t>
            </w:r>
          </w:p>
          <w:p w14:paraId="502BE9A9">
            <w:pPr>
              <w:keepNext w:val="0"/>
              <w:keepLines w:val="0"/>
              <w:pageBreakBefore w:val="0"/>
              <w:widowControl w:val="0"/>
              <w:kinsoku/>
              <w:wordWrap/>
              <w:overflowPunct/>
              <w:topLinePunct w:val="0"/>
              <w:autoSpaceDE/>
              <w:autoSpaceDN/>
              <w:bidi w:val="0"/>
              <w:adjustRightInd/>
              <w:snapToGrid/>
              <w:spacing w:after="0" w:afterLines="0" w:line="360" w:lineRule="auto"/>
              <w:ind w:firstLine="482"/>
              <w:textAlignment w:val="auto"/>
              <w:outlineLvl w:val="9"/>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t>2、大气环境影响分析</w:t>
            </w:r>
          </w:p>
          <w:p w14:paraId="4EA0F7B4">
            <w:pPr>
              <w:keepNext w:val="0"/>
              <w:keepLines w:val="0"/>
              <w:pageBreakBefore w:val="0"/>
              <w:widowControl w:val="0"/>
              <w:kinsoku/>
              <w:wordWrap/>
              <w:overflowPunct/>
              <w:topLinePunct w:val="0"/>
              <w:autoSpaceDE/>
              <w:autoSpaceDN/>
              <w:bidi w:val="0"/>
              <w:adjustRightInd/>
              <w:snapToGrid/>
              <w:spacing w:afterLines="0" w:line="360" w:lineRule="auto"/>
              <w:ind w:firstLine="482"/>
              <w:textAlignment w:val="auto"/>
              <w:outlineLvl w:val="9"/>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t>闭矿期大气污染物主要为建构筑物拆除、场地清理、土方平整产生的施工扬尘，以及设备拆解、物料清运过程产生的少量扬尘，无工艺废气、有毒有害气体排放。扬尘污染具有短时、点状、局部扩散的特点，影响范围仅限项目厂区及周边近距离区域。通过采取湿法作业、裸地苫盖、车辆密闭运输、场地洒水降尘等措施，可有效削减扬尘排放量，闭矿施工结束后扬尘影响立即消失，不会对区域大气环境质量造成长期不利影响。</w:t>
            </w:r>
          </w:p>
          <w:p w14:paraId="29837487">
            <w:pPr>
              <w:keepNext w:val="0"/>
              <w:keepLines w:val="0"/>
              <w:pageBreakBefore w:val="0"/>
              <w:widowControl w:val="0"/>
              <w:kinsoku/>
              <w:wordWrap/>
              <w:overflowPunct/>
              <w:topLinePunct w:val="0"/>
              <w:autoSpaceDE/>
              <w:autoSpaceDN/>
              <w:bidi w:val="0"/>
              <w:adjustRightInd/>
              <w:snapToGrid/>
              <w:spacing w:after="0" w:afterLines="0" w:line="360" w:lineRule="auto"/>
              <w:ind w:firstLine="482"/>
              <w:textAlignment w:val="auto"/>
              <w:outlineLvl w:val="9"/>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t>3、水土流失及土地沙化影响分析</w:t>
            </w:r>
          </w:p>
          <w:p w14:paraId="70F22BFF">
            <w:pPr>
              <w:keepNext w:val="0"/>
              <w:keepLines w:val="0"/>
              <w:pageBreakBefore w:val="0"/>
              <w:widowControl w:val="0"/>
              <w:kinsoku/>
              <w:wordWrap/>
              <w:overflowPunct/>
              <w:topLinePunct w:val="0"/>
              <w:autoSpaceDE/>
              <w:autoSpaceDN/>
              <w:bidi w:val="0"/>
              <w:adjustRightInd/>
              <w:snapToGrid/>
              <w:spacing w:afterLines="0" w:line="360" w:lineRule="auto"/>
              <w:ind w:firstLine="482"/>
              <w:textAlignment w:val="auto"/>
              <w:outlineLvl w:val="9"/>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t>项目区域气候干旱、大风天气多发、土质疏松，闭矿期地表裸露、土方扰动作业会暂时破坏地表稳定结构，降低地表防风固沙、抗侵蚀能力，短期内会小幅加剧区域风蚀水土流失及土地沙化趋势。闭矿期通过落实裸土全覆盖、临时防风围挡、分区作业、随扰动随恢复等防护措施，可有效控制土壤侵蚀强度。作业完成后及时恢复地表植被、固化场地，地表抗蚀、固沙能力逐步恢复至现状水平，无长期水土流失及土地沙化加剧影响。</w:t>
            </w:r>
          </w:p>
          <w:p w14:paraId="4508D6A3">
            <w:pPr>
              <w:keepNext w:val="0"/>
              <w:keepLines w:val="0"/>
              <w:pageBreakBefore w:val="0"/>
              <w:widowControl w:val="0"/>
              <w:kinsoku/>
              <w:wordWrap/>
              <w:overflowPunct/>
              <w:topLinePunct w:val="0"/>
              <w:autoSpaceDE/>
              <w:autoSpaceDN/>
              <w:bidi w:val="0"/>
              <w:adjustRightInd/>
              <w:snapToGrid/>
              <w:spacing w:after="0" w:afterLines="0" w:line="360" w:lineRule="auto"/>
              <w:ind w:firstLine="482"/>
              <w:textAlignment w:val="auto"/>
              <w:outlineLvl w:val="9"/>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t>4、地下水环境影响分析</w:t>
            </w:r>
          </w:p>
          <w:p w14:paraId="6708885D">
            <w:pPr>
              <w:keepNext w:val="0"/>
              <w:keepLines w:val="0"/>
              <w:pageBreakBefore w:val="0"/>
              <w:widowControl w:val="0"/>
              <w:kinsoku/>
              <w:wordWrap/>
              <w:overflowPunct/>
              <w:topLinePunct w:val="0"/>
              <w:autoSpaceDE/>
              <w:autoSpaceDN/>
              <w:bidi w:val="0"/>
              <w:adjustRightInd/>
              <w:snapToGrid/>
              <w:spacing w:after="0" w:afterLines="0" w:line="360" w:lineRule="auto"/>
              <w:ind w:firstLine="482"/>
              <w:textAlignment w:val="auto"/>
              <w:outlineLvl w:val="9"/>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t>闭矿期作业均为浅层地表施工，不开展深层开挖作业，不会揭露地下水含水层，不改变区域地下水补给、径流、排泄规律及水文地质条件。作业过程无生产废水产生，仅产生少量场地清扫废水，全部收集处理回用，无外排及漫流情况；设备拆解、场地清理过程严格落实防渗管控，及时清理残留油品、废弃物料，杜绝污染物下渗。结合区域厚层包气带的天然吸附阻隔作用，闭矿期不会对地下水水质、水位产生不利影响。</w:t>
            </w:r>
          </w:p>
          <w:p w14:paraId="7DCD7642">
            <w:pPr>
              <w:keepNext w:val="0"/>
              <w:keepLines w:val="0"/>
              <w:pageBreakBefore w:val="0"/>
              <w:widowControl w:val="0"/>
              <w:kinsoku/>
              <w:wordWrap/>
              <w:overflowPunct/>
              <w:topLinePunct w:val="0"/>
              <w:autoSpaceDE/>
              <w:autoSpaceDN/>
              <w:bidi w:val="0"/>
              <w:adjustRightInd/>
              <w:snapToGrid/>
              <w:spacing w:after="0" w:afterLines="0" w:line="360" w:lineRule="auto"/>
              <w:ind w:firstLine="482"/>
              <w:textAlignment w:val="auto"/>
              <w:outlineLvl w:val="9"/>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t>5、声环境影响分析</w:t>
            </w:r>
          </w:p>
          <w:p w14:paraId="60F7E6C5">
            <w:pPr>
              <w:keepNext w:val="0"/>
              <w:keepLines w:val="0"/>
              <w:pageBreakBefore w:val="0"/>
              <w:widowControl w:val="0"/>
              <w:kinsoku/>
              <w:wordWrap/>
              <w:overflowPunct/>
              <w:topLinePunct w:val="0"/>
              <w:autoSpaceDE/>
              <w:autoSpaceDN/>
              <w:bidi w:val="0"/>
              <w:adjustRightInd/>
              <w:snapToGrid/>
              <w:spacing w:after="0" w:afterLines="0" w:line="360" w:lineRule="auto"/>
              <w:ind w:firstLine="482"/>
              <w:textAlignment w:val="auto"/>
              <w:outlineLvl w:val="9"/>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t>闭矿期噪声主要来源于拆除机械、挖掘机、装载机、运输车辆等设备运行噪声，为间歇性、短时性噪声，声级波动较大。项目周边无集中居民区、声环境敏感点，且作业时间集中在昼间，避免夜间施工，通过合理布置作业区域、选用低噪声设备、控制作业强度，可有效降低噪声影响，作业结束后噪声影响完全消除，无长期声环境扰民影响。</w:t>
            </w:r>
          </w:p>
          <w:p w14:paraId="79151FB0">
            <w:pPr>
              <w:keepNext w:val="0"/>
              <w:keepLines w:val="0"/>
              <w:pageBreakBefore w:val="0"/>
              <w:widowControl w:val="0"/>
              <w:kinsoku/>
              <w:wordWrap/>
              <w:overflowPunct/>
              <w:topLinePunct w:val="0"/>
              <w:autoSpaceDE/>
              <w:autoSpaceDN/>
              <w:bidi w:val="0"/>
              <w:adjustRightInd/>
              <w:snapToGrid/>
              <w:spacing w:after="0" w:afterLines="0" w:line="360" w:lineRule="auto"/>
              <w:ind w:firstLine="482"/>
              <w:textAlignment w:val="auto"/>
              <w:outlineLvl w:val="9"/>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t>6、固体废物环境影响分析</w:t>
            </w:r>
          </w:p>
          <w:p w14:paraId="0F9CFF0E">
            <w:pPr>
              <w:keepNext w:val="0"/>
              <w:keepLines w:val="0"/>
              <w:pageBreakBefore w:val="0"/>
              <w:widowControl w:val="0"/>
              <w:kinsoku/>
              <w:wordWrap/>
              <w:overflowPunct/>
              <w:topLinePunct w:val="0"/>
              <w:autoSpaceDE/>
              <w:autoSpaceDN/>
              <w:bidi w:val="0"/>
              <w:adjustRightInd/>
              <w:snapToGrid/>
              <w:spacing w:after="0" w:afterLines="0" w:line="360" w:lineRule="auto"/>
              <w:ind w:firstLine="482"/>
              <w:textAlignment w:val="auto"/>
              <w:outlineLvl w:val="9"/>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t>闭矿期固体废物主要为拆除产生的建筑垃圾、废旧设备、废弃管材、少量生活垃圾及前期留存的少量一般固废和危险废物。建筑垃圾、废旧设备等可回收物资统一分类收集、外售综合利用，不可回用建筑垃圾合规清运至指定消纳场处置；生活垃圾集中收集后交由环卫部门处置；遗留危险废物严格按照危废管理规范，分类密封贮存，委托有资质单位统一处置，不乱堆、不乱弃、不随意填埋。各类固废均得到妥善处置，无固废遗留污染问题，不会对土壤、水体环境造成二次污染。</w:t>
            </w:r>
          </w:p>
          <w:p w14:paraId="204C756E">
            <w:pPr>
              <w:keepNext w:val="0"/>
              <w:keepLines w:val="0"/>
              <w:widowControl/>
              <w:suppressLineNumbers w:val="0"/>
              <w:jc w:val="left"/>
              <w:rPr>
                <w:rFonts w:hint="default" w:ascii="Times New Roman" w:hAnsi="Times New Roman" w:eastAsia="宋体" w:cs="Times New Roman"/>
                <w:b/>
                <w:bCs w:val="0"/>
                <w:color w:val="auto"/>
                <w:sz w:val="24"/>
                <w:highlight w:val="none"/>
                <w:lang w:val="en-US" w:eastAsia="zh-CN"/>
              </w:rPr>
            </w:pPr>
            <w:r>
              <w:rPr>
                <w:rFonts w:hint="eastAsia" w:ascii="Times New Roman" w:hAnsi="Times New Roman" w:eastAsia="宋体" w:cs="Times New Roman"/>
                <w:b/>
                <w:bCs w:val="0"/>
                <w:color w:val="auto"/>
                <w:sz w:val="24"/>
                <w:highlight w:val="none"/>
                <w:lang w:val="en-US" w:eastAsia="zh-CN"/>
              </w:rPr>
              <w:t>8、运营期环境风险评价内容</w:t>
            </w:r>
          </w:p>
          <w:p w14:paraId="3D919128">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t>1、风险源识别</w:t>
            </w:r>
          </w:p>
          <w:p w14:paraId="1ED40E32">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t>本项目运营期主要环境风险源包括：生产设备、输送管道跑冒滴漏；危废贮存库危险废物渗漏、挥发；污水收集管网、防渗设施破损泄漏；除尘、环保设施故障失效；厂区油品储存、机械用油泄漏等。主要风险污染物为少量石油类、悬浮物、有机挥发物及厂区污水，无剧毒、高毒、易燃易爆重大危险源，项目整体环境风险等级较低。</w:t>
            </w:r>
          </w:p>
          <w:p w14:paraId="07E6B8DF">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t>2、主要风险情景分析</w:t>
            </w:r>
          </w:p>
          <w:p w14:paraId="7544160E">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t>（1）危废、油品泄漏风险</w:t>
            </w:r>
          </w:p>
          <w:p w14:paraId="49FB6D0A">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t>项目危废贮存库贮存废机油、废吸附棉等危险废物，若容器破损、防渗层开裂、围堰失效，可造成少量废液渗漏；厂区机修油品、设备润滑油若发生洒落、泄漏，可随地表入渗进入包气带土壤，存在局部土壤、地下水污染风险。</w:t>
            </w:r>
          </w:p>
          <w:p w14:paraId="40B4018B">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t>（2）污水收集设施破损泄漏风险</w:t>
            </w:r>
          </w:p>
          <w:p w14:paraId="0B529042">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t>项目污水收集沟槽、沉淀池、防渗管网若出现老化、开裂、破损，非正常工况下少量废水可发生渗漏，废水中少量COD、SS、盐分存在下渗污染土壤及浅层地下水的潜在风险。</w:t>
            </w:r>
          </w:p>
          <w:p w14:paraId="2B2D6510">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t>（3）环保设施故障风险</w:t>
            </w:r>
          </w:p>
          <w:p w14:paraId="2BA6D539">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t>破碎、筛分配套除尘设施突发故障、风机停运，会短时造成粉尘无组织排放增大，加剧局部扬尘污染；若管控不及时，大风天气易造成厂区周边短时起尘，对局部大气环境造成一过性影响。</w:t>
            </w:r>
          </w:p>
          <w:p w14:paraId="03F5B7FB">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t>（4）火灾次生污染风险</w:t>
            </w:r>
          </w:p>
          <w:p w14:paraId="4671D617">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pPr>
            <w:r>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t>厂区物料、设备、配电设施若发生火灾事故，燃烧过程会产生少量烟尘、废气，消防废水若未及时收集，存在漫流下渗风险。</w:t>
            </w:r>
          </w:p>
        </w:tc>
      </w:tr>
      <w:tr w14:paraId="14D9AB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1" w:hRule="atLeast"/>
          <w:jc w:val="center"/>
        </w:trPr>
        <w:tc>
          <w:tcPr>
            <w:tcW w:w="746" w:type="dxa"/>
            <w:tcBorders>
              <w:tl2br w:val="nil"/>
              <w:tr2bl w:val="nil"/>
            </w:tcBorders>
            <w:noWrap w:val="0"/>
            <w:tcMar>
              <w:left w:w="28" w:type="dxa"/>
              <w:right w:w="28" w:type="dxa"/>
            </w:tcMar>
            <w:vAlign w:val="center"/>
          </w:tcPr>
          <w:p w14:paraId="1D384C47">
            <w:pPr>
              <w:pStyle w:val="72"/>
              <w:bidi w:val="0"/>
              <w:rPr>
                <w:rFonts w:hint="default" w:ascii="Times New Roman" w:hAnsi="Times New Roman" w:eastAsia="宋体" w:cs="Times New Roman"/>
                <w:bCs/>
                <w:color w:val="000000" w:themeColor="text1"/>
                <w:kern w:val="2"/>
                <w:sz w:val="24"/>
                <w:szCs w:val="24"/>
                <w:highlight w:val="none"/>
                <w14:textFill>
                  <w14:solidFill>
                    <w14:schemeClr w14:val="tx1"/>
                  </w14:solidFill>
                </w14:textFill>
              </w:rPr>
            </w:pPr>
            <w:r>
              <w:rPr>
                <w:rFonts w:hint="default" w:ascii="Times New Roman" w:hAnsi="Times New Roman" w:eastAsia="宋体" w:cs="Times New Roman"/>
                <w:bCs/>
                <w:color w:val="000000" w:themeColor="text1"/>
                <w:kern w:val="2"/>
                <w:sz w:val="24"/>
                <w:szCs w:val="24"/>
                <w:highlight w:val="none"/>
                <w14:textFill>
                  <w14:solidFill>
                    <w14:schemeClr w14:val="tx1"/>
                  </w14:solidFill>
                </w14:textFill>
              </w:rPr>
              <w:t>选址</w:t>
            </w:r>
          </w:p>
          <w:p w14:paraId="6D282330">
            <w:pPr>
              <w:pStyle w:val="72"/>
              <w:bidi w:val="0"/>
              <w:rPr>
                <w:rFonts w:hint="default" w:ascii="Times New Roman" w:hAnsi="Times New Roman" w:eastAsia="宋体" w:cs="Times New Roman"/>
                <w:bCs/>
                <w:color w:val="000000" w:themeColor="text1"/>
                <w:kern w:val="2"/>
                <w:sz w:val="24"/>
                <w:szCs w:val="24"/>
                <w:highlight w:val="none"/>
                <w14:textFill>
                  <w14:solidFill>
                    <w14:schemeClr w14:val="tx1"/>
                  </w14:solidFill>
                </w14:textFill>
              </w:rPr>
            </w:pPr>
            <w:r>
              <w:rPr>
                <w:rFonts w:hint="default" w:ascii="Times New Roman" w:hAnsi="Times New Roman" w:eastAsia="宋体" w:cs="Times New Roman"/>
                <w:bCs/>
                <w:color w:val="000000" w:themeColor="text1"/>
                <w:kern w:val="2"/>
                <w:sz w:val="24"/>
                <w:szCs w:val="24"/>
                <w:highlight w:val="none"/>
                <w14:textFill>
                  <w14:solidFill>
                    <w14:schemeClr w14:val="tx1"/>
                  </w14:solidFill>
                </w14:textFill>
              </w:rPr>
              <w:t>选线</w:t>
            </w:r>
          </w:p>
          <w:p w14:paraId="79E4D68F">
            <w:pPr>
              <w:pStyle w:val="72"/>
              <w:bidi w:val="0"/>
              <w:rPr>
                <w:rFonts w:hint="default" w:ascii="Times New Roman" w:hAnsi="Times New Roman" w:eastAsia="宋体" w:cs="Times New Roman"/>
                <w:bCs/>
                <w:color w:val="000000" w:themeColor="text1"/>
                <w:kern w:val="2"/>
                <w:sz w:val="24"/>
                <w:szCs w:val="24"/>
                <w:highlight w:val="none"/>
                <w14:textFill>
                  <w14:solidFill>
                    <w14:schemeClr w14:val="tx1"/>
                  </w14:solidFill>
                </w14:textFill>
              </w:rPr>
            </w:pPr>
            <w:r>
              <w:rPr>
                <w:rFonts w:hint="default" w:ascii="Times New Roman" w:hAnsi="Times New Roman" w:eastAsia="宋体" w:cs="Times New Roman"/>
                <w:bCs/>
                <w:color w:val="000000" w:themeColor="text1"/>
                <w:kern w:val="2"/>
                <w:sz w:val="24"/>
                <w:szCs w:val="24"/>
                <w:highlight w:val="none"/>
                <w14:textFill>
                  <w14:solidFill>
                    <w14:schemeClr w14:val="tx1"/>
                  </w14:solidFill>
                </w14:textFill>
              </w:rPr>
              <w:t>环境</w:t>
            </w:r>
          </w:p>
          <w:p w14:paraId="5AB3844C">
            <w:pPr>
              <w:pStyle w:val="72"/>
              <w:bidi w:val="0"/>
              <w:rPr>
                <w:rFonts w:hint="default" w:ascii="Times New Roman" w:hAnsi="Times New Roman" w:eastAsia="宋体" w:cs="Times New Roman"/>
                <w:bCs/>
                <w:color w:val="000000" w:themeColor="text1"/>
                <w:kern w:val="2"/>
                <w:sz w:val="24"/>
                <w:szCs w:val="24"/>
                <w:highlight w:val="none"/>
                <w14:textFill>
                  <w14:solidFill>
                    <w14:schemeClr w14:val="tx1"/>
                  </w14:solidFill>
                </w14:textFill>
              </w:rPr>
            </w:pPr>
            <w:r>
              <w:rPr>
                <w:rFonts w:hint="default" w:ascii="Times New Roman" w:hAnsi="Times New Roman" w:eastAsia="宋体" w:cs="Times New Roman"/>
                <w:bCs/>
                <w:color w:val="000000" w:themeColor="text1"/>
                <w:kern w:val="2"/>
                <w:sz w:val="24"/>
                <w:szCs w:val="24"/>
                <w:highlight w:val="none"/>
                <w14:textFill>
                  <w14:solidFill>
                    <w14:schemeClr w14:val="tx1"/>
                  </w14:solidFill>
                </w14:textFill>
              </w:rPr>
              <w:t>合理</w:t>
            </w:r>
          </w:p>
          <w:p w14:paraId="7B2541ED">
            <w:pPr>
              <w:pStyle w:val="72"/>
              <w:bidi w:val="0"/>
              <w:rPr>
                <w:rFonts w:hint="default" w:ascii="Times New Roman" w:hAnsi="Times New Roman" w:eastAsia="宋体" w:cs="Times New Roman"/>
                <w:bCs/>
                <w:color w:val="000000" w:themeColor="text1"/>
                <w:kern w:val="2"/>
                <w:sz w:val="24"/>
                <w:szCs w:val="24"/>
                <w:highlight w:val="none"/>
                <w14:textFill>
                  <w14:solidFill>
                    <w14:schemeClr w14:val="tx1"/>
                  </w14:solidFill>
                </w14:textFill>
              </w:rPr>
            </w:pPr>
            <w:r>
              <w:rPr>
                <w:rFonts w:hint="default" w:ascii="Times New Roman" w:hAnsi="Times New Roman" w:eastAsia="宋体" w:cs="Times New Roman"/>
                <w:bCs/>
                <w:color w:val="000000" w:themeColor="text1"/>
                <w:kern w:val="2"/>
                <w:sz w:val="24"/>
                <w:szCs w:val="24"/>
                <w:highlight w:val="none"/>
                <w14:textFill>
                  <w14:solidFill>
                    <w14:schemeClr w14:val="tx1"/>
                  </w14:solidFill>
                </w14:textFill>
              </w:rPr>
              <w:t>性</w:t>
            </w:r>
          </w:p>
          <w:p w14:paraId="14DCB55A">
            <w:pPr>
              <w:pStyle w:val="72"/>
              <w:bidi w:val="0"/>
              <w:ind w:firstLine="0" w:firstLineChars="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2"/>
                <w:sz w:val="24"/>
                <w:szCs w:val="24"/>
                <w:highlight w:val="none"/>
                <w14:textFill>
                  <w14:solidFill>
                    <w14:schemeClr w14:val="tx1"/>
                  </w14:solidFill>
                </w14:textFill>
              </w:rPr>
              <w:t>分析</w:t>
            </w:r>
          </w:p>
        </w:tc>
        <w:tc>
          <w:tcPr>
            <w:tcW w:w="8162" w:type="dxa"/>
            <w:tcBorders>
              <w:tl2br w:val="nil"/>
              <w:tr2bl w:val="nil"/>
            </w:tcBorders>
            <w:noWrap w:val="0"/>
            <w:vAlign w:val="center"/>
          </w:tcPr>
          <w:p w14:paraId="1E9B1B6C">
            <w:pPr>
              <w:keepNext w:val="0"/>
              <w:keepLines w:val="0"/>
              <w:pageBreakBefore w:val="0"/>
              <w:widowControl w:val="0"/>
              <w:kinsoku/>
              <w:wordWrap/>
              <w:overflowPunct/>
              <w:topLinePunct w:val="0"/>
              <w:autoSpaceDE/>
              <w:autoSpaceDN/>
              <w:bidi w:val="0"/>
              <w:adjustRightInd/>
              <w:snapToGrid/>
              <w:spacing w:line="360" w:lineRule="auto"/>
              <w:ind w:firstLine="482"/>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t>本项目位于新疆维吾尔自治区昌吉回族自治州吉木萨尔县273°方向，直距约14千米，属吉木萨尔县管辖。矿区中心地理坐标为：东经89°0004.284"；北纬44°00'30.160"，面积为0.5207平方千米。开采标高为676~636米，开采深度为</w:t>
            </w:r>
            <w:r>
              <w:rPr>
                <w:rFonts w:hint="eastAsia"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t>19</w:t>
            </w:r>
            <w:r>
              <w:rPr>
                <w:rFonts w:hint="default" w:ascii="Times New Roman" w:hAnsi="Times New Roman" w:eastAsia="宋体" w:cs="Times New Roman"/>
                <w:b w:val="0"/>
                <w:bCs/>
                <w:color w:val="000000" w:themeColor="text1"/>
                <w:kern w:val="0"/>
                <w:sz w:val="24"/>
                <w:szCs w:val="24"/>
                <w:highlight w:val="none"/>
                <w:vertAlign w:val="baseline"/>
                <w:lang w:val="en-US" w:eastAsia="zh-CN" w:bidi="ar"/>
                <w14:textFill>
                  <w14:solidFill>
                    <w14:schemeClr w14:val="tx1"/>
                  </w14:solidFill>
                </w14:textFill>
              </w:rPr>
              <w:t>米，矿区范围由5个拐点组成，</w:t>
            </w:r>
          </w:p>
          <w:p w14:paraId="34131CEE">
            <w:pPr>
              <w:pStyle w:val="5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根据《矿山生态环境保护与恢</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复</w:t>
            </w:r>
            <w:r>
              <w:rPr>
                <w:rFonts w:hint="default" w:ascii="Times New Roman" w:hAnsi="Times New Roman" w:eastAsia="宋体" w:cs="Times New Roman"/>
                <w:color w:val="000000" w:themeColor="text1"/>
                <w:sz w:val="24"/>
                <w:szCs w:val="24"/>
                <w:highlight w:val="none"/>
                <w14:textFill>
                  <w14:solidFill>
                    <w14:schemeClr w14:val="tx1"/>
                  </w14:solidFill>
                </w14:textFill>
              </w:rPr>
              <w:t>治理技术规范（试行）》（HJ651-2013）,禁止在依法划定自然保护区、风景名胜区、森林公园、饮用水水源保护区、重要湖泊周边、文物古迹所在地、地质遗迹保护区、基本农</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田</w:t>
            </w:r>
            <w:r>
              <w:rPr>
                <w:rFonts w:hint="default" w:ascii="Times New Roman" w:hAnsi="Times New Roman" w:eastAsia="宋体" w:cs="Times New Roman"/>
                <w:color w:val="000000" w:themeColor="text1"/>
                <w:sz w:val="24"/>
                <w:szCs w:val="24"/>
                <w:highlight w:val="none"/>
                <w14:textFill>
                  <w14:solidFill>
                    <w14:schemeClr w14:val="tx1"/>
                  </w14:solidFill>
                </w14:textFill>
              </w:rPr>
              <w:t>保护区等重要生态保护地及其他法律法规规定禁采区内采矿</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禁止在铁路、重要道路、航道两侧及</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重</w:t>
            </w:r>
            <w:r>
              <w:rPr>
                <w:rFonts w:hint="default" w:ascii="Times New Roman" w:hAnsi="Times New Roman" w:eastAsia="宋体" w:cs="Times New Roman"/>
                <w:color w:val="000000" w:themeColor="text1"/>
                <w:sz w:val="24"/>
                <w:szCs w:val="24"/>
                <w:highlight w:val="none"/>
                <w14:textFill>
                  <w14:solidFill>
                    <w14:schemeClr w14:val="tx1"/>
                  </w14:solidFill>
                </w14:textFill>
              </w:rPr>
              <w:t>要生态敏感目标</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直观</w:t>
            </w:r>
            <w:r>
              <w:rPr>
                <w:rFonts w:hint="default" w:ascii="Times New Roman" w:hAnsi="Times New Roman" w:eastAsia="宋体" w:cs="Times New Roman"/>
                <w:color w:val="000000" w:themeColor="text1"/>
                <w:sz w:val="24"/>
                <w:szCs w:val="24"/>
                <w:highlight w:val="none"/>
                <w14:textFill>
                  <w14:solidFill>
                    <w14:schemeClr w14:val="tx1"/>
                  </w14:solidFill>
                </w14:textFill>
              </w:rPr>
              <w:t>可视范围内进行对</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景</w:t>
            </w:r>
            <w:r>
              <w:rPr>
                <w:rFonts w:hint="default" w:ascii="Times New Roman" w:hAnsi="Times New Roman" w:eastAsia="宋体" w:cs="Times New Roman"/>
                <w:color w:val="000000" w:themeColor="text1"/>
                <w:sz w:val="24"/>
                <w:szCs w:val="24"/>
                <w:highlight w:val="none"/>
                <w14:textFill>
                  <w14:solidFill>
                    <w14:schemeClr w14:val="tx1"/>
                  </w14:solidFill>
                </w14:textFill>
              </w:rPr>
              <w:t>观破坏</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明显的露天开采；</w:t>
            </w:r>
            <w:r>
              <w:rPr>
                <w:rFonts w:hint="default" w:ascii="Times New Roman" w:hAnsi="Times New Roman" w:eastAsia="宋体" w:cs="Times New Roman"/>
                <w:color w:val="000000" w:themeColor="text1"/>
                <w:sz w:val="24"/>
                <w:szCs w:val="24"/>
                <w:highlight w:val="none"/>
                <w14:textFill>
                  <w14:solidFill>
                    <w14:schemeClr w14:val="tx1"/>
                  </w14:solidFill>
                </w14:textFill>
              </w:rPr>
              <w:t>禁止在地质</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灾害</w:t>
            </w:r>
            <w:r>
              <w:rPr>
                <w:rFonts w:hint="default" w:ascii="Times New Roman" w:hAnsi="Times New Roman" w:eastAsia="宋体" w:cs="Times New Roman"/>
                <w:color w:val="000000" w:themeColor="text1"/>
                <w:sz w:val="24"/>
                <w:szCs w:val="24"/>
                <w:highlight w:val="none"/>
                <w14:textFill>
                  <w14:solidFill>
                    <w14:schemeClr w14:val="tx1"/>
                  </w14:solidFill>
                </w14:textFill>
              </w:rPr>
              <w:t>危险区内开采矿产资源。</w:t>
            </w:r>
          </w:p>
          <w:p w14:paraId="1F9A2377">
            <w:pPr>
              <w:pStyle w:val="51"/>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《新疆维吾尔自治区重点行业环境准入条件（</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2024年</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指出：“铁路、高速公路、国道、省道等重要交通干线两侧200米范围以内，重要工业区、大型水利工程设施、城镇市政工程设施所在区域，军事管理区、机场、国防工程设施圈定的区域,居民聚集区1千米以内禁止建设非金属矿采选项目。”</w:t>
            </w:r>
          </w:p>
          <w:p w14:paraId="5010A099">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根据现场</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勘查</w:t>
            </w:r>
            <w:r>
              <w:rPr>
                <w:rFonts w:hint="default" w:ascii="Times New Roman" w:hAnsi="Times New Roman" w:eastAsia="宋体" w:cs="Times New Roman"/>
                <w:color w:val="000000" w:themeColor="text1"/>
                <w:sz w:val="24"/>
                <w:szCs w:val="24"/>
                <w:highlight w:val="none"/>
                <w14:textFill>
                  <w14:solidFill>
                    <w14:schemeClr w14:val="tx1"/>
                  </w14:solidFill>
                </w14:textFill>
              </w:rPr>
              <w:t>，本项目所在区域及周边附近区域内无国家级及自治区级珍稀濒危保护植物分布</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项</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目</w:t>
            </w:r>
            <w:r>
              <w:rPr>
                <w:rFonts w:hint="default" w:ascii="Times New Roman" w:hAnsi="Times New Roman" w:eastAsia="宋体" w:cs="Times New Roman"/>
                <w:color w:val="000000" w:themeColor="text1"/>
                <w:sz w:val="24"/>
                <w:szCs w:val="24"/>
                <w:highlight w:val="none"/>
                <w14:textFill>
                  <w14:solidFill>
                    <w14:schemeClr w14:val="tx1"/>
                  </w14:solidFill>
                </w14:textFill>
              </w:rPr>
              <w:t>区及周边附近区域内动物以啮齿类、爬行类、昆虫类、鸟类等为主，无国家及自治区级珍稀濒危保护动物活动。项目区周边附近主要为</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其他</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草地</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和林地</w:t>
            </w:r>
            <w:r>
              <w:rPr>
                <w:rFonts w:hint="default" w:ascii="Times New Roman" w:hAnsi="Times New Roman" w:eastAsia="宋体" w:cs="Times New Roman"/>
                <w:color w:val="000000" w:themeColor="text1"/>
                <w:sz w:val="24"/>
                <w:szCs w:val="24"/>
                <w:highlight w:val="none"/>
                <w14:textFill>
                  <w14:solidFill>
                    <w14:schemeClr w14:val="tx1"/>
                  </w14:solidFill>
                </w14:textFill>
              </w:rPr>
              <w:t>，无</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自然</w:t>
            </w:r>
            <w:r>
              <w:rPr>
                <w:rFonts w:hint="default" w:ascii="Times New Roman" w:hAnsi="Times New Roman" w:eastAsia="宋体" w:cs="Times New Roman"/>
                <w:color w:val="000000" w:themeColor="text1"/>
                <w:sz w:val="24"/>
                <w:szCs w:val="24"/>
                <w:highlight w:val="none"/>
                <w14:textFill>
                  <w14:solidFill>
                    <w14:schemeClr w14:val="tx1"/>
                  </w14:solidFill>
                </w14:textFill>
              </w:rPr>
              <w:t>保护区、</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风景</w:t>
            </w:r>
            <w:r>
              <w:rPr>
                <w:rFonts w:hint="default" w:ascii="Times New Roman" w:hAnsi="Times New Roman" w:eastAsia="宋体" w:cs="Times New Roman"/>
                <w:color w:val="000000" w:themeColor="text1"/>
                <w:sz w:val="24"/>
                <w:szCs w:val="24"/>
                <w:highlight w:val="none"/>
                <w14:textFill>
                  <w14:solidFill>
                    <w14:schemeClr w14:val="tx1"/>
                  </w14:solidFill>
                </w14:textFill>
              </w:rPr>
              <w:t>名胜区、文化和</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自</w:t>
            </w:r>
            <w:r>
              <w:rPr>
                <w:rFonts w:hint="default" w:ascii="Times New Roman" w:hAnsi="Times New Roman" w:eastAsia="宋体" w:cs="Times New Roman"/>
                <w:color w:val="000000" w:themeColor="text1"/>
                <w:sz w:val="24"/>
                <w:szCs w:val="24"/>
                <w:highlight w:val="none"/>
                <w14:textFill>
                  <w14:solidFill>
                    <w14:schemeClr w14:val="tx1"/>
                  </w14:solidFill>
                </w14:textFill>
              </w:rPr>
              <w:t>然遗产地、文物保护单位、大型集中办公居民区、军事基地等环境敏感区。项目区</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北面为京新高速，距离为250m，</w:t>
            </w:r>
            <w:r>
              <w:rPr>
                <w:rFonts w:hint="default" w:ascii="Times New Roman" w:hAnsi="Times New Roman" w:eastAsia="宋体" w:cs="Times New Roman"/>
                <w:color w:val="000000" w:themeColor="text1"/>
                <w:sz w:val="24"/>
                <w:szCs w:val="24"/>
                <w:highlight w:val="none"/>
                <w14:textFill>
                  <w14:solidFill>
                    <w14:schemeClr w14:val="tx1"/>
                  </w14:solidFill>
                </w14:textFill>
              </w:rPr>
              <w:t>不在铁路、高速公路、国道、省道等重要交通</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干</w:t>
            </w:r>
            <w:r>
              <w:rPr>
                <w:rFonts w:hint="default" w:ascii="Times New Roman" w:hAnsi="Times New Roman" w:eastAsia="宋体" w:cs="Times New Roman"/>
                <w:color w:val="000000" w:themeColor="text1"/>
                <w:sz w:val="24"/>
                <w:szCs w:val="24"/>
                <w:highlight w:val="none"/>
                <w14:textFill>
                  <w14:solidFill>
                    <w14:schemeClr w14:val="tx1"/>
                  </w14:solidFill>
                </w14:textFill>
              </w:rPr>
              <w:t>线两侧200m</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范围</w:t>
            </w:r>
            <w:r>
              <w:rPr>
                <w:rFonts w:hint="default" w:ascii="Times New Roman" w:hAnsi="Times New Roman" w:eastAsia="宋体" w:cs="Times New Roman"/>
                <w:color w:val="000000" w:themeColor="text1"/>
                <w:sz w:val="24"/>
                <w:szCs w:val="24"/>
                <w:highlight w:val="none"/>
                <w14:textFill>
                  <w14:solidFill>
                    <w14:schemeClr w14:val="tx1"/>
                  </w14:solidFill>
                </w14:textFill>
              </w:rPr>
              <w:t>内</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不在铁路、重要道路、航道两侧及重要生态敏感目标</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直</w:t>
            </w:r>
            <w:r>
              <w:rPr>
                <w:rFonts w:hint="default" w:ascii="Times New Roman" w:hAnsi="Times New Roman" w:eastAsia="宋体" w:cs="Times New Roman"/>
                <w:color w:val="000000" w:themeColor="text1"/>
                <w:sz w:val="24"/>
                <w:szCs w:val="24"/>
                <w:highlight w:val="none"/>
                <w14:textFill>
                  <w14:solidFill>
                    <w14:schemeClr w14:val="tx1"/>
                  </w14:solidFill>
                </w14:textFill>
              </w:rPr>
              <w:t>观可视范围内，</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并且</w:t>
            </w:r>
            <w:r>
              <w:rPr>
                <w:rFonts w:hint="default" w:ascii="Times New Roman" w:hAnsi="Times New Roman" w:eastAsia="宋体" w:cs="Times New Roman"/>
                <w:color w:val="000000" w:themeColor="text1"/>
                <w:sz w:val="24"/>
                <w:szCs w:val="24"/>
                <w:highlight w:val="none"/>
                <w14:textFill>
                  <w14:solidFill>
                    <w14:schemeClr w14:val="tx1"/>
                  </w14:solidFill>
                </w14:textFill>
              </w:rPr>
              <w:t>本</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项目</w:t>
            </w:r>
            <w:r>
              <w:rPr>
                <w:rFonts w:hint="default" w:ascii="Times New Roman" w:hAnsi="Times New Roman" w:eastAsia="宋体" w:cs="Times New Roman"/>
                <w:color w:val="000000" w:themeColor="text1"/>
                <w:sz w:val="24"/>
                <w:szCs w:val="24"/>
                <w:highlight w:val="none"/>
                <w14:textFill>
                  <w14:solidFill>
                    <w14:schemeClr w14:val="tx1"/>
                  </w14:solidFill>
                </w14:textFill>
              </w:rPr>
              <w:t>服务期满闭矿后将采取地质环境保护与综合治理</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恢复</w:t>
            </w:r>
            <w:r>
              <w:rPr>
                <w:rFonts w:hint="default" w:ascii="Times New Roman" w:hAnsi="Times New Roman" w:eastAsia="宋体" w:cs="Times New Roman"/>
                <w:color w:val="000000" w:themeColor="text1"/>
                <w:sz w:val="24"/>
                <w:szCs w:val="24"/>
                <w:highlight w:val="none"/>
                <w14:textFill>
                  <w14:solidFill>
                    <w14:schemeClr w14:val="tx1"/>
                  </w14:solidFill>
                </w14:textFill>
              </w:rPr>
              <w:t>措施、</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土地</w:t>
            </w:r>
            <w:r>
              <w:rPr>
                <w:rFonts w:hint="default" w:ascii="Times New Roman" w:hAnsi="Times New Roman" w:eastAsia="宋体" w:cs="Times New Roman"/>
                <w:color w:val="000000" w:themeColor="text1"/>
                <w:sz w:val="24"/>
                <w:szCs w:val="24"/>
                <w:highlight w:val="none"/>
                <w14:textFill>
                  <w14:solidFill>
                    <w14:schemeClr w14:val="tx1"/>
                  </w14:solidFill>
                </w14:textFill>
              </w:rPr>
              <w:t>复垦措施、生态保护、</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减缓</w:t>
            </w:r>
            <w:r>
              <w:rPr>
                <w:rFonts w:hint="default" w:ascii="Times New Roman" w:hAnsi="Times New Roman" w:eastAsia="宋体" w:cs="Times New Roman"/>
                <w:color w:val="000000" w:themeColor="text1"/>
                <w:sz w:val="24"/>
                <w:szCs w:val="24"/>
                <w:highlight w:val="none"/>
                <w14:textFill>
                  <w14:solidFill>
                    <w14:schemeClr w14:val="tx1"/>
                  </w14:solidFill>
                </w14:textFill>
              </w:rPr>
              <w:t>和恢复措施等</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恢复</w:t>
            </w:r>
            <w:r>
              <w:rPr>
                <w:rFonts w:hint="default" w:ascii="Times New Roman" w:hAnsi="Times New Roman" w:eastAsia="宋体" w:cs="Times New Roman"/>
                <w:color w:val="000000" w:themeColor="text1"/>
                <w:sz w:val="24"/>
                <w:szCs w:val="24"/>
                <w:highlight w:val="none"/>
                <w14:textFill>
                  <w14:solidFill>
                    <w14:schemeClr w14:val="tx1"/>
                  </w14:solidFill>
                </w14:textFill>
              </w:rPr>
              <w:t>本项目所在区域景观</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；项目</w:t>
            </w:r>
            <w:r>
              <w:rPr>
                <w:rFonts w:hint="default" w:ascii="Times New Roman" w:hAnsi="Times New Roman" w:eastAsia="宋体" w:cs="Times New Roman"/>
                <w:color w:val="000000" w:themeColor="text1"/>
                <w:sz w:val="24"/>
                <w:szCs w:val="24"/>
                <w:highlight w:val="none"/>
                <w14:textFill>
                  <w14:solidFill>
                    <w14:schemeClr w14:val="tx1"/>
                  </w14:solidFill>
                </w14:textFill>
              </w:rPr>
              <w:t>区不</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属于地质灾害危险区，</w:t>
            </w:r>
            <w:r>
              <w:rPr>
                <w:rFonts w:hint="default" w:ascii="Times New Roman" w:hAnsi="Times New Roman" w:eastAsia="宋体" w:cs="Times New Roman"/>
                <w:color w:val="000000" w:themeColor="text1"/>
                <w:sz w:val="24"/>
                <w:szCs w:val="24"/>
                <w:highlight w:val="none"/>
                <w14:textFill>
                  <w14:solidFill>
                    <w14:schemeClr w14:val="tx1"/>
                  </w14:solidFill>
                </w14:textFill>
              </w:rPr>
              <w:t>项目区未占用基本农</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田</w:t>
            </w:r>
            <w:r>
              <w:rPr>
                <w:rFonts w:hint="default" w:ascii="Times New Roman" w:hAnsi="Times New Roman" w:eastAsia="宋体" w:cs="Times New Roman"/>
                <w:color w:val="000000" w:themeColor="text1"/>
                <w:sz w:val="24"/>
                <w:szCs w:val="24"/>
                <w:highlight w:val="none"/>
                <w14:textFill>
                  <w14:solidFill>
                    <w14:schemeClr w14:val="tx1"/>
                  </w14:solidFill>
                </w14:textFill>
              </w:rPr>
              <w:t>、林地、办公居住用地、公共用地等，也未压覆矿藏、墓葬、文物</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古</w:t>
            </w:r>
            <w:r>
              <w:rPr>
                <w:rFonts w:hint="default" w:ascii="Times New Roman" w:hAnsi="Times New Roman" w:eastAsia="宋体" w:cs="Times New Roman"/>
                <w:color w:val="000000" w:themeColor="text1"/>
                <w:sz w:val="24"/>
                <w:szCs w:val="24"/>
                <w:highlight w:val="none"/>
                <w14:textFill>
                  <w14:solidFill>
                    <w14:schemeClr w14:val="tx1"/>
                  </w14:solidFill>
                </w14:textFill>
              </w:rPr>
              <w:t>迹等。因此</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本</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项目</w:t>
            </w:r>
            <w:r>
              <w:rPr>
                <w:rFonts w:hint="default" w:ascii="Times New Roman" w:hAnsi="Times New Roman" w:eastAsia="宋体" w:cs="Times New Roman"/>
                <w:color w:val="000000" w:themeColor="text1"/>
                <w:sz w:val="24"/>
                <w:szCs w:val="24"/>
                <w:highlight w:val="none"/>
                <w14:textFill>
                  <w14:solidFill>
                    <w14:schemeClr w14:val="tx1"/>
                  </w14:solidFill>
                </w14:textFill>
              </w:rPr>
              <w:t>符合《矿山生态环境保护与恢复治理技术规范（试行）》（HJ651 2013）和《</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新疆</w:t>
            </w:r>
            <w:r>
              <w:rPr>
                <w:rFonts w:hint="default" w:ascii="Times New Roman" w:hAnsi="Times New Roman" w:eastAsia="宋体" w:cs="Times New Roman"/>
                <w:color w:val="000000" w:themeColor="text1"/>
                <w:sz w:val="24"/>
                <w:szCs w:val="24"/>
                <w:highlight w:val="none"/>
                <w14:textFill>
                  <w14:solidFill>
                    <w14:schemeClr w14:val="tx1"/>
                  </w14:solidFill>
                </w14:textFill>
              </w:rPr>
              <w:t>维吾尔自治区</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重点</w:t>
            </w:r>
            <w:r>
              <w:rPr>
                <w:rFonts w:hint="default" w:ascii="Times New Roman" w:hAnsi="Times New Roman" w:eastAsia="宋体" w:cs="Times New Roman"/>
                <w:color w:val="000000" w:themeColor="text1"/>
                <w:sz w:val="24"/>
                <w:szCs w:val="24"/>
                <w:highlight w:val="none"/>
                <w14:textFill>
                  <w14:solidFill>
                    <w14:schemeClr w14:val="tx1"/>
                  </w14:solidFill>
                </w14:textFill>
              </w:rPr>
              <w:t>行业环境准入条件（</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2024年</w:t>
            </w:r>
            <w:r>
              <w:rPr>
                <w:rFonts w:hint="default" w:ascii="Times New Roman" w:hAnsi="Times New Roman" w:eastAsia="宋体" w:cs="Times New Roman"/>
                <w:color w:val="000000" w:themeColor="text1"/>
                <w:sz w:val="24"/>
                <w:szCs w:val="24"/>
                <w:highlight w:val="none"/>
                <w14:textFill>
                  <w14:solidFill>
                    <w14:schemeClr w14:val="tx1"/>
                  </w14:solidFill>
                </w14:textFill>
              </w:rPr>
              <w:t>）》要求。</w:t>
            </w:r>
          </w:p>
          <w:p w14:paraId="1F0031EE">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综上所述，本项目选址合理、可行，用地合法；本项目外环境没有明显的外环境制约因素，并且与区域环境具有相容性。因此。本项目选址合理可行。</w:t>
            </w:r>
          </w:p>
        </w:tc>
      </w:tr>
    </w:tbl>
    <w:p w14:paraId="30432A21">
      <w:pPr>
        <w:bidi w:val="0"/>
        <w:rPr>
          <w:rFonts w:hint="default" w:ascii="Times New Roman" w:hAnsi="Times New Roman" w:eastAsia="宋体" w:cs="Times New Roman"/>
          <w:color w:val="000000" w:themeColor="text1"/>
          <w:highlight w:val="none"/>
          <w14:textFill>
            <w14:solidFill>
              <w14:schemeClr w14:val="tx1"/>
            </w14:solidFill>
          </w14:textFill>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0DE0EADF">
      <w:pPr>
        <w:pStyle w:val="34"/>
        <w:spacing w:beforeLines="-2147483648" w:afterLines="-2147483648" w:line="240" w:lineRule="auto"/>
        <w:ind w:firstLine="0" w:firstLineChars="0"/>
        <w:jc w:val="center"/>
        <w:outlineLvl w:val="0"/>
        <w:rPr>
          <w:rFonts w:hint="default" w:ascii="Times New Roman" w:hAnsi="Times New Roman" w:eastAsia="宋体" w:cs="Times New Roman"/>
          <w:b/>
          <w:bCs/>
          <w:snapToGrid w:val="0"/>
          <w:color w:val="000000" w:themeColor="text1"/>
          <w:sz w:val="30"/>
          <w:szCs w:val="30"/>
          <w:highlight w:val="none"/>
          <w14:textFill>
            <w14:solidFill>
              <w14:schemeClr w14:val="tx1"/>
            </w14:solidFill>
          </w14:textFill>
        </w:rPr>
      </w:pPr>
      <w:r>
        <w:rPr>
          <w:rFonts w:hint="default" w:ascii="Times New Roman" w:hAnsi="Times New Roman" w:eastAsia="宋体" w:cs="Times New Roman"/>
          <w:b/>
          <w:bCs/>
          <w:snapToGrid w:val="0"/>
          <w:color w:val="000000" w:themeColor="text1"/>
          <w:sz w:val="30"/>
          <w:szCs w:val="30"/>
          <w:highlight w:val="none"/>
          <w:lang w:val="en-US" w:eastAsia="zh-CN"/>
          <w14:textFill>
            <w14:solidFill>
              <w14:schemeClr w14:val="tx1"/>
            </w14:solidFill>
          </w14:textFill>
        </w:rPr>
        <w:t>五、</w:t>
      </w:r>
      <w:r>
        <w:rPr>
          <w:rFonts w:hint="default" w:ascii="Times New Roman" w:hAnsi="Times New Roman" w:eastAsia="宋体" w:cs="Times New Roman"/>
          <w:b/>
          <w:bCs/>
          <w:snapToGrid w:val="0"/>
          <w:color w:val="000000" w:themeColor="text1"/>
          <w:sz w:val="30"/>
          <w:szCs w:val="30"/>
          <w:highlight w:val="none"/>
          <w14:textFill>
            <w14:solidFill>
              <w14:schemeClr w14:val="tx1"/>
            </w14:solidFill>
          </w14:textFill>
        </w:rPr>
        <w:t>主要生态环境保护措施</w:t>
      </w:r>
    </w:p>
    <w:tbl>
      <w:tblPr>
        <w:tblStyle w:val="38"/>
        <w:tblW w:w="940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56"/>
        <w:gridCol w:w="8948"/>
      </w:tblGrid>
      <w:tr w14:paraId="7DE3DA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6" w:type="dxa"/>
            <w:noWrap w:val="0"/>
            <w:tcMar>
              <w:left w:w="28" w:type="dxa"/>
              <w:right w:w="28" w:type="dxa"/>
            </w:tcMar>
            <w:vAlign w:val="center"/>
          </w:tcPr>
          <w:p w14:paraId="64CC0135">
            <w:pPr>
              <w:keepNext w:val="0"/>
              <w:keepLines w:val="0"/>
              <w:pageBreakBefore w:val="0"/>
              <w:widowControl w:val="0"/>
              <w:kinsoku/>
              <w:wordWrap/>
              <w:overflowPunct/>
              <w:topLinePunct w:val="0"/>
              <w:autoSpaceDE/>
              <w:autoSpaceDN/>
              <w:bidi w:val="0"/>
              <w:adjustRightInd/>
              <w:snapToGrid/>
              <w:spacing w:after="0" w:afterLines="0" w:line="240" w:lineRule="auto"/>
              <w:ind w:firstLine="0" w:firstLineChars="0"/>
              <w:jc w:val="center"/>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施工期生态环境保护措施</w:t>
            </w:r>
          </w:p>
        </w:tc>
        <w:tc>
          <w:tcPr>
            <w:tcW w:w="8948" w:type="dxa"/>
            <w:noWrap w:val="0"/>
            <w:vAlign w:val="top"/>
          </w:tcPr>
          <w:p w14:paraId="73F76F56">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0" w:firstLineChars="0"/>
              <w:jc w:val="both"/>
              <w:textAlignment w:val="auto"/>
              <w:outlineLvl w:val="9"/>
              <w:rPr>
                <w:rFonts w:hint="default" w:ascii="Times New Roman" w:hAnsi="Times New Roman" w:eastAsia="宋体" w:cs="Times New Roman"/>
                <w:b/>
                <w:bCs/>
                <w:color w:val="000000" w:themeColor="text1"/>
                <w:sz w:val="24"/>
                <w:szCs w:val="22"/>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2"/>
                <w:highlight w:val="none"/>
                <w:lang w:val="en-US" w:eastAsia="zh-CN"/>
                <w14:textFill>
                  <w14:solidFill>
                    <w14:schemeClr w14:val="tx1"/>
                  </w14:solidFill>
                </w14:textFill>
              </w:rPr>
              <w:t>1、施工期大气污染防治措施</w:t>
            </w:r>
          </w:p>
          <w:p w14:paraId="4F211119">
            <w:pPr>
              <w:keepNext w:val="0"/>
              <w:keepLines w:val="0"/>
              <w:pageBreakBefore w:val="0"/>
              <w:widowControl w:val="0"/>
              <w:kinsoku/>
              <w:wordWrap/>
              <w:overflowPunct/>
              <w:topLinePunct/>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kern w:val="0"/>
                <w:sz w:val="24"/>
                <w:szCs w:val="24"/>
                <w:highlight w:val="none"/>
                <w14:textFill>
                  <w14:solidFill>
                    <w14:schemeClr w14:val="tx1"/>
                  </w14:solidFill>
                </w14:textFill>
              </w:rPr>
            </w:pPr>
            <w:r>
              <w:rPr>
                <w:rFonts w:hint="default" w:ascii="Times New Roman" w:hAnsi="Times New Roman" w:eastAsia="宋体" w:cs="Times New Roman"/>
                <w:snapToGrid w:val="0"/>
                <w:color w:val="000000" w:themeColor="text1"/>
                <w:kern w:val="0"/>
                <w:sz w:val="24"/>
                <w:szCs w:val="24"/>
                <w:highlight w:val="none"/>
                <w:shd w:val="clear" w:color="auto" w:fill="auto"/>
                <w14:textFill>
                  <w14:solidFill>
                    <w14:schemeClr w14:val="tx1"/>
                  </w14:solidFill>
                </w14:textFill>
              </w:rPr>
              <w:t>施工期产生的大气污染物</w:t>
            </w:r>
            <w:r>
              <w:rPr>
                <w:rFonts w:hint="default" w:ascii="Times New Roman" w:hAnsi="Times New Roman" w:eastAsia="宋体" w:cs="Times New Roman"/>
                <w:snapToGrid w:val="0"/>
                <w:color w:val="000000" w:themeColor="text1"/>
                <w:kern w:val="0"/>
                <w:sz w:val="24"/>
                <w:szCs w:val="24"/>
                <w:highlight w:val="none"/>
                <w:shd w:val="clear" w:color="auto" w:fill="auto"/>
                <w:lang w:val="en-US" w:eastAsia="zh-CN"/>
                <w14:textFill>
                  <w14:solidFill>
                    <w14:schemeClr w14:val="tx1"/>
                  </w14:solidFill>
                </w14:textFill>
              </w:rPr>
              <w:t>主要分为两类，一是施工扬尘，主要来源于物料运输</w:t>
            </w:r>
            <w:r>
              <w:rPr>
                <w:rFonts w:hint="default" w:ascii="Times New Roman" w:hAnsi="Times New Roman" w:eastAsia="宋体" w:cs="Times New Roman"/>
                <w:snapToGrid w:val="0"/>
                <w:color w:val="000000" w:themeColor="text1"/>
                <w:kern w:val="0"/>
                <w:sz w:val="24"/>
                <w:szCs w:val="24"/>
                <w:highlight w:val="none"/>
                <w:shd w:val="clear" w:color="auto" w:fill="auto"/>
                <w14:textFill>
                  <w14:solidFill>
                    <w14:schemeClr w14:val="tx1"/>
                  </w14:solidFill>
                </w14:textFill>
              </w:rPr>
              <w:t>、</w:t>
            </w:r>
            <w:r>
              <w:rPr>
                <w:rFonts w:hint="default" w:ascii="Times New Roman" w:hAnsi="Times New Roman" w:eastAsia="宋体" w:cs="Times New Roman"/>
                <w:snapToGrid w:val="0"/>
                <w:color w:val="000000" w:themeColor="text1"/>
                <w:kern w:val="0"/>
                <w:sz w:val="24"/>
                <w:szCs w:val="24"/>
                <w:highlight w:val="none"/>
                <w:shd w:val="clear" w:color="auto" w:fill="auto"/>
                <w:lang w:val="en-US" w:eastAsia="zh-CN"/>
                <w14:textFill>
                  <w14:solidFill>
                    <w14:schemeClr w14:val="tx1"/>
                  </w14:solidFill>
                </w14:textFill>
              </w:rPr>
              <w:t>装卸</w:t>
            </w:r>
            <w:r>
              <w:rPr>
                <w:rFonts w:hint="default" w:ascii="Times New Roman" w:hAnsi="Times New Roman" w:eastAsia="宋体" w:cs="Times New Roman"/>
                <w:snapToGrid w:val="0"/>
                <w:color w:val="000000" w:themeColor="text1"/>
                <w:kern w:val="0"/>
                <w:sz w:val="24"/>
                <w:szCs w:val="24"/>
                <w:highlight w:val="none"/>
                <w:shd w:val="clear" w:color="auto" w:fill="auto"/>
                <w14:textFill>
                  <w14:solidFill>
                    <w14:schemeClr w14:val="tx1"/>
                  </w14:solidFill>
                </w14:textFill>
              </w:rPr>
              <w:t>、</w:t>
            </w:r>
            <w:r>
              <w:rPr>
                <w:rFonts w:hint="default" w:ascii="Times New Roman" w:hAnsi="Times New Roman" w:eastAsia="宋体" w:cs="Times New Roman"/>
                <w:snapToGrid w:val="0"/>
                <w:color w:val="000000" w:themeColor="text1"/>
                <w:kern w:val="0"/>
                <w:sz w:val="24"/>
                <w:szCs w:val="24"/>
                <w:highlight w:val="none"/>
                <w:shd w:val="clear" w:color="auto" w:fill="auto"/>
                <w:lang w:val="en-US" w:eastAsia="zh-CN"/>
                <w14:textFill>
                  <w14:solidFill>
                    <w14:schemeClr w14:val="tx1"/>
                  </w14:solidFill>
                </w14:textFill>
              </w:rPr>
              <w:t>堆放过程以及施工垃圾清运和运输车辆产生的道路扬尘等；二是施工机械和运输车辆运作过程中产生的</w:t>
            </w:r>
            <w:r>
              <w:rPr>
                <w:rFonts w:hint="default" w:ascii="Times New Roman" w:hAnsi="Times New Roman" w:eastAsia="宋体" w:cs="Times New Roman"/>
                <w:snapToGrid w:val="0"/>
                <w:color w:val="000000" w:themeColor="text1"/>
                <w:kern w:val="0"/>
                <w:sz w:val="24"/>
                <w:szCs w:val="24"/>
                <w:highlight w:val="none"/>
                <w:shd w:val="clear" w:color="auto" w:fill="auto"/>
                <w14:textFill>
                  <w14:solidFill>
                    <w14:schemeClr w14:val="tx1"/>
                  </w14:solidFill>
                </w14:textFill>
              </w:rPr>
              <w:t>少量SO</w:t>
            </w:r>
            <w:r>
              <w:rPr>
                <w:rFonts w:hint="default" w:ascii="Times New Roman" w:hAnsi="Times New Roman" w:eastAsia="宋体" w:cs="Times New Roman"/>
                <w:snapToGrid w:val="0"/>
                <w:color w:val="000000" w:themeColor="text1"/>
                <w:kern w:val="0"/>
                <w:sz w:val="24"/>
                <w:szCs w:val="24"/>
                <w:highlight w:val="none"/>
                <w:shd w:val="clear" w:color="auto" w:fill="auto"/>
                <w:vertAlign w:val="subscript"/>
                <w14:textFill>
                  <w14:solidFill>
                    <w14:schemeClr w14:val="tx1"/>
                  </w14:solidFill>
                </w14:textFill>
              </w:rPr>
              <w:t>2</w:t>
            </w:r>
            <w:r>
              <w:rPr>
                <w:rFonts w:hint="default" w:ascii="Times New Roman" w:hAnsi="Times New Roman" w:eastAsia="宋体" w:cs="Times New Roman"/>
                <w:snapToGrid w:val="0"/>
                <w:color w:val="000000" w:themeColor="text1"/>
                <w:kern w:val="0"/>
                <w:sz w:val="24"/>
                <w:szCs w:val="24"/>
                <w:highlight w:val="none"/>
                <w:shd w:val="clear" w:color="auto" w:fill="auto"/>
                <w14:textFill>
                  <w14:solidFill>
                    <w14:schemeClr w14:val="tx1"/>
                  </w14:solidFill>
                </w14:textFill>
              </w:rPr>
              <w:t>、NO</w:t>
            </w:r>
            <w:r>
              <w:rPr>
                <w:rFonts w:hint="default" w:ascii="Times New Roman" w:hAnsi="Times New Roman" w:eastAsia="宋体" w:cs="Times New Roman"/>
                <w:snapToGrid w:val="0"/>
                <w:color w:val="000000" w:themeColor="text1"/>
                <w:kern w:val="0"/>
                <w:sz w:val="24"/>
                <w:szCs w:val="24"/>
                <w:highlight w:val="none"/>
                <w:shd w:val="clear" w:color="auto" w:fill="auto"/>
                <w:vertAlign w:val="subscript"/>
                <w14:textFill>
                  <w14:solidFill>
                    <w14:schemeClr w14:val="tx1"/>
                  </w14:solidFill>
                </w14:textFill>
              </w:rPr>
              <w:t>x</w:t>
            </w:r>
            <w:r>
              <w:rPr>
                <w:rFonts w:hint="default" w:ascii="Times New Roman" w:hAnsi="Times New Roman" w:eastAsia="宋体" w:cs="Times New Roman"/>
                <w:snapToGrid w:val="0"/>
                <w:color w:val="000000" w:themeColor="text1"/>
                <w:kern w:val="0"/>
                <w:sz w:val="24"/>
                <w:szCs w:val="24"/>
                <w:highlight w:val="none"/>
                <w:shd w:val="clear" w:color="auto" w:fill="auto"/>
                <w14:textFill>
                  <w14:solidFill>
                    <w14:schemeClr w14:val="tx1"/>
                  </w14:solidFill>
                </w14:textFill>
              </w:rPr>
              <w:t>、CO等</w:t>
            </w:r>
            <w:r>
              <w:rPr>
                <w:rFonts w:hint="default" w:ascii="Times New Roman" w:hAnsi="Times New Roman" w:eastAsia="宋体" w:cs="Times New Roman"/>
                <w:snapToGrid w:val="0"/>
                <w:color w:val="000000" w:themeColor="text1"/>
                <w:kern w:val="0"/>
                <w:sz w:val="24"/>
                <w:szCs w:val="24"/>
                <w:highlight w:val="none"/>
                <w:shd w:val="clear" w:color="auto" w:fill="auto"/>
                <w:lang w:val="en-US" w:eastAsia="zh-CN"/>
                <w14:textFill>
                  <w14:solidFill>
                    <w14:schemeClr w14:val="tx1"/>
                  </w14:solidFill>
                </w14:textFill>
              </w:rPr>
              <w:t>废气。</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为有效防治本项目施工可能产生的环境空气污染，</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环评要求</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采取以下防治措施：</w:t>
            </w:r>
          </w:p>
          <w:p w14:paraId="27CD4C9B">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snapToGrid w:val="0"/>
                <w:color w:val="000000" w:themeColor="text1"/>
                <w:kern w:val="0"/>
                <w:sz w:val="24"/>
                <w:szCs w:val="24"/>
                <w:highlight w:val="none"/>
                <w14:textFill>
                  <w14:solidFill>
                    <w14:schemeClr w14:val="tx1"/>
                  </w14:solidFill>
                </w14:textFill>
              </w:rPr>
              <w:t>（1）</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开挖、平整施工过程中，应洒水使作业面保持一定的湿度；对施工场地内松散、干涸的表土，也应经常洒水防止粉尘；回填土方时，在表层土质干燥时应适当洒水，防止粉尘飞扬</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尽量避免在大风天气下进行施工作业，风力大于四级的天气禁止挖方。</w:t>
            </w:r>
          </w:p>
          <w:p w14:paraId="04C3174A">
            <w:pPr>
              <w:keepNext w:val="0"/>
              <w:keepLines w:val="0"/>
              <w:pageBreakBefore w:val="0"/>
              <w:widowControl w:val="0"/>
              <w:kinsoku/>
              <w:wordWrap/>
              <w:overflowPunct/>
              <w:topLinePunct w:val="0"/>
              <w:autoSpaceDE/>
              <w:autoSpaceDN/>
              <w:bidi w:val="0"/>
              <w:adjustRightInd/>
              <w:snapToGrid/>
              <w:spacing w:after="0" w:afterLines="0" w:line="360" w:lineRule="auto"/>
              <w:ind w:right="0" w:rightChars="0" w:firstLine="480" w:firstLineChars="200"/>
              <w:jc w:val="both"/>
              <w:textAlignment w:val="auto"/>
              <w:outlineLvl w:val="9"/>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（2）建筑材料的防尘管理措施：施工过程中使用易产生扬尘的建筑材料，应采取下列措施；</w:t>
            </w: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施工区</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域100%标准围挡</w:t>
            </w: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w:t>
            </w:r>
          </w:p>
          <w:p w14:paraId="47659A7F">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snapToGrid w:val="0"/>
                <w:color w:val="000000" w:themeColor="text1"/>
                <w:kern w:val="0"/>
                <w:sz w:val="24"/>
                <w:szCs w:val="24"/>
                <w:highlight w:val="none"/>
                <w14:textFill>
                  <w14:solidFill>
                    <w14:schemeClr w14:val="tx1"/>
                  </w14:solidFill>
                </w14:textFill>
              </w:rPr>
              <w:t>（3）</w:t>
            </w:r>
            <w:r>
              <w:rPr>
                <w:rFonts w:hint="default" w:ascii="Times New Roman" w:hAnsi="Times New Roman" w:eastAsia="宋体" w:cs="Times New Roman"/>
                <w:color w:val="000000" w:themeColor="text1"/>
                <w:sz w:val="24"/>
                <w:highlight w:val="none"/>
                <w14:textFill>
                  <w14:solidFill>
                    <w14:schemeClr w14:val="tx1"/>
                  </w14:solidFill>
                </w14:textFill>
              </w:rPr>
              <w:t>对于工地内裸露地面，应采取</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裸露黄土100%覆盖。未能及时清运或要存留的土方必须集中堆放，同时采取密目网覆盖或绿化措施，定时进行洒水、防止扬尘产生</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644B5126">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68" w:firstLineChars="195"/>
              <w:jc w:val="both"/>
              <w:textAlignment w:val="auto"/>
              <w:outlineLvl w:val="9"/>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snapToGrid w:val="0"/>
                <w:color w:val="000000" w:themeColor="text1"/>
                <w:kern w:val="0"/>
                <w:sz w:val="24"/>
                <w:szCs w:val="24"/>
                <w:highlight w:val="none"/>
                <w14:textFill>
                  <w14:solidFill>
                    <w14:schemeClr w14:val="tx1"/>
                  </w14:solidFill>
                </w14:textFill>
              </w:rPr>
              <w:t>（4）</w:t>
            </w:r>
            <w:r>
              <w:rPr>
                <w:rFonts w:hint="default" w:ascii="Times New Roman" w:hAnsi="Times New Roman" w:eastAsia="宋体" w:cs="Times New Roman"/>
                <w:color w:val="000000" w:themeColor="text1"/>
                <w:sz w:val="24"/>
                <w:highlight w:val="none"/>
                <w14:textFill>
                  <w14:solidFill>
                    <w14:schemeClr w14:val="tx1"/>
                  </w14:solidFill>
                </w14:textFill>
              </w:rPr>
              <w:t>施工工地道路</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100%硬化。施工现场内主要道路必须进行硬化处理，根据工程规模配备相应数量的专职保洁人员清洁打扫，保持道路干净无扬尘</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3F067427">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68" w:firstLineChars="195"/>
              <w:jc w:val="both"/>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0"/>
                <w:sz w:val="24"/>
                <w:szCs w:val="24"/>
                <w:highlight w:val="none"/>
                <w14:textFill>
                  <w14:solidFill>
                    <w14:schemeClr w14:val="tx1"/>
                  </w14:solidFill>
                </w14:textFill>
              </w:rPr>
              <w:t>（5）</w:t>
            </w:r>
            <w:r>
              <w:rPr>
                <w:rFonts w:hint="default" w:ascii="Times New Roman" w:hAnsi="Times New Roman" w:eastAsia="宋体" w:cs="Times New Roman"/>
                <w:color w:val="000000" w:themeColor="text1"/>
                <w:sz w:val="24"/>
                <w:highlight w:val="none"/>
                <w14:textFill>
                  <w14:solidFill>
                    <w14:schemeClr w14:val="tx1"/>
                  </w14:solidFill>
                </w14:textFill>
              </w:rPr>
              <w:t>进出工地的物料、渣土、垃圾运输车辆的防尘措施、运输路线和时间：</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渣土运输车辆100%密闭拉运。渣土车辆进行清运时必须采取密闭措施，防治车辆在行进过程中出现扬尘或渣土漏撒</w:t>
            </w:r>
            <w:r>
              <w:rPr>
                <w:rFonts w:hint="default" w:ascii="Times New Roman" w:hAnsi="Times New Roman" w:eastAsia="宋体" w:cs="Times New Roman"/>
                <w:color w:val="000000" w:themeColor="text1"/>
                <w:sz w:val="24"/>
                <w:highlight w:val="none"/>
                <w14:textFill>
                  <w14:solidFill>
                    <w14:schemeClr w14:val="tx1"/>
                  </w14:solidFill>
                </w14:textFill>
              </w:rPr>
              <w:t>。车辆应按照</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固定</w:t>
            </w:r>
            <w:r>
              <w:rPr>
                <w:rFonts w:hint="default" w:ascii="Times New Roman" w:hAnsi="Times New Roman" w:eastAsia="宋体" w:cs="Times New Roman"/>
                <w:color w:val="000000" w:themeColor="text1"/>
                <w:sz w:val="24"/>
                <w:highlight w:val="none"/>
                <w14:textFill>
                  <w14:solidFill>
                    <w14:schemeClr w14:val="tx1"/>
                  </w14:solidFill>
                </w14:textFill>
              </w:rPr>
              <w:t>的路线和时间进行物料、渣土、垃圾的运输</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31D14FC3">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（6）建筑物拆除100%湿法作业。对建筑物实施拆除时，必须辅以持续加压洒水或喷淋措施，抑制扬尘污染。</w:t>
            </w:r>
          </w:p>
          <w:p w14:paraId="083BA44D">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0" w:firstLineChars="0"/>
              <w:jc w:val="both"/>
              <w:textAlignment w:val="auto"/>
              <w:outlineLvl w:val="9"/>
              <w:rPr>
                <w:rFonts w:hint="default" w:ascii="Times New Roman" w:hAnsi="Times New Roman" w:eastAsia="宋体" w:cs="Times New Roman"/>
                <w:b/>
                <w:bCs/>
                <w:color w:val="000000" w:themeColor="text1"/>
                <w:sz w:val="24"/>
                <w:szCs w:val="22"/>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2"/>
                <w:highlight w:val="none"/>
                <w:lang w:val="en-US" w:eastAsia="zh-CN"/>
                <w14:textFill>
                  <w14:solidFill>
                    <w14:schemeClr w14:val="tx1"/>
                  </w14:solidFill>
                </w14:textFill>
              </w:rPr>
              <w:t>2</w:t>
            </w:r>
            <w:r>
              <w:rPr>
                <w:rFonts w:hint="default" w:ascii="Times New Roman" w:hAnsi="Times New Roman" w:eastAsia="宋体" w:cs="Times New Roman"/>
                <w:b/>
                <w:color w:val="000000" w:themeColor="text1"/>
                <w:kern w:val="2"/>
                <w:sz w:val="24"/>
                <w:szCs w:val="24"/>
                <w:highlight w:val="none"/>
                <w:lang w:val="en-US" w:eastAsia="zh-CN" w:bidi="ar"/>
                <w14:textFill>
                  <w14:solidFill>
                    <w14:schemeClr w14:val="tx1"/>
                  </w14:solidFill>
                </w14:textFill>
              </w:rPr>
              <w:t>、</w:t>
            </w:r>
            <w:r>
              <w:rPr>
                <w:rFonts w:hint="default" w:ascii="Times New Roman" w:hAnsi="Times New Roman" w:eastAsia="宋体" w:cs="Times New Roman"/>
                <w:b/>
                <w:bCs/>
                <w:color w:val="000000" w:themeColor="text1"/>
                <w:sz w:val="24"/>
                <w:szCs w:val="22"/>
                <w:highlight w:val="none"/>
                <w:lang w:val="en-US" w:eastAsia="zh-CN"/>
                <w14:textFill>
                  <w14:solidFill>
                    <w14:schemeClr w14:val="tx1"/>
                  </w14:solidFill>
                </w14:textFill>
              </w:rPr>
              <w:t>施工期水污染防治措施</w:t>
            </w:r>
          </w:p>
          <w:p w14:paraId="1A810887">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snapToGrid w:val="0"/>
                <w:color w:val="000000" w:themeColor="text1"/>
                <w:kern w:val="0"/>
                <w:sz w:val="24"/>
                <w:szCs w:val="24"/>
                <w:highlight w:val="none"/>
                <w:lang w:eastAsia="zh-CN"/>
                <w14:textFill>
                  <w14:solidFill>
                    <w14:schemeClr w14:val="tx1"/>
                  </w14:solidFill>
                </w14:textFill>
              </w:rPr>
            </w:pPr>
            <w:r>
              <w:rPr>
                <w:rFonts w:hint="default" w:ascii="Times New Roman" w:hAnsi="Times New Roman" w:eastAsia="宋体" w:cs="Times New Roman"/>
                <w:snapToGrid w:val="0"/>
                <w:color w:val="000000" w:themeColor="text1"/>
                <w:kern w:val="0"/>
                <w:sz w:val="24"/>
                <w:szCs w:val="24"/>
                <w:highlight w:val="none"/>
                <w:lang w:eastAsia="zh-CN"/>
                <w14:textFill>
                  <w14:solidFill>
                    <w14:schemeClr w14:val="tx1"/>
                  </w14:solidFill>
                </w14:textFill>
              </w:rPr>
              <w:t>为防止施工期废水对周围环境的影响，施工中应采取以下措施</w:t>
            </w:r>
            <w:r>
              <w:rPr>
                <w:rFonts w:hint="default" w:ascii="Times New Roman" w:hAnsi="Times New Roman" w:eastAsia="宋体" w:cs="Times New Roman"/>
                <w:snapToGrid w:val="0"/>
                <w:color w:val="000000" w:themeColor="text1"/>
                <w:kern w:val="0"/>
                <w:sz w:val="24"/>
                <w:szCs w:val="24"/>
                <w:highlight w:val="none"/>
                <w:lang w:val="en-US" w:eastAsia="zh-CN"/>
                <w14:textFill>
                  <w14:solidFill>
                    <w14:schemeClr w14:val="tx1"/>
                  </w14:solidFill>
                </w14:textFill>
              </w:rPr>
              <w:t>：</w:t>
            </w:r>
          </w:p>
          <w:p w14:paraId="0B266BAE">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snapToGrid w:val="0"/>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0"/>
                <w:sz w:val="24"/>
                <w:szCs w:val="24"/>
                <w:highlight w:val="none"/>
                <w:lang w:eastAsia="zh-CN"/>
                <w14:textFill>
                  <w14:solidFill>
                    <w14:schemeClr w14:val="tx1"/>
                  </w14:solidFill>
                </w14:textFill>
              </w:rPr>
              <w:t>（1）建设单位在施工现场设置沉淀池，</w:t>
            </w:r>
            <w:r>
              <w:rPr>
                <w:rFonts w:hint="default" w:ascii="Times New Roman" w:hAnsi="Times New Roman" w:eastAsia="宋体" w:cs="Times New Roman"/>
                <w:snapToGrid w:val="0"/>
                <w:color w:val="000000" w:themeColor="text1"/>
                <w:kern w:val="0"/>
                <w:sz w:val="24"/>
                <w:szCs w:val="24"/>
                <w:highlight w:val="none"/>
                <w:lang w:val="en-US" w:eastAsia="zh-CN"/>
                <w14:textFill>
                  <w14:solidFill>
                    <w14:schemeClr w14:val="tx1"/>
                  </w14:solidFill>
                </w14:textFill>
              </w:rPr>
              <w:t>施工</w:t>
            </w:r>
            <w:r>
              <w:rPr>
                <w:rFonts w:hint="default" w:ascii="Times New Roman" w:hAnsi="Times New Roman" w:eastAsia="宋体" w:cs="Times New Roman"/>
                <w:snapToGrid w:val="0"/>
                <w:color w:val="000000" w:themeColor="text1"/>
                <w:kern w:val="0"/>
                <w:sz w:val="24"/>
                <w:szCs w:val="24"/>
                <w:highlight w:val="none"/>
                <w:lang w:eastAsia="zh-CN"/>
                <w14:textFill>
                  <w14:solidFill>
                    <w14:schemeClr w14:val="tx1"/>
                  </w14:solidFill>
                </w14:textFill>
              </w:rPr>
              <w:t>废水经沉淀池沉淀处理后用于施工区洒水抑尘；</w:t>
            </w:r>
            <w:r>
              <w:rPr>
                <w:rFonts w:hint="default" w:ascii="Times New Roman" w:hAnsi="Times New Roman" w:eastAsia="宋体" w:cs="Times New Roman"/>
                <w:snapToGrid w:val="0"/>
                <w:color w:val="000000" w:themeColor="text1"/>
                <w:kern w:val="0"/>
                <w:sz w:val="24"/>
                <w:szCs w:val="24"/>
                <w:highlight w:val="none"/>
                <w:lang w:val="en-US" w:eastAsia="zh-CN"/>
                <w14:textFill>
                  <w14:solidFill>
                    <w14:schemeClr w14:val="tx1"/>
                  </w14:solidFill>
                </w14:textFill>
              </w:rPr>
              <w:t>项目给水管网试压废水可用于施工区域降尘用水。</w:t>
            </w:r>
          </w:p>
          <w:p w14:paraId="2CCE5B1E">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snapToGrid w:val="0"/>
                <w:color w:val="000000" w:themeColor="text1"/>
                <w:kern w:val="0"/>
                <w:sz w:val="24"/>
                <w:szCs w:val="24"/>
                <w:highlight w:val="none"/>
                <w:lang w:eastAsia="zh-CN"/>
                <w14:textFill>
                  <w14:solidFill>
                    <w14:schemeClr w14:val="tx1"/>
                  </w14:solidFill>
                </w14:textFill>
              </w:rPr>
            </w:pPr>
            <w:r>
              <w:rPr>
                <w:rFonts w:hint="default" w:ascii="Times New Roman" w:hAnsi="Times New Roman" w:eastAsia="宋体" w:cs="Times New Roman"/>
                <w:snapToGrid w:val="0"/>
                <w:color w:val="000000" w:themeColor="text1"/>
                <w:kern w:val="0"/>
                <w:sz w:val="24"/>
                <w:szCs w:val="24"/>
                <w:highlight w:val="none"/>
                <w:lang w:eastAsia="zh-CN"/>
                <w14:textFill>
                  <w14:solidFill>
                    <w14:schemeClr w14:val="tx1"/>
                  </w14:solidFill>
                </w14:textFill>
              </w:rPr>
              <w:t>（</w:t>
            </w:r>
            <w:r>
              <w:rPr>
                <w:rFonts w:hint="default" w:ascii="Times New Roman" w:hAnsi="Times New Roman" w:eastAsia="宋体" w:cs="Times New Roman"/>
                <w:snapToGrid w:val="0"/>
                <w:color w:val="000000" w:themeColor="text1"/>
                <w:kern w:val="0"/>
                <w:sz w:val="24"/>
                <w:szCs w:val="24"/>
                <w:highlight w:val="none"/>
                <w:lang w:val="en-US" w:eastAsia="zh-CN"/>
                <w14:textFill>
                  <w14:solidFill>
                    <w14:schemeClr w14:val="tx1"/>
                  </w14:solidFill>
                </w14:textFill>
              </w:rPr>
              <w:t>2</w:t>
            </w:r>
            <w:r>
              <w:rPr>
                <w:rFonts w:hint="default" w:ascii="Times New Roman" w:hAnsi="Times New Roman" w:eastAsia="宋体" w:cs="Times New Roman"/>
                <w:snapToGrid w:val="0"/>
                <w:color w:val="000000" w:themeColor="text1"/>
                <w:kern w:val="0"/>
                <w:sz w:val="24"/>
                <w:szCs w:val="24"/>
                <w:highlight w:val="none"/>
                <w:lang w:eastAsia="zh-CN"/>
                <w14:textFill>
                  <w14:solidFill>
                    <w14:schemeClr w14:val="tx1"/>
                  </w14:solidFill>
                </w14:textFill>
              </w:rPr>
              <w:t>）项目生活污水经地埋式一体化污水处理设施处理后，用于矿区洒水降尘</w:t>
            </w:r>
            <w:r>
              <w:rPr>
                <w:rFonts w:hint="default" w:ascii="Times New Roman" w:hAnsi="Times New Roman" w:eastAsia="宋体" w:cs="Times New Roman"/>
                <w:color w:val="000000" w:themeColor="text1"/>
                <w:highlight w:val="none"/>
                <w:lang w:val="en-US" w:eastAsia="zh-CN"/>
                <w14:textFill>
                  <w14:solidFill>
                    <w14:schemeClr w14:val="tx1"/>
                  </w14:solidFill>
                </w14:textFill>
              </w:rPr>
              <w:t>。</w:t>
            </w:r>
          </w:p>
          <w:p w14:paraId="71D7AA2F">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0" w:firstLineChars="0"/>
              <w:jc w:val="both"/>
              <w:textAlignment w:val="auto"/>
              <w:outlineLvl w:val="9"/>
              <w:rPr>
                <w:rFonts w:hint="default" w:ascii="Times New Roman" w:hAnsi="Times New Roman" w:eastAsia="宋体" w:cs="Times New Roman"/>
                <w:b/>
                <w:bCs/>
                <w:color w:val="000000" w:themeColor="text1"/>
                <w:sz w:val="24"/>
                <w:szCs w:val="22"/>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2"/>
                <w:highlight w:val="none"/>
                <w:lang w:val="en-US" w:eastAsia="zh-CN"/>
                <w14:textFill>
                  <w14:solidFill>
                    <w14:schemeClr w14:val="tx1"/>
                  </w14:solidFill>
                </w14:textFill>
              </w:rPr>
              <w:t>3</w:t>
            </w:r>
            <w:r>
              <w:rPr>
                <w:rFonts w:hint="default" w:ascii="Times New Roman" w:hAnsi="Times New Roman" w:eastAsia="宋体" w:cs="Times New Roman"/>
                <w:b/>
                <w:color w:val="000000" w:themeColor="text1"/>
                <w:kern w:val="2"/>
                <w:sz w:val="24"/>
                <w:szCs w:val="24"/>
                <w:highlight w:val="none"/>
                <w:lang w:val="en-US" w:eastAsia="zh-CN" w:bidi="ar"/>
                <w14:textFill>
                  <w14:solidFill>
                    <w14:schemeClr w14:val="tx1"/>
                  </w14:solidFill>
                </w14:textFill>
              </w:rPr>
              <w:t>、</w:t>
            </w:r>
            <w:r>
              <w:rPr>
                <w:rFonts w:hint="default" w:ascii="Times New Roman" w:hAnsi="Times New Roman" w:eastAsia="宋体" w:cs="Times New Roman"/>
                <w:b/>
                <w:bCs/>
                <w:color w:val="000000" w:themeColor="text1"/>
                <w:sz w:val="24"/>
                <w:szCs w:val="22"/>
                <w:highlight w:val="none"/>
                <w:lang w:val="en-US" w:eastAsia="zh-CN"/>
                <w14:textFill>
                  <w14:solidFill>
                    <w14:schemeClr w14:val="tx1"/>
                  </w14:solidFill>
                </w14:textFill>
              </w:rPr>
              <w:t>施工期噪声污染防治措施</w:t>
            </w:r>
          </w:p>
          <w:p w14:paraId="3E6EE93D">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施工期各类机械设备的噪声值较高，因此在施工过程中，采取以下措施：</w:t>
            </w:r>
          </w:p>
          <w:p w14:paraId="1AC3ABCC">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snapToGrid w:val="0"/>
                <w:color w:val="000000" w:themeColor="text1"/>
                <w:kern w:val="0"/>
                <w:sz w:val="24"/>
                <w:szCs w:val="24"/>
                <w:highlight w:val="none"/>
                <w14:textFill>
                  <w14:solidFill>
                    <w14:schemeClr w14:val="tx1"/>
                  </w14:solidFill>
                </w14:textFill>
              </w:rPr>
              <w:t>（1）</w:t>
            </w:r>
            <w:r>
              <w:rPr>
                <w:rFonts w:hint="default" w:ascii="Times New Roman" w:hAnsi="Times New Roman" w:eastAsia="宋体" w:cs="Times New Roman"/>
                <w:color w:val="000000" w:themeColor="text1"/>
                <w:sz w:val="24"/>
                <w:highlight w:val="none"/>
                <w14:textFill>
                  <w14:solidFill>
                    <w14:schemeClr w14:val="tx1"/>
                  </w14:solidFill>
                </w14:textFill>
              </w:rPr>
              <w:t>合理安排好施工时间，尽量缩短施工期</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04FC0575">
            <w:pPr>
              <w:keepNext w:val="0"/>
              <w:keepLines w:val="0"/>
              <w:pageBreakBefore w:val="0"/>
              <w:widowControl w:val="0"/>
              <w:kinsoku/>
              <w:wordWrap/>
              <w:overflowPunct/>
              <w:topLinePunct w:val="0"/>
              <w:autoSpaceDE/>
              <w:autoSpaceDN/>
              <w:bidi w:val="0"/>
              <w:adjustRightInd/>
              <w:snapToGrid/>
              <w:spacing w:after="0" w:afterLines="0" w:line="360" w:lineRule="auto"/>
              <w:ind w:right="0" w:rightChars="0" w:firstLine="480" w:firstLineChars="200"/>
              <w:jc w:val="both"/>
              <w:textAlignment w:val="auto"/>
              <w:outlineLvl w:val="9"/>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snapToGrid w:val="0"/>
                <w:color w:val="000000" w:themeColor="text1"/>
                <w:kern w:val="0"/>
                <w:sz w:val="24"/>
                <w:szCs w:val="24"/>
                <w:highlight w:val="none"/>
                <w14:textFill>
                  <w14:solidFill>
                    <w14:schemeClr w14:val="tx1"/>
                  </w14:solidFill>
                </w14:textFill>
              </w:rPr>
              <w:t>（2）</w:t>
            </w:r>
            <w:r>
              <w:rPr>
                <w:rFonts w:hint="default" w:ascii="Times New Roman" w:hAnsi="Times New Roman" w:eastAsia="宋体" w:cs="Times New Roman"/>
                <w:color w:val="000000" w:themeColor="text1"/>
                <w:sz w:val="24"/>
                <w:szCs w:val="24"/>
                <w:highlight w:val="none"/>
                <w14:textFill>
                  <w14:solidFill>
                    <w14:schemeClr w14:val="tx1"/>
                  </w14:solidFill>
                </w14:textFill>
              </w:rPr>
              <w:t>施工单位必须选用低噪声的施工机械和运输车辆，施工设备选型时，在满足施工需要的前提下，尽可能选取噪声低、振动小、能耗小的先进设备，并避免长时间使用高噪声设备；</w:t>
            </w:r>
          </w:p>
          <w:p w14:paraId="2EBE8685">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snapToGrid w:val="0"/>
                <w:color w:val="000000" w:themeColor="text1"/>
                <w:kern w:val="0"/>
                <w:sz w:val="24"/>
                <w:szCs w:val="24"/>
                <w:highlight w:val="none"/>
                <w14:textFill>
                  <w14:solidFill>
                    <w14:schemeClr w14:val="tx1"/>
                  </w14:solidFill>
                </w14:textFill>
              </w:rPr>
              <w:t>（3）</w:t>
            </w:r>
            <w:r>
              <w:rPr>
                <w:rFonts w:hint="default" w:ascii="Times New Roman" w:hAnsi="Times New Roman" w:eastAsia="宋体" w:cs="Times New Roman"/>
                <w:color w:val="000000" w:themeColor="text1"/>
                <w:sz w:val="24"/>
                <w:highlight w:val="none"/>
                <w14:textFill>
                  <w14:solidFill>
                    <w14:schemeClr w14:val="tx1"/>
                  </w14:solidFill>
                </w14:textFill>
              </w:rPr>
              <w:t>加强施工设备的维护保养，发生故障应及时维修，保持润滑、紧固各部件，减少运行振动噪声；施工机械设备应安放稳固，并与地面保持良好接触，有条件的应使用减振机座。加强施工管理、文明施工，杜绝施工机械在运行过程中因维护不当而产生的其他噪声</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70911215">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snapToGrid w:val="0"/>
                <w:color w:val="000000" w:themeColor="text1"/>
                <w:kern w:val="0"/>
                <w:sz w:val="24"/>
                <w:szCs w:val="24"/>
                <w:highlight w:val="none"/>
                <w14:textFill>
                  <w14:solidFill>
                    <w14:schemeClr w14:val="tx1"/>
                  </w14:solidFill>
                </w14:textFill>
              </w:rPr>
              <w:t>（4）</w:t>
            </w:r>
            <w:r>
              <w:rPr>
                <w:rFonts w:hint="default" w:ascii="Times New Roman" w:hAnsi="Times New Roman" w:eastAsia="宋体" w:cs="Times New Roman"/>
                <w:color w:val="000000" w:themeColor="text1"/>
                <w:kern w:val="24"/>
                <w:sz w:val="24"/>
                <w:highlight w:val="none"/>
                <w:lang w:val="zh-CN"/>
                <w14:textFill>
                  <w14:solidFill>
                    <w14:schemeClr w14:val="tx1"/>
                  </w14:solidFill>
                </w14:textFill>
              </w:rPr>
              <w:t>加强对现场工作人员进行培训，严格按操作规范使用各类机械设备</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3DB0256D">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snapToGrid w:val="0"/>
                <w:color w:val="000000" w:themeColor="text1"/>
                <w:kern w:val="0"/>
                <w:sz w:val="24"/>
                <w:szCs w:val="24"/>
                <w:highlight w:val="none"/>
                <w14:textFill>
                  <w14:solidFill>
                    <w14:schemeClr w14:val="tx1"/>
                  </w14:solidFill>
                </w14:textFill>
              </w:rPr>
              <w:t>（5）</w:t>
            </w:r>
            <w:r>
              <w:rPr>
                <w:rFonts w:hint="default" w:ascii="Times New Roman" w:hAnsi="Times New Roman" w:eastAsia="宋体" w:cs="Times New Roman"/>
                <w:color w:val="000000" w:themeColor="text1"/>
                <w:sz w:val="24"/>
                <w:highlight w:val="none"/>
                <w14:textFill>
                  <w14:solidFill>
                    <w14:schemeClr w14:val="tx1"/>
                  </w14:solidFill>
                </w14:textFill>
              </w:rPr>
              <w:t>为保护施工人员的健康，施工单位要合理安排工作人员，轮流操作高强度噪声的施工机械，减少接触高噪声施工机械的时间，或穿插安排操作高噪声和低噪声施工机械的工作。加强对施工人员的个人防护，对高噪声机械设备附近工作的施工人员，可采取配备耳塞、耳机、防声头盔等防噪用具</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737D9AFF">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snapToGrid w:val="0"/>
                <w:color w:val="000000" w:themeColor="text1"/>
                <w:kern w:val="0"/>
                <w:sz w:val="24"/>
                <w:szCs w:val="24"/>
                <w:highlight w:val="none"/>
                <w14:textFill>
                  <w14:solidFill>
                    <w14:schemeClr w14:val="tx1"/>
                  </w14:solidFill>
                </w14:textFill>
              </w:rPr>
              <w:t>（6）</w:t>
            </w:r>
            <w:r>
              <w:rPr>
                <w:rFonts w:hint="default" w:ascii="Times New Roman" w:hAnsi="Times New Roman" w:eastAsia="宋体" w:cs="Times New Roman"/>
                <w:color w:val="000000" w:themeColor="text1"/>
                <w:sz w:val="24"/>
                <w:szCs w:val="24"/>
                <w:highlight w:val="none"/>
                <w14:textFill>
                  <w14:solidFill>
                    <w14:schemeClr w14:val="tx1"/>
                  </w14:solidFill>
                </w14:textFill>
              </w:rPr>
              <w:t>加强施工期间道路交通的管理，保持道路畅通也是减缓施工期噪声影响的重要手段。</w:t>
            </w:r>
          </w:p>
          <w:p w14:paraId="53F585F7">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0" w:firstLineChars="0"/>
              <w:jc w:val="both"/>
              <w:textAlignment w:val="auto"/>
              <w:outlineLvl w:val="9"/>
              <w:rPr>
                <w:rFonts w:hint="default" w:ascii="Times New Roman" w:hAnsi="Times New Roman" w:eastAsia="宋体" w:cs="Times New Roman"/>
                <w:b/>
                <w:bCs/>
                <w:color w:val="000000" w:themeColor="text1"/>
                <w:sz w:val="24"/>
                <w:szCs w:val="22"/>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2"/>
                <w:highlight w:val="none"/>
                <w:lang w:val="en-US" w:eastAsia="zh-CN"/>
                <w14:textFill>
                  <w14:solidFill>
                    <w14:schemeClr w14:val="tx1"/>
                  </w14:solidFill>
                </w14:textFill>
              </w:rPr>
              <w:t>4</w:t>
            </w:r>
            <w:r>
              <w:rPr>
                <w:rFonts w:hint="default" w:ascii="Times New Roman" w:hAnsi="Times New Roman" w:eastAsia="宋体" w:cs="Times New Roman"/>
                <w:b/>
                <w:color w:val="000000" w:themeColor="text1"/>
                <w:kern w:val="2"/>
                <w:sz w:val="24"/>
                <w:szCs w:val="24"/>
                <w:highlight w:val="none"/>
                <w:lang w:val="en-US" w:eastAsia="zh-CN" w:bidi="ar"/>
                <w14:textFill>
                  <w14:solidFill>
                    <w14:schemeClr w14:val="tx1"/>
                  </w14:solidFill>
                </w14:textFill>
              </w:rPr>
              <w:t>、</w:t>
            </w:r>
            <w:r>
              <w:rPr>
                <w:rFonts w:hint="default" w:ascii="Times New Roman" w:hAnsi="Times New Roman" w:eastAsia="宋体" w:cs="Times New Roman"/>
                <w:b/>
                <w:bCs/>
                <w:color w:val="000000" w:themeColor="text1"/>
                <w:sz w:val="24"/>
                <w:szCs w:val="22"/>
                <w:highlight w:val="none"/>
                <w:lang w:val="en-US" w:eastAsia="zh-CN"/>
                <w14:textFill>
                  <w14:solidFill>
                    <w14:schemeClr w14:val="tx1"/>
                  </w14:solidFill>
                </w14:textFill>
              </w:rPr>
              <w:t>施工期固体废物污染防治措施</w:t>
            </w:r>
          </w:p>
          <w:p w14:paraId="016BC4F4">
            <w:pPr>
              <w:keepNext w:val="0"/>
              <w:keepLines w:val="0"/>
              <w:pageBreakBefore w:val="0"/>
              <w:widowControl w:val="0"/>
              <w:kinsoku/>
              <w:wordWrap/>
              <w:overflowPunct/>
              <w:topLinePunct w:val="0"/>
              <w:autoSpaceDE/>
              <w:autoSpaceDN/>
              <w:bidi w:val="0"/>
              <w:adjustRightInd/>
              <w:snapToGrid/>
              <w:spacing w:after="0" w:afterLines="0" w:line="360" w:lineRule="auto"/>
              <w:ind w:firstLine="480" w:firstLineChars="200"/>
              <w:jc w:val="both"/>
              <w:textAlignment w:val="auto"/>
              <w:outlineLvl w:val="9"/>
              <w:rPr>
                <w:rFonts w:hint="default" w:ascii="Times New Roman" w:hAnsi="Times New Roman" w:eastAsia="宋体" w:cs="Times New Roman"/>
                <w:snapToGrid w:val="0"/>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0"/>
                <w:sz w:val="24"/>
                <w:szCs w:val="24"/>
                <w:highlight w:val="none"/>
                <w:lang w:val="en-US" w:eastAsia="zh-CN"/>
                <w14:textFill>
                  <w14:solidFill>
                    <w14:schemeClr w14:val="tx1"/>
                  </w14:solidFill>
                </w14:textFill>
              </w:rPr>
              <w:t>施工区垃圾具有分散、不易收集等特点，对其处理措施有以下几方面：</w:t>
            </w:r>
          </w:p>
          <w:p w14:paraId="19610157">
            <w:pPr>
              <w:keepNext w:val="0"/>
              <w:keepLines w:val="0"/>
              <w:pageBreakBefore w:val="0"/>
              <w:widowControl w:val="0"/>
              <w:numPr>
                <w:ilvl w:val="0"/>
                <w:numId w:val="0"/>
              </w:numPr>
              <w:kinsoku/>
              <w:wordWrap/>
              <w:overflowPunct/>
              <w:topLinePunct w:val="0"/>
              <w:autoSpaceDE/>
              <w:autoSpaceDN/>
              <w:bidi w:val="0"/>
              <w:adjustRightInd/>
              <w:snapToGrid/>
              <w:spacing w:after="0" w:afterLines="0" w:line="360" w:lineRule="auto"/>
              <w:ind w:left="0" w:leftChars="0" w:firstLine="480" w:firstLineChars="200"/>
              <w:jc w:val="both"/>
              <w:textAlignment w:val="auto"/>
              <w:outlineLvl w:val="9"/>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（1）</w:t>
            </w:r>
            <w:r>
              <w:rPr>
                <w:rFonts w:hint="default" w:ascii="Times New Roman" w:hAnsi="Times New Roman" w:eastAsia="宋体" w:cs="Times New Roman"/>
                <w:color w:val="000000" w:themeColor="text1"/>
                <w:sz w:val="24"/>
                <w:szCs w:val="24"/>
                <w:highlight w:val="none"/>
                <w14:textFill>
                  <w14:solidFill>
                    <w14:schemeClr w14:val="tx1"/>
                  </w14:solidFill>
                </w14:textFill>
              </w:rPr>
              <w:t>施工期间有部分施工垃圾</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收集后堆放于指定地点，</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由</w:t>
            </w:r>
            <w:r>
              <w:rPr>
                <w:rFonts w:hint="default" w:ascii="Times New Roman" w:hAnsi="Times New Roman" w:eastAsia="宋体" w:cs="Times New Roman"/>
                <w:color w:val="000000" w:themeColor="text1"/>
                <w:sz w:val="24"/>
                <w:szCs w:val="24"/>
                <w:highlight w:val="none"/>
                <w14:textFill>
                  <w14:solidFill>
                    <w14:schemeClr w14:val="tx1"/>
                  </w14:solidFill>
                </w14:textFill>
              </w:rPr>
              <w:t>施工方统一清运</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至</w:t>
            </w:r>
            <w:r>
              <w:rPr>
                <w:rFonts w:hint="default" w:ascii="Times New Roman" w:hAnsi="Times New Roman" w:eastAsia="宋体" w:cs="Times New Roman"/>
                <w:b w:val="0"/>
                <w:color w:val="000000" w:themeColor="text1"/>
                <w:kern w:val="2"/>
                <w:sz w:val="24"/>
                <w:szCs w:val="24"/>
                <w:highlight w:val="none"/>
                <w:lang w:val="en-US" w:eastAsia="zh-CN" w:bidi="ar-SA"/>
                <w14:textFill>
                  <w14:solidFill>
                    <w14:schemeClr w14:val="tx1"/>
                  </w14:solidFill>
                </w14:textFill>
              </w:rPr>
              <w:t>当地</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建筑垃圾场进行处理</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p w14:paraId="030A24BB">
            <w:pPr>
              <w:keepNext w:val="0"/>
              <w:keepLines w:val="0"/>
              <w:pageBreakBefore w:val="0"/>
              <w:widowControl w:val="0"/>
              <w:numPr>
                <w:ilvl w:val="0"/>
                <w:numId w:val="0"/>
              </w:numPr>
              <w:kinsoku/>
              <w:wordWrap/>
              <w:overflowPunct/>
              <w:topLinePunct w:val="0"/>
              <w:autoSpaceDE/>
              <w:autoSpaceDN/>
              <w:bidi w:val="0"/>
              <w:adjustRightInd/>
              <w:snapToGrid/>
              <w:spacing w:after="0" w:afterLines="0" w:line="360" w:lineRule="auto"/>
              <w:ind w:left="0" w:leftChars="0" w:firstLine="480" w:firstLineChars="200"/>
              <w:jc w:val="both"/>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（2）</w:t>
            </w:r>
            <w:r>
              <w:rPr>
                <w:rFonts w:hint="default" w:ascii="Times New Roman" w:hAnsi="Times New Roman" w:eastAsia="宋体" w:cs="Times New Roman"/>
                <w:color w:val="000000" w:themeColor="text1"/>
                <w:sz w:val="24"/>
                <w:szCs w:val="24"/>
                <w:highlight w:val="none"/>
                <w14:textFill>
                  <w14:solidFill>
                    <w14:schemeClr w14:val="tx1"/>
                  </w14:solidFill>
                </w14:textFill>
              </w:rPr>
              <w:t>施工期产生的施工剥离表土</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堆放在表土堆场用于后期回填覆土，沉淀池开挖土方</w:t>
            </w:r>
            <w:r>
              <w:rPr>
                <w:rFonts w:hint="default" w:ascii="Times New Roman" w:hAnsi="Times New Roman" w:eastAsia="宋体" w:cs="Times New Roman"/>
                <w:color w:val="000000" w:themeColor="text1"/>
                <w:sz w:val="24"/>
                <w:szCs w:val="24"/>
                <w:highlight w:val="none"/>
                <w14:textFill>
                  <w14:solidFill>
                    <w14:schemeClr w14:val="tx1"/>
                  </w14:solidFill>
                </w14:textFill>
              </w:rPr>
              <w:t>用于道路</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基础</w:t>
            </w:r>
            <w:r>
              <w:rPr>
                <w:rFonts w:hint="default" w:ascii="Times New Roman" w:hAnsi="Times New Roman" w:eastAsia="宋体" w:cs="Times New Roman"/>
                <w:color w:val="000000" w:themeColor="text1"/>
                <w:sz w:val="24"/>
                <w:szCs w:val="24"/>
                <w:highlight w:val="none"/>
                <w14:textFill>
                  <w14:solidFill>
                    <w14:schemeClr w14:val="tx1"/>
                  </w14:solidFill>
                </w14:textFill>
              </w:rPr>
              <w:t>铺垫，矿区工业场所平整</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 xml:space="preserve">全部综合利用，无弃方。 </w:t>
            </w:r>
          </w:p>
          <w:p w14:paraId="4D63F668">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80" w:firstLineChars="200"/>
              <w:jc w:val="both"/>
              <w:textAlignment w:val="auto"/>
              <w:outlineLvl w:val="9"/>
              <w:rPr>
                <w:rFonts w:hint="default" w:ascii="Times New Roman" w:hAnsi="Times New Roman" w:eastAsia="宋体" w:cs="Times New Roman"/>
                <w:snapToGrid w:val="0"/>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0"/>
                <w:sz w:val="24"/>
                <w:szCs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车辆运输散体物料和废弃物时，必须密闭、包扎、覆盖，不得沿途漏撒；运载土方的车辆必须在规定的时间内，按</w:t>
            </w:r>
            <w:r>
              <w:rPr>
                <w:rFonts w:hint="default" w:ascii="Times New Roman" w:hAnsi="Times New Roman" w:eastAsia="宋体" w:cs="Times New Roman"/>
                <w:color w:val="000000" w:themeColor="text1"/>
                <w:highlight w:val="none"/>
                <w:lang w:val="en-US" w:eastAsia="zh-CN"/>
                <w14:textFill>
                  <w14:solidFill>
                    <w14:schemeClr w14:val="tx1"/>
                  </w14:solidFill>
                </w14:textFill>
              </w:rPr>
              <w:t>固定</w:t>
            </w:r>
            <w:r>
              <w:rPr>
                <w:rFonts w:hint="default" w:ascii="Times New Roman" w:hAnsi="Times New Roman" w:eastAsia="宋体" w:cs="Times New Roman"/>
                <w:color w:val="000000" w:themeColor="text1"/>
                <w:sz w:val="24"/>
                <w:szCs w:val="24"/>
                <w:highlight w:val="none"/>
                <w14:textFill>
                  <w14:solidFill>
                    <w14:schemeClr w14:val="tx1"/>
                  </w14:solidFill>
                </w14:textFill>
              </w:rPr>
              <w:t>路段行驶</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p>
          <w:p w14:paraId="7933CDFC">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80" w:firstLineChars="200"/>
              <w:jc w:val="both"/>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0"/>
                <w:sz w:val="24"/>
                <w:szCs w:val="24"/>
                <w:highlight w:val="none"/>
                <w:lang w:val="en-US" w:eastAsia="zh-CN"/>
                <w14:textFill>
                  <w14:solidFill>
                    <w14:schemeClr w14:val="tx1"/>
                  </w14:solidFill>
                </w14:textFill>
              </w:rPr>
              <w:t>（4）做好垃圾收集工作，统一清运至当地城管部门指定的垃圾处理场中，避免由于</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垃圾处置不当而造成二次污染。</w:t>
            </w:r>
          </w:p>
          <w:p w14:paraId="1EDA794F">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80" w:firstLineChars="200"/>
              <w:jc w:val="both"/>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（5）每个施工区作业结束后，要及时、全面地进行清场工作，不得遗留有垃圾。</w:t>
            </w:r>
          </w:p>
          <w:p w14:paraId="72514763">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80" w:firstLineChars="200"/>
              <w:jc w:val="both"/>
              <w:textAlignment w:val="auto"/>
              <w:outlineLvl w:val="9"/>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6</w:t>
            </w:r>
            <w:r>
              <w:rPr>
                <w:rFonts w:hint="default" w:ascii="Times New Roman" w:hAnsi="Times New Roman" w:eastAsia="宋体" w:cs="Times New Roman"/>
                <w:color w:val="000000" w:themeColor="text1"/>
                <w:sz w:val="24"/>
                <w:szCs w:val="24"/>
                <w:highlight w:val="none"/>
                <w14:textFill>
                  <w14:solidFill>
                    <w14:schemeClr w14:val="tx1"/>
                  </w14:solidFill>
                </w14:textFill>
              </w:rPr>
              <w:t>）做好环保宣传工作，工程产生的弃渣严禁随意堆放</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p>
          <w:p w14:paraId="6DA716CB">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80" w:firstLineChars="200"/>
              <w:jc w:val="both"/>
              <w:textAlignment w:val="auto"/>
              <w:outlineLvl w:val="9"/>
              <w:rPr>
                <w:rFonts w:hint="default" w:ascii="Times New Roman" w:hAnsi="Times New Roman" w:eastAsia="宋体" w:cs="Times New Roman"/>
                <w:snapToGrid w:val="0"/>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7</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snapToGrid w:val="0"/>
                <w:color w:val="000000" w:themeColor="text1"/>
                <w:kern w:val="0"/>
                <w:sz w:val="24"/>
                <w:szCs w:val="24"/>
                <w:highlight w:val="none"/>
                <w:lang w:val="en-US" w:eastAsia="zh-CN"/>
                <w14:textFill>
                  <w14:solidFill>
                    <w14:schemeClr w14:val="tx1"/>
                  </w14:solidFill>
                </w14:textFill>
              </w:rPr>
              <w:t>生活垃圾根据垃圾成分特点，对垃圾安排专人进行分类收集后集中外运处理。设立固定垃圾收集点，由建设单位定期将生活垃圾运</w:t>
            </w:r>
            <w:r>
              <w:rPr>
                <w:rFonts w:hint="default" w:ascii="Times New Roman" w:hAnsi="Times New Roman" w:eastAsia="宋体" w:cs="Times New Roman"/>
                <w:color w:val="000000" w:themeColor="text1"/>
                <w:highlight w:val="none"/>
                <w:lang w:val="en-US" w:eastAsia="zh-CN"/>
                <w14:textFill>
                  <w14:solidFill>
                    <w14:schemeClr w14:val="tx1"/>
                  </w14:solidFill>
                </w14:textFill>
              </w:rPr>
              <w:t>至</w:t>
            </w:r>
            <w:r>
              <w:rPr>
                <w:rFonts w:hint="default" w:ascii="Times New Roman" w:hAnsi="Times New Roman" w:eastAsia="宋体" w:cs="Times New Roman"/>
                <w:snapToGrid w:val="0"/>
                <w:color w:val="000000" w:themeColor="text1"/>
                <w:kern w:val="0"/>
                <w:sz w:val="24"/>
                <w:szCs w:val="24"/>
                <w:highlight w:val="none"/>
                <w:lang w:val="en-US" w:eastAsia="zh-CN"/>
                <w14:textFill>
                  <w14:solidFill>
                    <w14:schemeClr w14:val="tx1"/>
                  </w14:solidFill>
                </w14:textFill>
              </w:rPr>
              <w:t xml:space="preserve">垃圾填埋场处理。 </w:t>
            </w:r>
          </w:p>
          <w:p w14:paraId="40B55376">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0" w:firstLineChars="0"/>
              <w:jc w:val="both"/>
              <w:textAlignment w:val="auto"/>
              <w:outlineLvl w:val="9"/>
              <w:rPr>
                <w:rFonts w:hint="default" w:ascii="Times New Roman" w:hAnsi="Times New Roman" w:eastAsia="宋体" w:cs="Times New Roman"/>
                <w:b/>
                <w:bCs/>
                <w:color w:val="000000" w:themeColor="text1"/>
                <w:sz w:val="24"/>
                <w:szCs w:val="22"/>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2"/>
                <w:highlight w:val="none"/>
                <w:lang w:val="en-US" w:eastAsia="zh-CN"/>
                <w14:textFill>
                  <w14:solidFill>
                    <w14:schemeClr w14:val="tx1"/>
                  </w14:solidFill>
                </w14:textFill>
              </w:rPr>
              <w:t>5</w:t>
            </w:r>
            <w:r>
              <w:rPr>
                <w:rFonts w:hint="default" w:ascii="Times New Roman" w:hAnsi="Times New Roman" w:eastAsia="宋体" w:cs="Times New Roman"/>
                <w:b/>
                <w:color w:val="000000" w:themeColor="text1"/>
                <w:kern w:val="2"/>
                <w:sz w:val="24"/>
                <w:szCs w:val="24"/>
                <w:highlight w:val="none"/>
                <w:lang w:val="en-US" w:eastAsia="zh-CN" w:bidi="ar"/>
                <w14:textFill>
                  <w14:solidFill>
                    <w14:schemeClr w14:val="tx1"/>
                  </w14:solidFill>
                </w14:textFill>
              </w:rPr>
              <w:t>、</w:t>
            </w:r>
            <w:r>
              <w:rPr>
                <w:rFonts w:hint="default" w:ascii="Times New Roman" w:hAnsi="Times New Roman" w:eastAsia="宋体" w:cs="Times New Roman"/>
                <w:b/>
                <w:bCs/>
                <w:color w:val="000000" w:themeColor="text1"/>
                <w:sz w:val="24"/>
                <w:szCs w:val="22"/>
                <w:highlight w:val="none"/>
                <w:lang w:val="en-US" w:eastAsia="zh-CN"/>
                <w14:textFill>
                  <w14:solidFill>
                    <w14:schemeClr w14:val="tx1"/>
                  </w14:solidFill>
                </w14:textFill>
              </w:rPr>
              <w:t>施工期生态环境影响防治措施</w:t>
            </w:r>
          </w:p>
          <w:p w14:paraId="28B4DF03">
            <w:pPr>
              <w:pStyle w:val="23"/>
              <w:pageBreakBefore w:val="0"/>
              <w:numPr>
                <w:ilvl w:val="0"/>
                <w:numId w:val="0"/>
              </w:numPr>
              <w:kinsoku/>
              <w:wordWrap/>
              <w:bidi w:val="0"/>
              <w:spacing w:after="0" w:afterLines="0" w:line="360" w:lineRule="auto"/>
              <w:ind w:leftChars="0"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（1）避让及减缓措施</w:t>
            </w:r>
          </w:p>
          <w:p w14:paraId="6480D1F0">
            <w:pPr>
              <w:pStyle w:val="23"/>
              <w:pageBreakBefore w:val="0"/>
              <w:numPr>
                <w:ilvl w:val="0"/>
                <w:numId w:val="0"/>
              </w:numPr>
              <w:kinsoku/>
              <w:wordWrap/>
              <w:bidi w:val="0"/>
              <w:spacing w:after="0" w:afterLines="0" w:line="360" w:lineRule="auto"/>
              <w:ind w:leftChars="0"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①严格限制施工活动范围，禁止施工车辆在规划的道路以外超范围行驶，禁止施工机械碾压非施工区域，减少对土壤、植被的破坏，减少水土流失。</w:t>
            </w:r>
          </w:p>
          <w:p w14:paraId="47114D88">
            <w:pPr>
              <w:pStyle w:val="23"/>
              <w:pageBreakBefore w:val="0"/>
              <w:numPr>
                <w:ilvl w:val="0"/>
                <w:numId w:val="0"/>
              </w:numPr>
              <w:kinsoku/>
              <w:wordWrap/>
              <w:bidi w:val="0"/>
              <w:spacing w:after="0" w:afterLines="0" w:line="360" w:lineRule="auto"/>
              <w:ind w:leftChars="0"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②为了减少施工临时征地，避免对施工区域内的草场造成破坏，本次施工临时道路沿拟建矿山道路红线布设，施工营地布设在工业广场划定区域内，施工结束后，施工临时道路作为矿山道路继续使用，施工营地作为生产办公用房继续使用。</w:t>
            </w:r>
          </w:p>
          <w:p w14:paraId="78C21753">
            <w:pPr>
              <w:pStyle w:val="23"/>
              <w:pageBreakBefore w:val="0"/>
              <w:numPr>
                <w:ilvl w:val="0"/>
                <w:numId w:val="0"/>
              </w:numPr>
              <w:kinsoku/>
              <w:wordWrap/>
              <w:bidi w:val="0"/>
              <w:spacing w:after="0" w:afterLines="0" w:line="360" w:lineRule="auto"/>
              <w:ind w:leftChars="0"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③施工过程中，加强施工人员的管理，禁止施工人员滥砍滥伐，严禁砍伐灌木植被作燃料。</w:t>
            </w:r>
          </w:p>
          <w:p w14:paraId="48EAD36A">
            <w:pPr>
              <w:pStyle w:val="23"/>
              <w:pageBreakBefore w:val="0"/>
              <w:numPr>
                <w:ilvl w:val="0"/>
                <w:numId w:val="0"/>
              </w:numPr>
              <w:kinsoku/>
              <w:wordWrap/>
              <w:bidi w:val="0"/>
              <w:spacing w:after="0" w:afterLines="0" w:line="360" w:lineRule="auto"/>
              <w:ind w:leftChars="0"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（2）恢复及补偿措施</w:t>
            </w:r>
          </w:p>
          <w:p w14:paraId="0E7FDA67">
            <w:pPr>
              <w:pStyle w:val="23"/>
              <w:pageBreakBefore w:val="0"/>
              <w:numPr>
                <w:ilvl w:val="0"/>
                <w:numId w:val="0"/>
              </w:numPr>
              <w:kinsoku/>
              <w:wordWrap/>
              <w:bidi w:val="0"/>
              <w:spacing w:after="0" w:afterLines="0" w:line="360" w:lineRule="auto"/>
              <w:ind w:leftChars="0"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①项目施工期对可利用的表土进行剥离，剥离后的表土运送到矿区东侧表土堆场临时堆存，用于后期矿山生态恢复使用。</w:t>
            </w:r>
          </w:p>
          <w:p w14:paraId="09D5BA04">
            <w:pPr>
              <w:pStyle w:val="23"/>
              <w:pageBreakBefore w:val="0"/>
              <w:numPr>
                <w:ilvl w:val="0"/>
                <w:numId w:val="0"/>
              </w:numPr>
              <w:kinsoku/>
              <w:wordWrap/>
              <w:bidi w:val="0"/>
              <w:spacing w:after="0" w:afterLines="0" w:line="360" w:lineRule="auto"/>
              <w:ind w:leftChars="0"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②施工前要按照国家和自治区规定办理相关手续，对草场损失补偿缴纳足额的占地补偿金，项目服务期满后，严格按照指定的复垦方案及《矿山生态环境保护与污染防治技术政策》及《砂石行业绿色矿山建设规范》对项目区进行土地平整并播撒草籽进行生态恢复，优先采用原生表土及乡土物种进行恢复，减轻项目建设对项目区域生态环境的影响。</w:t>
            </w:r>
          </w:p>
          <w:p w14:paraId="335F7EEE">
            <w:pPr>
              <w:pStyle w:val="23"/>
              <w:pageBreakBefore w:val="0"/>
              <w:numPr>
                <w:ilvl w:val="0"/>
                <w:numId w:val="0"/>
              </w:numPr>
              <w:kinsoku/>
              <w:wordWrap/>
              <w:bidi w:val="0"/>
              <w:spacing w:after="0" w:afterLines="0" w:line="360" w:lineRule="auto"/>
              <w:ind w:leftChars="0"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3）设置洒水车对施工道路进行洒水降尘；将施工粉料加盖篷布实行全封闭，禁止露天堆存；禁止在大风大雨等恶劣天气下施工作业，保证项目施工区域粉尘达标排放，减少矿区粉尘对项目区外天然草场的影响。</w:t>
            </w:r>
          </w:p>
          <w:p w14:paraId="14F41284">
            <w:pPr>
              <w:keepNext w:val="0"/>
              <w:keepLines w:val="0"/>
              <w:pageBreakBefore w:val="0"/>
              <w:widowControl w:val="0"/>
              <w:numPr>
                <w:ilvl w:val="0"/>
                <w:numId w:val="0"/>
              </w:numPr>
              <w:kinsoku/>
              <w:wordWrap/>
              <w:overflowPunct/>
              <w:topLinePunct w:val="0"/>
              <w:autoSpaceDE/>
              <w:autoSpaceDN/>
              <w:bidi w:val="0"/>
              <w:adjustRightInd/>
              <w:snapToGrid/>
              <w:spacing w:after="0" w:afterLines="0" w:line="360" w:lineRule="auto"/>
              <w:ind w:right="0" w:rightChars="0" w:firstLine="480" w:firstLineChars="200"/>
              <w:jc w:val="both"/>
              <w:textAlignment w:val="auto"/>
              <w:outlineLvl w:val="9"/>
              <w:rPr>
                <w:rFonts w:hint="default" w:ascii="Times New Roman" w:hAnsi="Times New Roman" w:eastAsia="宋体" w:cs="Times New Roman"/>
                <w:snapToGrid w:val="0"/>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0"/>
                <w:sz w:val="24"/>
                <w:szCs w:val="24"/>
                <w:highlight w:val="none"/>
                <w:lang w:val="en-US" w:eastAsia="zh-CN"/>
                <w14:textFill>
                  <w14:solidFill>
                    <w14:schemeClr w14:val="tx1"/>
                  </w14:solidFill>
                </w14:textFill>
              </w:rPr>
              <w:t>（4）在施工期应对原料堆场、施工场地、机械设备及运输车辆的行走路线作好规划工作，尽量减少临时用地数量和面积。</w:t>
            </w:r>
          </w:p>
          <w:p w14:paraId="71CBF9F5">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80" w:firstLineChars="200"/>
              <w:jc w:val="both"/>
              <w:textAlignment w:val="auto"/>
              <w:outlineLvl w:val="9"/>
              <w:rPr>
                <w:rFonts w:hint="default" w:ascii="Times New Roman" w:hAnsi="Times New Roman" w:eastAsia="宋体" w:cs="Times New Roman"/>
                <w:snapToGrid w:val="0"/>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0"/>
                <w:sz w:val="24"/>
                <w:szCs w:val="24"/>
                <w:highlight w:val="none"/>
                <w:lang w:val="en-US" w:eastAsia="zh-CN"/>
                <w14:textFill>
                  <w14:solidFill>
                    <w14:schemeClr w14:val="tx1"/>
                  </w14:solidFill>
                </w14:textFill>
              </w:rPr>
              <w:t>（5）在施工中应尽量减少裸地的占地面积，在施工合同中应有明确的环保目标和相应条款。对大的挖方地段应予以适当处理，以利于自然状态的恢复，避免造成水土流失。</w:t>
            </w:r>
          </w:p>
          <w:p w14:paraId="3FFDDE5A">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snapToGrid w:val="0"/>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0"/>
                <w:sz w:val="24"/>
                <w:szCs w:val="24"/>
                <w:highlight w:val="none"/>
                <w:lang w:val="en-US" w:eastAsia="zh-CN"/>
                <w14:textFill>
                  <w14:solidFill>
                    <w14:schemeClr w14:val="tx1"/>
                  </w14:solidFill>
                </w14:textFill>
              </w:rPr>
              <w:t>（6）加强工程建设的环境保护监督管理、统筹安排，设立环境保护监督机构和环保专职人员。加强对施工人员的环保教育。</w:t>
            </w:r>
          </w:p>
          <w:p w14:paraId="0FD86F0A">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0" w:firstLineChars="0"/>
              <w:jc w:val="both"/>
              <w:textAlignment w:val="auto"/>
              <w:outlineLvl w:val="9"/>
              <w:rPr>
                <w:rFonts w:hint="default" w:ascii="Times New Roman" w:hAnsi="Times New Roman" w:eastAsia="宋体" w:cs="Times New Roman"/>
                <w:b/>
                <w:bCs/>
                <w:color w:val="000000" w:themeColor="text1"/>
                <w:sz w:val="24"/>
                <w:szCs w:val="22"/>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2"/>
                <w:highlight w:val="none"/>
                <w:lang w:val="en-US" w:eastAsia="zh-CN"/>
                <w14:textFill>
                  <w14:solidFill>
                    <w14:schemeClr w14:val="tx1"/>
                  </w14:solidFill>
                </w14:textFill>
              </w:rPr>
              <w:t>6、施工期防沙治沙防治措施</w:t>
            </w:r>
          </w:p>
          <w:p w14:paraId="3A1E88C3">
            <w:pPr>
              <w:keepNext w:val="0"/>
              <w:keepLines w:val="0"/>
              <w:pageBreakBefore w:val="0"/>
              <w:widowControl w:val="0"/>
              <w:suppressLineNumbers w:val="0"/>
              <w:kinsoku/>
              <w:wordWrap/>
              <w:overflowPunct w:val="0"/>
              <w:topLinePunct w:val="0"/>
              <w:autoSpaceDE w:val="0"/>
              <w:autoSpaceDN/>
              <w:bidi w:val="0"/>
              <w:adjustRightInd/>
              <w:snapToGrid/>
              <w:spacing w:before="0" w:beforeAutospacing="0" w:after="0" w:afterLines="0" w:afterAutospacing="0" w:line="360" w:lineRule="auto"/>
              <w:ind w:left="0" w:right="0" w:firstLine="480" w:firstLineChars="200"/>
              <w:jc w:val="both"/>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本项目为</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建筑用砂</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矿建设项目</w:t>
            </w:r>
            <w:r>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，施工期间若不注重水土保持，生态保护，可能造成土地荒漠化，引起沙尘天气。根据《防沙治沙技术规范》（GB/T21141-2007），本项目建议采取以下治理措施：</w:t>
            </w:r>
          </w:p>
          <w:p w14:paraId="601B42CC">
            <w:pPr>
              <w:keepNext w:val="0"/>
              <w:keepLines w:val="0"/>
              <w:pageBreakBefore w:val="0"/>
              <w:widowControl w:val="0"/>
              <w:suppressLineNumbers w:val="0"/>
              <w:kinsoku/>
              <w:wordWrap/>
              <w:overflowPunct w:val="0"/>
              <w:topLinePunct w:val="0"/>
              <w:autoSpaceDE w:val="0"/>
              <w:autoSpaceDN/>
              <w:bidi w:val="0"/>
              <w:adjustRightInd/>
              <w:snapToGrid/>
              <w:spacing w:before="0" w:beforeAutospacing="0" w:after="0" w:afterLines="0" w:afterAutospacing="0" w:line="360" w:lineRule="auto"/>
              <w:ind w:left="0" w:right="0" w:firstLine="480" w:firstLineChars="200"/>
              <w:jc w:val="both"/>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（1）工程措施</w:t>
            </w:r>
          </w:p>
          <w:p w14:paraId="05EF6374">
            <w:pPr>
              <w:keepNext w:val="0"/>
              <w:keepLines w:val="0"/>
              <w:pageBreakBefore w:val="0"/>
              <w:widowControl w:val="0"/>
              <w:suppressLineNumbers w:val="0"/>
              <w:kinsoku/>
              <w:wordWrap/>
              <w:overflowPunct w:val="0"/>
              <w:topLinePunct w:val="0"/>
              <w:autoSpaceDE w:val="0"/>
              <w:autoSpaceDN/>
              <w:bidi w:val="0"/>
              <w:adjustRightInd/>
              <w:snapToGrid/>
              <w:spacing w:before="0" w:beforeAutospacing="0" w:after="0" w:afterLines="0" w:afterAutospacing="0" w:line="360" w:lineRule="auto"/>
              <w:ind w:left="0" w:right="0" w:firstLine="480" w:firstLineChars="200"/>
              <w:jc w:val="both"/>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①采矿过程中，特别是建场初期，要产生大量采剥表土，必须将集中堆放于矿区表土堆场，设置截水沟，防止地表水流入场内浸泡、冲刷边坡，慎防水土流失，以备生态恢复时用。</w:t>
            </w:r>
          </w:p>
          <w:p w14:paraId="55151DB3">
            <w:pPr>
              <w:keepNext w:val="0"/>
              <w:keepLines w:val="0"/>
              <w:pageBreakBefore w:val="0"/>
              <w:widowControl w:val="0"/>
              <w:suppressLineNumbers w:val="0"/>
              <w:kinsoku/>
              <w:wordWrap/>
              <w:overflowPunct w:val="0"/>
              <w:topLinePunct w:val="0"/>
              <w:autoSpaceDE w:val="0"/>
              <w:autoSpaceDN/>
              <w:bidi w:val="0"/>
              <w:adjustRightInd/>
              <w:snapToGrid/>
              <w:spacing w:before="0" w:beforeAutospacing="0" w:after="0" w:afterLines="0" w:afterAutospacing="0" w:line="360" w:lineRule="auto"/>
              <w:ind w:left="0" w:right="0" w:firstLine="480" w:firstLineChars="200"/>
              <w:jc w:val="both"/>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②要坚持“因地制宜、因害设防、保护优先、综合治理”的原则，坚持宜灌则灌、宜草则草，采取以林草植被建设为主的综合措施，加强地表覆盖，减少尘源，做好植被保护、生态修复和补偿以及防沙治沙工作。</w:t>
            </w:r>
          </w:p>
          <w:p w14:paraId="13C0E60F">
            <w:pPr>
              <w:keepNext w:val="0"/>
              <w:keepLines w:val="0"/>
              <w:pageBreakBefore w:val="0"/>
              <w:widowControl w:val="0"/>
              <w:suppressLineNumbers w:val="0"/>
              <w:kinsoku/>
              <w:wordWrap/>
              <w:overflowPunct w:val="0"/>
              <w:topLinePunct w:val="0"/>
              <w:autoSpaceDE w:val="0"/>
              <w:autoSpaceDN/>
              <w:bidi w:val="0"/>
              <w:adjustRightInd/>
              <w:snapToGrid/>
              <w:spacing w:before="0" w:beforeAutospacing="0" w:after="0" w:afterLines="0" w:afterAutospacing="0" w:line="360" w:lineRule="auto"/>
              <w:ind w:left="0" w:right="0" w:firstLine="480" w:firstLineChars="200"/>
              <w:jc w:val="both"/>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③严格控制施工范围，严禁随意破坏防风固沙设施，重点要保护荒漠植被、砾幕。明确设定施工区域，严格划定施工作业带范围，限制施工人员的活动范围，尽可能减少对地表的扰动和植被的破坏。严格落实拟建项目水土保持方案中的水土流失、防沙治沙措施破坏行为，保护施工区植被。</w:t>
            </w:r>
          </w:p>
          <w:p w14:paraId="6F77DE05">
            <w:pPr>
              <w:keepNext w:val="0"/>
              <w:keepLines w:val="0"/>
              <w:pageBreakBefore w:val="0"/>
              <w:widowControl w:val="0"/>
              <w:suppressLineNumbers w:val="0"/>
              <w:kinsoku/>
              <w:wordWrap/>
              <w:overflowPunct w:val="0"/>
              <w:topLinePunct w:val="0"/>
              <w:autoSpaceDE w:val="0"/>
              <w:autoSpaceDN/>
              <w:bidi w:val="0"/>
              <w:adjustRightInd/>
              <w:snapToGrid/>
              <w:spacing w:before="0" w:beforeAutospacing="0" w:after="0" w:afterLines="0" w:afterAutospacing="0" w:line="360" w:lineRule="auto"/>
              <w:ind w:left="0" w:right="0" w:firstLine="480" w:firstLineChars="200"/>
              <w:jc w:val="both"/>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④施工期结束后，及时拆除临时建筑设施，妥善收集和处置施工固废。对施工场地进行平整，对矿区道路进行铺垫碎石平整压实；对临时占地，则及时清除压占物料并对其进行平整硬化，减少矿区的水土流失。</w:t>
            </w:r>
          </w:p>
          <w:p w14:paraId="4402B3A1">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0" w:firstLineChars="0"/>
              <w:jc w:val="both"/>
              <w:textAlignment w:val="auto"/>
              <w:outlineLvl w:val="9"/>
              <w:rPr>
                <w:rFonts w:hint="default" w:ascii="Times New Roman" w:hAnsi="Times New Roman" w:eastAsia="宋体" w:cs="Times New Roman"/>
                <w:b/>
                <w:bCs/>
                <w:color w:val="000000" w:themeColor="text1"/>
                <w:sz w:val="24"/>
                <w:szCs w:val="22"/>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2"/>
                <w:highlight w:val="none"/>
                <w:lang w:val="en-US" w:eastAsia="zh-CN"/>
                <w14:textFill>
                  <w14:solidFill>
                    <w14:schemeClr w14:val="tx1"/>
                  </w14:solidFill>
                </w14:textFill>
              </w:rPr>
              <w:t>7、施工期地下水环境保护措施</w:t>
            </w:r>
          </w:p>
          <w:p w14:paraId="1CDDF99C">
            <w:pPr>
              <w:keepNext w:val="0"/>
              <w:keepLines w:val="0"/>
              <w:pageBreakBefore w:val="0"/>
              <w:widowControl w:val="0"/>
              <w:kinsoku/>
              <w:wordWrap/>
              <w:overflowPunct/>
              <w:topLinePunct w:val="0"/>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、施工废水收集回用措施</w:t>
            </w:r>
          </w:p>
          <w:p w14:paraId="599A395A">
            <w:pPr>
              <w:keepNext w:val="0"/>
              <w:keepLines w:val="0"/>
              <w:pageBreakBefore w:val="0"/>
              <w:widowControl w:val="0"/>
              <w:kinsoku/>
              <w:wordWrap/>
              <w:overflowPunct/>
              <w:topLinePunct w:val="0"/>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施工场地配套设置规范化临时防渗沉淀池、集水沟，对混凝土养护废水、场地冲洗废水、基坑积水等各类施工废水统一收集。废水经沉淀、澄清处理后，全部回用于施工场地洒水抑尘、裸土保湿、道路降尘等工序，实现施工废水闭环循环、零外排、无随意漫流现象，彻底杜绝废水下渗污染地下水的风险。沉淀池定期清淤，淤泥集中收集处置，避免淤积外溢造成二次污染。</w:t>
            </w:r>
          </w:p>
          <w:p w14:paraId="2B4589D0">
            <w:pPr>
              <w:keepNext w:val="0"/>
              <w:keepLines w:val="0"/>
              <w:pageBreakBefore w:val="0"/>
              <w:widowControl w:val="0"/>
              <w:kinsoku/>
              <w:wordWrap/>
              <w:overflowPunct/>
              <w:topLinePunct w:val="0"/>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、生活污水防渗收集措施</w:t>
            </w:r>
          </w:p>
          <w:p w14:paraId="62874CE1">
            <w:pPr>
              <w:keepNext w:val="0"/>
              <w:keepLines w:val="0"/>
              <w:pageBreakBefore w:val="0"/>
              <w:widowControl w:val="0"/>
              <w:kinsoku/>
              <w:wordWrap/>
              <w:overflowPunct/>
              <w:topLinePunct w:val="0"/>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施工生活区设置密闭式防渗污水收集设施，生活污水统一收纳、定期委托合规单位清运处置，严禁现场就地泼洒、地表漫流。生活区地面采取简易硬化防渗处理，阻断生活污水垂向入渗通道，有效防范生活污水中的COD、氨氮等污染物污染包气带及浅层地下水。</w:t>
            </w:r>
          </w:p>
          <w:p w14:paraId="6223F63D">
            <w:pPr>
              <w:keepNext w:val="0"/>
              <w:keepLines w:val="0"/>
              <w:pageBreakBefore w:val="0"/>
              <w:widowControl w:val="0"/>
              <w:kinsoku/>
              <w:wordWrap/>
              <w:overflowPunct/>
              <w:topLinePunct w:val="0"/>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、施工机械及油品防渗管控措施</w:t>
            </w:r>
          </w:p>
          <w:p w14:paraId="0034B13F">
            <w:pPr>
              <w:keepNext w:val="0"/>
              <w:keepLines w:val="0"/>
              <w:pageBreakBefore w:val="0"/>
              <w:widowControl w:val="0"/>
              <w:kinsoku/>
              <w:wordWrap/>
              <w:overflowPunct/>
              <w:topLinePunct w:val="0"/>
              <w:bidi w:val="0"/>
              <w:adjustRightInd/>
              <w:snapToGrid/>
              <w:spacing w:after="0" w:afterLines="0" w:line="360" w:lineRule="auto"/>
              <w:ind w:left="0" w:leftChars="0" w:right="0" w:rightChars="0" w:firstLine="480" w:firstLineChars="200"/>
              <w:jc w:val="both"/>
              <w:textAlignment w:val="auto"/>
              <w:outlineLvl w:val="9"/>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划定专用施工机械停放、检修区域，区域地面采用硬化防渗处理，杜绝油污下渗。施工机械日常检修、保养统一在防渗区域内开展，严禁在施工场地全域随意检修、冲洗机械。现场常备吸附棉、防滑沙土、防渗收集桶、吸油毡等应急物资，一旦发生机油、柴油滴落、少量泄漏，第一时间吸附清理、收集处置，防止油污渗入土壤及地下水。施工油品单独密闭存放，设置防渗托盘及防雨围挡，杜绝油品洒落、淋溶下渗。</w:t>
            </w:r>
          </w:p>
          <w:p w14:paraId="1CB907DF">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0" w:firstLineChars="0"/>
              <w:jc w:val="both"/>
              <w:textAlignment w:val="auto"/>
              <w:outlineLvl w:val="9"/>
              <w:rPr>
                <w:rFonts w:hint="default" w:ascii="Times New Roman" w:hAnsi="Times New Roman" w:eastAsia="宋体" w:cs="Times New Roman"/>
                <w:b/>
                <w:bCs/>
                <w:color w:val="000000" w:themeColor="text1"/>
                <w:sz w:val="24"/>
                <w:szCs w:val="22"/>
                <w:highlight w:val="none"/>
                <w:lang w:val="en-US" w:eastAsia="zh-CN"/>
                <w14:textFill>
                  <w14:solidFill>
                    <w14:schemeClr w14:val="tx1"/>
                  </w14:solidFill>
                </w14:textFill>
              </w:rPr>
            </w:pPr>
            <w:r>
              <w:rPr>
                <w:rFonts w:hint="eastAsia" w:ascii="Times New Roman" w:hAnsi="Times New Roman" w:eastAsia="宋体" w:cs="Times New Roman"/>
                <w:b/>
                <w:color w:val="000000" w:themeColor="text1"/>
                <w:kern w:val="2"/>
                <w:sz w:val="24"/>
                <w:szCs w:val="24"/>
                <w:highlight w:val="none"/>
                <w:lang w:val="en-US" w:eastAsia="zh-CN" w:bidi="ar"/>
                <w14:textFill>
                  <w14:solidFill>
                    <w14:schemeClr w14:val="tx1"/>
                  </w14:solidFill>
                </w14:textFill>
              </w:rPr>
              <w:t>8</w:t>
            </w:r>
            <w:r>
              <w:rPr>
                <w:rFonts w:hint="default" w:ascii="Times New Roman" w:hAnsi="Times New Roman" w:eastAsia="宋体" w:cs="Times New Roman"/>
                <w:b/>
                <w:color w:val="000000" w:themeColor="text1"/>
                <w:kern w:val="2"/>
                <w:sz w:val="24"/>
                <w:szCs w:val="24"/>
                <w:highlight w:val="none"/>
                <w:lang w:val="en-US" w:eastAsia="zh-CN" w:bidi="ar"/>
                <w14:textFill>
                  <w14:solidFill>
                    <w14:schemeClr w14:val="tx1"/>
                  </w14:solidFill>
                </w14:textFill>
              </w:rPr>
              <w:t>、</w:t>
            </w:r>
            <w:r>
              <w:rPr>
                <w:rFonts w:hint="default" w:ascii="Times New Roman" w:hAnsi="Times New Roman" w:eastAsia="宋体" w:cs="Times New Roman"/>
                <w:b/>
                <w:bCs/>
                <w:color w:val="000000" w:themeColor="text1"/>
                <w:sz w:val="24"/>
                <w:szCs w:val="22"/>
                <w:highlight w:val="none"/>
                <w:lang w:val="en-US" w:eastAsia="zh-CN"/>
                <w14:textFill>
                  <w14:solidFill>
                    <w14:schemeClr w14:val="tx1"/>
                  </w14:solidFill>
                </w14:textFill>
              </w:rPr>
              <w:t>施工期施工人员健康影响防治措施</w:t>
            </w:r>
          </w:p>
          <w:p w14:paraId="45DD4F88">
            <w:pPr>
              <w:keepNext w:val="0"/>
              <w:keepLines w:val="0"/>
              <w:pageBreakBefore w:val="0"/>
              <w:widowControl w:val="0"/>
              <w:kinsoku/>
              <w:wordWrap/>
              <w:overflowPunct/>
              <w:topLinePunct w:val="0"/>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为了预防传染病流行，必须管理好水源、饭堂卫生，如避免带菌者（如患慢性痢疾者或诸病的健康带菌者）担任施工工地炊事员，同时必须做好粪便、垃圾的处理工作，防止介水传染病（肝炎、痢疾、伤寒、霍乱等）在工地流行、防止病原污染水体。同时督促民工备蚊帐防蚊，以防止虫媒传染病疟疾、登革热在工地出现流行。</w:t>
            </w:r>
          </w:p>
          <w:p w14:paraId="1A5D4A4B">
            <w:pPr>
              <w:keepNext w:val="0"/>
              <w:keepLines w:val="0"/>
              <w:pageBreakBefore w:val="0"/>
              <w:widowControl w:val="0"/>
              <w:kinsoku/>
              <w:wordWrap/>
              <w:overflowPunct/>
              <w:topLinePunct w:val="0"/>
              <w:autoSpaceDE w:val="0"/>
              <w:autoSpaceDN w:val="0"/>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1）施工现场必须严格实施封闭式集中管理，严格落实项目《施工现场人员实名制管理办法》，各分包单位对进入施工现场的所有人员必须第一时间上报总包单位，上报的信息不限于进场人员姓名、身份证号码、手机号、籍贯等信息内容。</w:t>
            </w:r>
          </w:p>
          <w:p w14:paraId="6AF0BFE5">
            <w:pPr>
              <w:keepNext w:val="0"/>
              <w:keepLines w:val="0"/>
              <w:pageBreakBefore w:val="0"/>
              <w:widowControl w:val="0"/>
              <w:kinsoku/>
              <w:wordWrap/>
              <w:overflowPunct/>
              <w:topLinePunct w:val="0"/>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（2）项目人员应严格执行施工现场集中封闭管理规定，不得随意离开本项目</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p>
          <w:p w14:paraId="24081988">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0"/>
              <w:jc w:val="both"/>
              <w:textAlignment w:val="auto"/>
              <w:outlineLvl w:val="9"/>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（3）项目部做好施工现场办公区的疫情防控工作，施工现场疫情防控工作方案中应明确办公区的疫情防控职责分工和防控措施。办公区、生活区、施工区分界明确，减少各区之间交叉。</w:t>
            </w:r>
          </w:p>
          <w:p w14:paraId="532DB4D1">
            <w:pPr>
              <w:pageBreakBefore w:val="0"/>
              <w:kinsoku/>
              <w:wordWrap/>
              <w:bidi w:val="0"/>
              <w:spacing w:after="0" w:afterLines="0" w:line="360" w:lineRule="auto"/>
              <w:ind w:left="0" w:leftChars="0" w:firstLine="480" w:firstLineChars="20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4"/>
                <w:highlight w:val="none"/>
                <w14:textFill>
                  <w14:solidFill>
                    <w14:schemeClr w14:val="tx1"/>
                  </w14:solidFill>
                </w14:textFill>
              </w:rPr>
              <w:t>）项目部应进一步明确施工现场发现发热人员、疑似人员和确诊人员等突发情况应急处置工作流程，做到职责明确、人员到位、流程熟练、紧密衔接；要在施工现场出入口显著位置公示属地卫生健康部门、街道（乡镇）政府和区建设行政主管部门以及周边定点医院和设置发热门诊医疗机构的联系人、联系方式。一旦突发疫情，应立即启动应急处置工作并按规定报送疫情信息，有效有序应对施工现场突发情况。</w:t>
            </w:r>
          </w:p>
        </w:tc>
      </w:tr>
      <w:tr w14:paraId="64DDE4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18" w:hRule="atLeast"/>
          <w:jc w:val="center"/>
        </w:trPr>
        <w:tc>
          <w:tcPr>
            <w:tcW w:w="456" w:type="dxa"/>
            <w:noWrap w:val="0"/>
            <w:tcMar>
              <w:left w:w="28" w:type="dxa"/>
              <w:right w:w="28" w:type="dxa"/>
            </w:tcMar>
            <w:vAlign w:val="center"/>
          </w:tcPr>
          <w:p w14:paraId="045EAFC8">
            <w:pPr>
              <w:keepNext w:val="0"/>
              <w:keepLines w:val="0"/>
              <w:pageBreakBefore w:val="0"/>
              <w:widowControl w:val="0"/>
              <w:kinsoku/>
              <w:wordWrap/>
              <w:overflowPunct/>
              <w:topLinePunct w:val="0"/>
              <w:autoSpaceDE/>
              <w:autoSpaceDN/>
              <w:bidi w:val="0"/>
              <w:adjustRightInd/>
              <w:snapToGrid/>
              <w:spacing w:after="0" w:afterLines="0" w:line="240" w:lineRule="auto"/>
              <w:ind w:firstLine="0" w:firstLineChars="0"/>
              <w:jc w:val="center"/>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运营期生态环境保护措施</w:t>
            </w:r>
          </w:p>
        </w:tc>
        <w:tc>
          <w:tcPr>
            <w:tcW w:w="8948" w:type="dxa"/>
            <w:noWrap w:val="0"/>
            <w:vAlign w:val="top"/>
          </w:tcPr>
          <w:p w14:paraId="63C9EB5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Lines="0" w:afterAutospacing="0" w:line="360" w:lineRule="auto"/>
              <w:ind w:left="0" w:leftChars="0" w:right="0" w:rightChars="0" w:firstLine="0" w:firstLineChars="0"/>
              <w:jc w:val="both"/>
              <w:textAlignment w:val="auto"/>
              <w:rPr>
                <w:rFonts w:hint="default" w:ascii="Times New Roman" w:hAnsi="Times New Roman" w:eastAsia="宋体" w:cs="Times New Roman"/>
                <w:b/>
                <w:color w:val="000000" w:themeColor="text1"/>
                <w:kern w:val="2"/>
                <w:sz w:val="24"/>
                <w:szCs w:val="24"/>
                <w:highlight w:val="none"/>
                <w14:textFill>
                  <w14:solidFill>
                    <w14:schemeClr w14:val="tx1"/>
                  </w14:solidFill>
                </w14:textFill>
              </w:rPr>
            </w:pPr>
            <w:r>
              <w:rPr>
                <w:rFonts w:hint="default" w:ascii="Times New Roman" w:hAnsi="Times New Roman" w:eastAsia="宋体" w:cs="Times New Roman"/>
                <w:b/>
                <w:color w:val="000000" w:themeColor="text1"/>
                <w:kern w:val="2"/>
                <w:sz w:val="24"/>
                <w:szCs w:val="24"/>
                <w:highlight w:val="none"/>
                <w:lang w:val="en-US" w:eastAsia="zh-CN" w:bidi="ar"/>
                <w14:textFill>
                  <w14:solidFill>
                    <w14:schemeClr w14:val="tx1"/>
                  </w14:solidFill>
                </w14:textFill>
              </w:rPr>
              <w:t>1、大气环境保护措施</w:t>
            </w:r>
          </w:p>
          <w:p w14:paraId="35F31A99">
            <w:pPr>
              <w:pageBreakBefore w:val="0"/>
              <w:kinsoku/>
              <w:wordWrap/>
              <w:bidi w:val="0"/>
              <w:spacing w:after="0" w:afterLines="0" w:line="360" w:lineRule="auto"/>
              <w:ind w:firstLine="480" w:firstLineChars="200"/>
              <w:rPr>
                <w:rFonts w:hint="default" w:ascii="Times New Roman" w:hAnsi="Times New Roman" w:eastAsia="宋体" w:cs="Times New Roman"/>
                <w:bCs/>
                <w:color w:val="000000" w:themeColor="text1"/>
                <w:sz w:val="24"/>
                <w:highlight w:val="none"/>
                <w14:textFill>
                  <w14:solidFill>
                    <w14:schemeClr w14:val="tx1"/>
                  </w14:solidFill>
                </w14:textFill>
              </w:rPr>
            </w:pPr>
            <w:r>
              <w:rPr>
                <w:rFonts w:hint="default" w:ascii="Times New Roman" w:hAnsi="Times New Roman" w:eastAsia="宋体" w:cs="Times New Roman"/>
                <w:bCs/>
                <w:color w:val="000000" w:themeColor="text1"/>
                <w:sz w:val="24"/>
                <w:highlight w:val="none"/>
                <w14:textFill>
                  <w14:solidFill>
                    <w14:schemeClr w14:val="tx1"/>
                  </w14:solidFill>
                </w14:textFill>
              </w:rPr>
              <w:t>（1）采剥扬尘防治措施</w:t>
            </w:r>
          </w:p>
          <w:p w14:paraId="2BF59E9A">
            <w:pPr>
              <w:pageBreakBefore w:val="0"/>
              <w:kinsoku/>
              <w:wordWrap/>
              <w:bidi w:val="0"/>
              <w:spacing w:after="0" w:afterLines="0" w:line="360" w:lineRule="auto"/>
              <w:ind w:firstLine="480" w:firstLineChars="200"/>
              <w:rPr>
                <w:rFonts w:hint="default" w:ascii="Times New Roman" w:hAnsi="Times New Roman" w:eastAsia="宋体" w:cs="Times New Roman"/>
                <w:bCs/>
                <w:color w:val="000000" w:themeColor="text1"/>
                <w:sz w:val="24"/>
                <w:szCs w:val="22"/>
                <w:highlight w:val="none"/>
                <w14:textFill>
                  <w14:solidFill>
                    <w14:schemeClr w14:val="tx1"/>
                  </w14:solidFill>
                </w14:textFill>
              </w:rPr>
            </w:pPr>
            <w:r>
              <w:rPr>
                <w:rFonts w:hint="default" w:ascii="Times New Roman" w:hAnsi="Times New Roman" w:eastAsia="宋体" w:cs="Times New Roman"/>
                <w:color w:val="000000" w:themeColor="text1"/>
                <w:sz w:val="24"/>
                <w:szCs w:val="22"/>
                <w:highlight w:val="none"/>
                <w14:textFill>
                  <w14:solidFill>
                    <w14:schemeClr w14:val="tx1"/>
                  </w14:solidFill>
                </w14:textFill>
              </w:rPr>
              <w:t>本项目开采区域采取洒水降尘的措施，</w:t>
            </w:r>
            <w:r>
              <w:rPr>
                <w:rFonts w:hint="default" w:ascii="Times New Roman" w:hAnsi="Times New Roman" w:eastAsia="宋体" w:cs="Times New Roman"/>
                <w:color w:val="000000" w:themeColor="text1"/>
                <w:sz w:val="24"/>
                <w:highlight w:val="none"/>
                <w14:textFill>
                  <w14:solidFill>
                    <w14:schemeClr w14:val="tx1"/>
                  </w14:solidFill>
                </w14:textFill>
              </w:rPr>
              <w:t>洒水频次以2次/天计，</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并设置移动式雾炮设施，</w:t>
            </w:r>
            <w:r>
              <w:rPr>
                <w:rFonts w:hint="default" w:ascii="Times New Roman" w:hAnsi="Times New Roman" w:eastAsia="宋体" w:cs="Times New Roman"/>
                <w:color w:val="000000" w:themeColor="text1"/>
                <w:sz w:val="24"/>
                <w:szCs w:val="22"/>
                <w:highlight w:val="none"/>
                <w14:textFill>
                  <w14:solidFill>
                    <w14:schemeClr w14:val="tx1"/>
                  </w14:solidFill>
                </w14:textFill>
              </w:rPr>
              <w:t>可以</w:t>
            </w:r>
            <w:r>
              <w:rPr>
                <w:rFonts w:hint="default" w:ascii="Times New Roman" w:hAnsi="Times New Roman" w:eastAsia="宋体" w:cs="Times New Roman"/>
                <w:color w:val="000000" w:themeColor="text1"/>
                <w:sz w:val="24"/>
                <w:highlight w:val="none"/>
                <w14:textFill>
                  <w14:solidFill>
                    <w14:schemeClr w14:val="tx1"/>
                  </w14:solidFill>
                </w14:textFill>
              </w:rPr>
              <w:t>有效减少</w:t>
            </w:r>
            <w:r>
              <w:rPr>
                <w:rFonts w:hint="default" w:ascii="Times New Roman" w:hAnsi="Times New Roman" w:eastAsia="宋体" w:cs="Times New Roman"/>
                <w:color w:val="000000" w:themeColor="text1"/>
                <w:sz w:val="24"/>
                <w:szCs w:val="22"/>
                <w:highlight w:val="none"/>
                <w14:textFill>
                  <w14:solidFill>
                    <w14:schemeClr w14:val="tx1"/>
                  </w14:solidFill>
                </w14:textFill>
              </w:rPr>
              <w:t>在开采过程中采剥扬尘的产生。采取上述措施后可以减少采剥扬尘约</w:t>
            </w: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80</w:t>
            </w:r>
            <w:r>
              <w:rPr>
                <w:rFonts w:hint="default" w:ascii="Times New Roman" w:hAnsi="Times New Roman" w:eastAsia="宋体" w:cs="Times New Roman"/>
                <w:color w:val="000000" w:themeColor="text1"/>
                <w:sz w:val="24"/>
                <w:szCs w:val="22"/>
                <w:highlight w:val="none"/>
                <w14:textFill>
                  <w14:solidFill>
                    <w14:schemeClr w14:val="tx1"/>
                  </w14:solidFill>
                </w14:textFill>
              </w:rPr>
              <w:t>%</w:t>
            </w:r>
            <w:r>
              <w:rPr>
                <w:rFonts w:hint="default" w:ascii="Times New Roman" w:hAnsi="Times New Roman" w:eastAsia="宋体" w:cs="Times New Roman"/>
                <w:bCs/>
                <w:color w:val="000000" w:themeColor="text1"/>
                <w:sz w:val="24"/>
                <w:szCs w:val="22"/>
                <w:highlight w:val="none"/>
                <w14:textFill>
                  <w14:solidFill>
                    <w14:schemeClr w14:val="tx1"/>
                  </w14:solidFill>
                </w14:textFill>
              </w:rPr>
              <w:t>。</w:t>
            </w:r>
          </w:p>
          <w:p w14:paraId="018D8C7F">
            <w:pPr>
              <w:pageBreakBefore w:val="0"/>
              <w:kinsoku/>
              <w:wordWrap/>
              <w:bidi w:val="0"/>
              <w:spacing w:after="0" w:afterLines="0" w:line="360" w:lineRule="auto"/>
              <w:ind w:firstLine="480" w:firstLineChars="200"/>
              <w:rPr>
                <w:rFonts w:hint="default" w:ascii="Times New Roman" w:hAnsi="Times New Roman" w:eastAsia="宋体" w:cs="Times New Roman"/>
                <w:bCs/>
                <w:color w:val="000000" w:themeColor="text1"/>
                <w:sz w:val="24"/>
                <w:szCs w:val="22"/>
                <w:highlight w:val="none"/>
                <w:lang w:eastAsia="zh-CN"/>
                <w14:textFill>
                  <w14:solidFill>
                    <w14:schemeClr w14:val="tx1"/>
                  </w14:solidFill>
                </w14:textFill>
              </w:rPr>
            </w:pPr>
            <w:r>
              <w:rPr>
                <w:rFonts w:hint="default" w:ascii="Times New Roman" w:hAnsi="Times New Roman" w:eastAsia="宋体" w:cs="Times New Roman"/>
                <w:bCs/>
                <w:color w:val="000000" w:themeColor="text1"/>
                <w:sz w:val="24"/>
                <w:szCs w:val="22"/>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4"/>
                <w:szCs w:val="22"/>
                <w:highlight w:val="none"/>
                <w:lang w:val="en-US" w:eastAsia="zh-CN"/>
                <w14:textFill>
                  <w14:solidFill>
                    <w14:schemeClr w14:val="tx1"/>
                  </w14:solidFill>
                </w14:textFill>
              </w:rPr>
              <w:t>2</w:t>
            </w:r>
            <w:r>
              <w:rPr>
                <w:rFonts w:hint="default" w:ascii="Times New Roman" w:hAnsi="Times New Roman" w:eastAsia="宋体" w:cs="Times New Roman"/>
                <w:bCs/>
                <w:color w:val="000000" w:themeColor="text1"/>
                <w:sz w:val="24"/>
                <w:szCs w:val="22"/>
                <w:highlight w:val="none"/>
                <w:lang w:eastAsia="zh-CN"/>
                <w14:textFill>
                  <w14:solidFill>
                    <w14:schemeClr w14:val="tx1"/>
                  </w14:solidFill>
                </w14:textFill>
              </w:rPr>
              <w:t>）</w:t>
            </w:r>
            <w:r>
              <w:rPr>
                <w:rFonts w:hint="default" w:ascii="Times New Roman" w:hAnsi="Times New Roman" w:eastAsia="宋体" w:cs="Times New Roman"/>
                <w:snapToGrid w:val="0"/>
                <w:color w:val="000000" w:themeColor="text1"/>
                <w:kern w:val="2"/>
                <w:sz w:val="24"/>
                <w:szCs w:val="24"/>
                <w:highlight w:val="none"/>
                <w:lang w:val="en-US" w:eastAsia="zh-CN" w:bidi="ar-SA"/>
                <w14:textFill>
                  <w14:solidFill>
                    <w14:schemeClr w14:val="tx1"/>
                  </w14:solidFill>
                </w14:textFill>
              </w:rPr>
              <w:t>装卸、进料扬尘</w:t>
            </w:r>
          </w:p>
          <w:p w14:paraId="3FD5BA3D">
            <w:pPr>
              <w:pageBreakBefore w:val="0"/>
              <w:kinsoku/>
              <w:wordWrap/>
              <w:bidi w:val="0"/>
              <w:spacing w:after="0" w:afterLines="0" w:line="360" w:lineRule="auto"/>
              <w:ind w:firstLine="480" w:firstLineChars="200"/>
              <w:rPr>
                <w:rFonts w:hint="default" w:ascii="Times New Roman" w:hAnsi="Times New Roman" w:eastAsia="宋体" w:cs="Times New Roman"/>
                <w:bCs/>
                <w:color w:val="000000" w:themeColor="text1"/>
                <w:sz w:val="24"/>
                <w:szCs w:val="22"/>
                <w:highlight w:val="none"/>
                <w14:textFill>
                  <w14:solidFill>
                    <w14:schemeClr w14:val="tx1"/>
                  </w14:solidFill>
                </w14:textFill>
              </w:rPr>
            </w:pPr>
            <w:r>
              <w:rPr>
                <w:rFonts w:hint="default" w:ascii="Times New Roman" w:hAnsi="Times New Roman" w:eastAsia="宋体" w:cs="Times New Roman"/>
                <w:bCs/>
                <w:color w:val="000000" w:themeColor="text1"/>
                <w:kern w:val="0"/>
                <w:sz w:val="24"/>
                <w:szCs w:val="24"/>
                <w:highlight w:val="none"/>
                <w:lang w:val="en-US" w:eastAsia="zh-CN"/>
                <w14:textFill>
                  <w14:solidFill>
                    <w14:schemeClr w14:val="tx1"/>
                  </w14:solidFill>
                </w14:textFill>
              </w:rPr>
              <w:t>建设单位对装载、卸料工序加大洒水频率，</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并设置移动式雾炮设施，</w:t>
            </w:r>
            <w:r>
              <w:rPr>
                <w:rFonts w:hint="default" w:ascii="Times New Roman" w:hAnsi="Times New Roman" w:eastAsia="宋体" w:cs="Times New Roman"/>
                <w:bCs/>
                <w:color w:val="000000" w:themeColor="text1"/>
                <w:kern w:val="0"/>
                <w:sz w:val="24"/>
                <w:szCs w:val="24"/>
                <w:highlight w:val="none"/>
                <w:lang w:val="en-US" w:eastAsia="zh-CN"/>
                <w14:textFill>
                  <w14:solidFill>
                    <w14:schemeClr w14:val="tx1"/>
                  </w14:solidFill>
                </w14:textFill>
              </w:rPr>
              <w:t>进料口半封闭，可使得粉尘降低80%。</w:t>
            </w:r>
          </w:p>
          <w:p w14:paraId="00122CD8">
            <w:pPr>
              <w:pageBreakBefore w:val="0"/>
              <w:kinsoku/>
              <w:wordWrap/>
              <w:bidi w:val="0"/>
              <w:spacing w:after="0" w:afterLines="0" w:line="360" w:lineRule="auto"/>
              <w:ind w:firstLine="480" w:firstLineChars="200"/>
              <w:rPr>
                <w:rFonts w:hint="default" w:ascii="Times New Roman" w:hAnsi="Times New Roman" w:eastAsia="宋体" w:cs="Times New Roman"/>
                <w:bCs/>
                <w:color w:val="000000" w:themeColor="text1"/>
                <w:sz w:val="24"/>
                <w:highlight w:val="none"/>
                <w14:textFill>
                  <w14:solidFill>
                    <w14:schemeClr w14:val="tx1"/>
                  </w14:solidFill>
                </w14:textFill>
              </w:rPr>
            </w:pPr>
            <w:r>
              <w:rPr>
                <w:rFonts w:hint="default" w:ascii="Times New Roman" w:hAnsi="Times New Roman" w:eastAsia="宋体" w:cs="Times New Roman"/>
                <w:bCs/>
                <w:color w:val="000000" w:themeColor="text1"/>
                <w:sz w:val="24"/>
                <w:highlight w:val="none"/>
                <w14:textFill>
                  <w14:solidFill>
                    <w14:schemeClr w14:val="tx1"/>
                  </w14:solidFill>
                </w14:textFill>
              </w:rPr>
              <w:t>（</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3</w:t>
            </w:r>
            <w:r>
              <w:rPr>
                <w:rFonts w:hint="default" w:ascii="Times New Roman" w:hAnsi="Times New Roman" w:eastAsia="宋体" w:cs="Times New Roman"/>
                <w:bCs/>
                <w:color w:val="000000" w:themeColor="text1"/>
                <w:sz w:val="24"/>
                <w:highlight w:val="none"/>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道路扬尘</w:t>
            </w:r>
            <w:r>
              <w:rPr>
                <w:rFonts w:hint="default" w:ascii="Times New Roman" w:hAnsi="Times New Roman" w:eastAsia="宋体" w:cs="Times New Roman"/>
                <w:bCs/>
                <w:color w:val="000000" w:themeColor="text1"/>
                <w:sz w:val="24"/>
                <w:highlight w:val="none"/>
                <w14:textFill>
                  <w14:solidFill>
                    <w14:schemeClr w14:val="tx1"/>
                  </w14:solidFill>
                </w14:textFill>
              </w:rPr>
              <w:t>防治措施</w:t>
            </w:r>
          </w:p>
          <w:p w14:paraId="7FEB329A">
            <w:pPr>
              <w:pageBreakBefore w:val="0"/>
              <w:kinsoku/>
              <w:wordWrap/>
              <w:bidi w:val="0"/>
              <w:spacing w:after="0" w:afterLines="0" w:line="360" w:lineRule="auto"/>
              <w:ind w:firstLine="480" w:firstLineChars="200"/>
              <w:rPr>
                <w:rFonts w:hint="default" w:ascii="Times New Roman" w:hAnsi="Times New Roman" w:eastAsia="宋体" w:cs="Times New Roman"/>
                <w:color w:val="000000" w:themeColor="text1"/>
                <w:kern w:val="0"/>
                <w:sz w:val="24"/>
                <w:highlight w:val="none"/>
                <w:lang w:bidi="ar"/>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项目通过对运输汽车采取密封和遮盖，加强矿料运输车辆的管理等措施，并定期洒水抑尘，可有效减少矿料在运输过程中道路扬尘的产生。</w:t>
            </w:r>
          </w:p>
          <w:p w14:paraId="1323F374">
            <w:pPr>
              <w:pageBreakBefore w:val="0"/>
              <w:kinsoku/>
              <w:wordWrap/>
              <w:bidi w:val="0"/>
              <w:spacing w:after="0" w:afterLines="0" w:line="360" w:lineRule="auto"/>
              <w:ind w:firstLine="480" w:firstLineChars="200"/>
              <w:rPr>
                <w:rFonts w:hint="default" w:ascii="Times New Roman" w:hAnsi="Times New Roman" w:eastAsia="宋体" w:cs="Times New Roman"/>
                <w:bCs/>
                <w:color w:val="auto"/>
                <w:sz w:val="24"/>
                <w:highlight w:val="none"/>
              </w:rPr>
            </w:pP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val="en-US" w:eastAsia="zh-CN"/>
              </w:rPr>
              <w:t>4</w:t>
            </w:r>
            <w:r>
              <w:rPr>
                <w:rFonts w:hint="default" w:ascii="Times New Roman" w:hAnsi="Times New Roman" w:eastAsia="宋体" w:cs="Times New Roman"/>
                <w:color w:val="auto"/>
                <w:sz w:val="24"/>
                <w:highlight w:val="none"/>
              </w:rPr>
              <w:t>）堆场扬尘</w:t>
            </w:r>
            <w:r>
              <w:rPr>
                <w:rFonts w:hint="default" w:ascii="Times New Roman" w:hAnsi="Times New Roman" w:eastAsia="宋体" w:cs="Times New Roman"/>
                <w:bCs/>
                <w:color w:val="auto"/>
                <w:sz w:val="24"/>
                <w:highlight w:val="none"/>
              </w:rPr>
              <w:t>防治措施</w:t>
            </w:r>
          </w:p>
          <w:p w14:paraId="08FA7432">
            <w:pPr>
              <w:pageBreakBefore w:val="0"/>
              <w:kinsoku/>
              <w:wordWrap/>
              <w:bidi w:val="0"/>
              <w:spacing w:after="0" w:afterLines="0" w:line="360" w:lineRule="auto"/>
              <w:ind w:firstLine="480" w:firstLineChars="200"/>
              <w:rPr>
                <w:rFonts w:hint="default" w:ascii="Times New Roman" w:hAnsi="Times New Roman" w:eastAsia="宋体" w:cs="Times New Roman"/>
                <w:color w:val="000000" w:themeColor="text1"/>
                <w:sz w:val="24"/>
                <w:szCs w:val="22"/>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2"/>
                <w:highlight w:val="none"/>
                <w14:textFill>
                  <w14:solidFill>
                    <w14:schemeClr w14:val="tx1"/>
                  </w14:solidFill>
                </w14:textFill>
              </w:rPr>
              <w:t>根据《工业料堆场扬尘整治规范》（DB65T4061-2017）要求</w:t>
            </w:r>
            <w:r>
              <w:rPr>
                <w:rFonts w:hint="default" w:ascii="Times New Roman" w:hAnsi="Times New Roman" w:eastAsia="宋体" w:cs="Times New Roman"/>
                <w:color w:val="000000" w:themeColor="text1"/>
                <w:sz w:val="24"/>
                <w:szCs w:val="22"/>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2"/>
                <w:highlight w:val="none"/>
                <w14:textFill>
                  <w14:solidFill>
                    <w14:schemeClr w14:val="tx1"/>
                  </w14:solidFill>
                </w14:textFill>
              </w:rPr>
              <w:t>对工业物料堆场内装卸、运输等作业过程中，易产生扬尘污染的物料必须采取防尘网苫盖、洒水降尘等措施，密闭输送物料必须在装料、卸料处配备喷淋防尘措施</w:t>
            </w:r>
            <w:r>
              <w:rPr>
                <w:rFonts w:hint="default" w:ascii="Times New Roman" w:hAnsi="Times New Roman" w:eastAsia="宋体" w:cs="Times New Roman"/>
                <w:color w:val="000000" w:themeColor="text1"/>
                <w:sz w:val="24"/>
                <w:szCs w:val="22"/>
                <w:highlight w:val="none"/>
                <w:lang w:eastAsia="zh-CN"/>
                <w14:textFill>
                  <w14:solidFill>
                    <w14:schemeClr w14:val="tx1"/>
                  </w14:solidFill>
                </w14:textFill>
              </w:rPr>
              <w:t>；对易产生扬尘的工业料堆场，采用喷水、洒水进行扬尘防治时，堆场表面含水率应大于堆场扬尘的极限值。</w:t>
            </w:r>
          </w:p>
          <w:p w14:paraId="799471FB">
            <w:pPr>
              <w:pageBreakBefore w:val="0"/>
              <w:kinsoku/>
              <w:wordWrap/>
              <w:bidi w:val="0"/>
              <w:spacing w:after="0" w:afterLines="0" w:line="360" w:lineRule="auto"/>
              <w:ind w:firstLine="480" w:firstLineChars="200"/>
              <w:rPr>
                <w:rFonts w:hint="default" w:ascii="Times New Roman" w:hAnsi="Times New Roman" w:eastAsia="宋体" w:cs="Times New Roman"/>
                <w:bCs/>
                <w:color w:val="000000" w:themeColor="text1"/>
                <w:sz w:val="24"/>
                <w:highlight w:val="none"/>
                <w:lang w:eastAsia="zh-CN"/>
                <w14:textFill>
                  <w14:solidFill>
                    <w14:schemeClr w14:val="tx1"/>
                  </w14:solidFill>
                </w14:textFill>
              </w:rPr>
            </w:pPr>
            <w:r>
              <w:rPr>
                <w:rFonts w:hint="default" w:ascii="Times New Roman" w:hAnsi="Times New Roman" w:eastAsia="宋体" w:cs="Times New Roman"/>
                <w:color w:val="000000" w:themeColor="text1"/>
                <w:sz w:val="24"/>
                <w:szCs w:val="22"/>
                <w:highlight w:val="none"/>
                <w:lang w:eastAsia="zh-CN"/>
                <w14:textFill>
                  <w14:solidFill>
                    <w14:schemeClr w14:val="tx1"/>
                  </w14:solidFill>
                </w14:textFill>
              </w:rPr>
              <w:t>本项目堆场</w:t>
            </w: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包括成品堆场和表土堆场均</w:t>
            </w:r>
            <w:r>
              <w:rPr>
                <w:rFonts w:hint="default" w:ascii="Times New Roman" w:hAnsi="Times New Roman" w:eastAsia="宋体" w:cs="Times New Roman"/>
                <w:color w:val="000000" w:themeColor="text1"/>
                <w:sz w:val="24"/>
                <w:szCs w:val="22"/>
                <w:highlight w:val="none"/>
                <w:lang w:eastAsia="zh-CN"/>
                <w14:textFill>
                  <w14:solidFill>
                    <w14:schemeClr w14:val="tx1"/>
                  </w14:solidFill>
                </w14:textFill>
              </w:rPr>
              <w:t>为露天堆场，</w:t>
            </w: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堆场</w:t>
            </w:r>
            <w:r>
              <w:rPr>
                <w:rFonts w:hint="default" w:ascii="Times New Roman" w:hAnsi="Times New Roman" w:eastAsia="宋体" w:cs="Times New Roman"/>
                <w:color w:val="000000" w:themeColor="text1"/>
                <w:sz w:val="24"/>
                <w:szCs w:val="22"/>
                <w:highlight w:val="none"/>
                <w:lang w:eastAsia="zh-CN"/>
                <w14:textFill>
                  <w14:solidFill>
                    <w14:schemeClr w14:val="tx1"/>
                  </w14:solidFill>
                </w14:textFill>
              </w:rPr>
              <w:t>采取</w:t>
            </w:r>
            <w:r>
              <w:rPr>
                <w:rFonts w:hint="default" w:ascii="Times New Roman" w:hAnsi="Times New Roman" w:eastAsia="宋体" w:cs="Times New Roman"/>
                <w:color w:val="000000" w:themeColor="text1"/>
                <w:sz w:val="24"/>
                <w:highlight w:val="none"/>
                <w14:textFill>
                  <w14:solidFill>
                    <w14:schemeClr w14:val="tx1"/>
                  </w14:solidFill>
                </w14:textFill>
              </w:rPr>
              <w:t>扬尘</w:t>
            </w:r>
            <w:r>
              <w:rPr>
                <w:rFonts w:hint="default" w:ascii="Times New Roman" w:hAnsi="Times New Roman" w:eastAsia="宋体" w:cs="Times New Roman"/>
                <w:bCs/>
                <w:color w:val="000000" w:themeColor="text1"/>
                <w:sz w:val="24"/>
                <w:highlight w:val="none"/>
                <w14:textFill>
                  <w14:solidFill>
                    <w14:schemeClr w14:val="tx1"/>
                  </w14:solidFill>
                </w14:textFill>
              </w:rPr>
              <w:t>防治措施</w:t>
            </w:r>
            <w:r>
              <w:rPr>
                <w:rFonts w:hint="default" w:ascii="Times New Roman" w:hAnsi="Times New Roman" w:eastAsia="宋体" w:cs="Times New Roman"/>
                <w:bCs/>
                <w:color w:val="000000" w:themeColor="text1"/>
                <w:sz w:val="24"/>
                <w:highlight w:val="none"/>
                <w:lang w:eastAsia="zh-CN"/>
                <w14:textFill>
                  <w14:solidFill>
                    <w14:schemeClr w14:val="tx1"/>
                  </w14:solidFill>
                </w14:textFill>
              </w:rPr>
              <w:t>主要为洒水降尘、</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防尘网苫盖等措施</w:t>
            </w:r>
            <w:r>
              <w:rPr>
                <w:rFonts w:hint="default" w:ascii="Times New Roman" w:hAnsi="Times New Roman" w:eastAsia="宋体" w:cs="Times New Roman"/>
                <w:bCs/>
                <w:color w:val="000000" w:themeColor="text1"/>
                <w:sz w:val="24"/>
                <w:highlight w:val="none"/>
                <w:lang w:eastAsia="zh-CN"/>
                <w14:textFill>
                  <w14:solidFill>
                    <w14:schemeClr w14:val="tx1"/>
                  </w14:solidFill>
                </w14:textFill>
              </w:rPr>
              <w:t>，堆场</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设置移动式雾炮设施</w:t>
            </w:r>
            <w:r>
              <w:rPr>
                <w:rFonts w:hint="default" w:ascii="Times New Roman" w:hAnsi="Times New Roman" w:eastAsia="宋体" w:cs="Times New Roman"/>
                <w:bCs/>
                <w:color w:val="000000" w:themeColor="text1"/>
                <w:sz w:val="24"/>
                <w:highlight w:val="none"/>
                <w:lang w:eastAsia="zh-CN"/>
                <w14:textFill>
                  <w14:solidFill>
                    <w14:schemeClr w14:val="tx1"/>
                  </w14:solidFill>
                </w14:textFill>
              </w:rPr>
              <w:t>，每天定期对堆场进行洒水，保持物料表面湿润，减少扬尘，满足《工业料堆场扬尘整治规范》（DB65T4061-2017）对堆场扬尘的防治要求。</w:t>
            </w:r>
          </w:p>
          <w:p w14:paraId="5ADD677D">
            <w:pPr>
              <w:pageBreakBefore w:val="0"/>
              <w:kinsoku/>
              <w:wordWrap/>
              <w:bidi w:val="0"/>
              <w:spacing w:after="0" w:afterLines="0" w:line="360" w:lineRule="auto"/>
              <w:ind w:firstLine="480" w:firstLineChars="200"/>
              <w:rPr>
                <w:rFonts w:hint="default" w:ascii="Times New Roman" w:hAnsi="Times New Roman" w:eastAsia="宋体" w:cs="Times New Roman"/>
                <w:bCs/>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综上所述，经</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以</w:t>
            </w:r>
            <w:r>
              <w:rPr>
                <w:rFonts w:hint="default" w:ascii="Times New Roman" w:hAnsi="Times New Roman" w:eastAsia="宋体" w:cs="Times New Roman"/>
                <w:color w:val="000000" w:themeColor="text1"/>
                <w:sz w:val="24"/>
                <w:highlight w:val="none"/>
                <w14:textFill>
                  <w14:solidFill>
                    <w14:schemeClr w14:val="tx1"/>
                  </w14:solidFill>
                </w14:textFill>
              </w:rPr>
              <w:t>上述措施后，可有效降低扬尘排放浓度，且以上措施均为实际工作中常用措施，防治效果显著，措施可行。</w:t>
            </w:r>
            <w:r>
              <w:rPr>
                <w:rFonts w:hint="default" w:ascii="Times New Roman" w:hAnsi="Times New Roman" w:eastAsia="宋体" w:cs="Times New Roman"/>
                <w:bCs/>
                <w:color w:val="000000" w:themeColor="text1"/>
                <w:sz w:val="24"/>
                <w:szCs w:val="22"/>
                <w:highlight w:val="none"/>
                <w14:textFill>
                  <w14:solidFill>
                    <w14:schemeClr w14:val="tx1"/>
                  </w14:solidFill>
                </w14:textFill>
              </w:rPr>
              <w:t>采取上述措施后无组织扬尘排放浓度可控制在1.0mg/m</w:t>
            </w:r>
            <w:r>
              <w:rPr>
                <w:rFonts w:hint="default" w:ascii="Times New Roman" w:hAnsi="Times New Roman" w:eastAsia="宋体" w:cs="Times New Roman"/>
                <w:bCs/>
                <w:color w:val="000000" w:themeColor="text1"/>
                <w:sz w:val="24"/>
                <w:szCs w:val="22"/>
                <w:highlight w:val="none"/>
                <w:vertAlign w:val="superscript"/>
                <w14:textFill>
                  <w14:solidFill>
                    <w14:schemeClr w14:val="tx1"/>
                  </w14:solidFill>
                </w14:textFill>
              </w:rPr>
              <w:t>3</w:t>
            </w:r>
            <w:r>
              <w:rPr>
                <w:rFonts w:hint="default" w:ascii="Times New Roman" w:hAnsi="Times New Roman" w:eastAsia="宋体" w:cs="Times New Roman"/>
                <w:bCs/>
                <w:color w:val="000000" w:themeColor="text1"/>
                <w:sz w:val="24"/>
                <w:szCs w:val="22"/>
                <w:highlight w:val="none"/>
                <w14:textFill>
                  <w14:solidFill>
                    <w14:schemeClr w14:val="tx1"/>
                  </w14:solidFill>
                </w14:textFill>
              </w:rPr>
              <w:t>以下，</w:t>
            </w:r>
            <w:r>
              <w:rPr>
                <w:rFonts w:hint="default" w:ascii="Times New Roman" w:hAnsi="Times New Roman" w:eastAsia="宋体" w:cs="Times New Roman"/>
                <w:color w:val="000000" w:themeColor="text1"/>
                <w:sz w:val="24"/>
                <w:highlight w:val="none"/>
                <w14:textFill>
                  <w14:solidFill>
                    <w14:schemeClr w14:val="tx1"/>
                  </w14:solidFill>
                </w14:textFill>
              </w:rPr>
              <w:t>满足《大气污染物综合排放标准》（GB16279-1996）中表2新污染源大气污染物排放限值中颗粒物（其他）无组织排放监控浓度限值（颗粒物≤1.0mg/m</w:t>
            </w:r>
            <w:r>
              <w:rPr>
                <w:rFonts w:hint="default" w:ascii="Times New Roman" w:hAnsi="Times New Roman" w:eastAsia="宋体" w:cs="Times New Roman"/>
                <w:color w:val="000000" w:themeColor="text1"/>
                <w:sz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highlight w:val="none"/>
                <w14:textFill>
                  <w14:solidFill>
                    <w14:schemeClr w14:val="tx1"/>
                  </w14:solidFill>
                </w14:textFill>
              </w:rPr>
              <w:t>）</w:t>
            </w:r>
            <w:r>
              <w:rPr>
                <w:rFonts w:hint="default" w:ascii="Times New Roman" w:hAnsi="Times New Roman" w:eastAsia="宋体" w:cs="Times New Roman"/>
                <w:bCs/>
                <w:color w:val="000000" w:themeColor="text1"/>
                <w:sz w:val="24"/>
                <w:highlight w:val="none"/>
                <w14:textFill>
                  <w14:solidFill>
                    <w14:schemeClr w14:val="tx1"/>
                  </w14:solidFill>
                </w14:textFill>
              </w:rPr>
              <w:t>，对项目区周边大气环境影响较小</w:t>
            </w:r>
            <w:r>
              <w:rPr>
                <w:rFonts w:hint="default" w:ascii="Times New Roman" w:hAnsi="Times New Roman" w:eastAsia="宋体" w:cs="Times New Roman"/>
                <w:color w:val="000000" w:themeColor="text1"/>
                <w:sz w:val="24"/>
                <w:highlight w:val="none"/>
                <w14:textFill>
                  <w14:solidFill>
                    <w14:schemeClr w14:val="tx1"/>
                  </w14:solidFill>
                </w14:textFill>
              </w:rPr>
              <w:t>。</w:t>
            </w:r>
          </w:p>
          <w:p w14:paraId="480DF5D7">
            <w:pPr>
              <w:pageBreakBefore w:val="0"/>
              <w:kinsoku/>
              <w:wordWrap/>
              <w:bidi w:val="0"/>
              <w:spacing w:after="0" w:afterLines="0" w:line="360" w:lineRule="auto"/>
              <w:ind w:firstLine="480" w:firstLineChars="200"/>
              <w:rPr>
                <w:rFonts w:hint="default" w:ascii="Times New Roman" w:hAnsi="Times New Roman" w:eastAsia="宋体" w:cs="Times New Roman"/>
                <w:b w:val="0"/>
                <w:bCs/>
                <w:color w:val="000000" w:themeColor="text1"/>
                <w:sz w:val="24"/>
                <w:highlight w:val="none"/>
                <w14:textFill>
                  <w14:solidFill>
                    <w14:schemeClr w14:val="tx1"/>
                  </w14:solidFill>
                </w14:textFill>
              </w:rPr>
            </w:pPr>
            <w:r>
              <w:rPr>
                <w:rFonts w:hint="default" w:ascii="Times New Roman" w:hAnsi="Times New Roman" w:eastAsia="宋体" w:cs="Times New Roman"/>
                <w:b w:val="0"/>
                <w:bCs/>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bCs/>
                <w:color w:val="000000" w:themeColor="text1"/>
                <w:spacing w:val="10"/>
                <w:sz w:val="24"/>
                <w:highlight w:val="none"/>
                <w:lang w:eastAsia="zh-CN"/>
                <w14:textFill>
                  <w14:solidFill>
                    <w14:schemeClr w14:val="tx1"/>
                  </w14:solidFill>
                </w14:textFill>
              </w:rPr>
              <w:t>破碎、</w:t>
            </w:r>
            <w:r>
              <w:rPr>
                <w:rFonts w:hint="default" w:ascii="Times New Roman" w:hAnsi="Times New Roman" w:eastAsia="宋体" w:cs="Times New Roman"/>
                <w:bCs/>
                <w:color w:val="000000" w:themeColor="text1"/>
                <w:spacing w:val="10"/>
                <w:sz w:val="24"/>
                <w:highlight w:val="none"/>
                <w14:textFill>
                  <w14:solidFill>
                    <w14:schemeClr w14:val="tx1"/>
                  </w14:solidFill>
                </w14:textFill>
              </w:rPr>
              <w:t>筛分</w:t>
            </w:r>
            <w:r>
              <w:rPr>
                <w:rFonts w:hint="default" w:ascii="Times New Roman" w:hAnsi="Times New Roman" w:eastAsia="宋体" w:cs="Times New Roman"/>
                <w:b w:val="0"/>
                <w:bCs/>
                <w:color w:val="000000" w:themeColor="text1"/>
                <w:sz w:val="24"/>
                <w:highlight w:val="none"/>
                <w14:textFill>
                  <w14:solidFill>
                    <w14:schemeClr w14:val="tx1"/>
                  </w14:solidFill>
                </w14:textFill>
              </w:rPr>
              <w:t>粉尘防治措施</w:t>
            </w:r>
          </w:p>
          <w:p w14:paraId="787F385E">
            <w:pPr>
              <w:pageBreakBefore w:val="0"/>
              <w:kinsoku/>
              <w:wordWrap/>
              <w:bidi w:val="0"/>
              <w:spacing w:after="0" w:afterLines="0" w:line="360" w:lineRule="auto"/>
              <w:ind w:firstLine="457" w:firstLineChars="176"/>
              <w:rPr>
                <w:rFonts w:hint="default" w:ascii="Times New Roman" w:hAnsi="Times New Roman" w:eastAsia="宋体" w:cs="Times New Roman"/>
                <w:bCs/>
                <w:color w:val="000000" w:themeColor="text1"/>
                <w:spacing w:val="10"/>
                <w:sz w:val="24"/>
                <w:highlight w:val="none"/>
                <w14:textFill>
                  <w14:solidFill>
                    <w14:schemeClr w14:val="tx1"/>
                  </w14:solidFill>
                </w14:textFill>
              </w:rPr>
            </w:pPr>
            <w:r>
              <w:rPr>
                <w:rFonts w:hint="default" w:ascii="Times New Roman" w:hAnsi="Times New Roman" w:eastAsia="宋体" w:cs="Times New Roman"/>
                <w:bCs/>
                <w:color w:val="000000" w:themeColor="text1"/>
                <w:spacing w:val="10"/>
                <w:sz w:val="24"/>
                <w:highlight w:val="none"/>
                <w:lang w:val="en-US" w:eastAsia="zh-CN"/>
                <w14:textFill>
                  <w14:solidFill>
                    <w14:schemeClr w14:val="tx1"/>
                  </w14:solidFill>
                </w14:textFill>
              </w:rPr>
              <w:t>破碎筛分生产线布设于全封闭厂房内，</w:t>
            </w:r>
            <w:r>
              <w:rPr>
                <w:rFonts w:hint="default" w:ascii="Times New Roman" w:hAnsi="Times New Roman" w:eastAsia="宋体" w:cs="Times New Roman"/>
                <w:bCs/>
                <w:color w:val="000000" w:themeColor="text1"/>
                <w:spacing w:val="10"/>
                <w:sz w:val="24"/>
                <w:highlight w:val="none"/>
                <w14:textFill>
                  <w14:solidFill>
                    <w14:schemeClr w14:val="tx1"/>
                  </w14:solidFill>
                </w14:textFill>
              </w:rPr>
              <w:t>砂石料上料口采取半封闭措施，</w:t>
            </w:r>
            <w:r>
              <w:rPr>
                <w:rFonts w:hint="default" w:ascii="Times New Roman" w:hAnsi="Times New Roman" w:eastAsia="宋体" w:cs="Times New Roman"/>
                <w:bCs/>
                <w:color w:val="000000" w:themeColor="text1"/>
                <w:spacing w:val="10"/>
                <w:sz w:val="24"/>
                <w:highlight w:val="none"/>
                <w:lang w:val="en-US" w:eastAsia="zh-CN"/>
                <w14:textFill>
                  <w14:solidFill>
                    <w14:schemeClr w14:val="tx1"/>
                  </w14:solidFill>
                </w14:textFill>
              </w:rPr>
              <w:t>运输皮带全封闭，破碎、筛分等产尘点配套设置</w:t>
            </w:r>
            <w:r>
              <w:rPr>
                <w:rFonts w:hint="eastAsia" w:ascii="Times New Roman" w:hAnsi="Times New Roman" w:eastAsia="宋体" w:cs="Times New Roman"/>
                <w:bCs/>
                <w:color w:val="000000" w:themeColor="text1"/>
                <w:spacing w:val="10"/>
                <w:sz w:val="24"/>
                <w:highlight w:val="none"/>
                <w:lang w:val="en-US" w:eastAsia="zh-CN"/>
                <w14:textFill>
                  <w14:solidFill>
                    <w14:schemeClr w14:val="tx1"/>
                  </w14:solidFill>
                </w14:textFill>
              </w:rPr>
              <w:t>密闭</w:t>
            </w:r>
            <w:r>
              <w:rPr>
                <w:rFonts w:hint="default" w:ascii="Times New Roman" w:hAnsi="Times New Roman" w:eastAsia="宋体" w:cs="Times New Roman"/>
                <w:bCs/>
                <w:color w:val="000000" w:themeColor="text1"/>
                <w:spacing w:val="10"/>
                <w:sz w:val="24"/>
                <w:highlight w:val="none"/>
                <w:lang w:val="en-US" w:eastAsia="zh-CN"/>
                <w14:textFill>
                  <w14:solidFill>
                    <w14:schemeClr w14:val="tx1"/>
                  </w14:solidFill>
                </w14:textFill>
              </w:rPr>
              <w:t>集气罩</w:t>
            </w:r>
            <w:r>
              <w:rPr>
                <w:rFonts w:hint="eastAsia" w:ascii="Times New Roman" w:hAnsi="Times New Roman" w:eastAsia="宋体" w:cs="Times New Roman"/>
                <w:bCs/>
                <w:color w:val="000000" w:themeColor="text1"/>
                <w:spacing w:val="10"/>
                <w:sz w:val="24"/>
                <w:highlight w:val="none"/>
                <w:lang w:val="en-US" w:eastAsia="zh-CN"/>
                <w14:textFill>
                  <w14:solidFill>
                    <w14:schemeClr w14:val="tx1"/>
                  </w14:solidFill>
                </w14:textFill>
              </w:rPr>
              <w:t>负压收集</w:t>
            </w:r>
            <w:r>
              <w:rPr>
                <w:rFonts w:hint="default" w:ascii="Times New Roman" w:hAnsi="Times New Roman" w:eastAsia="宋体" w:cs="Times New Roman"/>
                <w:bCs/>
                <w:color w:val="000000" w:themeColor="text1"/>
                <w:spacing w:val="10"/>
                <w:sz w:val="24"/>
                <w:highlight w:val="none"/>
                <w:lang w:val="en-US" w:eastAsia="zh-CN"/>
                <w14:textFill>
                  <w14:solidFill>
                    <w14:schemeClr w14:val="tx1"/>
                  </w14:solidFill>
                </w14:textFill>
              </w:rPr>
              <w:t>，集气效率不小于90%，</w:t>
            </w:r>
            <w:r>
              <w:rPr>
                <w:rFonts w:hint="default" w:ascii="Times New Roman" w:hAnsi="Times New Roman" w:eastAsia="宋体" w:cs="Times New Roman"/>
                <w:bCs/>
                <w:color w:val="000000" w:themeColor="text1"/>
                <w:spacing w:val="10"/>
                <w:sz w:val="24"/>
                <w:highlight w:val="none"/>
                <w:lang w:eastAsia="zh-CN"/>
                <w14:textFill>
                  <w14:solidFill>
                    <w14:schemeClr w14:val="tx1"/>
                  </w14:solidFill>
                </w14:textFill>
              </w:rPr>
              <w:t>除尘效率可达到</w:t>
            </w:r>
            <w:r>
              <w:rPr>
                <w:rFonts w:hint="default" w:ascii="Times New Roman" w:hAnsi="Times New Roman" w:eastAsia="宋体" w:cs="Times New Roman"/>
                <w:bCs/>
                <w:color w:val="000000" w:themeColor="text1"/>
                <w:spacing w:val="10"/>
                <w:sz w:val="24"/>
                <w:highlight w:val="none"/>
                <w:lang w:val="en-US" w:eastAsia="zh-CN"/>
                <w14:textFill>
                  <w14:solidFill>
                    <w14:schemeClr w14:val="tx1"/>
                  </w14:solidFill>
                </w14:textFill>
              </w:rPr>
              <w:t>99%，生产废气经布袋除尘器净化后的废气通过不低于15m（DA002和DA003）高排气筒外排。对于未收集的粉尘，经全封闭厂房及洒水降尘措施</w:t>
            </w:r>
            <w:r>
              <w:rPr>
                <w:rFonts w:hint="default" w:ascii="Times New Roman" w:hAnsi="Times New Roman" w:eastAsia="宋体" w:cs="Times New Roman"/>
                <w:bCs/>
                <w:color w:val="000000" w:themeColor="text1"/>
                <w:spacing w:val="10"/>
                <w:sz w:val="24"/>
                <w:highlight w:val="none"/>
                <w14:textFill>
                  <w14:solidFill>
                    <w14:schemeClr w14:val="tx1"/>
                  </w14:solidFill>
                </w14:textFill>
              </w:rPr>
              <w:t>，可以有效减少在破碎、筛分过程中</w:t>
            </w:r>
            <w:r>
              <w:rPr>
                <w:rFonts w:hint="default" w:ascii="Times New Roman" w:hAnsi="Times New Roman" w:eastAsia="宋体" w:cs="Times New Roman"/>
                <w:bCs/>
                <w:color w:val="000000" w:themeColor="text1"/>
                <w:spacing w:val="10"/>
                <w:sz w:val="24"/>
                <w:highlight w:val="none"/>
                <w:lang w:eastAsia="zh-CN"/>
                <w14:textFill>
                  <w14:solidFill>
                    <w14:schemeClr w14:val="tx1"/>
                  </w14:solidFill>
                </w14:textFill>
              </w:rPr>
              <w:t>无组织</w:t>
            </w:r>
            <w:r>
              <w:rPr>
                <w:rFonts w:hint="default" w:ascii="Times New Roman" w:hAnsi="Times New Roman" w:eastAsia="宋体" w:cs="Times New Roman"/>
                <w:bCs/>
                <w:color w:val="000000" w:themeColor="text1"/>
                <w:spacing w:val="10"/>
                <w:sz w:val="24"/>
                <w:highlight w:val="none"/>
                <w14:textFill>
                  <w14:solidFill>
                    <w14:schemeClr w14:val="tx1"/>
                  </w14:solidFill>
                </w14:textFill>
              </w:rPr>
              <w:t>粉尘的产生。</w:t>
            </w:r>
          </w:p>
          <w:p w14:paraId="0E4E9CDC">
            <w:pPr>
              <w:pageBreakBefore w:val="0"/>
              <w:kinsoku/>
              <w:wordWrap/>
              <w:bidi w:val="0"/>
              <w:spacing w:after="0" w:afterLines="0" w:line="360" w:lineRule="auto"/>
              <w:ind w:firstLine="457" w:firstLineChars="176"/>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bCs/>
                <w:color w:val="000000" w:themeColor="text1"/>
                <w:spacing w:val="10"/>
                <w:sz w:val="24"/>
                <w:highlight w:val="none"/>
                <w:lang w:eastAsia="zh-CN"/>
                <w14:textFill>
                  <w14:solidFill>
                    <w14:schemeClr w14:val="tx1"/>
                  </w14:solidFill>
                </w14:textFill>
              </w:rPr>
              <w:t>根据《新疆维吾尔自治区重点行业环境准入条件（修订）》：</w:t>
            </w:r>
            <w:r>
              <w:rPr>
                <w:rFonts w:hint="default" w:ascii="Times New Roman" w:hAnsi="Times New Roman" w:eastAsia="宋体" w:cs="Times New Roman"/>
                <w:bCs/>
                <w:color w:val="000000" w:themeColor="text1"/>
                <w:spacing w:val="10"/>
                <w:sz w:val="24"/>
                <w:highlight w:val="none"/>
                <w14:textFill>
                  <w14:solidFill>
                    <w14:schemeClr w14:val="tx1"/>
                  </w14:solidFill>
                </w14:textFill>
              </w:rPr>
              <w:t>矿石转运、破碎、筛分等粉尘产生工序，须配备抑尘、除尘设施，除尘效率不低于99%。</w:t>
            </w:r>
            <w:r>
              <w:rPr>
                <w:rFonts w:hint="default" w:ascii="Times New Roman" w:hAnsi="Times New Roman" w:eastAsia="宋体" w:cs="Times New Roman"/>
                <w:color w:val="000000" w:themeColor="text1"/>
                <w:sz w:val="24"/>
                <w:szCs w:val="22"/>
                <w:highlight w:val="none"/>
                <w:lang w:eastAsia="zh-CN"/>
                <w14:textFill>
                  <w14:solidFill>
                    <w14:schemeClr w14:val="tx1"/>
                  </w14:solidFill>
                </w14:textFill>
              </w:rPr>
              <w:t>本项目</w:t>
            </w:r>
            <w:r>
              <w:rPr>
                <w:rFonts w:hint="default" w:ascii="Times New Roman" w:hAnsi="Times New Roman" w:eastAsia="宋体" w:cs="Times New Roman"/>
                <w:bCs/>
                <w:color w:val="000000" w:themeColor="text1"/>
                <w:spacing w:val="10"/>
                <w:sz w:val="24"/>
                <w:highlight w:val="none"/>
                <w:lang w:eastAsia="zh-CN"/>
                <w14:textFill>
                  <w14:solidFill>
                    <w14:schemeClr w14:val="tx1"/>
                  </w14:solidFill>
                </w14:textFill>
              </w:rPr>
              <w:t>破碎、</w:t>
            </w:r>
            <w:r>
              <w:rPr>
                <w:rFonts w:hint="default" w:ascii="Times New Roman" w:hAnsi="Times New Roman" w:eastAsia="宋体" w:cs="Times New Roman"/>
                <w:bCs/>
                <w:color w:val="000000" w:themeColor="text1"/>
                <w:spacing w:val="10"/>
                <w:sz w:val="24"/>
                <w:highlight w:val="none"/>
                <w14:textFill>
                  <w14:solidFill>
                    <w14:schemeClr w14:val="tx1"/>
                  </w14:solidFill>
                </w14:textFill>
              </w:rPr>
              <w:t>筛分</w:t>
            </w:r>
            <w:r>
              <w:rPr>
                <w:rFonts w:hint="default" w:ascii="Times New Roman" w:hAnsi="Times New Roman" w:eastAsia="宋体" w:cs="Times New Roman"/>
                <w:color w:val="000000" w:themeColor="text1"/>
                <w:sz w:val="24"/>
                <w:szCs w:val="22"/>
                <w:highlight w:val="none"/>
                <w14:textFill>
                  <w14:solidFill>
                    <w14:schemeClr w14:val="tx1"/>
                  </w14:solidFill>
                </w14:textFill>
              </w:rPr>
              <w:t>工序</w:t>
            </w:r>
            <w:r>
              <w:rPr>
                <w:rFonts w:hint="default" w:ascii="Times New Roman" w:hAnsi="Times New Roman" w:eastAsia="宋体" w:cs="Times New Roman"/>
                <w:color w:val="000000" w:themeColor="text1"/>
                <w:sz w:val="24"/>
                <w:szCs w:val="22"/>
                <w:highlight w:val="none"/>
                <w:lang w:eastAsia="zh-CN"/>
                <w14:textFill>
                  <w14:solidFill>
                    <w14:schemeClr w14:val="tx1"/>
                  </w14:solidFill>
                </w14:textFill>
              </w:rPr>
              <w:t>采用布袋除尘</w:t>
            </w:r>
            <w:r>
              <w:rPr>
                <w:rFonts w:hint="default" w:ascii="Times New Roman" w:hAnsi="Times New Roman" w:eastAsia="宋体" w:cs="Times New Roman"/>
                <w:color w:val="000000" w:themeColor="text1"/>
                <w:sz w:val="24"/>
                <w:highlight w:val="none"/>
                <w14:textFill>
                  <w14:solidFill>
                    <w14:schemeClr w14:val="tx1"/>
                  </w14:solidFill>
                </w14:textFill>
              </w:rPr>
              <w:t>，防治效果显著，措施可行。</w:t>
            </w:r>
          </w:p>
          <w:p w14:paraId="6D8A1BE0">
            <w:pPr>
              <w:pageBreakBefore w:val="0"/>
              <w:kinsoku/>
              <w:wordWrap/>
              <w:bidi w:val="0"/>
              <w:spacing w:after="0" w:afterLines="0" w:line="360" w:lineRule="auto"/>
              <w:ind w:firstLine="422" w:firstLineChars="176"/>
              <w:rPr>
                <w:rFonts w:hint="default" w:ascii="Times New Roman" w:hAnsi="Times New Roman" w:eastAsia="宋体" w:cs="Times New Roman"/>
                <w:bCs/>
                <w:color w:val="000000" w:themeColor="text1"/>
                <w:sz w:val="24"/>
                <w:highlight w:val="none"/>
                <w14:textFill>
                  <w14:solidFill>
                    <w14:schemeClr w14:val="tx1"/>
                  </w14:solidFill>
                </w14:textFill>
              </w:rPr>
            </w:pPr>
            <w:r>
              <w:rPr>
                <w:rFonts w:hint="default" w:ascii="Times New Roman" w:hAnsi="Times New Roman" w:eastAsia="宋体" w:cs="Times New Roman"/>
                <w:bCs/>
                <w:color w:val="000000" w:themeColor="text1"/>
                <w:sz w:val="24"/>
                <w:highlight w:val="none"/>
                <w14:textFill>
                  <w14:solidFill>
                    <w14:schemeClr w14:val="tx1"/>
                  </w14:solidFill>
                </w14:textFill>
              </w:rPr>
              <w:t>采取上述措施后破碎</w:t>
            </w:r>
            <w:r>
              <w:rPr>
                <w:rFonts w:hint="default" w:ascii="Times New Roman" w:hAnsi="Times New Roman" w:eastAsia="宋体" w:cs="Times New Roman"/>
                <w:bCs/>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4"/>
                <w:highlight w:val="none"/>
                <w14:textFill>
                  <w14:solidFill>
                    <w14:schemeClr w14:val="tx1"/>
                  </w14:solidFill>
                </w14:textFill>
              </w:rPr>
              <w:t>筛分工序</w:t>
            </w:r>
            <w:r>
              <w:rPr>
                <w:rFonts w:hint="default" w:ascii="Times New Roman" w:hAnsi="Times New Roman" w:eastAsia="宋体" w:cs="Times New Roman"/>
                <w:bCs/>
                <w:color w:val="000000" w:themeColor="text1"/>
                <w:sz w:val="24"/>
                <w:highlight w:val="none"/>
                <w:lang w:eastAsia="zh-CN"/>
                <w14:textFill>
                  <w14:solidFill>
                    <w14:schemeClr w14:val="tx1"/>
                  </w14:solidFill>
                </w14:textFill>
              </w:rPr>
              <w:t>有</w:t>
            </w:r>
            <w:r>
              <w:rPr>
                <w:rFonts w:hint="default" w:ascii="Times New Roman" w:hAnsi="Times New Roman" w:eastAsia="宋体" w:cs="Times New Roman"/>
                <w:bCs/>
                <w:color w:val="000000" w:themeColor="text1"/>
                <w:sz w:val="24"/>
                <w:highlight w:val="none"/>
                <w14:textFill>
                  <w14:solidFill>
                    <w14:schemeClr w14:val="tx1"/>
                  </w14:solidFill>
                </w14:textFill>
              </w:rPr>
              <w:t>组织粉尘排放浓度满足</w:t>
            </w:r>
            <w:r>
              <w:rPr>
                <w:rFonts w:hint="default" w:ascii="Times New Roman" w:hAnsi="Times New Roman" w:eastAsia="宋体" w:cs="Times New Roman"/>
                <w:color w:val="000000" w:themeColor="text1"/>
                <w:sz w:val="24"/>
                <w:highlight w:val="none"/>
                <w14:textFill>
                  <w14:solidFill>
                    <w14:schemeClr w14:val="tx1"/>
                  </w14:solidFill>
                </w14:textFill>
              </w:rPr>
              <w:t>《大气污染物综合排放标准》（GB16279-1996）中表2新污染源大气污染物排放限值</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二级标准</w:t>
            </w:r>
            <w:r>
              <w:rPr>
                <w:rFonts w:hint="default" w:ascii="Times New Roman" w:hAnsi="Times New Roman" w:eastAsia="宋体" w:cs="Times New Roman"/>
                <w:color w:val="000000" w:themeColor="text1"/>
                <w:sz w:val="24"/>
                <w:highlight w:val="none"/>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120</w:t>
            </w:r>
            <w:r>
              <w:rPr>
                <w:rFonts w:hint="default" w:ascii="Times New Roman" w:hAnsi="Times New Roman" w:eastAsia="宋体" w:cs="Times New Roman"/>
                <w:color w:val="000000" w:themeColor="text1"/>
                <w:sz w:val="24"/>
                <w:highlight w:val="none"/>
                <w14:textFill>
                  <w14:solidFill>
                    <w14:schemeClr w14:val="tx1"/>
                  </w14:solidFill>
                </w14:textFill>
              </w:rPr>
              <w:t>mg/m</w:t>
            </w:r>
            <w:r>
              <w:rPr>
                <w:rFonts w:hint="default" w:ascii="Times New Roman" w:hAnsi="Times New Roman" w:eastAsia="宋体" w:cs="Times New Roman"/>
                <w:color w:val="000000" w:themeColor="text1"/>
                <w:sz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highlight w:val="none"/>
                <w14:textFill>
                  <w14:solidFill>
                    <w14:schemeClr w14:val="tx1"/>
                  </w14:solidFill>
                </w14:textFill>
              </w:rPr>
              <w:t>）</w:t>
            </w:r>
            <w:r>
              <w:rPr>
                <w:rFonts w:hint="default" w:ascii="Times New Roman" w:hAnsi="Times New Roman" w:eastAsia="宋体" w:cs="Times New Roman"/>
                <w:bCs/>
                <w:color w:val="000000" w:themeColor="text1"/>
                <w:sz w:val="24"/>
                <w:highlight w:val="none"/>
                <w14:textFill>
                  <w14:solidFill>
                    <w14:schemeClr w14:val="tx1"/>
                  </w14:solidFill>
                </w14:textFill>
              </w:rPr>
              <w:t>，对项目区周边大气环境影响较小。</w:t>
            </w:r>
          </w:p>
          <w:p w14:paraId="6ED5BF86">
            <w:pPr>
              <w:pageBreakBefore w:val="0"/>
              <w:numPr>
                <w:ilvl w:val="0"/>
                <w:numId w:val="0"/>
              </w:numPr>
              <w:kinsoku/>
              <w:wordWrap/>
              <w:bidi w:val="0"/>
              <w:spacing w:after="0" w:afterLines="0" w:line="360" w:lineRule="auto"/>
              <w:ind w:firstLine="422" w:firstLineChars="176"/>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（6）</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水稳站搅拌粉尘防治措施</w:t>
            </w:r>
          </w:p>
          <w:p w14:paraId="4291548E">
            <w:pPr>
              <w:pageBreakBefore w:val="0"/>
              <w:kinsoku/>
              <w:wordWrap/>
              <w:bidi w:val="0"/>
              <w:spacing w:after="0" w:afterLines="0" w:line="360" w:lineRule="auto"/>
              <w:ind w:firstLine="457" w:firstLineChars="176"/>
              <w:rPr>
                <w:rFonts w:hint="default" w:ascii="Times New Roman" w:hAnsi="Times New Roman" w:eastAsia="宋体" w:cs="Times New Roman"/>
                <w:bCs/>
                <w:color w:val="000000" w:themeColor="text1"/>
                <w:spacing w:val="10"/>
                <w:sz w:val="24"/>
                <w:highlight w:val="none"/>
                <w14:textFill>
                  <w14:solidFill>
                    <w14:schemeClr w14:val="tx1"/>
                  </w14:solidFill>
                </w14:textFill>
              </w:rPr>
            </w:pPr>
            <w:r>
              <w:rPr>
                <w:rFonts w:hint="default" w:ascii="Times New Roman" w:hAnsi="Times New Roman" w:eastAsia="宋体" w:cs="Times New Roman"/>
                <w:bCs/>
                <w:color w:val="000000" w:themeColor="text1"/>
                <w:spacing w:val="10"/>
                <w:sz w:val="24"/>
                <w:highlight w:val="none"/>
                <w:lang w:val="en-US" w:eastAsia="zh-CN"/>
                <w14:textFill>
                  <w14:solidFill>
                    <w14:schemeClr w14:val="tx1"/>
                  </w14:solidFill>
                </w14:textFill>
              </w:rPr>
              <w:t>搅拌设备位于全封闭搅拌楼内，运输皮带全封闭，收集效率为100%，</w:t>
            </w:r>
            <w:r>
              <w:rPr>
                <w:rFonts w:hint="default" w:ascii="Times New Roman" w:hAnsi="Times New Roman" w:eastAsia="宋体" w:cs="Times New Roman"/>
                <w:bCs/>
                <w:color w:val="000000" w:themeColor="text1"/>
                <w:spacing w:val="10"/>
                <w:sz w:val="24"/>
                <w:highlight w:val="none"/>
                <w:lang w:eastAsia="zh-CN"/>
                <w14:textFill>
                  <w14:solidFill>
                    <w14:schemeClr w14:val="tx1"/>
                  </w14:solidFill>
                </w14:textFill>
              </w:rPr>
              <w:t>除尘效率可达到</w:t>
            </w:r>
            <w:r>
              <w:rPr>
                <w:rFonts w:hint="default" w:ascii="Times New Roman" w:hAnsi="Times New Roman" w:eastAsia="宋体" w:cs="Times New Roman"/>
                <w:bCs/>
                <w:color w:val="000000" w:themeColor="text1"/>
                <w:spacing w:val="10"/>
                <w:sz w:val="24"/>
                <w:highlight w:val="none"/>
                <w:lang w:val="en-US" w:eastAsia="zh-CN"/>
                <w14:textFill>
                  <w14:solidFill>
                    <w14:schemeClr w14:val="tx1"/>
                  </w14:solidFill>
                </w14:textFill>
              </w:rPr>
              <w:t>99.7%，生产废气经布袋除尘器净化后的废气通过不低于15m（DA001）高排气筒外排。对于未收集的粉尘，经全厂洒水降尘措施</w:t>
            </w:r>
            <w:r>
              <w:rPr>
                <w:rFonts w:hint="default" w:ascii="Times New Roman" w:hAnsi="Times New Roman" w:eastAsia="宋体" w:cs="Times New Roman"/>
                <w:bCs/>
                <w:color w:val="000000" w:themeColor="text1"/>
                <w:spacing w:val="10"/>
                <w:sz w:val="24"/>
                <w:highlight w:val="none"/>
                <w14:textFill>
                  <w14:solidFill>
                    <w14:schemeClr w14:val="tx1"/>
                  </w14:solidFill>
                </w14:textFill>
              </w:rPr>
              <w:t>，可以有效减少</w:t>
            </w:r>
            <w:r>
              <w:rPr>
                <w:rFonts w:hint="default" w:ascii="Times New Roman" w:hAnsi="Times New Roman" w:eastAsia="宋体" w:cs="Times New Roman"/>
                <w:bCs/>
                <w:color w:val="000000" w:themeColor="text1"/>
                <w:spacing w:val="10"/>
                <w:sz w:val="24"/>
                <w:highlight w:val="none"/>
                <w:lang w:eastAsia="zh-CN"/>
                <w14:textFill>
                  <w14:solidFill>
                    <w14:schemeClr w14:val="tx1"/>
                  </w14:solidFill>
                </w14:textFill>
              </w:rPr>
              <w:t>无组织</w:t>
            </w:r>
            <w:r>
              <w:rPr>
                <w:rFonts w:hint="default" w:ascii="Times New Roman" w:hAnsi="Times New Roman" w:eastAsia="宋体" w:cs="Times New Roman"/>
                <w:bCs/>
                <w:color w:val="000000" w:themeColor="text1"/>
                <w:spacing w:val="10"/>
                <w:sz w:val="24"/>
                <w:highlight w:val="none"/>
                <w14:textFill>
                  <w14:solidFill>
                    <w14:schemeClr w14:val="tx1"/>
                  </w14:solidFill>
                </w14:textFill>
              </w:rPr>
              <w:t>粉尘的产生。</w:t>
            </w:r>
          </w:p>
          <w:p w14:paraId="74A39A5F">
            <w:pPr>
              <w:pageBreakBefore w:val="0"/>
              <w:kinsoku/>
              <w:wordWrap/>
              <w:bidi w:val="0"/>
              <w:spacing w:after="0" w:afterLines="0" w:line="360" w:lineRule="auto"/>
              <w:ind w:firstLine="422" w:firstLineChars="176"/>
              <w:rPr>
                <w:rFonts w:hint="default" w:ascii="Times New Roman" w:hAnsi="Times New Roman" w:eastAsia="宋体" w:cs="Times New Roman"/>
                <w:bCs/>
                <w:color w:val="000000" w:themeColor="text1"/>
                <w:sz w:val="24"/>
                <w:highlight w:val="none"/>
                <w14:textFill>
                  <w14:solidFill>
                    <w14:schemeClr w14:val="tx1"/>
                  </w14:solidFill>
                </w14:textFill>
              </w:rPr>
            </w:pPr>
            <w:r>
              <w:rPr>
                <w:rFonts w:hint="default" w:ascii="Times New Roman" w:hAnsi="Times New Roman" w:eastAsia="宋体" w:cs="Times New Roman"/>
                <w:bCs/>
                <w:color w:val="000000" w:themeColor="text1"/>
                <w:sz w:val="24"/>
                <w:highlight w:val="none"/>
                <w14:textFill>
                  <w14:solidFill>
                    <w14:schemeClr w14:val="tx1"/>
                  </w14:solidFill>
                </w14:textFill>
              </w:rPr>
              <w:t>采取上述措施后</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搅拌</w:t>
            </w:r>
            <w:r>
              <w:rPr>
                <w:rFonts w:hint="default" w:ascii="Times New Roman" w:hAnsi="Times New Roman" w:eastAsia="宋体" w:cs="Times New Roman"/>
                <w:bCs/>
                <w:color w:val="000000" w:themeColor="text1"/>
                <w:sz w:val="24"/>
                <w:highlight w:val="none"/>
                <w14:textFill>
                  <w14:solidFill>
                    <w14:schemeClr w14:val="tx1"/>
                  </w14:solidFill>
                </w14:textFill>
              </w:rPr>
              <w:t>工序</w:t>
            </w:r>
            <w:r>
              <w:rPr>
                <w:rFonts w:hint="default" w:ascii="Times New Roman" w:hAnsi="Times New Roman" w:eastAsia="宋体" w:cs="Times New Roman"/>
                <w:bCs/>
                <w:color w:val="000000" w:themeColor="text1"/>
                <w:sz w:val="24"/>
                <w:highlight w:val="none"/>
                <w:lang w:eastAsia="zh-CN"/>
                <w14:textFill>
                  <w14:solidFill>
                    <w14:schemeClr w14:val="tx1"/>
                  </w14:solidFill>
                </w14:textFill>
              </w:rPr>
              <w:t>有</w:t>
            </w:r>
            <w:r>
              <w:rPr>
                <w:rFonts w:hint="default" w:ascii="Times New Roman" w:hAnsi="Times New Roman" w:eastAsia="宋体" w:cs="Times New Roman"/>
                <w:bCs/>
                <w:color w:val="000000" w:themeColor="text1"/>
                <w:sz w:val="24"/>
                <w:highlight w:val="none"/>
                <w14:textFill>
                  <w14:solidFill>
                    <w14:schemeClr w14:val="tx1"/>
                  </w14:solidFill>
                </w14:textFill>
              </w:rPr>
              <w:t>组织粉尘排放浓度满足《水泥工业大气污染物排放标准》(GB4915-2013)表1现有与新建企业大气污染物排放限值</w:t>
            </w:r>
            <w:r>
              <w:rPr>
                <w:rFonts w:hint="default" w:ascii="Times New Roman" w:hAnsi="Times New Roman" w:eastAsia="宋体" w:cs="Times New Roman"/>
                <w:bCs/>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20</w:t>
            </w:r>
            <w:r>
              <w:rPr>
                <w:rFonts w:hint="default" w:ascii="Times New Roman" w:hAnsi="Times New Roman" w:eastAsia="宋体" w:cs="Times New Roman"/>
                <w:color w:val="000000" w:themeColor="text1"/>
                <w:sz w:val="24"/>
                <w:highlight w:val="none"/>
                <w14:textFill>
                  <w14:solidFill>
                    <w14:schemeClr w14:val="tx1"/>
                  </w14:solidFill>
                </w14:textFill>
              </w:rPr>
              <w:t>mg/m</w:t>
            </w:r>
            <w:r>
              <w:rPr>
                <w:rFonts w:hint="default" w:ascii="Times New Roman" w:hAnsi="Times New Roman" w:eastAsia="宋体" w:cs="Times New Roman"/>
                <w:color w:val="000000" w:themeColor="text1"/>
                <w:sz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z w:val="24"/>
                <w:highlight w:val="none"/>
                <w:vertAlign w:val="baseline"/>
                <w:lang w:eastAsia="zh-CN"/>
                <w14:textFill>
                  <w14:solidFill>
                    <w14:schemeClr w14:val="tx1"/>
                  </w14:solidFill>
                </w14:textFill>
              </w:rPr>
              <w:t>）</w:t>
            </w:r>
            <w:r>
              <w:rPr>
                <w:rFonts w:hint="default" w:ascii="Times New Roman" w:hAnsi="Times New Roman" w:eastAsia="宋体" w:cs="Times New Roman"/>
                <w:bCs/>
                <w:color w:val="000000" w:themeColor="text1"/>
                <w:sz w:val="24"/>
                <w:highlight w:val="none"/>
                <w14:textFill>
                  <w14:solidFill>
                    <w14:schemeClr w14:val="tx1"/>
                  </w14:solidFill>
                </w14:textFill>
              </w:rPr>
              <w:t>，对项目区周边大气环境影响较小。</w:t>
            </w:r>
          </w:p>
          <w:p w14:paraId="6587B397">
            <w:pPr>
              <w:pageBreakBefore w:val="0"/>
              <w:numPr>
                <w:ilvl w:val="0"/>
                <w:numId w:val="0"/>
              </w:numPr>
              <w:kinsoku/>
              <w:wordWrap/>
              <w:bidi w:val="0"/>
              <w:spacing w:after="0" w:afterLines="0" w:line="360" w:lineRule="auto"/>
              <w:ind w:firstLine="422" w:firstLineChars="176"/>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2"/>
                <w:sz w:val="24"/>
                <w:szCs w:val="24"/>
                <w:highlight w:val="none"/>
                <w:lang w:val="en-US" w:eastAsia="zh-CN" w:bidi="ar-SA"/>
                <w14:textFill>
                  <w14:solidFill>
                    <w14:schemeClr w14:val="tx1"/>
                  </w14:solidFill>
                </w14:textFill>
              </w:rPr>
              <w:t>（7）</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筒仓粉尘防治措施</w:t>
            </w:r>
          </w:p>
          <w:p w14:paraId="22212D80">
            <w:pPr>
              <w:pageBreakBefore w:val="0"/>
              <w:kinsoku/>
              <w:wordWrap/>
              <w:bidi w:val="0"/>
              <w:spacing w:after="0" w:afterLines="0" w:line="360" w:lineRule="auto"/>
              <w:ind w:firstLine="457" w:firstLineChars="176"/>
              <w:rPr>
                <w:rFonts w:hint="default" w:ascii="Times New Roman" w:hAnsi="Times New Roman" w:eastAsia="宋体" w:cs="Times New Roman"/>
                <w:bCs/>
                <w:color w:val="000000" w:themeColor="text1"/>
                <w:spacing w:val="10"/>
                <w:sz w:val="24"/>
                <w:highlight w:val="none"/>
                <w14:textFill>
                  <w14:solidFill>
                    <w14:schemeClr w14:val="tx1"/>
                  </w14:solidFill>
                </w14:textFill>
              </w:rPr>
            </w:pPr>
            <w:r>
              <w:rPr>
                <w:rFonts w:hint="default" w:ascii="Times New Roman" w:hAnsi="Times New Roman" w:eastAsia="宋体" w:cs="Times New Roman"/>
                <w:bCs/>
                <w:color w:val="000000" w:themeColor="text1"/>
                <w:spacing w:val="10"/>
                <w:sz w:val="24"/>
                <w:highlight w:val="none"/>
                <w:lang w:val="en-US" w:eastAsia="zh-CN"/>
                <w14:textFill>
                  <w14:solidFill>
                    <w14:schemeClr w14:val="tx1"/>
                  </w14:solidFill>
                </w14:textFill>
              </w:rPr>
              <w:t>水稳料的部分原辅料存放于筒仓内，每次出料或进料时筒仓顶部会产生呼吸废气，在筒仓顶部设置布袋除尘设备，搅拌设备位于全封闭搅拌楼内，运输皮带全封闭，收集效率位100%，</w:t>
            </w:r>
            <w:r>
              <w:rPr>
                <w:rFonts w:hint="default" w:ascii="Times New Roman" w:hAnsi="Times New Roman" w:eastAsia="宋体" w:cs="Times New Roman"/>
                <w:bCs/>
                <w:color w:val="000000" w:themeColor="text1"/>
                <w:spacing w:val="10"/>
                <w:sz w:val="24"/>
                <w:highlight w:val="none"/>
                <w:lang w:eastAsia="zh-CN"/>
                <w14:textFill>
                  <w14:solidFill>
                    <w14:schemeClr w14:val="tx1"/>
                  </w14:solidFill>
                </w14:textFill>
              </w:rPr>
              <w:t>除尘效率可达到</w:t>
            </w:r>
            <w:r>
              <w:rPr>
                <w:rFonts w:hint="default" w:ascii="Times New Roman" w:hAnsi="Times New Roman" w:eastAsia="宋体" w:cs="Times New Roman"/>
                <w:bCs/>
                <w:color w:val="000000" w:themeColor="text1"/>
                <w:spacing w:val="10"/>
                <w:sz w:val="24"/>
                <w:highlight w:val="none"/>
                <w:lang w:val="en-US" w:eastAsia="zh-CN"/>
                <w14:textFill>
                  <w14:solidFill>
                    <w14:schemeClr w14:val="tx1"/>
                  </w14:solidFill>
                </w14:textFill>
              </w:rPr>
              <w:t>99.7%，废气经布袋除尘器净化后无组织排放。经全厂洒水降尘措施</w:t>
            </w:r>
            <w:r>
              <w:rPr>
                <w:rFonts w:hint="default" w:ascii="Times New Roman" w:hAnsi="Times New Roman" w:eastAsia="宋体" w:cs="Times New Roman"/>
                <w:bCs/>
                <w:color w:val="000000" w:themeColor="text1"/>
                <w:spacing w:val="10"/>
                <w:sz w:val="24"/>
                <w:highlight w:val="none"/>
                <w14:textFill>
                  <w14:solidFill>
                    <w14:schemeClr w14:val="tx1"/>
                  </w14:solidFill>
                </w14:textFill>
              </w:rPr>
              <w:t>，可以有效减少</w:t>
            </w:r>
            <w:r>
              <w:rPr>
                <w:rFonts w:hint="default" w:ascii="Times New Roman" w:hAnsi="Times New Roman" w:eastAsia="宋体" w:cs="Times New Roman"/>
                <w:bCs/>
                <w:color w:val="000000" w:themeColor="text1"/>
                <w:spacing w:val="10"/>
                <w:sz w:val="24"/>
                <w:highlight w:val="none"/>
                <w:lang w:eastAsia="zh-CN"/>
                <w14:textFill>
                  <w14:solidFill>
                    <w14:schemeClr w14:val="tx1"/>
                  </w14:solidFill>
                </w14:textFill>
              </w:rPr>
              <w:t>无组织</w:t>
            </w:r>
            <w:r>
              <w:rPr>
                <w:rFonts w:hint="default" w:ascii="Times New Roman" w:hAnsi="Times New Roman" w:eastAsia="宋体" w:cs="Times New Roman"/>
                <w:bCs/>
                <w:color w:val="000000" w:themeColor="text1"/>
                <w:spacing w:val="10"/>
                <w:sz w:val="24"/>
                <w:highlight w:val="none"/>
                <w14:textFill>
                  <w14:solidFill>
                    <w14:schemeClr w14:val="tx1"/>
                  </w14:solidFill>
                </w14:textFill>
              </w:rPr>
              <w:t>粉尘的产生。</w:t>
            </w:r>
          </w:p>
          <w:p w14:paraId="7453D3B3">
            <w:pPr>
              <w:pageBreakBefore w:val="0"/>
              <w:kinsoku/>
              <w:wordWrap/>
              <w:bidi w:val="0"/>
              <w:spacing w:after="0" w:afterLines="0" w:line="360" w:lineRule="auto"/>
              <w:ind w:firstLine="422" w:firstLineChars="176"/>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sz w:val="24"/>
                <w:highlight w:val="none"/>
                <w14:textFill>
                  <w14:solidFill>
                    <w14:schemeClr w14:val="tx1"/>
                  </w14:solidFill>
                </w14:textFill>
              </w:rPr>
              <w:t>采取上述措施后</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搅拌</w:t>
            </w:r>
            <w:r>
              <w:rPr>
                <w:rFonts w:hint="default" w:ascii="Times New Roman" w:hAnsi="Times New Roman" w:eastAsia="宋体" w:cs="Times New Roman"/>
                <w:bCs/>
                <w:color w:val="000000" w:themeColor="text1"/>
                <w:sz w:val="24"/>
                <w:highlight w:val="none"/>
                <w14:textFill>
                  <w14:solidFill>
                    <w14:schemeClr w14:val="tx1"/>
                  </w14:solidFill>
                </w14:textFill>
              </w:rPr>
              <w:t>工序</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无</w:t>
            </w:r>
            <w:r>
              <w:rPr>
                <w:rFonts w:hint="default" w:ascii="Times New Roman" w:hAnsi="Times New Roman" w:eastAsia="宋体" w:cs="Times New Roman"/>
                <w:bCs/>
                <w:color w:val="000000" w:themeColor="text1"/>
                <w:sz w:val="24"/>
                <w:highlight w:val="none"/>
                <w14:textFill>
                  <w14:solidFill>
                    <w14:schemeClr w14:val="tx1"/>
                  </w14:solidFill>
                </w14:textFill>
              </w:rPr>
              <w:t>组织粉尘排放浓度满足《水泥工业大气污染物排放标准》(GB4915-2013)表3监控点与参照点总悬浮颗粒物(TSP)1小时浓度值的差值≤0.5，对项目区周边大气环境影响较小。</w:t>
            </w:r>
          </w:p>
          <w:p w14:paraId="37084FF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Lines="0" w:afterAutospacing="0" w:line="360" w:lineRule="auto"/>
              <w:ind w:left="0" w:leftChars="0" w:right="0" w:rightChars="0" w:firstLine="0" w:firstLineChars="0"/>
              <w:jc w:val="both"/>
              <w:textAlignment w:val="auto"/>
              <w:rPr>
                <w:rFonts w:hint="default" w:ascii="Times New Roman" w:hAnsi="Times New Roman" w:eastAsia="宋体" w:cs="Times New Roman"/>
                <w:b/>
                <w:color w:val="000000" w:themeColor="text1"/>
                <w:kern w:val="2"/>
                <w:sz w:val="24"/>
                <w:szCs w:val="24"/>
                <w:highlight w:val="none"/>
                <w14:textFill>
                  <w14:solidFill>
                    <w14:schemeClr w14:val="tx1"/>
                  </w14:solidFill>
                </w14:textFill>
              </w:rPr>
            </w:pPr>
            <w:r>
              <w:rPr>
                <w:rFonts w:hint="default" w:ascii="Times New Roman" w:hAnsi="Times New Roman" w:eastAsia="宋体" w:cs="Times New Roman"/>
                <w:b/>
                <w:color w:val="000000" w:themeColor="text1"/>
                <w:kern w:val="2"/>
                <w:sz w:val="24"/>
                <w:szCs w:val="24"/>
                <w:highlight w:val="none"/>
                <w:lang w:val="en-US" w:eastAsia="zh-CN" w:bidi="ar"/>
                <w14:textFill>
                  <w14:solidFill>
                    <w14:schemeClr w14:val="tx1"/>
                  </w14:solidFill>
                </w14:textFill>
              </w:rPr>
              <w:t>2、水环境保护措施</w:t>
            </w:r>
          </w:p>
          <w:p w14:paraId="60C2A161">
            <w:pPr>
              <w:pageBreakBefore w:val="0"/>
              <w:kinsoku/>
              <w:wordWrap/>
              <w:bidi w:val="0"/>
              <w:spacing w:after="0" w:afterLines="0" w:line="360" w:lineRule="auto"/>
              <w:ind w:firstLine="480" w:firstLineChars="200"/>
              <w:rPr>
                <w:rFonts w:hint="default" w:ascii="Times New Roman" w:hAnsi="Times New Roman" w:eastAsia="宋体" w:cs="Times New Roman"/>
                <w:color w:val="000000" w:themeColor="text1"/>
                <w:sz w:val="24"/>
                <w:szCs w:val="22"/>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4"/>
                <w:szCs w:val="22"/>
                <w:highlight w:val="none"/>
                <w:lang w:val="en-US" w:eastAsia="zh-CN" w:bidi="ar-SA"/>
                <w14:textFill>
                  <w14:solidFill>
                    <w14:schemeClr w14:val="tx1"/>
                  </w14:solidFill>
                </w14:textFill>
              </w:rPr>
              <w:t>本项目生产用水主要为露天采场、场内道路等洒水降尘用水、洗砂用水。降尘用水全部自然蒸发；洗砂废水经沉淀池沉淀处理后循环利用，不外排；生活污水排入化粪池后定期委托拉运。</w:t>
            </w:r>
          </w:p>
          <w:p w14:paraId="3BC3BB6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Lines="0" w:afterAutospacing="0" w:line="360" w:lineRule="auto"/>
              <w:ind w:left="0" w:leftChars="0" w:right="0" w:rightChars="0" w:firstLine="0" w:firstLineChars="0"/>
              <w:jc w:val="both"/>
              <w:textAlignment w:val="auto"/>
              <w:rPr>
                <w:rFonts w:hint="default" w:ascii="Times New Roman" w:hAnsi="Times New Roman" w:eastAsia="宋体" w:cs="Times New Roman"/>
                <w:b/>
                <w:color w:val="000000" w:themeColor="text1"/>
                <w:kern w:val="2"/>
                <w:sz w:val="24"/>
                <w:szCs w:val="24"/>
                <w:highlight w:val="none"/>
                <w14:textFill>
                  <w14:solidFill>
                    <w14:schemeClr w14:val="tx1"/>
                  </w14:solidFill>
                </w14:textFill>
              </w:rPr>
            </w:pPr>
            <w:r>
              <w:rPr>
                <w:rFonts w:hint="default" w:ascii="Times New Roman" w:hAnsi="Times New Roman" w:eastAsia="宋体" w:cs="Times New Roman"/>
                <w:b/>
                <w:color w:val="000000" w:themeColor="text1"/>
                <w:kern w:val="2"/>
                <w:sz w:val="24"/>
                <w:szCs w:val="24"/>
                <w:highlight w:val="none"/>
                <w:lang w:val="en-US" w:eastAsia="zh-CN" w:bidi="ar"/>
                <w14:textFill>
                  <w14:solidFill>
                    <w14:schemeClr w14:val="tx1"/>
                  </w14:solidFill>
                </w14:textFill>
              </w:rPr>
              <w:t>3、声环境保护措施</w:t>
            </w:r>
          </w:p>
          <w:p w14:paraId="72979C59">
            <w:pPr>
              <w:pStyle w:val="73"/>
              <w:keepNext w:val="0"/>
              <w:keepLines w:val="0"/>
              <w:pageBreakBefore w:val="0"/>
              <w:widowControl w:val="0"/>
              <w:kinsoku/>
              <w:wordWrap/>
              <w:overflowPunct/>
              <w:topLinePunct w:val="0"/>
              <w:autoSpaceDE/>
              <w:autoSpaceDN/>
              <w:bidi w:val="0"/>
              <w:adjustRightInd/>
              <w:snapToGrid/>
              <w:spacing w:after="0" w:afterLines="0" w:line="360" w:lineRule="auto"/>
              <w:jc w:val="both"/>
              <w:outlineLvl w:val="9"/>
              <w:rPr>
                <w:rFonts w:hint="default" w:ascii="Times New Roman" w:hAnsi="Times New Roman" w:eastAsia="宋体" w:cs="Times New Roman"/>
                <w:snapToGrid w:val="0"/>
                <w:color w:val="000000" w:themeColor="text1"/>
                <w:sz w:val="24"/>
                <w:szCs w:val="24"/>
                <w:highlight w:val="none"/>
                <w14:textFill>
                  <w14:solidFill>
                    <w14:schemeClr w14:val="tx1"/>
                  </w14:solidFill>
                </w14:textFill>
              </w:rPr>
            </w:pPr>
            <w:r>
              <w:rPr>
                <w:rFonts w:hint="default" w:ascii="Times New Roman" w:hAnsi="Times New Roman" w:eastAsia="宋体" w:cs="Times New Roman"/>
                <w:snapToGrid w:val="0"/>
                <w:color w:val="000000" w:themeColor="text1"/>
                <w:sz w:val="24"/>
                <w:szCs w:val="24"/>
                <w:highlight w:val="none"/>
                <w14:textFill>
                  <w14:solidFill>
                    <w14:schemeClr w14:val="tx1"/>
                  </w14:solidFill>
                </w14:textFill>
              </w:rPr>
              <w:t>本项目噪声源主要为</w:t>
            </w:r>
            <w:r>
              <w:rPr>
                <w:rFonts w:hint="default" w:ascii="Times New Roman" w:hAnsi="Times New Roman" w:eastAsia="宋体" w:cs="Times New Roman"/>
                <w:snapToGrid w:val="0"/>
                <w:color w:val="000000" w:themeColor="text1"/>
                <w:sz w:val="24"/>
                <w:szCs w:val="24"/>
                <w:highlight w:val="none"/>
                <w:lang w:eastAsia="zh-CN"/>
                <w14:textFill>
                  <w14:solidFill>
                    <w14:schemeClr w14:val="tx1"/>
                  </w14:solidFill>
                </w14:textFill>
              </w:rPr>
              <w:t>装载机</w:t>
            </w:r>
            <w:r>
              <w:rPr>
                <w:rFonts w:hint="default" w:ascii="Times New Roman" w:hAnsi="Times New Roman" w:eastAsia="宋体" w:cs="Times New Roman"/>
                <w:snapToGrid w:val="0"/>
                <w:color w:val="000000" w:themeColor="text1"/>
                <w:sz w:val="24"/>
                <w:szCs w:val="24"/>
                <w:highlight w:val="none"/>
                <w14:textFill>
                  <w14:solidFill>
                    <w14:schemeClr w14:val="tx1"/>
                  </w14:solidFill>
                </w14:textFill>
              </w:rPr>
              <w:t>等。针对矿石开</w:t>
            </w:r>
            <w:r>
              <w:rPr>
                <w:rFonts w:hint="default" w:ascii="Times New Roman" w:hAnsi="Times New Roman" w:eastAsia="宋体" w:cs="Times New Roman"/>
                <w:snapToGrid w:val="0"/>
                <w:color w:val="000000" w:themeColor="text1"/>
                <w:sz w:val="24"/>
                <w:szCs w:val="24"/>
                <w:highlight w:val="none"/>
                <w:lang w:eastAsia="zh-CN"/>
                <w14:textFill>
                  <w14:solidFill>
                    <w14:schemeClr w14:val="tx1"/>
                  </w14:solidFill>
                </w14:textFill>
              </w:rPr>
              <w:t>采</w:t>
            </w:r>
            <w:r>
              <w:rPr>
                <w:rFonts w:hint="default" w:ascii="Times New Roman" w:hAnsi="Times New Roman" w:eastAsia="宋体" w:cs="Times New Roman"/>
                <w:snapToGrid w:val="0"/>
                <w:color w:val="000000" w:themeColor="text1"/>
                <w:sz w:val="24"/>
                <w:szCs w:val="24"/>
                <w:highlight w:val="none"/>
                <w14:textFill>
                  <w14:solidFill>
                    <w14:schemeClr w14:val="tx1"/>
                  </w14:solidFill>
                </w14:textFill>
              </w:rPr>
              <w:t>及运输过程产生的噪声，本项目拟采取以</w:t>
            </w:r>
            <w:r>
              <w:rPr>
                <w:rFonts w:hint="default" w:ascii="Times New Roman" w:hAnsi="Times New Roman" w:eastAsia="宋体" w:cs="Times New Roman"/>
                <w:snapToGrid w:val="0"/>
                <w:color w:val="000000" w:themeColor="text1"/>
                <w:sz w:val="24"/>
                <w:szCs w:val="24"/>
                <w:highlight w:val="none"/>
                <w:lang w:eastAsia="zh-CN"/>
                <w14:textFill>
                  <w14:solidFill>
                    <w14:schemeClr w14:val="tx1"/>
                  </w14:solidFill>
                </w14:textFill>
              </w:rPr>
              <w:t>下</w:t>
            </w:r>
            <w:r>
              <w:rPr>
                <w:rFonts w:hint="default" w:ascii="Times New Roman" w:hAnsi="Times New Roman" w:eastAsia="宋体" w:cs="Times New Roman"/>
                <w:snapToGrid w:val="0"/>
                <w:color w:val="000000" w:themeColor="text1"/>
                <w:sz w:val="24"/>
                <w:szCs w:val="24"/>
                <w:highlight w:val="none"/>
                <w14:textFill>
                  <w14:solidFill>
                    <w14:schemeClr w14:val="tx1"/>
                  </w14:solidFill>
                </w14:textFill>
              </w:rPr>
              <w:t>噪声治理措施：</w:t>
            </w:r>
          </w:p>
          <w:p w14:paraId="0680E15B">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（1）选用低噪声设备</w:t>
            </w:r>
          </w:p>
          <w:p w14:paraId="56FD3A00">
            <w:pPr>
              <w:pStyle w:val="73"/>
              <w:keepNext w:val="0"/>
              <w:keepLines w:val="0"/>
              <w:pageBreakBefore w:val="0"/>
              <w:widowControl w:val="0"/>
              <w:kinsoku/>
              <w:wordWrap/>
              <w:overflowPunct/>
              <w:topLinePunct w:val="0"/>
              <w:autoSpaceDE/>
              <w:autoSpaceDN/>
              <w:bidi w:val="0"/>
              <w:adjustRightInd/>
              <w:snapToGrid/>
              <w:spacing w:after="0" w:afterLines="0" w:line="360" w:lineRule="auto"/>
              <w:jc w:val="both"/>
              <w:outlineLvl w:val="9"/>
              <w:rPr>
                <w:rFonts w:hint="default" w:ascii="Times New Roman" w:hAnsi="Times New Roman" w:eastAsia="宋体" w:cs="Times New Roman"/>
                <w:snapToGrid w:val="0"/>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目前各设备生产厂家已把低噪声作为衡量设备质量的重要标志。在满足工艺生产的前</w:t>
            </w:r>
            <w:r>
              <w:rPr>
                <w:rFonts w:hint="default" w:ascii="Times New Roman" w:hAnsi="Times New Roman" w:eastAsia="宋体" w:cs="Times New Roman"/>
                <w:snapToGrid w:val="0"/>
                <w:color w:val="000000" w:themeColor="text1"/>
                <w:sz w:val="24"/>
                <w:szCs w:val="24"/>
                <w:highlight w:val="none"/>
                <w14:textFill>
                  <w14:solidFill>
                    <w14:schemeClr w14:val="tx1"/>
                  </w14:solidFill>
                </w14:textFill>
              </w:rPr>
              <w:t>提下，设计中考虑选用设备精度高、装配质量好、低噪声的设备是必要且可行的，特别是噪声较大的设备如运输车辆等，更应尽可能选用低噪声设备。</w:t>
            </w:r>
          </w:p>
          <w:p w14:paraId="0F6D8AE4">
            <w:pPr>
              <w:pStyle w:val="73"/>
              <w:keepNext w:val="0"/>
              <w:keepLines w:val="0"/>
              <w:pageBreakBefore w:val="0"/>
              <w:widowControl w:val="0"/>
              <w:kinsoku/>
              <w:wordWrap/>
              <w:overflowPunct/>
              <w:topLinePunct w:val="0"/>
              <w:autoSpaceDE/>
              <w:autoSpaceDN/>
              <w:bidi w:val="0"/>
              <w:adjustRightInd/>
              <w:snapToGrid/>
              <w:spacing w:after="0" w:afterLines="0" w:line="360" w:lineRule="auto"/>
              <w:jc w:val="both"/>
              <w:outlineLvl w:val="9"/>
              <w:rPr>
                <w:rFonts w:hint="default" w:ascii="Times New Roman" w:hAnsi="Times New Roman" w:eastAsia="宋体" w:cs="Times New Roman"/>
                <w:snapToGrid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sz w:val="24"/>
                <w:szCs w:val="24"/>
                <w:highlight w:val="none"/>
                <w:lang w:val="en-US" w:eastAsia="zh-CN"/>
                <w14:textFill>
                  <w14:solidFill>
                    <w14:schemeClr w14:val="tx1"/>
                  </w14:solidFill>
                </w14:textFill>
              </w:rPr>
              <w:t>（2）加强生产管理，降低噪声</w:t>
            </w:r>
          </w:p>
          <w:p w14:paraId="0191501E">
            <w:pPr>
              <w:pStyle w:val="73"/>
              <w:keepNext w:val="0"/>
              <w:keepLines w:val="0"/>
              <w:pageBreakBefore w:val="0"/>
              <w:widowControl w:val="0"/>
              <w:kinsoku/>
              <w:wordWrap/>
              <w:overflowPunct/>
              <w:topLinePunct w:val="0"/>
              <w:autoSpaceDE/>
              <w:autoSpaceDN/>
              <w:bidi w:val="0"/>
              <w:adjustRightInd/>
              <w:snapToGrid/>
              <w:spacing w:after="0" w:afterLines="0" w:line="360" w:lineRule="auto"/>
              <w:jc w:val="both"/>
              <w:outlineLvl w:val="9"/>
              <w:rPr>
                <w:rFonts w:hint="default" w:ascii="Times New Roman" w:hAnsi="Times New Roman" w:eastAsia="宋体" w:cs="Times New Roman"/>
                <w:snapToGrid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sz w:val="24"/>
                <w:szCs w:val="24"/>
                <w:highlight w:val="none"/>
                <w14:textFill>
                  <w14:solidFill>
                    <w14:schemeClr w14:val="tx1"/>
                  </w14:solidFill>
                </w14:textFill>
              </w:rPr>
              <w:t>如砂石装卸避免</w:t>
            </w:r>
            <w:r>
              <w:rPr>
                <w:rFonts w:hint="default" w:ascii="Times New Roman" w:hAnsi="Times New Roman" w:eastAsia="宋体" w:cs="Times New Roman"/>
                <w:snapToGrid w:val="0"/>
                <w:color w:val="000000" w:themeColor="text1"/>
                <w:sz w:val="24"/>
                <w:szCs w:val="24"/>
                <w:highlight w:val="none"/>
                <w:lang w:eastAsia="zh-CN"/>
                <w14:textFill>
                  <w14:solidFill>
                    <w14:schemeClr w14:val="tx1"/>
                  </w14:solidFill>
                </w14:textFill>
              </w:rPr>
              <w:t>较高</w:t>
            </w:r>
            <w:r>
              <w:rPr>
                <w:rFonts w:hint="default" w:ascii="Times New Roman" w:hAnsi="Times New Roman" w:eastAsia="宋体" w:cs="Times New Roman"/>
                <w:snapToGrid w:val="0"/>
                <w:color w:val="000000" w:themeColor="text1"/>
                <w:sz w:val="24"/>
                <w:szCs w:val="24"/>
                <w:highlight w:val="none"/>
                <w14:textFill>
                  <w14:solidFill>
                    <w14:schemeClr w14:val="tx1"/>
                  </w14:solidFill>
                </w14:textFill>
              </w:rPr>
              <w:t>落差和</w:t>
            </w:r>
            <w:r>
              <w:rPr>
                <w:rFonts w:hint="default" w:ascii="Times New Roman" w:hAnsi="Times New Roman" w:eastAsia="宋体" w:cs="Times New Roman"/>
                <w:snapToGrid w:val="0"/>
                <w:color w:val="000000" w:themeColor="text1"/>
                <w:sz w:val="24"/>
                <w:szCs w:val="24"/>
                <w:highlight w:val="none"/>
                <w:lang w:eastAsia="zh-CN"/>
                <w14:textFill>
                  <w14:solidFill>
                    <w14:schemeClr w14:val="tx1"/>
                  </w14:solidFill>
                </w14:textFill>
              </w:rPr>
              <w:t>直接</w:t>
            </w:r>
            <w:r>
              <w:rPr>
                <w:rFonts w:hint="default" w:ascii="Times New Roman" w:hAnsi="Times New Roman" w:eastAsia="宋体" w:cs="Times New Roman"/>
                <w:snapToGrid w:val="0"/>
                <w:color w:val="000000" w:themeColor="text1"/>
                <w:sz w:val="24"/>
                <w:szCs w:val="24"/>
                <w:highlight w:val="none"/>
                <w14:textFill>
                  <w14:solidFill>
                    <w14:schemeClr w14:val="tx1"/>
                  </w14:solidFill>
                </w14:textFill>
              </w:rPr>
              <w:t>撞击，注意轻放</w:t>
            </w:r>
            <w:r>
              <w:rPr>
                <w:rFonts w:hint="default" w:ascii="Times New Roman" w:hAnsi="Times New Roman" w:eastAsia="宋体" w:cs="Times New Roman"/>
                <w:snapToGrid w:val="0"/>
                <w:color w:val="000000" w:themeColor="text1"/>
                <w:sz w:val="24"/>
                <w:szCs w:val="24"/>
                <w:highlight w:val="none"/>
                <w:lang w:eastAsia="zh-CN"/>
                <w14:textFill>
                  <w14:solidFill>
                    <w14:schemeClr w14:val="tx1"/>
                  </w14:solidFill>
                </w14:textFill>
              </w:rPr>
              <w:t>轻移</w:t>
            </w:r>
            <w:r>
              <w:rPr>
                <w:rFonts w:hint="default" w:ascii="Times New Roman" w:hAnsi="Times New Roman" w:eastAsia="宋体" w:cs="Times New Roman"/>
                <w:snapToGrid w:val="0"/>
                <w:color w:val="000000" w:themeColor="text1"/>
                <w:sz w:val="24"/>
                <w:szCs w:val="24"/>
                <w:highlight w:val="none"/>
                <w14:textFill>
                  <w14:solidFill>
                    <w14:schemeClr w14:val="tx1"/>
                  </w14:solidFill>
                </w14:textFill>
              </w:rPr>
              <w:t>，减弱撞击声。运输</w:t>
            </w:r>
            <w:r>
              <w:rPr>
                <w:rFonts w:hint="default" w:ascii="Times New Roman" w:hAnsi="Times New Roman" w:eastAsia="宋体" w:cs="Times New Roman"/>
                <w:snapToGrid w:val="0"/>
                <w:color w:val="000000" w:themeColor="text1"/>
                <w:sz w:val="24"/>
                <w:szCs w:val="24"/>
                <w:highlight w:val="none"/>
                <w:lang w:eastAsia="zh-CN"/>
                <w14:textFill>
                  <w14:solidFill>
                    <w14:schemeClr w14:val="tx1"/>
                  </w14:solidFill>
                </w14:textFill>
              </w:rPr>
              <w:t>车</w:t>
            </w:r>
            <w:r>
              <w:rPr>
                <w:rFonts w:hint="default" w:ascii="Times New Roman" w:hAnsi="Times New Roman" w:eastAsia="宋体" w:cs="Times New Roman"/>
                <w:snapToGrid w:val="0"/>
                <w:color w:val="000000" w:themeColor="text1"/>
                <w:sz w:val="24"/>
                <w:szCs w:val="24"/>
                <w:highlight w:val="none"/>
                <w14:textFill>
                  <w14:solidFill>
                    <w14:schemeClr w14:val="tx1"/>
                  </w14:solidFill>
                </w14:textFill>
              </w:rPr>
              <w:t>辆</w:t>
            </w:r>
            <w:r>
              <w:rPr>
                <w:rFonts w:hint="default" w:ascii="Times New Roman" w:hAnsi="Times New Roman" w:eastAsia="宋体" w:cs="Times New Roman"/>
                <w:snapToGrid w:val="0"/>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snapToGrid w:val="0"/>
                <w:color w:val="000000" w:themeColor="text1"/>
                <w:sz w:val="24"/>
                <w:szCs w:val="24"/>
                <w:highlight w:val="none"/>
                <w14:textFill>
                  <w14:solidFill>
                    <w14:schemeClr w14:val="tx1"/>
                  </w14:solidFill>
                </w14:textFill>
              </w:rPr>
              <w:t>限速行驶，禁止场内鸣笛，制定合理的作业时间表和实行严格的环境管理</w:t>
            </w:r>
            <w:r>
              <w:rPr>
                <w:rFonts w:hint="default" w:ascii="Times New Roman" w:hAnsi="Times New Roman" w:eastAsia="宋体" w:cs="Times New Roman"/>
                <w:snapToGrid w:val="0"/>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snapToGrid w:val="0"/>
                <w:color w:val="000000" w:themeColor="text1"/>
                <w:sz w:val="24"/>
                <w:szCs w:val="24"/>
                <w:highlight w:val="none"/>
                <w14:textFill>
                  <w14:solidFill>
                    <w14:schemeClr w14:val="tx1"/>
                  </w14:solidFill>
                </w14:textFill>
              </w:rPr>
              <w:t>削减噪声对外环境的干扰。对设备进行日常维护，保障设备的正常运行，</w:t>
            </w:r>
            <w:r>
              <w:rPr>
                <w:rFonts w:hint="default" w:ascii="Times New Roman" w:hAnsi="Times New Roman" w:eastAsia="宋体" w:cs="Times New Roman"/>
                <w:snapToGrid w:val="0"/>
                <w:color w:val="000000" w:themeColor="text1"/>
                <w:sz w:val="24"/>
                <w:szCs w:val="24"/>
                <w:highlight w:val="none"/>
                <w:lang w:eastAsia="zh-CN"/>
                <w14:textFill>
                  <w14:solidFill>
                    <w14:schemeClr w14:val="tx1"/>
                  </w14:solidFill>
                </w14:textFill>
              </w:rPr>
              <w:t>并且</w:t>
            </w:r>
            <w:r>
              <w:rPr>
                <w:rFonts w:hint="default" w:ascii="Times New Roman" w:hAnsi="Times New Roman" w:eastAsia="宋体" w:cs="Times New Roman"/>
                <w:snapToGrid w:val="0"/>
                <w:color w:val="000000" w:themeColor="text1"/>
                <w:sz w:val="24"/>
                <w:szCs w:val="24"/>
                <w:highlight w:val="none"/>
                <w14:textFill>
                  <w14:solidFill>
                    <w14:schemeClr w14:val="tx1"/>
                  </w14:solidFill>
                </w14:textFill>
              </w:rPr>
              <w:t>要求操作人员严格规范操作，防止因设备故障或者操作不当带来的额外噪声。</w:t>
            </w:r>
          </w:p>
          <w:p w14:paraId="4F7EB44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Lines="0" w:afterAutospacing="0" w:line="360" w:lineRule="auto"/>
              <w:ind w:left="0" w:leftChars="0" w:right="0" w:rightChars="0" w:firstLine="0" w:firstLineChars="0"/>
              <w:jc w:val="both"/>
              <w:textAlignment w:val="auto"/>
              <w:rPr>
                <w:rFonts w:hint="default" w:ascii="Times New Roman" w:hAnsi="Times New Roman" w:eastAsia="宋体" w:cs="Times New Roman"/>
                <w:b/>
                <w:color w:val="000000" w:themeColor="text1"/>
                <w:kern w:val="2"/>
                <w:sz w:val="24"/>
                <w:szCs w:val="24"/>
                <w:highlight w:val="none"/>
                <w14:textFill>
                  <w14:solidFill>
                    <w14:schemeClr w14:val="tx1"/>
                  </w14:solidFill>
                </w14:textFill>
              </w:rPr>
            </w:pPr>
            <w:r>
              <w:rPr>
                <w:rFonts w:hint="default" w:ascii="Times New Roman" w:hAnsi="Times New Roman" w:eastAsia="宋体" w:cs="Times New Roman"/>
                <w:b/>
                <w:color w:val="000000" w:themeColor="text1"/>
                <w:kern w:val="2"/>
                <w:sz w:val="24"/>
                <w:szCs w:val="24"/>
                <w:highlight w:val="none"/>
                <w:lang w:val="en-US" w:eastAsia="zh-CN" w:bidi="ar"/>
                <w14:textFill>
                  <w14:solidFill>
                    <w14:schemeClr w14:val="tx1"/>
                  </w14:solidFill>
                </w14:textFill>
              </w:rPr>
              <w:t>4、固体废物处置措施</w:t>
            </w:r>
          </w:p>
          <w:p w14:paraId="7570E0FB">
            <w:pPr>
              <w:keepNext w:val="0"/>
              <w:keepLines w:val="0"/>
              <w:pageBreakBefore w:val="0"/>
              <w:widowControl w:val="0"/>
              <w:kinsoku/>
              <w:wordWrap/>
              <w:overflowPunct/>
              <w:topLinePunct w:val="0"/>
              <w:autoSpaceDE/>
              <w:autoSpaceDN/>
              <w:bidi w:val="0"/>
              <w:adjustRightInd/>
              <w:snapToGrid/>
              <w:spacing w:after="0" w:afterLines="0" w:line="360" w:lineRule="auto"/>
              <w:ind w:right="0" w:rightChars="0" w:firstLine="480" w:firstLineChars="200"/>
              <w:jc w:val="both"/>
              <w:textAlignment w:val="auto"/>
              <w:outlineLvl w:val="9"/>
              <w:rPr>
                <w:rFonts w:hint="default" w:ascii="Times New Roman" w:hAnsi="Times New Roman" w:eastAsia="宋体" w:cs="Times New Roman"/>
                <w:color w:val="000000" w:themeColor="text1"/>
                <w:sz w:val="24"/>
                <w:szCs w:val="22"/>
                <w:highlight w:val="none"/>
                <w:shd w:val="clear" w:color="auto" w:fill="FFFFFF"/>
                <w:lang w:eastAsia="zh-CN"/>
                <w14:textFill>
                  <w14:solidFill>
                    <w14:schemeClr w14:val="tx1"/>
                  </w14:solidFill>
                </w14:textFill>
              </w:rPr>
            </w:pPr>
            <w:bookmarkStart w:id="4" w:name="_Toc480203929"/>
            <w:r>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t>本项目</w:t>
            </w: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生活垃圾产生量为4.2t/a，</w:t>
            </w:r>
            <w:r>
              <w:rPr>
                <w:rFonts w:hint="default" w:ascii="Times New Roman" w:hAnsi="Times New Roman" w:eastAsia="宋体" w:cs="Times New Roman"/>
                <w:bCs/>
                <w:color w:val="000000" w:themeColor="text1"/>
                <w:kern w:val="0"/>
                <w:sz w:val="24"/>
                <w:szCs w:val="22"/>
                <w:highlight w:val="none"/>
                <w:lang w:eastAsia="zh-CN"/>
                <w14:textFill>
                  <w14:solidFill>
                    <w14:schemeClr w14:val="tx1"/>
                  </w14:solidFill>
                </w14:textFill>
              </w:rPr>
              <w:t>生活垃圾</w:t>
            </w:r>
            <w:r>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t>集中收集后，定期</w:t>
            </w: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委托拉运处置；</w:t>
            </w:r>
          </w:p>
          <w:p w14:paraId="6CD8DBD1">
            <w:pPr>
              <w:pStyle w:val="73"/>
              <w:keepNext w:val="0"/>
              <w:keepLines w:val="0"/>
              <w:pageBreakBefore w:val="0"/>
              <w:widowControl w:val="0"/>
              <w:kinsoku/>
              <w:wordWrap/>
              <w:overflowPunct/>
              <w:topLinePunct w:val="0"/>
              <w:autoSpaceDE/>
              <w:autoSpaceDN/>
              <w:bidi w:val="0"/>
              <w:adjustRightInd/>
              <w:snapToGrid/>
              <w:spacing w:after="0" w:afterLines="0" w:line="360" w:lineRule="auto"/>
              <w:jc w:val="both"/>
              <w:outlineLvl w:val="9"/>
              <w:rPr>
                <w:rFonts w:hint="default" w:ascii="Times New Roman" w:hAnsi="Times New Roman" w:eastAsia="宋体" w:cs="Times New Roman"/>
                <w:bCs/>
                <w:color w:val="000000" w:themeColor="text1"/>
                <w:kern w:val="0"/>
                <w:sz w:val="24"/>
                <w:szCs w:val="22"/>
                <w:highlight w:val="none"/>
                <w:lang w:eastAsia="zh-CN"/>
                <w14:textFill>
                  <w14:solidFill>
                    <w14:schemeClr w14:val="tx1"/>
                  </w14:solidFill>
                </w14:textFill>
              </w:rPr>
            </w:pPr>
            <w:r>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t>本项目</w:t>
            </w:r>
            <w:r>
              <w:rPr>
                <w:rFonts w:hint="default" w:ascii="Times New Roman" w:hAnsi="Times New Roman" w:eastAsia="宋体" w:cs="Times New Roman"/>
                <w:bCs/>
                <w:color w:val="000000" w:themeColor="text1"/>
                <w:kern w:val="0"/>
                <w:sz w:val="24"/>
                <w:szCs w:val="22"/>
                <w:highlight w:val="none"/>
                <w:lang w:eastAsia="zh-CN"/>
                <w14:textFill>
                  <w14:solidFill>
                    <w14:schemeClr w14:val="tx1"/>
                  </w14:solidFill>
                </w14:textFill>
              </w:rPr>
              <w:t>剥离土量约</w:t>
            </w:r>
            <w:r>
              <w:rPr>
                <w:rFonts w:hint="eastAsia"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52.07</w:t>
            </w: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万t/a，拉运至表土堆场堆放，并进行防尘网苫盖，用于后期矿区回填。</w:t>
            </w:r>
          </w:p>
          <w:p w14:paraId="76D76BBF">
            <w:pPr>
              <w:pStyle w:val="73"/>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jc w:val="both"/>
              <w:outlineLvl w:val="9"/>
              <w:rPr>
                <w:rFonts w:hint="default" w:ascii="Times New Roman" w:hAnsi="Times New Roman" w:eastAsia="宋体" w:cs="Times New Roman"/>
                <w:bCs/>
                <w:color w:val="000000" w:themeColor="text1"/>
                <w:kern w:val="0"/>
                <w:sz w:val="24"/>
                <w:szCs w:val="22"/>
                <w:highlight w:val="none"/>
                <w:lang w:eastAsia="zh-CN"/>
                <w14:textFill>
                  <w14:solidFill>
                    <w14:schemeClr w14:val="tx1"/>
                  </w14:solidFill>
                </w14:textFill>
              </w:rPr>
            </w:pP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除尘器收集粉尘灰约661.43t/a，定期收集回用于生产</w:t>
            </w:r>
            <w:r>
              <w:rPr>
                <w:rFonts w:hint="default" w:ascii="Times New Roman" w:hAnsi="Times New Roman" w:eastAsia="宋体" w:cs="Times New Roman"/>
                <w:bCs/>
                <w:color w:val="000000" w:themeColor="text1"/>
                <w:kern w:val="0"/>
                <w:sz w:val="24"/>
                <w:szCs w:val="22"/>
                <w:highlight w:val="none"/>
                <w:lang w:eastAsia="zh-CN"/>
                <w14:textFill>
                  <w14:solidFill>
                    <w14:schemeClr w14:val="tx1"/>
                  </w14:solidFill>
                </w14:textFill>
              </w:rPr>
              <w:t>。</w:t>
            </w:r>
          </w:p>
          <w:p w14:paraId="6D1E0068">
            <w:pPr>
              <w:keepNext w:val="0"/>
              <w:keepLines w:val="0"/>
              <w:pageBreakBefore w:val="0"/>
              <w:widowControl w:val="0"/>
              <w:kinsoku/>
              <w:wordWrap/>
              <w:overflowPunct w:val="0"/>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t>本项目</w:t>
            </w: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沉淀池底泥产生量约为2300t/a，</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成分主要是砂石表面附着的石粉（粒径≤</w:t>
            </w: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0.075</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mm）</w:t>
            </w:r>
            <w:r>
              <w:rPr>
                <w:rFonts w:hint="default" w:ascii="Times New Roman" w:hAnsi="Times New Roman" w:eastAsia="宋体" w:cs="Times New Roman"/>
                <w:color w:val="000000" w:themeColor="text1"/>
                <w:sz w:val="24"/>
                <w:szCs w:val="22"/>
                <w:highlight w:val="none"/>
                <w:shd w:val="clear" w:color="auto" w:fill="FFFFFF"/>
                <w:lang w:eastAsia="zh-CN"/>
                <w14:textFill>
                  <w14:solidFill>
                    <w14:schemeClr w14:val="tx1"/>
                  </w14:solidFill>
                </w14:textFill>
              </w:rPr>
              <w:t>，</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定期</w:t>
            </w: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清掏底泥集中收集后回用于生产。</w:t>
            </w:r>
          </w:p>
          <w:p w14:paraId="6ECF6104">
            <w:pPr>
              <w:keepNext w:val="0"/>
              <w:keepLines w:val="0"/>
              <w:pageBreakBefore w:val="0"/>
              <w:widowControl w:val="0"/>
              <w:kinsoku/>
              <w:wordWrap/>
              <w:overflowPunct/>
              <w:topLinePunct w:val="0"/>
              <w:autoSpaceDE/>
              <w:autoSpaceDN/>
              <w:bidi w:val="0"/>
              <w:adjustRightInd/>
              <w:snapToGrid/>
              <w:spacing w:after="0" w:afterLines="0" w:line="360" w:lineRule="auto"/>
              <w:ind w:right="0" w:rightChars="0" w:firstLine="480" w:firstLineChars="200"/>
              <w:jc w:val="both"/>
              <w:textAlignment w:val="auto"/>
              <w:outlineLvl w:val="9"/>
              <w:rPr>
                <w:rFonts w:hint="default" w:ascii="Times New Roman" w:hAnsi="Times New Roman" w:eastAsia="宋体" w:cs="Times New Roman"/>
                <w:color w:val="000000" w:themeColor="text1"/>
                <w:sz w:val="24"/>
                <w:szCs w:val="22"/>
                <w:highlight w:val="none"/>
                <w:shd w:val="clear" w:color="auto" w:fill="FFFFFF"/>
                <w:lang w:eastAsia="zh-CN"/>
                <w14:textFill>
                  <w14:solidFill>
                    <w14:schemeClr w14:val="tx1"/>
                  </w14:solidFill>
                </w14:textFill>
              </w:rPr>
            </w:pPr>
            <w:r>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t>本项目</w:t>
            </w:r>
            <w:r>
              <w:rPr>
                <w:rFonts w:hint="default" w:ascii="Times New Roman" w:hAnsi="Times New Roman" w:eastAsia="宋体" w:cs="Times New Roman"/>
                <w:bCs/>
                <w:color w:val="000000" w:themeColor="text1"/>
                <w:kern w:val="0"/>
                <w:sz w:val="24"/>
                <w:szCs w:val="22"/>
                <w:highlight w:val="none"/>
                <w:lang w:val="en-US" w:eastAsia="zh-CN"/>
                <w14:textFill>
                  <w14:solidFill>
                    <w14:schemeClr w14:val="tx1"/>
                  </w14:solidFill>
                </w14:textFill>
              </w:rPr>
              <w:t>不合格品</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产生量约为</w:t>
            </w: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2.1</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t，</w:t>
            </w: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定期</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收集</w:t>
            </w: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回用于生产</w:t>
            </w:r>
            <w:r>
              <w:rPr>
                <w:rFonts w:hint="default" w:ascii="Times New Roman" w:hAnsi="Times New Roman" w:eastAsia="宋体" w:cs="Times New Roman"/>
                <w:color w:val="000000" w:themeColor="text1"/>
                <w:sz w:val="24"/>
                <w:szCs w:val="22"/>
                <w:highlight w:val="none"/>
                <w:shd w:val="clear" w:color="auto" w:fill="FFFFFF"/>
                <w:lang w:eastAsia="zh-CN"/>
                <w14:textFill>
                  <w14:solidFill>
                    <w14:schemeClr w14:val="tx1"/>
                  </w14:solidFill>
                </w14:textFill>
              </w:rPr>
              <w:t>；</w:t>
            </w:r>
          </w:p>
          <w:p w14:paraId="35DA613E">
            <w:pPr>
              <w:pStyle w:val="73"/>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jc w:val="both"/>
              <w:outlineLvl w:val="9"/>
              <w:rPr>
                <w:rFonts w:hint="default" w:ascii="Times New Roman" w:hAnsi="Times New Roman" w:eastAsia="宋体" w:cs="Times New Roman"/>
                <w:color w:val="000000" w:themeColor="text1"/>
                <w:sz w:val="24"/>
                <w:szCs w:val="22"/>
                <w:highlight w:val="none"/>
                <w:shd w:val="clear" w:color="auto" w:fill="FFFFFF"/>
                <w:lang w:eastAsia="zh-CN"/>
                <w14:textFill>
                  <w14:solidFill>
                    <w14:schemeClr w14:val="tx1"/>
                  </w14:solidFill>
                </w14:textFill>
              </w:rPr>
            </w:pPr>
            <w:r>
              <w:rPr>
                <w:rFonts w:hint="default" w:ascii="Times New Roman" w:hAnsi="Times New Roman" w:eastAsia="宋体" w:cs="Times New Roman"/>
                <w:bCs/>
                <w:color w:val="000000" w:themeColor="text1"/>
                <w:kern w:val="0"/>
                <w:sz w:val="24"/>
                <w:szCs w:val="22"/>
                <w:highlight w:val="none"/>
                <w14:textFill>
                  <w14:solidFill>
                    <w14:schemeClr w14:val="tx1"/>
                  </w14:solidFill>
                </w14:textFill>
              </w:rPr>
              <w:t>本项目</w:t>
            </w: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废机油及废油桶产生量为0.1t/a，经收集后暂存危废贮存库，定期交由有资质的危险废物处理单位处置，措施可行</w:t>
            </w:r>
            <w:r>
              <w:rPr>
                <w:rFonts w:hint="default" w:ascii="Times New Roman" w:hAnsi="Times New Roman" w:eastAsia="宋体" w:cs="Times New Roman"/>
                <w:color w:val="000000" w:themeColor="text1"/>
                <w:sz w:val="24"/>
                <w:szCs w:val="22"/>
                <w:highlight w:val="none"/>
                <w:shd w:val="clear" w:color="auto" w:fill="FFFFFF"/>
                <w:lang w:eastAsia="zh-CN"/>
                <w14:textFill>
                  <w14:solidFill>
                    <w14:schemeClr w14:val="tx1"/>
                  </w14:solidFill>
                </w14:textFill>
              </w:rPr>
              <w:t>。</w:t>
            </w:r>
          </w:p>
          <w:p w14:paraId="26C12A5E">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0" w:firstLineChars="0"/>
              <w:jc w:val="both"/>
              <w:textAlignment w:val="auto"/>
              <w:outlineLvl w:val="9"/>
              <w:rPr>
                <w:rFonts w:hint="default" w:ascii="Times New Roman" w:hAnsi="Times New Roman" w:eastAsia="宋体" w:cs="Times New Roman"/>
                <w:b/>
                <w:bCs/>
                <w:color w:val="000000" w:themeColor="text1"/>
                <w:sz w:val="24"/>
                <w:szCs w:val="22"/>
                <w:highlight w:val="none"/>
                <w:shd w:val="clear" w:color="auto" w:fill="FFFFFF"/>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2"/>
                <w:highlight w:val="none"/>
                <w:shd w:val="clear" w:color="auto" w:fill="FFFFFF"/>
                <w:lang w:val="en-US" w:eastAsia="zh-CN"/>
                <w14:textFill>
                  <w14:solidFill>
                    <w14:schemeClr w14:val="tx1"/>
                  </w14:solidFill>
                </w14:textFill>
              </w:rPr>
              <w:t>5、运营期生态环境保护措施</w:t>
            </w:r>
            <w:bookmarkEnd w:id="4"/>
          </w:p>
          <w:p w14:paraId="5305E2C0">
            <w:pPr>
              <w:keepNext w:val="0"/>
              <w:keepLines w:val="0"/>
              <w:pageBreakBefore w:val="0"/>
              <w:widowControl w:val="0"/>
              <w:kinsoku/>
              <w:wordWrap/>
              <w:overflowPunct/>
              <w:topLinePunct w:val="0"/>
              <w:autoSpaceDE/>
              <w:autoSpaceDN/>
              <w:bidi w:val="0"/>
              <w:adjustRightInd/>
              <w:snapToGrid/>
              <w:spacing w:after="0" w:afterLines="0" w:line="360" w:lineRule="auto"/>
              <w:ind w:right="0" w:rightChars="0" w:firstLine="480" w:firstLineChars="200"/>
              <w:jc w:val="both"/>
              <w:textAlignment w:val="auto"/>
              <w:outlineLvl w:val="9"/>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pP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本项目矿区生态环境脆弱，一旦破坏，很难或不可恢复。建设单位应加强认识，保护矿区生态环境。矿区开采过程中对生态环境的破坏与影响主要表现在矿区植被破坏可能引发的水土流失和土壤损失，这是矿区开发中对环境影响的一个重要因素。</w:t>
            </w:r>
          </w:p>
          <w:p w14:paraId="19BF897E">
            <w:pPr>
              <w:keepNext w:val="0"/>
              <w:keepLines w:val="0"/>
              <w:pageBreakBefore w:val="0"/>
              <w:widowControl w:val="0"/>
              <w:kinsoku/>
              <w:wordWrap/>
              <w:overflowPunct/>
              <w:topLinePunct w:val="0"/>
              <w:autoSpaceDE/>
              <w:autoSpaceDN/>
              <w:bidi w:val="0"/>
              <w:adjustRightInd/>
              <w:snapToGrid/>
              <w:spacing w:after="0" w:afterLines="0" w:line="360" w:lineRule="auto"/>
              <w:ind w:right="0" w:rightChars="0" w:firstLine="480" w:firstLineChars="200"/>
              <w:jc w:val="both"/>
              <w:textAlignment w:val="auto"/>
              <w:outlineLvl w:val="9"/>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pP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生态综合防治的原则是：</w:t>
            </w:r>
            <w:r>
              <w:rPr>
                <w:rFonts w:hint="default" w:ascii="Times New Roman" w:hAnsi="Times New Roman" w:eastAsia="宋体" w:cs="Times New Roman"/>
                <w:color w:val="000000" w:themeColor="text1"/>
                <w:sz w:val="24"/>
                <w:szCs w:val="22"/>
                <w:highlight w:val="none"/>
                <w:shd w:val="clear" w:color="auto" w:fill="FFFFFF"/>
                <w:lang w:eastAsia="zh-CN"/>
                <w14:textFill>
                  <w14:solidFill>
                    <w14:schemeClr w14:val="tx1"/>
                  </w14:solidFill>
                </w14:textFill>
              </w:rPr>
              <w:t>“</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预防为主、防治结合、综合治理、谁污染、谁负责、谁开发、谁保护</w:t>
            </w:r>
            <w:r>
              <w:rPr>
                <w:rFonts w:hint="default" w:ascii="Times New Roman" w:hAnsi="Times New Roman" w:eastAsia="宋体" w:cs="Times New Roman"/>
                <w:color w:val="000000" w:themeColor="text1"/>
                <w:sz w:val="24"/>
                <w:szCs w:val="22"/>
                <w:highlight w:val="none"/>
                <w:shd w:val="clear" w:color="auto" w:fill="FFFFFF"/>
                <w:lang w:eastAsia="zh-CN"/>
                <w14:textFill>
                  <w14:solidFill>
                    <w14:schemeClr w14:val="tx1"/>
                  </w14:solidFill>
                </w14:textFill>
              </w:rPr>
              <w:t>”</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，全面推行清洁生产，加强环境管理。</w:t>
            </w:r>
          </w:p>
          <w:p w14:paraId="5D9BC5C4">
            <w:pPr>
              <w:keepNext w:val="0"/>
              <w:keepLines w:val="0"/>
              <w:pageBreakBefore w:val="0"/>
              <w:widowControl w:val="0"/>
              <w:kinsoku/>
              <w:wordWrap/>
              <w:overflowPunct/>
              <w:topLinePunct w:val="0"/>
              <w:autoSpaceDE/>
              <w:autoSpaceDN/>
              <w:bidi w:val="0"/>
              <w:adjustRightInd/>
              <w:snapToGrid/>
              <w:spacing w:after="0" w:afterLines="0" w:line="360" w:lineRule="auto"/>
              <w:ind w:right="0" w:rightChars="0" w:firstLine="480" w:firstLineChars="200"/>
              <w:jc w:val="both"/>
              <w:textAlignment w:val="auto"/>
              <w:outlineLvl w:val="9"/>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pP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矿区运营期间生态环境防治措施，主要包括以下几方面：</w:t>
            </w:r>
          </w:p>
          <w:p w14:paraId="1D3DC46C">
            <w:pPr>
              <w:pageBreakBefore w:val="0"/>
              <w:kinsoku/>
              <w:wordWrap/>
              <w:bidi w:val="0"/>
              <w:spacing w:after="0" w:afterLines="0" w:line="360" w:lineRule="auto"/>
              <w:ind w:left="0" w:leftChars="0" w:firstLine="0" w:firstLineChars="0"/>
              <w:rPr>
                <w:rFonts w:hint="default" w:ascii="Times New Roman" w:hAnsi="Times New Roman" w:eastAsia="宋体" w:cs="Times New Roman"/>
                <w:b/>
                <w:bCs w:val="0"/>
                <w:color w:val="000000" w:themeColor="text1"/>
                <w:sz w:val="24"/>
                <w:szCs w:val="22"/>
                <w:highlight w:val="none"/>
                <w14:textFill>
                  <w14:solidFill>
                    <w14:schemeClr w14:val="tx1"/>
                  </w14:solidFill>
                </w14:textFill>
              </w:rPr>
            </w:pPr>
            <w:r>
              <w:rPr>
                <w:rFonts w:hint="default" w:ascii="Times New Roman" w:hAnsi="Times New Roman" w:eastAsia="宋体" w:cs="Times New Roman"/>
                <w:b/>
                <w:bCs w:val="0"/>
                <w:color w:val="000000" w:themeColor="text1"/>
                <w:sz w:val="24"/>
                <w:szCs w:val="22"/>
                <w:highlight w:val="none"/>
                <w:lang w:val="en-US" w:eastAsia="zh-CN"/>
                <w14:textFill>
                  <w14:solidFill>
                    <w14:schemeClr w14:val="tx1"/>
                  </w14:solidFill>
                </w14:textFill>
              </w:rPr>
              <w:t>5.1</w:t>
            </w:r>
            <w:r>
              <w:rPr>
                <w:rFonts w:hint="default" w:ascii="Times New Roman" w:hAnsi="Times New Roman" w:eastAsia="宋体" w:cs="Times New Roman"/>
                <w:b/>
                <w:bCs w:val="0"/>
                <w:color w:val="000000" w:themeColor="text1"/>
                <w:sz w:val="24"/>
                <w:szCs w:val="22"/>
                <w:highlight w:val="none"/>
                <w14:textFill>
                  <w14:solidFill>
                    <w14:schemeClr w14:val="tx1"/>
                  </w14:solidFill>
                </w14:textFill>
              </w:rPr>
              <w:t>土壤保护措施</w:t>
            </w:r>
          </w:p>
          <w:p w14:paraId="12586DCD">
            <w:pPr>
              <w:pageBreakBefore w:val="0"/>
              <w:kinsoku/>
              <w:wordWrap/>
              <w:bidi w:val="0"/>
              <w:spacing w:after="0" w:afterLines="0" w:line="360" w:lineRule="auto"/>
              <w:ind w:firstLine="480" w:firstLineChars="200"/>
              <w:rPr>
                <w:rFonts w:hint="default" w:ascii="Times New Roman" w:hAnsi="Times New Roman" w:eastAsia="宋体" w:cs="Times New Roman"/>
                <w:color w:val="000000" w:themeColor="text1"/>
                <w:sz w:val="24"/>
                <w:szCs w:val="22"/>
                <w:highlight w:val="none"/>
                <w14:textFill>
                  <w14:solidFill>
                    <w14:schemeClr w14:val="tx1"/>
                  </w14:solidFill>
                </w14:textFill>
              </w:rPr>
            </w:pPr>
            <w:r>
              <w:rPr>
                <w:rFonts w:hint="default" w:ascii="Times New Roman" w:hAnsi="Times New Roman" w:eastAsia="宋体" w:cs="Times New Roman"/>
                <w:color w:val="000000" w:themeColor="text1"/>
                <w:kern w:val="0"/>
                <w:sz w:val="24"/>
                <w:highlight w:val="none"/>
                <w:lang w:bidi="ar"/>
                <w14:textFill>
                  <w14:solidFill>
                    <w14:schemeClr w14:val="tx1"/>
                  </w14:solidFill>
                </w14:textFill>
              </w:rPr>
              <w:t>根据《矿山生态环境保护与污染防治技术政策》要求，</w:t>
            </w:r>
            <w:r>
              <w:rPr>
                <w:rFonts w:hint="default" w:ascii="Times New Roman" w:hAnsi="Times New Roman" w:eastAsia="宋体" w:cs="Times New Roman"/>
                <w:color w:val="000000" w:themeColor="text1"/>
                <w:sz w:val="24"/>
                <w:szCs w:val="22"/>
                <w:highlight w:val="none"/>
                <w14:textFill>
                  <w14:solidFill>
                    <w14:schemeClr w14:val="tx1"/>
                  </w14:solidFill>
                </w14:textFill>
              </w:rPr>
              <w:t>对矿山基建可能影响的具有保护价值的动、植物资源，应优先采取就地、就近保护措施；对矿山基建产生的表土、底土和岩石等应分类堆放、分类管理和充分利用；对表土、底土和适于植物生长的地层物质均应进行保护性堆存和利用，可优先用作废弃地复垦时的土壤重构用土；矿山基建应尽量少占用农田和耕地，矿山基建临时性占地应及时恢复。</w:t>
            </w:r>
          </w:p>
          <w:p w14:paraId="51C68C2F">
            <w:pPr>
              <w:pageBreakBefore w:val="0"/>
              <w:kinsoku/>
              <w:wordWrap/>
              <w:bidi w:val="0"/>
              <w:spacing w:after="0" w:afterLines="0"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表土堆放期间，为防止水土流失及扬尘，</w:t>
            </w:r>
            <w:r>
              <w:rPr>
                <w:rFonts w:hint="default" w:ascii="Times New Roman" w:hAnsi="Times New Roman" w:eastAsia="宋体" w:cs="Times New Roman"/>
                <w:color w:val="000000" w:themeColor="text1"/>
                <w:sz w:val="24"/>
                <w:szCs w:val="22"/>
                <w:highlight w:val="none"/>
                <w14:textFill>
                  <w14:solidFill>
                    <w14:schemeClr w14:val="tx1"/>
                  </w14:solidFill>
                </w14:textFill>
              </w:rPr>
              <w:t>开采期间表土剥离土壤应</w:t>
            </w:r>
            <w:r>
              <w:rPr>
                <w:rFonts w:hint="default" w:ascii="Times New Roman" w:hAnsi="Times New Roman" w:eastAsia="宋体" w:cs="Times New Roman"/>
                <w:color w:val="000000" w:themeColor="text1"/>
                <w:sz w:val="24"/>
                <w:highlight w:val="none"/>
                <w14:textFill>
                  <w14:solidFill>
                    <w14:schemeClr w14:val="tx1"/>
                  </w14:solidFill>
                </w14:textFill>
              </w:rPr>
              <w:t>分层有序堆放，并控制合理的堆放边坡</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土壤堆置表层采取人工洒水措施促进结皮并由防风抑尘网苫盖，避免因起风造成扬尘，</w:t>
            </w:r>
            <w:r>
              <w:rPr>
                <w:rFonts w:hint="default" w:ascii="Times New Roman" w:hAnsi="Times New Roman" w:eastAsia="宋体" w:cs="Times New Roman"/>
                <w:color w:val="000000" w:themeColor="text1"/>
                <w:sz w:val="24"/>
                <w:szCs w:val="22"/>
                <w:highlight w:val="none"/>
                <w14:textFill>
                  <w14:solidFill>
                    <w14:schemeClr w14:val="tx1"/>
                  </w14:solidFill>
                </w14:textFill>
              </w:rPr>
              <w:t>以达到减少水土流失的目的</w:t>
            </w:r>
            <w:r>
              <w:rPr>
                <w:rFonts w:hint="default" w:ascii="Times New Roman" w:hAnsi="Times New Roman" w:eastAsia="宋体" w:cs="Times New Roman"/>
                <w:color w:val="000000" w:themeColor="text1"/>
                <w:sz w:val="24"/>
                <w:highlight w:val="none"/>
                <w14:textFill>
                  <w14:solidFill>
                    <w14:schemeClr w14:val="tx1"/>
                  </w14:solidFill>
                </w14:textFill>
              </w:rPr>
              <w:t>。为使土壤有机质尽快恢复，对表层腐殖质采取防护措施，避免和砾石、下层黄土混合堆放，造成腐殖质永久性损失。</w:t>
            </w:r>
          </w:p>
          <w:p w14:paraId="1FF73ABD">
            <w:pPr>
              <w:pageBreakBefore w:val="0"/>
              <w:kinsoku/>
              <w:wordWrap/>
              <w:bidi w:val="0"/>
              <w:spacing w:after="0" w:afterLines="0"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平整土地回填土方时，应分层回填，将具有腐殖质的土层回填至表面，以利于后期植物措施的有效实施，尽早恢复植被，促进土壤有机质的形成。</w:t>
            </w:r>
          </w:p>
          <w:p w14:paraId="4840A67C">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b/>
                <w:bCs/>
                <w:color w:val="000000" w:themeColor="text1"/>
                <w:sz w:val="24"/>
                <w:szCs w:val="22"/>
                <w:highlight w:val="none"/>
                <w:shd w:val="clear" w:color="auto" w:fill="FFFFFF"/>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highlight w:val="none"/>
                <w:lang w:bidi="ar"/>
                <w14:textFill>
                  <w14:solidFill>
                    <w14:schemeClr w14:val="tx1"/>
                  </w14:solidFill>
                </w14:textFill>
              </w:rPr>
              <w:t>根据《矿山生态环境保护与恢复治理技术规范（试行）》要求：</w:t>
            </w:r>
            <w:r>
              <w:rPr>
                <w:rFonts w:hint="default" w:ascii="Times New Roman" w:hAnsi="Times New Roman" w:eastAsia="宋体" w:cs="Times New Roman"/>
                <w:color w:val="000000" w:themeColor="text1"/>
                <w:sz w:val="24"/>
                <w:highlight w:val="none"/>
                <w14:textFill>
                  <w14:solidFill>
                    <w14:schemeClr w14:val="tx1"/>
                  </w14:solidFill>
                </w14:textFill>
              </w:rPr>
              <w:t>剥离的表层土壤不能及时铺覆到已整治场地的，应选择适宜的场地进行堆存，并采取围挡等措施防止水土流失。</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本矿区采用分区开采，表土亦分区剥离，每区开采完毕后，将剥离表土及时回填采坑，不在场内长期堆存，表土堆放期间采用洒水降尘、苫盖等措施，能够满足环境保护要求。</w:t>
            </w:r>
          </w:p>
          <w:p w14:paraId="2C4EFE7B">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0" w:firstLineChars="0"/>
              <w:jc w:val="both"/>
              <w:textAlignment w:val="auto"/>
              <w:outlineLvl w:val="9"/>
              <w:rPr>
                <w:rFonts w:hint="default" w:ascii="Times New Roman" w:hAnsi="Times New Roman" w:eastAsia="宋体" w:cs="Times New Roman"/>
                <w:b/>
                <w:bCs/>
                <w:color w:val="000000" w:themeColor="text1"/>
                <w:sz w:val="24"/>
                <w:szCs w:val="22"/>
                <w:highlight w:val="none"/>
                <w:shd w:val="clear" w:color="auto" w:fill="FFFFFF"/>
                <w14:textFill>
                  <w14:solidFill>
                    <w14:schemeClr w14:val="tx1"/>
                  </w14:solidFill>
                </w14:textFill>
              </w:rPr>
            </w:pPr>
            <w:r>
              <w:rPr>
                <w:rFonts w:hint="default" w:ascii="Times New Roman" w:hAnsi="Times New Roman" w:eastAsia="宋体" w:cs="Times New Roman"/>
                <w:b/>
                <w:bCs/>
                <w:color w:val="000000" w:themeColor="text1"/>
                <w:sz w:val="24"/>
                <w:szCs w:val="22"/>
                <w:highlight w:val="none"/>
                <w:shd w:val="clear" w:color="auto" w:fill="FFFFFF"/>
                <w:lang w:val="en-US" w:eastAsia="zh-CN"/>
                <w14:textFill>
                  <w14:solidFill>
                    <w14:schemeClr w14:val="tx1"/>
                  </w14:solidFill>
                </w14:textFill>
              </w:rPr>
              <w:t>5.2</w:t>
            </w:r>
            <w:r>
              <w:rPr>
                <w:rFonts w:hint="default" w:ascii="Times New Roman" w:hAnsi="Times New Roman" w:eastAsia="宋体" w:cs="Times New Roman"/>
                <w:b/>
                <w:bCs/>
                <w:color w:val="000000" w:themeColor="text1"/>
                <w:sz w:val="24"/>
                <w:szCs w:val="22"/>
                <w:highlight w:val="none"/>
                <w:shd w:val="clear" w:color="auto" w:fill="FFFFFF"/>
                <w14:textFill>
                  <w14:solidFill>
                    <w14:schemeClr w14:val="tx1"/>
                  </w14:solidFill>
                </w14:textFill>
              </w:rPr>
              <w:t>植被保护措施</w:t>
            </w:r>
          </w:p>
          <w:p w14:paraId="1B8F2ACF">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pP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①加强宣传教育，</w:t>
            </w:r>
            <w:r>
              <w:rPr>
                <w:rFonts w:hint="default" w:ascii="Times New Roman" w:hAnsi="Times New Roman" w:eastAsia="宋体" w:cs="Times New Roman"/>
                <w:color w:val="000000" w:themeColor="text1"/>
                <w:sz w:val="24"/>
                <w:szCs w:val="22"/>
                <w:highlight w:val="none"/>
                <w:shd w:val="clear" w:color="auto" w:fill="FFFFFF"/>
                <w:lang w:eastAsia="zh-CN"/>
                <w14:textFill>
                  <w14:solidFill>
                    <w14:schemeClr w14:val="tx1"/>
                  </w14:solidFill>
                </w14:textFill>
              </w:rPr>
              <w:t>增强</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职工的环保意识，严禁乱采乱挖，减少对土壤植被的破坏。</w:t>
            </w:r>
          </w:p>
          <w:p w14:paraId="79E374C3">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pP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②根据批准的开采范围控制开采活动地表扰动面积。</w:t>
            </w:r>
          </w:p>
          <w:p w14:paraId="01E851EE">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pP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③限制车辆行驶路线，减少影响范围。</w:t>
            </w:r>
          </w:p>
          <w:p w14:paraId="00D25D21">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pP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④开采结</w:t>
            </w:r>
            <w:r>
              <w:rPr>
                <w:rFonts w:hint="eastAsia" w:ascii="Times New Roman" w:hAnsi="Times New Roman" w:eastAsia="宋体" w:cs="Times New Roman"/>
                <w:color w:val="000000" w:themeColor="text1"/>
                <w:sz w:val="24"/>
                <w:szCs w:val="22"/>
                <w:highlight w:val="none"/>
                <w:shd w:val="clear" w:color="auto" w:fill="FFFFFF"/>
                <w:lang w:eastAsia="zh-CN"/>
                <w14:textFill>
                  <w14:solidFill>
                    <w14:schemeClr w14:val="tx1"/>
                  </w14:solidFill>
                </w14:textFill>
              </w:rPr>
              <w:t>束后</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尽快开展生态恢复建设工作。本项目开采结束后遗留矿坑尽量利用周围渣土填平</w:t>
            </w:r>
            <w:r>
              <w:rPr>
                <w:rFonts w:hint="default" w:ascii="Times New Roman" w:hAnsi="Times New Roman" w:eastAsia="宋体" w:cs="Times New Roman"/>
                <w:color w:val="000000" w:themeColor="text1"/>
                <w:sz w:val="24"/>
                <w:szCs w:val="22"/>
                <w:highlight w:val="none"/>
                <w:shd w:val="clear" w:color="auto" w:fill="FFFFFF"/>
                <w:lang w:eastAsia="zh-CN"/>
                <w14:textFill>
                  <w14:solidFill>
                    <w14:schemeClr w14:val="tx1"/>
                  </w14:solidFill>
                </w14:textFill>
              </w:rPr>
              <w:t>后，利用施工期剥离表土进行生态恢复</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w:t>
            </w:r>
          </w:p>
          <w:p w14:paraId="614783E6">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2"/>
                <w:highlight w:val="none"/>
                <w:shd w:val="clear" w:color="auto" w:fill="FFFFFF"/>
                <w:lang w:eastAsia="zh-CN"/>
                <w14:textFill>
                  <w14:solidFill>
                    <w14:schemeClr w14:val="tx1"/>
                  </w14:solidFill>
                </w14:textFill>
              </w:rPr>
            </w:pP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⑤</w:t>
            </w:r>
            <w:r>
              <w:rPr>
                <w:rFonts w:hint="default" w:ascii="Times New Roman" w:hAnsi="Times New Roman" w:eastAsia="宋体" w:cs="Times New Roman"/>
                <w:color w:val="000000" w:themeColor="text1"/>
                <w:sz w:val="24"/>
                <w:szCs w:val="22"/>
                <w:highlight w:val="none"/>
                <w:shd w:val="clear" w:color="auto" w:fill="FFFFFF"/>
                <w:lang w:eastAsia="zh-CN"/>
                <w14:textFill>
                  <w14:solidFill>
                    <w14:schemeClr w14:val="tx1"/>
                  </w14:solidFill>
                </w14:textFill>
              </w:rPr>
              <w:t>控制加工生产活动的占地范围，减少地表扰动，利用项目区自然绿化条件绿化，减少项目运营对项目区域的生态环境影响。</w:t>
            </w:r>
          </w:p>
          <w:p w14:paraId="62517F10">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0" w:firstLineChars="0"/>
              <w:jc w:val="both"/>
              <w:textAlignment w:val="auto"/>
              <w:outlineLvl w:val="9"/>
              <w:rPr>
                <w:rFonts w:hint="default" w:ascii="Times New Roman" w:hAnsi="Times New Roman" w:eastAsia="宋体" w:cs="Times New Roman"/>
                <w:b/>
                <w:bCs/>
                <w:color w:val="000000" w:themeColor="text1"/>
                <w:sz w:val="24"/>
                <w:szCs w:val="22"/>
                <w:highlight w:val="none"/>
                <w:shd w:val="clear" w:color="auto" w:fill="FFFFFF"/>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2"/>
                <w:highlight w:val="none"/>
                <w:shd w:val="clear" w:color="auto" w:fill="FFFFFF"/>
                <w:lang w:val="en-US" w:eastAsia="zh-CN"/>
                <w14:textFill>
                  <w14:solidFill>
                    <w14:schemeClr w14:val="tx1"/>
                  </w14:solidFill>
                </w14:textFill>
              </w:rPr>
              <w:t>5.3进、出场道路的生态防护措施</w:t>
            </w:r>
          </w:p>
          <w:p w14:paraId="26293A3D">
            <w:pPr>
              <w:keepNext w:val="0"/>
              <w:keepLines w:val="0"/>
              <w:pageBreakBefore w:val="0"/>
              <w:widowControl w:val="0"/>
              <w:kinsoku/>
              <w:wordWrap/>
              <w:overflowPunct/>
              <w:topLinePunct w:val="0"/>
              <w:autoSpaceDE/>
              <w:autoSpaceDN/>
              <w:bidi w:val="0"/>
              <w:adjustRightInd/>
              <w:snapToGrid/>
              <w:spacing w:after="0" w:afterLines="0" w:line="360" w:lineRule="auto"/>
              <w:ind w:right="0" w:rightChars="0" w:firstLine="480" w:firstLineChars="200"/>
              <w:jc w:val="both"/>
              <w:textAlignment w:val="auto"/>
              <w:outlineLvl w:val="9"/>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pP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运输道路沿线以荒滩和砂砾地为主，运输道路沿线不存在保护动物出没区和动物迁徙通道。道路沿线区域的土壤类型主要为风沙土；沿途</w:t>
            </w:r>
            <w:r>
              <w:rPr>
                <w:rFonts w:hint="default" w:ascii="Times New Roman" w:hAnsi="Times New Roman" w:eastAsia="宋体" w:cs="Times New Roman"/>
                <w:color w:val="000000" w:themeColor="text1"/>
                <w:sz w:val="24"/>
                <w:szCs w:val="22"/>
                <w:highlight w:val="none"/>
                <w:shd w:val="clear" w:color="auto" w:fill="FFFFFF"/>
                <w:lang w:eastAsia="zh-CN"/>
                <w14:textFill>
                  <w14:solidFill>
                    <w14:schemeClr w14:val="tx1"/>
                  </w14:solidFill>
                </w14:textFill>
              </w:rPr>
              <w:t>植被覆盖</w:t>
            </w: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度较低</w:t>
            </w:r>
            <w:r>
              <w:rPr>
                <w:rFonts w:hint="default" w:ascii="Times New Roman" w:hAnsi="Times New Roman" w:eastAsia="宋体" w:cs="Times New Roman"/>
                <w:color w:val="000000" w:themeColor="text1"/>
                <w:sz w:val="24"/>
                <w:szCs w:val="22"/>
                <w:highlight w:val="none"/>
                <w:shd w:val="clear" w:color="auto" w:fill="FFFFFF"/>
                <w:lang w:eastAsia="zh-CN"/>
                <w14:textFill>
                  <w14:solidFill>
                    <w14:schemeClr w14:val="tx1"/>
                  </w14:solidFill>
                </w14:textFill>
              </w:rPr>
              <w:t>，</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道路沿线动物出没较少。</w:t>
            </w:r>
          </w:p>
          <w:p w14:paraId="378BAB3C">
            <w:pPr>
              <w:keepNext w:val="0"/>
              <w:keepLines w:val="0"/>
              <w:pageBreakBefore w:val="0"/>
              <w:widowControl w:val="0"/>
              <w:kinsoku/>
              <w:wordWrap/>
              <w:overflowPunct/>
              <w:topLinePunct w:val="0"/>
              <w:autoSpaceDE/>
              <w:autoSpaceDN/>
              <w:bidi w:val="0"/>
              <w:adjustRightInd/>
              <w:snapToGrid/>
              <w:spacing w:after="0" w:afterLines="0" w:line="360" w:lineRule="auto"/>
              <w:ind w:right="0" w:rightChars="0" w:firstLine="480" w:firstLineChars="200"/>
              <w:jc w:val="both"/>
              <w:textAlignment w:val="auto"/>
              <w:outlineLvl w:val="9"/>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pP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建设单位自行修筑的进场道路主要用于石料运输，每三个月对道路进行一次维护，使用矿石开采产生的</w:t>
            </w: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砂</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石料进行填补平整，并经压路机压实，以减少车辆通行产生扬尘。同时，项目运输车辆在矿区严格沿道路低速行驶，不会偏离道路造成其他地表破坏。</w:t>
            </w:r>
          </w:p>
          <w:p w14:paraId="21670315">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0" w:firstLineChars="0"/>
              <w:jc w:val="both"/>
              <w:textAlignment w:val="auto"/>
              <w:outlineLvl w:val="9"/>
              <w:rPr>
                <w:rFonts w:hint="default" w:ascii="Times New Roman" w:hAnsi="Times New Roman" w:eastAsia="宋体" w:cs="Times New Roman"/>
                <w:b/>
                <w:bCs/>
                <w:color w:val="000000" w:themeColor="text1"/>
                <w:sz w:val="24"/>
                <w:szCs w:val="22"/>
                <w:highlight w:val="none"/>
                <w:shd w:val="clear" w:color="auto" w:fill="FFFFFF"/>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2"/>
                <w:highlight w:val="none"/>
                <w:shd w:val="clear" w:color="auto" w:fill="FFFFFF"/>
                <w:lang w:val="en-US" w:eastAsia="zh-CN"/>
                <w14:textFill>
                  <w14:solidFill>
                    <w14:schemeClr w14:val="tx1"/>
                  </w14:solidFill>
                </w14:textFill>
              </w:rPr>
              <w:t>5.4野生动物的保护措施</w:t>
            </w:r>
          </w:p>
          <w:p w14:paraId="213ACC26">
            <w:pPr>
              <w:keepNext w:val="0"/>
              <w:keepLines w:val="0"/>
              <w:pageBreakBefore w:val="0"/>
              <w:widowControl w:val="0"/>
              <w:kinsoku/>
              <w:wordWrap/>
              <w:overflowPunct/>
              <w:topLinePunct w:val="0"/>
              <w:autoSpaceDE/>
              <w:autoSpaceDN/>
              <w:bidi w:val="0"/>
              <w:adjustRightInd/>
              <w:snapToGrid/>
              <w:spacing w:after="0" w:afterLines="0" w:line="360" w:lineRule="auto"/>
              <w:ind w:right="0" w:rightChars="0" w:firstLine="480" w:firstLineChars="200"/>
              <w:jc w:val="both"/>
              <w:textAlignment w:val="auto"/>
              <w:outlineLvl w:val="9"/>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pP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采矿过程应采取切实有效措施减轻或减缓对矿区内野生动物生存环境的破坏，拟采取以下措施保护动物资源：</w:t>
            </w:r>
          </w:p>
          <w:p w14:paraId="7E4733C4">
            <w:pPr>
              <w:keepNext w:val="0"/>
              <w:keepLines w:val="0"/>
              <w:pageBreakBefore w:val="0"/>
              <w:widowControl w:val="0"/>
              <w:kinsoku/>
              <w:wordWrap/>
              <w:overflowPunct/>
              <w:topLinePunct w:val="0"/>
              <w:autoSpaceDE/>
              <w:autoSpaceDN/>
              <w:bidi w:val="0"/>
              <w:adjustRightInd/>
              <w:snapToGrid/>
              <w:spacing w:after="0" w:afterLines="0" w:line="360" w:lineRule="auto"/>
              <w:ind w:right="0" w:rightChars="0" w:firstLine="480" w:firstLineChars="200"/>
              <w:jc w:val="both"/>
              <w:textAlignment w:val="auto"/>
              <w:outlineLvl w:val="9"/>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pPr>
            <w:r>
              <w:rPr>
                <w:rFonts w:hint="default" w:ascii="Times New Roman" w:hAnsi="Times New Roman" w:eastAsia="宋体" w:cs="Times New Roman"/>
                <w:color w:val="000000" w:themeColor="text1"/>
                <w:sz w:val="24"/>
                <w:szCs w:val="22"/>
                <w:highlight w:val="none"/>
                <w:shd w:val="clear" w:color="auto" w:fill="FFFFFF"/>
                <w:lang w:eastAsia="zh-CN"/>
                <w14:textFill>
                  <w14:solidFill>
                    <w14:schemeClr w14:val="tx1"/>
                  </w14:solidFill>
                </w14:textFill>
              </w:rPr>
              <w:t>（</w:t>
            </w: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2"/>
                <w:highlight w:val="none"/>
                <w:shd w:val="clear" w:color="auto" w:fill="FFFFFF"/>
                <w:lang w:eastAsia="zh-CN"/>
                <w14:textFill>
                  <w14:solidFill>
                    <w14:schemeClr w14:val="tx1"/>
                  </w14:solidFill>
                </w14:textFill>
              </w:rPr>
              <w:t>）</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建立严格保护的规章制度，建设单位必须在相关部门划定的临时占地范围内进行生产活动，不得在临时占用的土地上修建永久性建筑物。</w:t>
            </w:r>
          </w:p>
          <w:p w14:paraId="0396465E">
            <w:pPr>
              <w:keepNext w:val="0"/>
              <w:keepLines w:val="0"/>
              <w:pageBreakBefore w:val="0"/>
              <w:widowControl w:val="0"/>
              <w:kinsoku/>
              <w:wordWrap/>
              <w:overflowPunct/>
              <w:topLinePunct w:val="0"/>
              <w:autoSpaceDE/>
              <w:autoSpaceDN/>
              <w:bidi w:val="0"/>
              <w:adjustRightInd/>
              <w:snapToGrid/>
              <w:spacing w:after="0" w:afterLines="0" w:line="360" w:lineRule="auto"/>
              <w:ind w:right="0" w:rightChars="0" w:firstLine="480" w:firstLineChars="200"/>
              <w:jc w:val="both"/>
              <w:textAlignment w:val="auto"/>
              <w:outlineLvl w:val="9"/>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pPr>
            <w:r>
              <w:rPr>
                <w:rFonts w:hint="default" w:ascii="Times New Roman" w:hAnsi="Times New Roman" w:eastAsia="宋体" w:cs="Times New Roman"/>
                <w:color w:val="000000" w:themeColor="text1"/>
                <w:sz w:val="24"/>
                <w:szCs w:val="22"/>
                <w:highlight w:val="none"/>
                <w:shd w:val="clear" w:color="auto" w:fill="FFFFFF"/>
                <w:lang w:eastAsia="zh-CN"/>
                <w14:textFill>
                  <w14:solidFill>
                    <w14:schemeClr w14:val="tx1"/>
                  </w14:solidFill>
                </w14:textFill>
              </w:rPr>
              <w:t>（</w:t>
            </w: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2"/>
                <w:highlight w:val="none"/>
                <w:shd w:val="clear" w:color="auto" w:fill="FFFFFF"/>
                <w:lang w:eastAsia="zh-CN"/>
                <w14:textFill>
                  <w14:solidFill>
                    <w14:schemeClr w14:val="tx1"/>
                  </w14:solidFill>
                </w14:textFill>
              </w:rPr>
              <w:t>）</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科学规划作业时间，晚间（2</w:t>
            </w: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4</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：00~</w:t>
            </w: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8</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：00）严禁灯火通明，高噪声源设备不允许作业，以减轻对矿区动物的生活、觅食、繁衍生息造成影响。</w:t>
            </w:r>
          </w:p>
          <w:p w14:paraId="4510EBAD">
            <w:pPr>
              <w:keepNext w:val="0"/>
              <w:keepLines w:val="0"/>
              <w:pageBreakBefore w:val="0"/>
              <w:widowControl w:val="0"/>
              <w:kinsoku/>
              <w:wordWrap/>
              <w:overflowPunct/>
              <w:topLinePunct w:val="0"/>
              <w:autoSpaceDE/>
              <w:autoSpaceDN/>
              <w:bidi w:val="0"/>
              <w:adjustRightInd/>
              <w:snapToGrid/>
              <w:spacing w:after="0" w:afterLines="0" w:line="360" w:lineRule="auto"/>
              <w:ind w:right="0" w:rightChars="0" w:firstLine="480" w:firstLineChars="200"/>
              <w:jc w:val="both"/>
              <w:textAlignment w:val="auto"/>
              <w:outlineLvl w:val="9"/>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pPr>
            <w:r>
              <w:rPr>
                <w:rFonts w:hint="default" w:ascii="Times New Roman" w:hAnsi="Times New Roman" w:eastAsia="宋体" w:cs="Times New Roman"/>
                <w:color w:val="000000" w:themeColor="text1"/>
                <w:sz w:val="24"/>
                <w:szCs w:val="22"/>
                <w:highlight w:val="none"/>
                <w:shd w:val="clear" w:color="auto" w:fill="FFFFFF"/>
                <w:lang w:eastAsia="zh-CN"/>
                <w14:textFill>
                  <w14:solidFill>
                    <w14:schemeClr w14:val="tx1"/>
                  </w14:solidFill>
                </w14:textFill>
              </w:rPr>
              <w:t>（</w:t>
            </w: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2"/>
                <w:highlight w:val="none"/>
                <w:shd w:val="clear" w:color="auto" w:fill="FFFFFF"/>
                <w:lang w:eastAsia="zh-CN"/>
                <w14:textFill>
                  <w14:solidFill>
                    <w14:schemeClr w14:val="tx1"/>
                  </w14:solidFill>
                </w14:textFill>
              </w:rPr>
              <w:t>）</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矿区服务期满后，拆除所有临时建筑，并进行场地平整，其矿区占地区域依靠生态系统功能自然恢复。</w:t>
            </w:r>
          </w:p>
          <w:p w14:paraId="08EEA8DF">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0" w:firstLineChars="0"/>
              <w:jc w:val="both"/>
              <w:textAlignment w:val="auto"/>
              <w:outlineLvl w:val="9"/>
              <w:rPr>
                <w:rFonts w:hint="default" w:ascii="Times New Roman" w:hAnsi="Times New Roman" w:eastAsia="宋体" w:cs="Times New Roman"/>
                <w:b/>
                <w:bCs/>
                <w:color w:val="000000" w:themeColor="text1"/>
                <w:sz w:val="24"/>
                <w:szCs w:val="22"/>
                <w:highlight w:val="none"/>
                <w:shd w:val="clear" w:color="auto" w:fill="FFFFFF"/>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2"/>
                <w:highlight w:val="none"/>
                <w:shd w:val="clear" w:color="auto" w:fill="FFFFFF"/>
                <w:lang w:val="en-US" w:eastAsia="zh-CN"/>
                <w14:textFill>
                  <w14:solidFill>
                    <w14:schemeClr w14:val="tx1"/>
                  </w14:solidFill>
                </w14:textFill>
              </w:rPr>
              <w:t>5.5防沙治沙保护措施</w:t>
            </w:r>
          </w:p>
          <w:p w14:paraId="14F0FE25">
            <w:pPr>
              <w:keepNext w:val="0"/>
              <w:keepLines w:val="0"/>
              <w:pageBreakBefore w:val="0"/>
              <w:widowControl w:val="0"/>
              <w:kinsoku/>
              <w:wordWrap/>
              <w:overflowPunct/>
              <w:topLinePunct w:val="0"/>
              <w:autoSpaceDE/>
              <w:autoSpaceDN/>
              <w:bidi w:val="0"/>
              <w:adjustRightInd/>
              <w:snapToGrid/>
              <w:spacing w:after="0" w:afterLines="0" w:line="360" w:lineRule="auto"/>
              <w:ind w:right="0" w:rightChars="0" w:firstLine="480" w:firstLineChars="200"/>
              <w:jc w:val="both"/>
              <w:textAlignment w:val="auto"/>
              <w:outlineLvl w:val="9"/>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①采矿过程中，特别是建场初期，要产生大量采剥表土，必须将集中堆放于矿区东北侧表土堆场，设置截水沟，防止地表水流入场内浸泡、冲刷边坡，慎防水土流失，以备生态恢复时用。</w:t>
            </w:r>
          </w:p>
          <w:p w14:paraId="44C890FD">
            <w:pPr>
              <w:keepNext w:val="0"/>
              <w:keepLines w:val="0"/>
              <w:pageBreakBefore w:val="0"/>
              <w:widowControl w:val="0"/>
              <w:kinsoku/>
              <w:wordWrap/>
              <w:overflowPunct/>
              <w:topLinePunct w:val="0"/>
              <w:autoSpaceDE/>
              <w:autoSpaceDN/>
              <w:bidi w:val="0"/>
              <w:adjustRightInd/>
              <w:snapToGrid/>
              <w:spacing w:after="0" w:afterLines="0" w:line="360" w:lineRule="auto"/>
              <w:ind w:right="0" w:rightChars="0" w:firstLine="480" w:firstLineChars="200"/>
              <w:jc w:val="both"/>
              <w:textAlignment w:val="auto"/>
              <w:outlineLvl w:val="9"/>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②要坚持“因地制宜、因害设防、保护优先、综合治理”的原则，坚持宜灌则灌、宜草则草，采取以林草植被建设为主的综合措施，加强地表覆盖，减少尘源，做好植被保护、生态修复和补偿以及防沙治沙工作。</w:t>
            </w:r>
          </w:p>
          <w:p w14:paraId="3386181C">
            <w:pPr>
              <w:keepNext w:val="0"/>
              <w:keepLines w:val="0"/>
              <w:pageBreakBefore w:val="0"/>
              <w:widowControl w:val="0"/>
              <w:kinsoku/>
              <w:wordWrap/>
              <w:overflowPunct/>
              <w:topLinePunct w:val="0"/>
              <w:autoSpaceDE/>
              <w:autoSpaceDN/>
              <w:bidi w:val="0"/>
              <w:adjustRightInd/>
              <w:snapToGrid/>
              <w:spacing w:after="0" w:afterLines="0" w:line="360" w:lineRule="auto"/>
              <w:ind w:right="0" w:rightChars="0" w:firstLine="480" w:firstLineChars="200"/>
              <w:jc w:val="both"/>
              <w:textAlignment w:val="auto"/>
              <w:outlineLvl w:val="9"/>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③严格控制施工范围，严禁随意破坏防风固沙设施，重点要保护荒漠植被、砾幕。明确设定施工区域，严格划定施工作业带范围，限制施工人员的活动范围，尽可能减少对地表的扰动和植被的破坏。严格落实拟建项目水土保持方案中的水土流失、防沙治沙措施破坏行为，保护施工区植被。</w:t>
            </w:r>
          </w:p>
          <w:p w14:paraId="6AA48F6E">
            <w:pPr>
              <w:keepNext w:val="0"/>
              <w:keepLines w:val="0"/>
              <w:pageBreakBefore w:val="0"/>
              <w:widowControl w:val="0"/>
              <w:kinsoku/>
              <w:wordWrap/>
              <w:overflowPunct/>
              <w:topLinePunct w:val="0"/>
              <w:autoSpaceDE/>
              <w:autoSpaceDN/>
              <w:bidi w:val="0"/>
              <w:adjustRightInd/>
              <w:snapToGrid/>
              <w:spacing w:after="0" w:afterLines="0" w:line="360" w:lineRule="auto"/>
              <w:ind w:right="0" w:rightChars="0" w:firstLine="480" w:firstLineChars="200"/>
              <w:jc w:val="both"/>
              <w:textAlignment w:val="auto"/>
              <w:outlineLvl w:val="9"/>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④施工期结束后，及时拆除临时建筑设施，妥善收集和处置施工固废。对施工场地进行平整，对矿区道路进行铺垫碎石平整压实；对临时占地，则及时清除压占物料并对其进行平整硬化，减少矿区的水土流失。</w:t>
            </w:r>
          </w:p>
          <w:p w14:paraId="4895B23E">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0" w:firstLineChars="0"/>
              <w:jc w:val="both"/>
              <w:textAlignment w:val="auto"/>
              <w:outlineLvl w:val="9"/>
              <w:rPr>
                <w:rFonts w:hint="eastAsia" w:ascii="Times New Roman" w:hAnsi="Times New Roman" w:eastAsia="宋体" w:cs="Times New Roman"/>
                <w:b/>
                <w:bCs/>
                <w:color w:val="000000" w:themeColor="text1"/>
                <w:sz w:val="24"/>
                <w:szCs w:val="22"/>
                <w:highlight w:val="none"/>
                <w:shd w:val="clear" w:color="auto" w:fill="FFFFFF"/>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2"/>
                <w:highlight w:val="none"/>
                <w:shd w:val="clear" w:color="auto" w:fill="FFFFFF"/>
                <w:lang w:val="en-US" w:eastAsia="zh-CN"/>
                <w14:textFill>
                  <w14:solidFill>
                    <w14:schemeClr w14:val="tx1"/>
                  </w14:solidFill>
                </w14:textFill>
              </w:rPr>
              <w:t>5.6水土保持流失的保护措施</w:t>
            </w:r>
          </w:p>
          <w:p w14:paraId="0AAD9708">
            <w:pPr>
              <w:keepNext w:val="0"/>
              <w:keepLines w:val="0"/>
              <w:pageBreakBefore w:val="0"/>
              <w:widowControl w:val="0"/>
              <w:kinsoku/>
              <w:wordWrap/>
              <w:overflowPunct/>
              <w:topLinePunct w:val="0"/>
              <w:autoSpaceDE/>
              <w:autoSpaceDN/>
              <w:bidi w:val="0"/>
              <w:adjustRightInd/>
              <w:snapToGrid/>
              <w:spacing w:after="0" w:afterLines="0" w:line="360" w:lineRule="auto"/>
              <w:ind w:right="0" w:rightChars="0" w:firstLine="480" w:firstLineChars="200"/>
              <w:jc w:val="both"/>
              <w:textAlignment w:val="auto"/>
              <w:outlineLvl w:val="9"/>
              <w:rPr>
                <w:rFonts w:hint="eastAsia"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（1）工程措施：</w:t>
            </w:r>
          </w:p>
          <w:p w14:paraId="206B8B25">
            <w:pPr>
              <w:keepNext w:val="0"/>
              <w:keepLines w:val="0"/>
              <w:pageBreakBefore w:val="0"/>
              <w:widowControl w:val="0"/>
              <w:kinsoku/>
              <w:wordWrap/>
              <w:overflowPunct/>
              <w:topLinePunct w:val="0"/>
              <w:autoSpaceDE/>
              <w:autoSpaceDN/>
              <w:bidi w:val="0"/>
              <w:adjustRightInd/>
              <w:snapToGrid/>
              <w:spacing w:after="0" w:afterLines="0" w:line="360" w:lineRule="auto"/>
              <w:ind w:right="0" w:rightChars="0" w:firstLine="480" w:firstLineChars="200"/>
              <w:jc w:val="both"/>
              <w:textAlignment w:val="auto"/>
              <w:outlineLvl w:val="9"/>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①</w:t>
            </w:r>
            <w:r>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表土剥离与保护：对施工占地内可利用表土进行统一剥离、集中堆放、妥善防护，剥离表土单独留存，用于后期植被恢复、土地复绿，最大限度保护土壤肥力，减少土壤资源流失。</w:t>
            </w:r>
          </w:p>
          <w:p w14:paraId="569E740D">
            <w:pPr>
              <w:keepNext w:val="0"/>
              <w:keepLines w:val="0"/>
              <w:pageBreakBefore w:val="0"/>
              <w:widowControl w:val="0"/>
              <w:kinsoku/>
              <w:wordWrap/>
              <w:overflowPunct/>
              <w:topLinePunct w:val="0"/>
              <w:autoSpaceDE/>
              <w:autoSpaceDN/>
              <w:bidi w:val="0"/>
              <w:adjustRightInd/>
              <w:snapToGrid/>
              <w:spacing w:after="0" w:afterLines="0" w:line="360" w:lineRule="auto"/>
              <w:ind w:right="0" w:rightChars="0" w:firstLine="480" w:firstLineChars="200"/>
              <w:jc w:val="both"/>
              <w:textAlignment w:val="auto"/>
              <w:outlineLvl w:val="9"/>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②</w:t>
            </w:r>
            <w:r>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边坡防护工程：对开挖、填筑形成的永久边坡，根据坡度、土质情况采用护坡硬化、格构护坡、植草护坡等防护形式，固定坡面土体，防止坡面冲刷、溜塌，提升边坡抗蚀稳定性。</w:t>
            </w:r>
          </w:p>
          <w:p w14:paraId="4DE19CB8">
            <w:pPr>
              <w:keepNext w:val="0"/>
              <w:keepLines w:val="0"/>
              <w:pageBreakBefore w:val="0"/>
              <w:widowControl w:val="0"/>
              <w:kinsoku/>
              <w:wordWrap/>
              <w:overflowPunct/>
              <w:topLinePunct w:val="0"/>
              <w:autoSpaceDE/>
              <w:autoSpaceDN/>
              <w:bidi w:val="0"/>
              <w:adjustRightInd/>
              <w:snapToGrid/>
              <w:spacing w:after="0" w:afterLines="0" w:line="360" w:lineRule="auto"/>
              <w:ind w:right="0" w:rightChars="0" w:firstLine="480" w:firstLineChars="200"/>
              <w:jc w:val="both"/>
              <w:textAlignment w:val="auto"/>
              <w:outlineLvl w:val="9"/>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③</w:t>
            </w:r>
            <w:r>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排水导流工程：在项目场地、边坡、施工分区周边布设排水沟、截水沟、沉砂池，构建完善的排水体系。有效拦截坡面雨水、疏导地表径流，降低雨水冲刷强度，同时沉淀径流泥沙，避免泥沙外排淤积周边水系。</w:t>
            </w:r>
          </w:p>
          <w:p w14:paraId="7D202EAA">
            <w:pPr>
              <w:keepNext w:val="0"/>
              <w:keepLines w:val="0"/>
              <w:pageBreakBefore w:val="0"/>
              <w:widowControl w:val="0"/>
              <w:kinsoku/>
              <w:wordWrap/>
              <w:overflowPunct/>
              <w:topLinePunct w:val="0"/>
              <w:autoSpaceDE/>
              <w:autoSpaceDN/>
              <w:bidi w:val="0"/>
              <w:adjustRightInd/>
              <w:snapToGrid/>
              <w:spacing w:after="0" w:afterLines="0" w:line="360" w:lineRule="auto"/>
              <w:ind w:right="0" w:rightChars="0" w:firstLine="480" w:firstLineChars="200"/>
              <w:jc w:val="both"/>
              <w:textAlignment w:val="auto"/>
              <w:outlineLvl w:val="9"/>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④</w:t>
            </w:r>
            <w:r>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土地平整与恢复：施工结束后对施工扰动区域、临时占地进行全面土地平整，清除废弃渣土、平整凹凸坡面，修复地表地形，为植被恢复创造基础条件。</w:t>
            </w:r>
          </w:p>
          <w:p w14:paraId="7DF51E29">
            <w:pPr>
              <w:keepNext w:val="0"/>
              <w:keepLines w:val="0"/>
              <w:pageBreakBefore w:val="0"/>
              <w:widowControl w:val="0"/>
              <w:numPr>
                <w:ilvl w:val="0"/>
                <w:numId w:val="0"/>
              </w:numPr>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eastAsia"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24"/>
                <w:lang w:val="en-US" w:eastAsia="zh-CN" w:bidi="ar"/>
                <w14:textFill>
                  <w14:solidFill>
                    <w14:schemeClr w14:val="tx1"/>
                  </w14:solidFill>
                </w14:textFill>
              </w:rPr>
              <w:t>（2）</w:t>
            </w:r>
            <w:r>
              <w:rPr>
                <w:rFonts w:hint="eastAsia"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植物措施</w:t>
            </w:r>
          </w:p>
          <w:p w14:paraId="36B8FFAA">
            <w:pPr>
              <w:keepNext w:val="0"/>
              <w:keepLines w:val="0"/>
              <w:pageBreakBefore w:val="0"/>
              <w:widowControl w:val="0"/>
              <w:kinsoku/>
              <w:wordWrap/>
              <w:overflowPunct/>
              <w:topLinePunct w:val="0"/>
              <w:autoSpaceDE/>
              <w:autoSpaceDN/>
              <w:bidi w:val="0"/>
              <w:adjustRightInd/>
              <w:snapToGrid/>
              <w:spacing w:after="0" w:afterLines="0" w:line="360" w:lineRule="auto"/>
              <w:ind w:right="0" w:rightChars="0" w:firstLine="480" w:firstLineChars="200"/>
              <w:jc w:val="both"/>
              <w:textAlignment w:val="auto"/>
              <w:outlineLvl w:val="9"/>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①</w:t>
            </w:r>
            <w:r>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分区植被恢复：对项目永久绿化区域、临时占地恢复区域，因地制宜选用乡土耐旱、固土能力强的草种、树种，采用撒播草籽、铺设草皮、栽植灌木等方式开展绿化，快速恢复地表植被覆盖。</w:t>
            </w:r>
          </w:p>
          <w:p w14:paraId="22CDD78A">
            <w:pPr>
              <w:keepNext w:val="0"/>
              <w:keepLines w:val="0"/>
              <w:pageBreakBefore w:val="0"/>
              <w:widowControl w:val="0"/>
              <w:kinsoku/>
              <w:wordWrap/>
              <w:overflowPunct/>
              <w:topLinePunct w:val="0"/>
              <w:autoSpaceDE/>
              <w:autoSpaceDN/>
              <w:bidi w:val="0"/>
              <w:adjustRightInd/>
              <w:snapToGrid/>
              <w:spacing w:after="0" w:afterLines="0" w:line="360" w:lineRule="auto"/>
              <w:ind w:right="0" w:rightChars="0" w:firstLine="480" w:firstLineChars="200"/>
              <w:jc w:val="both"/>
              <w:textAlignment w:val="auto"/>
              <w:outlineLvl w:val="9"/>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②</w:t>
            </w:r>
            <w:r>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边坡生态治理：对土质边坡、缓坡区域实施生态植草、藤蔓植被覆盖，兼顾防护与生态修复，减少裸露地表面积，提升区域林草植被恢复率和覆盖率。</w:t>
            </w:r>
          </w:p>
          <w:p w14:paraId="71DCB47A">
            <w:pPr>
              <w:keepNext w:val="0"/>
              <w:keepLines w:val="0"/>
              <w:pageBreakBefore w:val="0"/>
              <w:widowControl w:val="0"/>
              <w:kinsoku/>
              <w:wordWrap/>
              <w:overflowPunct/>
              <w:topLinePunct w:val="0"/>
              <w:autoSpaceDE/>
              <w:autoSpaceDN/>
              <w:bidi w:val="0"/>
              <w:adjustRightInd/>
              <w:snapToGrid/>
              <w:spacing w:after="0" w:afterLines="0" w:line="360" w:lineRule="auto"/>
              <w:ind w:right="0" w:rightChars="0" w:firstLine="480" w:firstLineChars="200"/>
              <w:jc w:val="both"/>
              <w:textAlignment w:val="auto"/>
              <w:outlineLvl w:val="9"/>
            </w:pPr>
            <w:r>
              <w:rPr>
                <w:rFonts w:hint="eastAsia"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③</w:t>
            </w:r>
            <w:r>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生态养护管护：植被种植完成后定期开展浇水、补植、除草、病虫害防治等养护工作，保障植被成活率，持续稳固生态防护成效，彻底消除区域水土流失隐患。</w:t>
            </w:r>
          </w:p>
          <w:p w14:paraId="431BC92A">
            <w:pPr>
              <w:keepNext w:val="0"/>
              <w:keepLines w:val="0"/>
              <w:pageBreakBefore w:val="0"/>
              <w:widowControl w:val="0"/>
              <w:kinsoku/>
              <w:wordWrap/>
              <w:overflowPunct/>
              <w:topLinePunct w:val="0"/>
              <w:autoSpaceDE/>
              <w:autoSpaceDN/>
              <w:bidi w:val="0"/>
              <w:adjustRightInd/>
              <w:snapToGrid/>
              <w:spacing w:after="0" w:afterLines="0" w:line="360" w:lineRule="auto"/>
              <w:ind w:right="0" w:rightChars="0" w:firstLine="480" w:firstLineChars="200"/>
              <w:jc w:val="both"/>
              <w:textAlignment w:val="auto"/>
              <w:outlineLvl w:val="9"/>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w:t>
            </w:r>
            <w:r>
              <w:rPr>
                <w:rFonts w:hint="eastAsia"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3</w:t>
            </w:r>
            <w:r>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）临时措施</w:t>
            </w:r>
          </w:p>
          <w:p w14:paraId="77F0F9C4">
            <w:pPr>
              <w:keepNext w:val="0"/>
              <w:keepLines w:val="0"/>
              <w:pageBreakBefore w:val="0"/>
              <w:widowControl w:val="0"/>
              <w:kinsoku/>
              <w:wordWrap/>
              <w:overflowPunct/>
              <w:topLinePunct w:val="0"/>
              <w:autoSpaceDE/>
              <w:autoSpaceDN/>
              <w:bidi w:val="0"/>
              <w:adjustRightInd/>
              <w:snapToGrid/>
              <w:spacing w:after="0" w:afterLines="0" w:line="360" w:lineRule="auto"/>
              <w:ind w:right="0" w:rightChars="0" w:firstLine="480" w:firstLineChars="200"/>
              <w:jc w:val="both"/>
              <w:textAlignment w:val="auto"/>
              <w:outlineLvl w:val="9"/>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①</w:t>
            </w:r>
            <w:r>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裸露地表苫盖：对施工期间暂时不施工的裸露场地、坡面，采用防尘网全覆盖苫盖，有效抵御雨水冲刷、风力风蚀，避免松散土体流失起尘。</w:t>
            </w:r>
          </w:p>
          <w:p w14:paraId="34C3A97E">
            <w:pPr>
              <w:keepNext w:val="0"/>
              <w:keepLines w:val="0"/>
              <w:pageBreakBefore w:val="0"/>
              <w:widowControl w:val="0"/>
              <w:kinsoku/>
              <w:wordWrap/>
              <w:overflowPunct/>
              <w:topLinePunct w:val="0"/>
              <w:autoSpaceDE/>
              <w:autoSpaceDN/>
              <w:bidi w:val="0"/>
              <w:adjustRightInd/>
              <w:snapToGrid/>
              <w:spacing w:after="0" w:afterLines="0" w:line="360" w:lineRule="auto"/>
              <w:ind w:right="0" w:rightChars="0" w:firstLine="480" w:firstLineChars="200"/>
              <w:jc w:val="both"/>
              <w:textAlignment w:val="auto"/>
              <w:outlineLvl w:val="9"/>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②</w:t>
            </w:r>
            <w:r>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临时堆土防护：临时堆土区周边设置临时挡土埂，堆土顶面及坡面全覆盖苫盖，堆土周边布设简易排水沟，防止堆土冲刷坍塌、泥沙外泄。</w:t>
            </w:r>
          </w:p>
          <w:p w14:paraId="650E0A2C">
            <w:pPr>
              <w:keepNext w:val="0"/>
              <w:keepLines w:val="0"/>
              <w:pageBreakBefore w:val="0"/>
              <w:widowControl w:val="0"/>
              <w:kinsoku/>
              <w:wordWrap/>
              <w:overflowPunct/>
              <w:topLinePunct w:val="0"/>
              <w:autoSpaceDE/>
              <w:autoSpaceDN/>
              <w:bidi w:val="0"/>
              <w:adjustRightInd/>
              <w:snapToGrid/>
              <w:spacing w:after="0" w:afterLines="0" w:line="360" w:lineRule="auto"/>
              <w:ind w:right="0" w:rightChars="0" w:firstLine="480" w:firstLineChars="200"/>
              <w:jc w:val="both"/>
              <w:textAlignment w:val="auto"/>
              <w:outlineLvl w:val="9"/>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③</w:t>
            </w:r>
            <w:r>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临时排水与沉沙：施工期同步布设临时排水沟、简易沉砂池，及时疏导施工积水、雨水径流，沉淀泥沙，避免径流裹挟泥沙外排造成区域淤积和水土流失。</w:t>
            </w:r>
          </w:p>
          <w:p w14:paraId="26F635FD">
            <w:pPr>
              <w:keepNext w:val="0"/>
              <w:keepLines w:val="0"/>
              <w:pageBreakBefore w:val="0"/>
              <w:widowControl w:val="0"/>
              <w:kinsoku/>
              <w:wordWrap/>
              <w:overflowPunct/>
              <w:topLinePunct w:val="0"/>
              <w:autoSpaceDE/>
              <w:autoSpaceDN/>
              <w:bidi w:val="0"/>
              <w:adjustRightInd/>
              <w:snapToGrid/>
              <w:spacing w:after="0" w:afterLines="0" w:line="360" w:lineRule="auto"/>
              <w:ind w:right="0" w:rightChars="0" w:firstLine="480" w:firstLineChars="200"/>
              <w:jc w:val="both"/>
              <w:textAlignment w:val="auto"/>
              <w:outlineLvl w:val="9"/>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④</w:t>
            </w:r>
            <w:r>
              <w:rPr>
                <w:rFonts w:hint="default" w:ascii="Times New Roman" w:hAnsi="Times New Roman" w:eastAsia="宋体" w:cs="Times New Roman"/>
                <w:b w:val="0"/>
                <w:bCs w:val="0"/>
                <w:color w:val="000000" w:themeColor="text1"/>
                <w:kern w:val="2"/>
                <w:sz w:val="24"/>
                <w:szCs w:val="24"/>
                <w:highlight w:val="none"/>
                <w:lang w:val="en-US" w:eastAsia="zh-CN" w:bidi="ar"/>
                <w14:textFill>
                  <w14:solidFill>
                    <w14:schemeClr w14:val="tx1"/>
                  </w14:solidFill>
                </w14:textFill>
              </w:rPr>
              <w:t>施工围挡封闭：施工区域设置连续封闭围挡，阻隔施工扰动范围，防止泥沙、渣土外溢，同时减少施工活动对周边原生生态的扰动破坏。</w:t>
            </w:r>
          </w:p>
          <w:p w14:paraId="6CC9118C">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0" w:firstLineChars="0"/>
              <w:jc w:val="both"/>
              <w:textAlignment w:val="auto"/>
              <w:outlineLvl w:val="9"/>
              <w:rPr>
                <w:rFonts w:hint="default" w:ascii="Times New Roman" w:hAnsi="Times New Roman" w:eastAsia="宋体" w:cs="Times New Roman"/>
                <w:b/>
                <w:bCs/>
                <w:color w:val="000000" w:themeColor="text1"/>
                <w:sz w:val="24"/>
                <w:szCs w:val="22"/>
                <w:highlight w:val="none"/>
                <w:shd w:val="clear" w:color="auto" w:fill="FFFFFF"/>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2"/>
                <w:highlight w:val="none"/>
                <w:shd w:val="clear" w:color="auto" w:fill="FFFFFF"/>
                <w:lang w:val="en-US" w:eastAsia="zh-CN"/>
                <w14:textFill>
                  <w14:solidFill>
                    <w14:schemeClr w14:val="tx1"/>
                  </w14:solidFill>
                </w14:textFill>
              </w:rPr>
              <w:t>6、闭矿期生态恢复措施</w:t>
            </w:r>
          </w:p>
          <w:p w14:paraId="7C0AC08A">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0" w:firstLineChars="0"/>
              <w:jc w:val="both"/>
              <w:textAlignment w:val="auto"/>
              <w:outlineLvl w:val="9"/>
              <w:rPr>
                <w:rFonts w:hint="default" w:ascii="Times New Roman" w:hAnsi="Times New Roman" w:eastAsia="宋体" w:cs="Times New Roman"/>
                <w:b/>
                <w:bCs/>
                <w:color w:val="000000" w:themeColor="text1"/>
                <w:sz w:val="24"/>
                <w:szCs w:val="22"/>
                <w:highlight w:val="none"/>
                <w:shd w:val="clear" w:color="auto" w:fill="FFFFFF"/>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2"/>
                <w:highlight w:val="none"/>
                <w:shd w:val="clear" w:color="auto" w:fill="FFFFFF"/>
                <w:lang w:val="en-US" w:eastAsia="zh-CN"/>
                <w14:textFill>
                  <w14:solidFill>
                    <w14:schemeClr w14:val="tx1"/>
                  </w14:solidFill>
                </w14:textFill>
              </w:rPr>
              <w:t>6.1已破坏土地现状</w:t>
            </w:r>
          </w:p>
          <w:p w14:paraId="1A024865">
            <w:pPr>
              <w:keepNext w:val="0"/>
              <w:keepLines w:val="0"/>
              <w:pageBreakBefore w:val="0"/>
              <w:widowControl w:val="0"/>
              <w:kinsoku/>
              <w:wordWrap/>
              <w:overflowPunct/>
              <w:topLinePunct w:val="0"/>
              <w:autoSpaceDE/>
              <w:autoSpaceDN/>
              <w:bidi w:val="0"/>
              <w:adjustRightInd/>
              <w:snapToGrid/>
              <w:spacing w:after="0" w:afterLines="0" w:line="360" w:lineRule="auto"/>
              <w:ind w:right="0" w:rightChars="0" w:firstLine="480" w:firstLineChars="200"/>
              <w:jc w:val="both"/>
              <w:textAlignment w:val="auto"/>
              <w:outlineLvl w:val="9"/>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pP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矿</w:t>
            </w: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区</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属新建矿</w:t>
            </w: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区</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，现状条件下矿</w:t>
            </w: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区</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未进行开采，保持原有地形地貌特征。</w:t>
            </w:r>
          </w:p>
          <w:p w14:paraId="17B5966F">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0" w:firstLineChars="0"/>
              <w:jc w:val="both"/>
              <w:textAlignment w:val="auto"/>
              <w:outlineLvl w:val="9"/>
              <w:rPr>
                <w:rFonts w:hint="default" w:ascii="Times New Roman" w:hAnsi="Times New Roman" w:eastAsia="宋体" w:cs="Times New Roman"/>
                <w:b/>
                <w:bCs/>
                <w:color w:val="000000" w:themeColor="text1"/>
                <w:sz w:val="24"/>
                <w:szCs w:val="22"/>
                <w:highlight w:val="none"/>
                <w:shd w:val="clear" w:color="auto" w:fill="FFFFFF"/>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2"/>
                <w:highlight w:val="none"/>
                <w:shd w:val="clear" w:color="auto" w:fill="FFFFFF"/>
                <w:lang w:val="en-US" w:eastAsia="zh-CN"/>
                <w14:textFill>
                  <w14:solidFill>
                    <w14:schemeClr w14:val="tx1"/>
                  </w14:solidFill>
                </w14:textFill>
              </w:rPr>
              <w:t>6.2拟破坏土地</w:t>
            </w:r>
          </w:p>
          <w:p w14:paraId="3D064518">
            <w:pPr>
              <w:keepNext w:val="0"/>
              <w:keepLines w:val="0"/>
              <w:pageBreakBefore w:val="0"/>
              <w:widowControl w:val="0"/>
              <w:kinsoku/>
              <w:wordWrap/>
              <w:overflowPunct/>
              <w:topLinePunct w:val="0"/>
              <w:autoSpaceDE/>
              <w:autoSpaceDN/>
              <w:bidi w:val="0"/>
              <w:adjustRightInd/>
              <w:snapToGrid/>
              <w:spacing w:after="0" w:afterLines="0" w:line="360" w:lineRule="auto"/>
              <w:ind w:right="0" w:rightChars="0" w:firstLine="480" w:firstLineChars="200"/>
              <w:jc w:val="both"/>
              <w:textAlignment w:val="auto"/>
              <w:outlineLvl w:val="9"/>
              <w:rPr>
                <w:rFonts w:hint="default" w:ascii="Times New Roman" w:hAnsi="Times New Roman" w:eastAsia="宋体" w:cs="Times New Roman"/>
                <w:b/>
                <w:color w:val="000000" w:themeColor="text1"/>
                <w:sz w:val="24"/>
                <w:highlight w:val="none"/>
                <w14:textFill>
                  <w14:solidFill>
                    <w14:schemeClr w14:val="tx1"/>
                  </w14:solidFill>
                </w14:textFill>
              </w:rPr>
            </w:pPr>
            <w:bookmarkStart w:id="5" w:name="OLE_LINK2"/>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本矿</w:t>
            </w: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区</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采用露天开采方式，拟破坏土地主要为露天采矿造成的土地挖损，其次为地面矿建设施建设造成的临时土地压占，破坏的土地面积</w:t>
            </w: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531099.04m</w:t>
            </w:r>
            <w:r>
              <w:rPr>
                <w:rFonts w:hint="default" w:ascii="Times New Roman" w:hAnsi="Times New Roman" w:eastAsia="宋体" w:cs="Times New Roman"/>
                <w:color w:val="000000" w:themeColor="text1"/>
                <w:sz w:val="24"/>
                <w:szCs w:val="22"/>
                <w:highlight w:val="none"/>
                <w:shd w:val="clear" w:color="auto" w:fill="FFFFFF"/>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w:t>
            </w:r>
            <w:bookmarkEnd w:id="5"/>
          </w:p>
          <w:p w14:paraId="78E46060">
            <w:pPr>
              <w:keepNext w:val="0"/>
              <w:keepLines w:val="0"/>
              <w:pageBreakBefore w:val="0"/>
              <w:widowControl w:val="0"/>
              <w:kinsoku/>
              <w:wordWrap/>
              <w:overflowPunct/>
              <w:topLinePunct w:val="0"/>
              <w:autoSpaceDE/>
              <w:autoSpaceDN/>
              <w:bidi w:val="0"/>
              <w:adjustRightInd/>
              <w:snapToGrid/>
              <w:spacing w:after="0" w:afterLines="0" w:line="240" w:lineRule="auto"/>
              <w:ind w:right="0" w:rightChars="0" w:firstLine="2951" w:firstLineChars="1400"/>
              <w:jc w:val="both"/>
              <w:textAlignment w:val="auto"/>
              <w:outlineLvl w:val="9"/>
              <w:rPr>
                <w:rFonts w:hint="default" w:ascii="Times New Roman" w:hAnsi="Times New Roman" w:eastAsia="宋体" w:cs="Times New Roman"/>
                <w:b/>
                <w:color w:val="000000" w:themeColor="text1"/>
                <w:sz w:val="24"/>
                <w:highlight w:val="none"/>
                <w14:textFill>
                  <w14:solidFill>
                    <w14:schemeClr w14:val="tx1"/>
                  </w14:solidFill>
                </w14:textFill>
              </w:rPr>
            </w:pPr>
            <w:r>
              <w:rPr>
                <w:rFonts w:hint="default" w:ascii="Times New Roman" w:hAnsi="Times New Roman" w:eastAsia="宋体" w:cs="Times New Roman"/>
                <w:b/>
                <w:color w:val="000000" w:themeColor="text1"/>
                <w:sz w:val="21"/>
                <w:szCs w:val="21"/>
                <w:highlight w:val="none"/>
                <w14:textFill>
                  <w14:solidFill>
                    <w14:schemeClr w14:val="tx1"/>
                  </w14:solidFill>
                </w14:textFill>
              </w:rPr>
              <w:t>表</w:t>
            </w:r>
            <w:r>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t xml:space="preserve">5-1  </w:t>
            </w:r>
            <w:r>
              <w:rPr>
                <w:rFonts w:hint="default" w:ascii="Times New Roman" w:hAnsi="Times New Roman" w:eastAsia="宋体" w:cs="Times New Roman"/>
                <w:b/>
                <w:color w:val="000000" w:themeColor="text1"/>
                <w:sz w:val="21"/>
                <w:szCs w:val="21"/>
                <w:highlight w:val="none"/>
                <w14:textFill>
                  <w14:solidFill>
                    <w14:schemeClr w14:val="tx1"/>
                  </w14:solidFill>
                </w14:textFill>
              </w:rPr>
              <w:t>矿</w:t>
            </w:r>
            <w:r>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t>区</w:t>
            </w:r>
            <w:r>
              <w:rPr>
                <w:rFonts w:hint="default" w:ascii="Times New Roman" w:hAnsi="Times New Roman" w:eastAsia="宋体" w:cs="Times New Roman"/>
                <w:b/>
                <w:color w:val="000000" w:themeColor="text1"/>
                <w:sz w:val="21"/>
                <w:szCs w:val="21"/>
                <w:highlight w:val="none"/>
                <w14:textFill>
                  <w14:solidFill>
                    <w14:schemeClr w14:val="tx1"/>
                  </w14:solidFill>
                </w14:textFill>
              </w:rPr>
              <w:t>拟破坏土地统计表</w:t>
            </w:r>
            <w:r>
              <w:rPr>
                <w:rFonts w:hint="default" w:ascii="Times New Roman" w:hAnsi="Times New Roman" w:eastAsia="宋体" w:cs="Times New Roman"/>
                <w:b/>
                <w:color w:val="000000" w:themeColor="text1"/>
                <w:sz w:val="24"/>
                <w:highlight w:val="none"/>
                <w14:textFill>
                  <w14:solidFill>
                    <w14:schemeClr w14:val="tx1"/>
                  </w14:solidFill>
                </w14:textFill>
              </w:rPr>
              <w:t xml:space="preserve">   </w:t>
            </w:r>
          </w:p>
          <w:tbl>
            <w:tblPr>
              <w:tblStyle w:val="38"/>
              <w:tblW w:w="8823"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873"/>
              <w:gridCol w:w="2468"/>
              <w:gridCol w:w="1775"/>
              <w:gridCol w:w="1707"/>
            </w:tblGrid>
            <w:tr w14:paraId="71941D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73" w:type="dxa"/>
                  <w:tcBorders>
                    <w:bottom w:val="single" w:color="000000" w:sz="12" w:space="0"/>
                    <w:tl2br w:val="nil"/>
                    <w:tr2bl w:val="nil"/>
                  </w:tcBorders>
                  <w:noWrap w:val="0"/>
                  <w:vAlign w:val="center"/>
                </w:tcPr>
                <w:p w14:paraId="794C43B7">
                  <w:pPr>
                    <w:pStyle w:val="79"/>
                    <w:pageBreakBefore w:val="0"/>
                    <w:kinsoku/>
                    <w:wordWrap/>
                    <w:bidi w:val="0"/>
                    <w:spacing w:after="0" w:afterLines="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名称</w:t>
                  </w:r>
                </w:p>
              </w:tc>
              <w:tc>
                <w:tcPr>
                  <w:tcW w:w="2468" w:type="dxa"/>
                  <w:tcBorders>
                    <w:bottom w:val="single" w:color="000000" w:sz="12" w:space="0"/>
                    <w:tl2br w:val="nil"/>
                    <w:tr2bl w:val="nil"/>
                  </w:tcBorders>
                  <w:noWrap w:val="0"/>
                  <w:vAlign w:val="center"/>
                </w:tcPr>
                <w:p w14:paraId="441C301D">
                  <w:pPr>
                    <w:pStyle w:val="79"/>
                    <w:pageBreakBefore w:val="0"/>
                    <w:kinsoku/>
                    <w:wordWrap/>
                    <w:bidi w:val="0"/>
                    <w:spacing w:after="0" w:afterLines="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破坏面积 (平方米)</w:t>
                  </w:r>
                </w:p>
              </w:tc>
              <w:tc>
                <w:tcPr>
                  <w:tcW w:w="1775" w:type="dxa"/>
                  <w:tcBorders>
                    <w:bottom w:val="single" w:color="000000" w:sz="12" w:space="0"/>
                    <w:tl2br w:val="nil"/>
                    <w:tr2bl w:val="nil"/>
                  </w:tcBorders>
                  <w:noWrap w:val="0"/>
                  <w:vAlign w:val="center"/>
                </w:tcPr>
                <w:p w14:paraId="50D530FC">
                  <w:pPr>
                    <w:pStyle w:val="79"/>
                    <w:pageBreakBefore w:val="0"/>
                    <w:kinsoku/>
                    <w:wordWrap/>
                    <w:bidi w:val="0"/>
                    <w:spacing w:after="0" w:afterLines="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破坏类型</w:t>
                  </w:r>
                </w:p>
              </w:tc>
              <w:tc>
                <w:tcPr>
                  <w:tcW w:w="1707" w:type="dxa"/>
                  <w:tcBorders>
                    <w:bottom w:val="single" w:color="000000" w:sz="12" w:space="0"/>
                    <w:tl2br w:val="nil"/>
                    <w:tr2bl w:val="nil"/>
                  </w:tcBorders>
                  <w:noWrap w:val="0"/>
                  <w:vAlign w:val="center"/>
                </w:tcPr>
                <w:p w14:paraId="71DEA517">
                  <w:pPr>
                    <w:pStyle w:val="79"/>
                    <w:pageBreakBefore w:val="0"/>
                    <w:kinsoku/>
                    <w:wordWrap/>
                    <w:bidi w:val="0"/>
                    <w:spacing w:after="0" w:afterLines="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破坏程度</w:t>
                  </w:r>
                </w:p>
              </w:tc>
            </w:tr>
            <w:tr w14:paraId="13C9BD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73" w:type="dxa"/>
                  <w:tcBorders>
                    <w:top w:val="single" w:color="000000" w:sz="12" w:space="0"/>
                    <w:tl2br w:val="nil"/>
                    <w:tr2bl w:val="nil"/>
                  </w:tcBorders>
                  <w:noWrap w:val="0"/>
                  <w:vAlign w:val="center"/>
                </w:tcPr>
                <w:p w14:paraId="630DA0A8">
                  <w:pPr>
                    <w:pStyle w:val="79"/>
                    <w:pageBreakBefore w:val="0"/>
                    <w:kinsoku/>
                    <w:wordWrap/>
                    <w:bidi w:val="0"/>
                    <w:spacing w:after="0" w:afterLines="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bookmarkStart w:id="6" w:name="_Hlk234320882"/>
                  <w:bookmarkStart w:id="7" w:name="_Hlk234212857"/>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开采区</w:t>
                  </w:r>
                </w:p>
              </w:tc>
              <w:tc>
                <w:tcPr>
                  <w:tcW w:w="2468" w:type="dxa"/>
                  <w:vMerge w:val="restart"/>
                  <w:tcBorders>
                    <w:top w:val="single" w:color="000000" w:sz="12" w:space="0"/>
                    <w:tl2br w:val="nil"/>
                    <w:tr2bl w:val="nil"/>
                  </w:tcBorders>
                  <w:noWrap w:val="0"/>
                  <w:vAlign w:val="center"/>
                </w:tcPr>
                <w:p w14:paraId="6CC31077">
                  <w:pPr>
                    <w:pStyle w:val="79"/>
                    <w:pageBreakBefore w:val="0"/>
                    <w:kinsoku/>
                    <w:wordWrap/>
                    <w:bidi w:val="0"/>
                    <w:spacing w:after="0" w:afterLines="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531099.04</w:t>
                  </w:r>
                </w:p>
              </w:tc>
              <w:tc>
                <w:tcPr>
                  <w:tcW w:w="1775" w:type="dxa"/>
                  <w:tcBorders>
                    <w:top w:val="single" w:color="000000" w:sz="12" w:space="0"/>
                    <w:tl2br w:val="nil"/>
                    <w:tr2bl w:val="nil"/>
                  </w:tcBorders>
                  <w:noWrap w:val="0"/>
                  <w:vAlign w:val="center"/>
                </w:tcPr>
                <w:p w14:paraId="68AFFB87">
                  <w:pPr>
                    <w:pStyle w:val="79"/>
                    <w:pageBreakBefore w:val="0"/>
                    <w:kinsoku/>
                    <w:wordWrap/>
                    <w:bidi w:val="0"/>
                    <w:spacing w:after="0" w:afterLines="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挖损</w:t>
                  </w:r>
                </w:p>
              </w:tc>
              <w:tc>
                <w:tcPr>
                  <w:tcW w:w="1707" w:type="dxa"/>
                  <w:tcBorders>
                    <w:top w:val="single" w:color="000000" w:sz="12" w:space="0"/>
                    <w:tl2br w:val="nil"/>
                    <w:tr2bl w:val="nil"/>
                  </w:tcBorders>
                  <w:noWrap w:val="0"/>
                  <w:vAlign w:val="center"/>
                </w:tcPr>
                <w:p w14:paraId="41C8A664">
                  <w:pPr>
                    <w:pStyle w:val="79"/>
                    <w:pageBreakBefore w:val="0"/>
                    <w:kinsoku/>
                    <w:wordWrap/>
                    <w:bidi w:val="0"/>
                    <w:spacing w:after="0" w:afterLines="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较重</w:t>
                  </w:r>
                </w:p>
              </w:tc>
            </w:tr>
            <w:bookmarkEnd w:id="6"/>
            <w:tr w14:paraId="343595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73" w:type="dxa"/>
                  <w:tcBorders>
                    <w:tl2br w:val="nil"/>
                    <w:tr2bl w:val="nil"/>
                  </w:tcBorders>
                  <w:noWrap w:val="0"/>
                  <w:vAlign w:val="center"/>
                </w:tcPr>
                <w:p w14:paraId="7B14842B">
                  <w:pPr>
                    <w:pStyle w:val="79"/>
                    <w:pageBreakBefore w:val="0"/>
                    <w:kinsoku/>
                    <w:wordWrap/>
                    <w:bidi w:val="0"/>
                    <w:spacing w:after="0" w:afterLines="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生产区</w:t>
                  </w:r>
                </w:p>
              </w:tc>
              <w:tc>
                <w:tcPr>
                  <w:tcW w:w="2468" w:type="dxa"/>
                  <w:vMerge w:val="continue"/>
                  <w:tcBorders>
                    <w:tl2br w:val="nil"/>
                    <w:tr2bl w:val="nil"/>
                  </w:tcBorders>
                  <w:noWrap w:val="0"/>
                  <w:vAlign w:val="center"/>
                </w:tcPr>
                <w:p w14:paraId="76E35474">
                  <w:pPr>
                    <w:pStyle w:val="79"/>
                    <w:pageBreakBefore w:val="0"/>
                    <w:kinsoku/>
                    <w:wordWrap/>
                    <w:bidi w:val="0"/>
                    <w:spacing w:after="0" w:afterLines="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775" w:type="dxa"/>
                  <w:tcBorders>
                    <w:tl2br w:val="nil"/>
                    <w:tr2bl w:val="nil"/>
                  </w:tcBorders>
                  <w:noWrap w:val="0"/>
                  <w:vAlign w:val="center"/>
                </w:tcPr>
                <w:p w14:paraId="09AB5EC1">
                  <w:pPr>
                    <w:pStyle w:val="79"/>
                    <w:pageBreakBefore w:val="0"/>
                    <w:kinsoku/>
                    <w:wordWrap/>
                    <w:bidi w:val="0"/>
                    <w:spacing w:after="0" w:afterLines="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压占</w:t>
                  </w:r>
                </w:p>
              </w:tc>
              <w:tc>
                <w:tcPr>
                  <w:tcW w:w="1707" w:type="dxa"/>
                  <w:tcBorders>
                    <w:tl2br w:val="nil"/>
                    <w:tr2bl w:val="nil"/>
                  </w:tcBorders>
                  <w:noWrap w:val="0"/>
                  <w:vAlign w:val="center"/>
                </w:tcPr>
                <w:p w14:paraId="30025CD7">
                  <w:pPr>
                    <w:pStyle w:val="79"/>
                    <w:pageBreakBefore w:val="0"/>
                    <w:kinsoku/>
                    <w:wordWrap/>
                    <w:bidi w:val="0"/>
                    <w:spacing w:after="0" w:afterLines="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较轻</w:t>
                  </w:r>
                </w:p>
              </w:tc>
            </w:tr>
            <w:tr w14:paraId="5AF153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73" w:type="dxa"/>
                  <w:tcBorders>
                    <w:tl2br w:val="nil"/>
                    <w:tr2bl w:val="nil"/>
                  </w:tcBorders>
                  <w:noWrap w:val="0"/>
                  <w:vAlign w:val="center"/>
                </w:tcPr>
                <w:p w14:paraId="0C58C21C">
                  <w:pPr>
                    <w:pageBreakBefore w:val="0"/>
                    <w:widowControl/>
                    <w:kinsoku/>
                    <w:wordWrap/>
                    <w:bidi w:val="0"/>
                    <w:adjustRightInd/>
                    <w:snapToGrid/>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生活办公区</w:t>
                  </w:r>
                </w:p>
              </w:tc>
              <w:tc>
                <w:tcPr>
                  <w:tcW w:w="2468" w:type="dxa"/>
                  <w:vMerge w:val="continue"/>
                  <w:tcBorders>
                    <w:tl2br w:val="nil"/>
                    <w:tr2bl w:val="nil"/>
                  </w:tcBorders>
                  <w:noWrap w:val="0"/>
                  <w:vAlign w:val="center"/>
                </w:tcPr>
                <w:p w14:paraId="73454E2B">
                  <w:pPr>
                    <w:pStyle w:val="79"/>
                    <w:pageBreakBefore w:val="0"/>
                    <w:kinsoku/>
                    <w:wordWrap/>
                    <w:bidi w:val="0"/>
                    <w:spacing w:after="0" w:afterLines="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775" w:type="dxa"/>
                  <w:tcBorders>
                    <w:tl2br w:val="nil"/>
                    <w:tr2bl w:val="nil"/>
                  </w:tcBorders>
                  <w:noWrap w:val="0"/>
                  <w:vAlign w:val="center"/>
                </w:tcPr>
                <w:p w14:paraId="2F0FF54D">
                  <w:pPr>
                    <w:pStyle w:val="79"/>
                    <w:pageBreakBefore w:val="0"/>
                    <w:kinsoku/>
                    <w:wordWrap/>
                    <w:bidi w:val="0"/>
                    <w:spacing w:after="0" w:afterLines="0"/>
                    <w:ind w:firstLine="0" w:firstLineChars="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压占</w:t>
                  </w:r>
                </w:p>
              </w:tc>
              <w:tc>
                <w:tcPr>
                  <w:tcW w:w="1707" w:type="dxa"/>
                  <w:tcBorders>
                    <w:tl2br w:val="nil"/>
                    <w:tr2bl w:val="nil"/>
                  </w:tcBorders>
                  <w:noWrap w:val="0"/>
                  <w:vAlign w:val="center"/>
                </w:tcPr>
                <w:p w14:paraId="20AB90AE">
                  <w:pPr>
                    <w:pStyle w:val="79"/>
                    <w:pageBreakBefore w:val="0"/>
                    <w:kinsoku/>
                    <w:wordWrap/>
                    <w:bidi w:val="0"/>
                    <w:spacing w:after="0" w:afterLines="0"/>
                    <w:ind w:firstLine="0" w:firstLineChars="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较轻</w:t>
                  </w:r>
                </w:p>
              </w:tc>
            </w:tr>
            <w:bookmarkEnd w:id="7"/>
          </w:tbl>
          <w:p w14:paraId="379911B7">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0" w:firstLineChars="0"/>
              <w:jc w:val="both"/>
              <w:textAlignment w:val="auto"/>
              <w:outlineLvl w:val="9"/>
              <w:rPr>
                <w:rFonts w:hint="default" w:ascii="Times New Roman" w:hAnsi="Times New Roman" w:eastAsia="宋体" w:cs="Times New Roman"/>
                <w:b/>
                <w:bCs/>
                <w:color w:val="000000" w:themeColor="text1"/>
                <w:sz w:val="24"/>
                <w:szCs w:val="22"/>
                <w:highlight w:val="none"/>
                <w:shd w:val="clear" w:color="auto" w:fill="FFFFFF"/>
                <w:lang w:val="en-US" w:eastAsia="zh-CN"/>
                <w14:textFill>
                  <w14:solidFill>
                    <w14:schemeClr w14:val="tx1"/>
                  </w14:solidFill>
                </w14:textFill>
              </w:rPr>
            </w:pPr>
            <w:bookmarkStart w:id="8" w:name="_Toc231651881"/>
            <w:bookmarkStart w:id="9" w:name="_Toc235881538"/>
            <w:bookmarkStart w:id="10" w:name="_Toc217360083"/>
            <w:bookmarkStart w:id="11" w:name="_Toc235881634"/>
            <w:r>
              <w:rPr>
                <w:rFonts w:hint="default" w:ascii="Times New Roman" w:hAnsi="Times New Roman" w:eastAsia="宋体" w:cs="Times New Roman"/>
                <w:b/>
                <w:bCs/>
                <w:color w:val="000000" w:themeColor="text1"/>
                <w:sz w:val="24"/>
                <w:szCs w:val="22"/>
                <w:highlight w:val="none"/>
                <w:shd w:val="clear" w:color="auto" w:fill="FFFFFF"/>
                <w:lang w:val="en-US" w:eastAsia="zh-CN"/>
                <w14:textFill>
                  <w14:solidFill>
                    <w14:schemeClr w14:val="tx1"/>
                  </w14:solidFill>
                </w14:textFill>
              </w:rPr>
              <w:t>6.3 土地复垦分区</w:t>
            </w:r>
          </w:p>
          <w:p w14:paraId="73EE4C94">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pP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根据《土地复垦技术标准</w:t>
            </w:r>
            <w:r>
              <w:rPr>
                <w:rFonts w:hint="eastAsia" w:ascii="Times New Roman" w:hAnsi="Times New Roman" w:eastAsia="宋体" w:cs="Times New Roman"/>
                <w:color w:val="000000" w:themeColor="text1"/>
                <w:sz w:val="24"/>
                <w:szCs w:val="22"/>
                <w:highlight w:val="none"/>
                <w:shd w:val="clear" w:color="auto" w:fill="FFFFFF"/>
                <w:lang w:eastAsia="zh-CN"/>
                <w14:textFill>
                  <w14:solidFill>
                    <w14:schemeClr w14:val="tx1"/>
                  </w14:solidFill>
                </w14:textFill>
              </w:rPr>
              <w:t>（试行）》</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，结合本矿实际情况，针对矿业活动破坏土地类型、规模、程度等，划分本矿山待复垦土地单元类型（复垦分区）。</w:t>
            </w:r>
          </w:p>
          <w:p w14:paraId="2BE2B331">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0" w:firstLineChars="0"/>
              <w:jc w:val="both"/>
              <w:textAlignment w:val="auto"/>
              <w:outlineLvl w:val="9"/>
              <w:rPr>
                <w:rFonts w:hint="default" w:ascii="Times New Roman" w:hAnsi="Times New Roman" w:eastAsia="宋体" w:cs="Times New Roman"/>
                <w:b/>
                <w:bCs/>
                <w:color w:val="auto"/>
                <w:sz w:val="24"/>
                <w:szCs w:val="22"/>
                <w:highlight w:val="none"/>
                <w:shd w:val="clear" w:color="auto" w:fill="FFFFFF"/>
                <w:lang w:val="en-US" w:eastAsia="zh-CN"/>
              </w:rPr>
            </w:pPr>
            <w:r>
              <w:rPr>
                <w:rFonts w:hint="default" w:ascii="Times New Roman" w:hAnsi="Times New Roman" w:eastAsia="宋体" w:cs="Times New Roman"/>
                <w:b/>
                <w:bCs/>
                <w:color w:val="auto"/>
                <w:sz w:val="24"/>
                <w:szCs w:val="22"/>
                <w:highlight w:val="none"/>
                <w:shd w:val="clear" w:color="auto" w:fill="FFFFFF"/>
                <w:lang w:val="en-US" w:eastAsia="zh-CN"/>
              </w:rPr>
              <w:t>6.3.1挖损土地复垦区</w:t>
            </w:r>
          </w:p>
          <w:p w14:paraId="0C8552F9">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auto"/>
                <w:sz w:val="24"/>
                <w:szCs w:val="22"/>
                <w:highlight w:val="none"/>
                <w:shd w:val="clear" w:color="auto" w:fill="FFFFFF"/>
              </w:rPr>
            </w:pPr>
            <w:r>
              <w:rPr>
                <w:rFonts w:hint="default" w:ascii="Times New Roman" w:hAnsi="Times New Roman" w:eastAsia="宋体" w:cs="Times New Roman"/>
                <w:color w:val="auto"/>
                <w:sz w:val="24"/>
                <w:szCs w:val="22"/>
                <w:highlight w:val="none"/>
                <w:shd w:val="clear" w:color="auto" w:fill="FFFFFF"/>
              </w:rPr>
              <w:t>露天采场对土地资源形成挖损破坏，破坏土地面积</w:t>
            </w:r>
            <w:r>
              <w:rPr>
                <w:rFonts w:hint="default" w:ascii="Times New Roman" w:hAnsi="Times New Roman" w:eastAsia="宋体" w:cs="Times New Roman"/>
                <w:color w:val="auto"/>
                <w:sz w:val="24"/>
                <w:szCs w:val="22"/>
                <w:highlight w:val="none"/>
                <w:shd w:val="clear" w:color="auto" w:fill="FFFFFF"/>
                <w:lang w:val="en-US" w:eastAsia="zh-CN"/>
              </w:rPr>
              <w:t>530699.04m</w:t>
            </w:r>
            <w:r>
              <w:rPr>
                <w:rFonts w:hint="default" w:ascii="Times New Roman" w:hAnsi="Times New Roman" w:eastAsia="宋体" w:cs="Times New Roman"/>
                <w:color w:val="auto"/>
                <w:sz w:val="24"/>
                <w:szCs w:val="22"/>
                <w:highlight w:val="none"/>
                <w:shd w:val="clear" w:color="auto" w:fill="FFFFFF"/>
                <w:vertAlign w:val="superscript"/>
                <w:lang w:val="en-US" w:eastAsia="zh-CN"/>
              </w:rPr>
              <w:t>2</w:t>
            </w:r>
            <w:r>
              <w:rPr>
                <w:rFonts w:hint="default" w:ascii="Times New Roman" w:hAnsi="Times New Roman" w:eastAsia="宋体" w:cs="Times New Roman"/>
                <w:color w:val="auto"/>
                <w:sz w:val="24"/>
                <w:szCs w:val="22"/>
                <w:highlight w:val="none"/>
                <w:shd w:val="clear" w:color="auto" w:fill="FFFFFF"/>
              </w:rPr>
              <w:t>，破坏土地类型为</w:t>
            </w:r>
            <w:r>
              <w:rPr>
                <w:rFonts w:hint="default" w:ascii="Times New Roman" w:hAnsi="Times New Roman" w:eastAsia="宋体" w:cs="Times New Roman"/>
                <w:color w:val="auto"/>
                <w:sz w:val="24"/>
                <w:szCs w:val="22"/>
                <w:highlight w:val="none"/>
                <w:shd w:val="clear" w:color="auto" w:fill="FFFFFF"/>
                <w:lang w:val="en-US" w:eastAsia="zh-CN"/>
              </w:rPr>
              <w:t>其他草地和其他林地</w:t>
            </w:r>
            <w:r>
              <w:rPr>
                <w:rFonts w:hint="default" w:ascii="Times New Roman" w:hAnsi="Times New Roman" w:eastAsia="宋体" w:cs="Times New Roman"/>
                <w:color w:val="auto"/>
                <w:sz w:val="24"/>
                <w:szCs w:val="22"/>
                <w:highlight w:val="none"/>
                <w:shd w:val="clear" w:color="auto" w:fill="FFFFFF"/>
              </w:rPr>
              <w:t>，破坏程度较严重。</w:t>
            </w:r>
          </w:p>
          <w:p w14:paraId="5B880783">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0" w:firstLineChars="0"/>
              <w:jc w:val="both"/>
              <w:textAlignment w:val="auto"/>
              <w:outlineLvl w:val="9"/>
              <w:rPr>
                <w:rFonts w:hint="default" w:ascii="Times New Roman" w:hAnsi="Times New Roman" w:eastAsia="宋体" w:cs="Times New Roman"/>
                <w:b/>
                <w:bCs/>
                <w:color w:val="auto"/>
                <w:sz w:val="24"/>
                <w:szCs w:val="22"/>
                <w:highlight w:val="none"/>
                <w:shd w:val="clear" w:color="auto" w:fill="FFFFFF"/>
                <w:lang w:val="en-US" w:eastAsia="zh-CN"/>
              </w:rPr>
            </w:pPr>
            <w:r>
              <w:rPr>
                <w:rFonts w:hint="default" w:ascii="Times New Roman" w:hAnsi="Times New Roman" w:eastAsia="宋体" w:cs="Times New Roman"/>
                <w:b/>
                <w:bCs/>
                <w:color w:val="auto"/>
                <w:sz w:val="24"/>
                <w:szCs w:val="22"/>
                <w:highlight w:val="none"/>
                <w:shd w:val="clear" w:color="auto" w:fill="FFFFFF"/>
                <w:lang w:val="en-US" w:eastAsia="zh-CN"/>
              </w:rPr>
              <w:t>6.3.2压占土地复垦区</w:t>
            </w:r>
          </w:p>
          <w:p w14:paraId="2803F7D6">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auto"/>
                <w:sz w:val="24"/>
                <w:szCs w:val="22"/>
                <w:highlight w:val="none"/>
                <w:shd w:val="clear" w:color="auto" w:fill="FFFFFF"/>
              </w:rPr>
            </w:pPr>
            <w:r>
              <w:rPr>
                <w:rFonts w:hint="default" w:ascii="Times New Roman" w:hAnsi="Times New Roman" w:eastAsia="宋体" w:cs="Times New Roman"/>
                <w:color w:val="auto"/>
                <w:sz w:val="24"/>
                <w:szCs w:val="22"/>
                <w:highlight w:val="none"/>
                <w:shd w:val="clear" w:color="auto" w:fill="FFFFFF"/>
                <w:lang w:val="en-US" w:eastAsia="zh-CN"/>
              </w:rPr>
              <w:t>项目生活区</w:t>
            </w:r>
            <w:r>
              <w:rPr>
                <w:rFonts w:hint="default" w:ascii="Times New Roman" w:hAnsi="Times New Roman" w:eastAsia="宋体" w:cs="Times New Roman"/>
                <w:color w:val="auto"/>
                <w:sz w:val="24"/>
                <w:szCs w:val="22"/>
                <w:highlight w:val="none"/>
                <w:shd w:val="clear" w:color="auto" w:fill="FFFFFF"/>
              </w:rPr>
              <w:t>对土地资源形成临时压占破坏，破坏土地面积合计</w:t>
            </w:r>
            <w:r>
              <w:rPr>
                <w:rFonts w:hint="default" w:ascii="Times New Roman" w:hAnsi="Times New Roman" w:eastAsia="宋体" w:cs="Times New Roman"/>
                <w:color w:val="auto"/>
                <w:sz w:val="24"/>
                <w:szCs w:val="22"/>
                <w:highlight w:val="none"/>
                <w:shd w:val="clear" w:color="auto" w:fill="FFFFFF"/>
                <w:lang w:val="en-US" w:eastAsia="zh-CN"/>
              </w:rPr>
              <w:t>400m</w:t>
            </w:r>
            <w:r>
              <w:rPr>
                <w:rFonts w:hint="default" w:ascii="Times New Roman" w:hAnsi="Times New Roman" w:eastAsia="宋体" w:cs="Times New Roman"/>
                <w:color w:val="auto"/>
                <w:sz w:val="24"/>
                <w:szCs w:val="22"/>
                <w:highlight w:val="none"/>
                <w:shd w:val="clear" w:color="auto" w:fill="FFFFFF"/>
                <w:vertAlign w:val="superscript"/>
                <w:lang w:val="en-US" w:eastAsia="zh-CN"/>
              </w:rPr>
              <w:t>2</w:t>
            </w:r>
            <w:r>
              <w:rPr>
                <w:rFonts w:hint="default" w:ascii="Times New Roman" w:hAnsi="Times New Roman" w:eastAsia="宋体" w:cs="Times New Roman"/>
                <w:color w:val="auto"/>
                <w:sz w:val="24"/>
                <w:szCs w:val="22"/>
                <w:highlight w:val="none"/>
                <w:shd w:val="clear" w:color="auto" w:fill="FFFFFF"/>
              </w:rPr>
              <w:t>，破坏土地类型为</w:t>
            </w:r>
            <w:r>
              <w:rPr>
                <w:rFonts w:hint="default" w:ascii="Times New Roman" w:hAnsi="Times New Roman" w:eastAsia="宋体" w:cs="Times New Roman"/>
                <w:color w:val="auto"/>
                <w:sz w:val="24"/>
                <w:szCs w:val="22"/>
                <w:highlight w:val="none"/>
                <w:shd w:val="clear" w:color="auto" w:fill="FFFFFF"/>
                <w:lang w:val="en-US" w:eastAsia="zh-CN"/>
              </w:rPr>
              <w:t>其他草地</w:t>
            </w:r>
            <w:r>
              <w:rPr>
                <w:rFonts w:hint="default" w:ascii="Times New Roman" w:hAnsi="Times New Roman" w:eastAsia="宋体" w:cs="Times New Roman"/>
                <w:color w:val="auto"/>
                <w:sz w:val="24"/>
                <w:szCs w:val="22"/>
                <w:highlight w:val="none"/>
                <w:shd w:val="clear" w:color="auto" w:fill="FFFFFF"/>
              </w:rPr>
              <w:t>，破坏程度较轻。</w:t>
            </w:r>
          </w:p>
          <w:bookmarkEnd w:id="8"/>
          <w:bookmarkEnd w:id="9"/>
          <w:bookmarkEnd w:id="10"/>
          <w:bookmarkEnd w:id="11"/>
          <w:p w14:paraId="1B2B0879">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0" w:firstLineChars="0"/>
              <w:jc w:val="both"/>
              <w:textAlignment w:val="auto"/>
              <w:outlineLvl w:val="9"/>
              <w:rPr>
                <w:rFonts w:hint="default" w:ascii="Times New Roman" w:hAnsi="Times New Roman" w:eastAsia="宋体" w:cs="Times New Roman"/>
                <w:b/>
                <w:bCs/>
                <w:color w:val="auto"/>
                <w:sz w:val="24"/>
                <w:szCs w:val="22"/>
                <w:highlight w:val="none"/>
                <w:shd w:val="clear" w:color="auto" w:fill="FFFFFF"/>
                <w:lang w:val="en-US" w:eastAsia="zh-CN"/>
              </w:rPr>
            </w:pPr>
            <w:bookmarkStart w:id="12" w:name="_Toc277158100"/>
            <w:bookmarkStart w:id="13" w:name="_Toc277158386"/>
            <w:bookmarkStart w:id="14" w:name="_Toc395870267"/>
            <w:bookmarkStart w:id="15" w:name="_Toc271738663"/>
            <w:bookmarkStart w:id="16" w:name="_Toc273180842"/>
            <w:bookmarkStart w:id="17" w:name="_Toc277158665"/>
            <w:bookmarkStart w:id="18" w:name="_Toc273180579"/>
            <w:bookmarkStart w:id="19" w:name="_Toc277158424"/>
            <w:bookmarkStart w:id="20" w:name="_Toc271282818"/>
            <w:r>
              <w:rPr>
                <w:rFonts w:hint="default" w:ascii="Times New Roman" w:hAnsi="Times New Roman" w:eastAsia="宋体" w:cs="Times New Roman"/>
                <w:b/>
                <w:bCs/>
                <w:color w:val="auto"/>
                <w:sz w:val="24"/>
                <w:szCs w:val="22"/>
                <w:highlight w:val="none"/>
                <w:shd w:val="clear" w:color="auto" w:fill="FFFFFF"/>
                <w:lang w:val="en-US" w:eastAsia="zh-CN"/>
              </w:rPr>
              <w:t>6.4土地复垦工作进度计划安排</w:t>
            </w:r>
            <w:bookmarkEnd w:id="12"/>
            <w:bookmarkEnd w:id="13"/>
            <w:bookmarkEnd w:id="14"/>
            <w:bookmarkEnd w:id="15"/>
            <w:bookmarkEnd w:id="16"/>
            <w:bookmarkEnd w:id="17"/>
            <w:bookmarkEnd w:id="18"/>
            <w:bookmarkEnd w:id="19"/>
            <w:bookmarkEnd w:id="20"/>
          </w:p>
          <w:p w14:paraId="7DAE9B11">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pP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根据</w:t>
            </w: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砂石料厂</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开采现状、施工工艺、服务年限、开采进度及土地破坏程度，制定土地复垦工程进度，以保证尽快及时复垦被破坏的土地。</w:t>
            </w:r>
          </w:p>
          <w:p w14:paraId="5EE9942F">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pP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本项目</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为新建</w:t>
            </w: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项目</w:t>
            </w:r>
            <w:r>
              <w:rPr>
                <w:rFonts w:hint="default" w:ascii="Times New Roman" w:hAnsi="Times New Roman" w:eastAsia="宋体" w:cs="Times New Roman"/>
                <w:color w:val="000000" w:themeColor="text1"/>
                <w:sz w:val="24"/>
                <w:szCs w:val="22"/>
                <w:highlight w:val="none"/>
                <w:shd w:val="clear" w:color="auto" w:fill="FFFFFF"/>
                <w:lang w:eastAsia="zh-CN"/>
                <w14:textFill>
                  <w14:solidFill>
                    <w14:schemeClr w14:val="tx1"/>
                  </w14:solidFill>
                </w14:textFill>
              </w:rPr>
              <w:t>，</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现状无人员活动，基础设施尚未建设，现状或近期无需复垦区域。今后需复垦的场地主要有：露天采场</w:t>
            </w:r>
            <w:r>
              <w:rPr>
                <w:rFonts w:hint="default" w:ascii="Times New Roman" w:hAnsi="Times New Roman" w:eastAsia="宋体" w:cs="Times New Roman"/>
                <w:color w:val="000000" w:themeColor="text1"/>
                <w:sz w:val="24"/>
                <w:szCs w:val="22"/>
                <w:highlight w:val="none"/>
                <w:shd w:val="clear" w:color="auto" w:fill="FFFFFF"/>
                <w:lang w:eastAsia="zh-CN"/>
                <w14:textFill>
                  <w14:solidFill>
                    <w14:schemeClr w14:val="tx1"/>
                  </w14:solidFill>
                </w14:textFill>
              </w:rPr>
              <w:t>、</w:t>
            </w: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工业广场和生活生产区</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。以上露天采场</w:t>
            </w:r>
            <w:r>
              <w:rPr>
                <w:rFonts w:hint="default" w:ascii="Times New Roman" w:hAnsi="Times New Roman" w:eastAsia="宋体" w:cs="Times New Roman"/>
                <w:color w:val="000000" w:themeColor="text1"/>
                <w:sz w:val="24"/>
                <w:szCs w:val="22"/>
                <w:highlight w:val="none"/>
                <w:shd w:val="clear" w:color="auto" w:fill="FFFFFF"/>
                <w:lang w:eastAsia="zh-CN"/>
                <w14:textFill>
                  <w14:solidFill>
                    <w14:schemeClr w14:val="tx1"/>
                  </w14:solidFill>
                </w14:textFill>
              </w:rPr>
              <w:t>、</w:t>
            </w: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工业广场和生活区</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设施场地在今后均要使用或利用，土地复垦工作因今后的矿业活动而无法开展，只能进行环境保护与综合治理工作，均为远期复垦区。</w:t>
            </w:r>
          </w:p>
          <w:p w14:paraId="62B672F0">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pP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露天采场采用边开采</w:t>
            </w:r>
            <w:r>
              <w:rPr>
                <w:rFonts w:hint="default" w:ascii="Times New Roman" w:hAnsi="Times New Roman" w:eastAsia="宋体" w:cs="Times New Roman"/>
                <w:color w:val="000000" w:themeColor="text1"/>
                <w:sz w:val="24"/>
                <w:szCs w:val="22"/>
                <w:highlight w:val="none"/>
                <w:shd w:val="clear" w:color="auto" w:fill="FFFFFF"/>
                <w:lang w:eastAsia="zh-CN"/>
                <w14:textFill>
                  <w14:solidFill>
                    <w14:schemeClr w14:val="tx1"/>
                  </w14:solidFill>
                </w14:textFill>
              </w:rPr>
              <w:t>，</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边</w:t>
            </w: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恢复</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的方式进行，</w:t>
            </w: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按照边开采边恢复的土地复垦原则，随开采进度逐年进行土地复垦，确保矿山生态环境有序恢复。随着开采进度，对已开采过的可覆土区域逐步种草区域进行平整覆土、种草，恢复植被，实现矿山开采后自西向东逐步恢复生态恢复目标。</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矿山开采期间，</w:t>
            </w: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生产过程中产生的表层剥离物在表土堆场暂存后随即回填之前采坑</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；矿山闭坑时，尽量恢复原始地形地貌</w:t>
            </w:r>
            <w:r>
              <w:rPr>
                <w:rFonts w:hint="default" w:ascii="Times New Roman" w:hAnsi="Times New Roman" w:eastAsia="宋体" w:cs="Times New Roman"/>
                <w:color w:val="000000" w:themeColor="text1"/>
                <w:sz w:val="24"/>
                <w:szCs w:val="22"/>
                <w:highlight w:val="none"/>
                <w:shd w:val="clear" w:color="auto" w:fill="FFFFFF"/>
                <w:lang w:eastAsia="zh-CN"/>
                <w14:textFill>
                  <w14:solidFill>
                    <w14:schemeClr w14:val="tx1"/>
                  </w14:solidFill>
                </w14:textFill>
              </w:rPr>
              <w:t>，</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恢复原始土地使用功能</w:t>
            </w:r>
            <w:r>
              <w:rPr>
                <w:rFonts w:hint="default" w:ascii="Times New Roman" w:hAnsi="Times New Roman" w:eastAsia="宋体" w:cs="Times New Roman"/>
                <w:color w:val="000000" w:themeColor="text1"/>
                <w:sz w:val="24"/>
                <w:szCs w:val="22"/>
                <w:highlight w:val="none"/>
                <w:shd w:val="clear" w:color="auto" w:fill="FFFFFF"/>
                <w:lang w:eastAsia="zh-CN"/>
                <w14:textFill>
                  <w14:solidFill>
                    <w14:schemeClr w14:val="tx1"/>
                  </w14:solidFill>
                </w14:textFill>
              </w:rPr>
              <w:t>，</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保持与周边环境相协调。</w:t>
            </w:r>
          </w:p>
          <w:p w14:paraId="6F646450">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0" w:firstLineChars="0"/>
              <w:jc w:val="both"/>
              <w:textAlignment w:val="auto"/>
              <w:outlineLvl w:val="9"/>
              <w:rPr>
                <w:rFonts w:hint="default" w:ascii="Times New Roman" w:hAnsi="Times New Roman" w:eastAsia="宋体" w:cs="Times New Roman"/>
                <w:b/>
                <w:bCs/>
                <w:color w:val="000000" w:themeColor="text1"/>
                <w:sz w:val="24"/>
                <w:szCs w:val="22"/>
                <w:highlight w:val="none"/>
                <w:shd w:val="clear" w:color="auto" w:fill="FFFFFF"/>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2"/>
                <w:highlight w:val="none"/>
                <w:shd w:val="clear" w:color="auto" w:fill="FFFFFF"/>
                <w:lang w:val="en-US" w:eastAsia="zh-CN"/>
                <w14:textFill>
                  <w14:solidFill>
                    <w14:schemeClr w14:val="tx1"/>
                  </w14:solidFill>
                </w14:textFill>
              </w:rPr>
              <w:t>6.4.1 露天采场土地复垦区的土地复垦计划安排</w:t>
            </w:r>
          </w:p>
          <w:p w14:paraId="7C39948B">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2"/>
                <w:highlight w:val="none"/>
                <w:shd w:val="clear" w:color="auto" w:fill="FFFFFF"/>
                <w:lang w:val="en-GB" w:eastAsia="zh-CN"/>
                <w14:textFill>
                  <w14:solidFill>
                    <w14:schemeClr w14:val="tx1"/>
                  </w14:solidFill>
                </w14:textFill>
              </w:rPr>
            </w:pP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本项目采场采用边开采边复垦的方式进行，矿山开采期间，每年开采结束时，将当年产生的剥离量及废土及时进行采场回填；矿山闭坑时，对露天采场进行平整、压实，表层用泥质物质进行地表覆土，尽量恢复原始地形地貌，恢复原始土地使用功能，保持与周边环境相协调，</w:t>
            </w:r>
            <w:r>
              <w:rPr>
                <w:rFonts w:hint="default" w:ascii="Times New Roman" w:hAnsi="Times New Roman" w:eastAsia="宋体" w:cs="Times New Roman"/>
                <w:color w:val="000000" w:themeColor="text1"/>
                <w:sz w:val="24"/>
                <w:szCs w:val="22"/>
                <w:highlight w:val="none"/>
                <w:shd w:val="clear" w:color="auto" w:fill="FFFFFF"/>
                <w:lang w:val="en-GB" w:eastAsia="zh-CN"/>
                <w14:textFill>
                  <w14:solidFill>
                    <w14:schemeClr w14:val="tx1"/>
                  </w14:solidFill>
                </w14:textFill>
              </w:rPr>
              <w:t>综上所述，规划于终止采矿时3个月内完成对露天采场土地复垦。</w:t>
            </w:r>
          </w:p>
          <w:p w14:paraId="730D5126">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2"/>
                <w:highlight w:val="none"/>
                <w:shd w:val="clear" w:color="auto" w:fill="FFFFFF"/>
                <w:lang w:val="en-GB" w:eastAsia="zh-CN"/>
                <w14:textFill>
                  <w14:solidFill>
                    <w14:schemeClr w14:val="tx1"/>
                  </w14:solidFill>
                </w14:textFill>
              </w:rPr>
            </w:pPr>
            <w:r>
              <w:rPr>
                <w:rFonts w:hint="default" w:ascii="Times New Roman" w:hAnsi="Times New Roman" w:eastAsia="宋体" w:cs="Times New Roman"/>
                <w:color w:val="000000" w:themeColor="text1"/>
                <w:sz w:val="24"/>
                <w:szCs w:val="22"/>
                <w:highlight w:val="none"/>
                <w:shd w:val="clear" w:color="auto" w:fill="FFFFFF"/>
                <w:lang w:val="en-GB" w:eastAsia="zh-CN"/>
                <w14:textFill>
                  <w14:solidFill>
                    <w14:schemeClr w14:val="tx1"/>
                  </w14:solidFill>
                </w14:textFill>
              </w:rPr>
              <w:t>本项目露天采场生态恢复应执行《矿山生态环境保护和恢复治理技术规范》（</w:t>
            </w: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HJ651-2013</w:t>
            </w:r>
            <w:r>
              <w:rPr>
                <w:rFonts w:hint="default" w:ascii="Times New Roman" w:hAnsi="Times New Roman" w:eastAsia="宋体" w:cs="Times New Roman"/>
                <w:color w:val="000000" w:themeColor="text1"/>
                <w:sz w:val="24"/>
                <w:szCs w:val="22"/>
                <w:highlight w:val="none"/>
                <w:shd w:val="clear" w:color="auto" w:fill="FFFFFF"/>
                <w:lang w:val="en-GB" w:eastAsia="zh-CN"/>
                <w14:textFill>
                  <w14:solidFill>
                    <w14:schemeClr w14:val="tx1"/>
                  </w14:solidFill>
                </w14:textFill>
              </w:rPr>
              <w:t>）的有关规范：</w:t>
            </w:r>
          </w:p>
          <w:p w14:paraId="47F11AB2">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pP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（1）场地整治与覆土</w:t>
            </w:r>
          </w:p>
          <w:p w14:paraId="4449F28D">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pP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露天采场的场地整治和覆土方法根据场地坡度来确定。水平地和15º以下缓坡地可采用物料充填、底板耕松、挖高垫低等方法；15º以上陡坡地可采用挖穴填土、砌筑植物盆（槽）填土、喷混、阶梯整形覆土、安放植物袋、石壁挂笼填土等方法。</w:t>
            </w:r>
          </w:p>
          <w:p w14:paraId="2B2CAB98">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pP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（2）露天采场植被恢复</w:t>
            </w:r>
          </w:p>
          <w:p w14:paraId="24FA96BE">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pP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①该区植被工程即为在土壤重建的基础上播撒草籽，草种籽选用本地常见的芨盐生草、骆驼刺、角果黎等，按1:1比例进行混合，草籽用量45kg/hm</w:t>
            </w:r>
            <w:r>
              <w:rPr>
                <w:rFonts w:hint="default" w:ascii="Times New Roman" w:hAnsi="Times New Roman" w:eastAsia="宋体" w:cs="Times New Roman"/>
                <w:color w:val="000000" w:themeColor="text1"/>
                <w:sz w:val="24"/>
                <w:szCs w:val="22"/>
                <w:highlight w:val="none"/>
                <w:shd w:val="clear" w:color="auto" w:fill="FFFFFF"/>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，撒播面积48.4910公顷，撒播草籽后轻耙覆土。草种宜购买当年种子；草籽从吉木萨尔县购买，草籽价格55元/千克，三年后植被覆盖度达到15-20%左右。</w:t>
            </w:r>
          </w:p>
          <w:p w14:paraId="69145FD7">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pP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②边坡治理后应保持稳定。非干旱地区露天采场边坡应恢复植被。边坡恢复措施及设计要求应符合 GB 50433 的相关要求。</w:t>
            </w:r>
          </w:p>
          <w:p w14:paraId="662E4983">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pP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③位于交通干线两侧、城镇居民区周边、景区景点等可视范围的采石宕口及裸露岩石，应采取挂网喷播、种植藤本植物等工程与生物措施进行恢复，并使恢复后的宕口与周围景观相协调。</w:t>
            </w:r>
          </w:p>
          <w:p w14:paraId="04879E1A">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pP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（3）露天采场恢复与利用</w:t>
            </w:r>
          </w:p>
          <w:p w14:paraId="54797BD8">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pP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露天采场作为内排土场时，场地水土保持与稳定性、植被恢复要求按7.2-7.3执行。露天采场不作为内排土场时，按满足以下要求：</w:t>
            </w:r>
          </w:p>
          <w:p w14:paraId="3AA1DCAE">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pP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①采矿剥离物含有毒有害或放射性物质时，按照7.1.2的要求执行。</w:t>
            </w:r>
          </w:p>
          <w:p w14:paraId="7A90317B">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pP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②平原地区的露天采场应平整、回填后进行生态恢复，并与周边地表景观相协调，位于山区的露天采场可保持平台和边坡。</w:t>
            </w:r>
          </w:p>
          <w:p w14:paraId="09AC9833">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pP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③露天采场回填应做到地面平整，充分利用工程前收集的表土和露天采场风化物覆盖于表层，并做好水土保持与防风固沙措施。</w:t>
            </w:r>
          </w:p>
          <w:p w14:paraId="0302F2EB">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pP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④恢复后的露天采场进行土地资源再利用时，在坡度、土层厚度、稳定性、土壤环境安全性等方面应满足相关用地要求。</w:t>
            </w:r>
          </w:p>
          <w:p w14:paraId="41846516">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0" w:firstLineChars="0"/>
              <w:jc w:val="both"/>
              <w:textAlignment w:val="auto"/>
              <w:outlineLvl w:val="9"/>
              <w:rPr>
                <w:rFonts w:hint="default" w:ascii="Times New Roman" w:hAnsi="Times New Roman" w:eastAsia="宋体" w:cs="Times New Roman"/>
                <w:b/>
                <w:bCs/>
                <w:color w:val="000000" w:themeColor="text1"/>
                <w:sz w:val="24"/>
                <w:szCs w:val="22"/>
                <w:highlight w:val="none"/>
                <w:shd w:val="clear" w:color="auto" w:fill="FFFFFF"/>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2"/>
                <w:highlight w:val="none"/>
                <w:shd w:val="clear" w:color="auto" w:fill="FFFFFF"/>
                <w:lang w:val="en-US" w:eastAsia="zh-CN"/>
                <w14:textFill>
                  <w14:solidFill>
                    <w14:schemeClr w14:val="tx1"/>
                  </w14:solidFill>
                </w14:textFill>
              </w:rPr>
              <w:t>6.4.2 工土地复垦计划安排</w:t>
            </w:r>
          </w:p>
          <w:p w14:paraId="41EDC276">
            <w:pPr>
              <w:keepNext w:val="0"/>
              <w:keepLines w:val="0"/>
              <w:pageBreakBefore w:val="0"/>
              <w:widowControl w:val="0"/>
              <w:kinsoku/>
              <w:wordWrap/>
              <w:overflowPunct/>
              <w:topLinePunct w:val="0"/>
              <w:autoSpaceDE/>
              <w:autoSpaceDN/>
              <w:bidi w:val="0"/>
              <w:adjustRightInd/>
              <w:snapToGrid/>
              <w:spacing w:after="0" w:afterLines="0" w:line="360" w:lineRule="auto"/>
              <w:ind w:left="0" w:leftChars="0" w:right="0" w:rightChars="0" w:firstLine="480" w:firstLineChars="200"/>
              <w:jc w:val="both"/>
              <w:textAlignment w:val="auto"/>
              <w:outlineLvl w:val="9"/>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矿山闭坑后撤出有用设备，拆除建筑物、将建筑垃圾运往</w:t>
            </w:r>
            <w:r>
              <w:rPr>
                <w:rFonts w:hint="default" w:ascii="Times New Roman" w:hAnsi="Times New Roman" w:eastAsia="宋体" w:cs="Times New Roman"/>
                <w:color w:val="000000" w:themeColor="text1"/>
                <w:sz w:val="24"/>
                <w:szCs w:val="22"/>
                <w:highlight w:val="none"/>
                <w:shd w:val="clear" w:color="auto" w:fill="FFFFFF"/>
                <w:lang w:eastAsia="zh-CN"/>
                <w14:textFill>
                  <w14:solidFill>
                    <w14:schemeClr w14:val="tx1"/>
                  </w14:solidFill>
                </w14:textFill>
              </w:rPr>
              <w:t>当地建筑垃圾填埋场处理</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w:t>
            </w:r>
            <w:r>
              <w:rPr>
                <w:rFonts w:hint="default" w:ascii="Times New Roman" w:hAnsi="Times New Roman" w:eastAsia="宋体" w:cs="Times New Roman"/>
                <w:color w:val="000000" w:themeColor="text1"/>
                <w:sz w:val="24"/>
                <w:szCs w:val="22"/>
                <w:highlight w:val="none"/>
                <w:shd w:val="clear" w:color="auto" w:fill="FFFFFF"/>
                <w:lang w:val="en-US" w:eastAsia="zh-CN"/>
                <w14:textFill>
                  <w14:solidFill>
                    <w14:schemeClr w14:val="tx1"/>
                  </w14:solidFill>
                </w14:textFill>
              </w:rPr>
              <w:t>播撒草籽进行生态恢复，</w:t>
            </w:r>
            <w:r>
              <w:rPr>
                <w:rFonts w:hint="default" w:ascii="Times New Roman" w:hAnsi="Times New Roman" w:eastAsia="宋体" w:cs="Times New Roman"/>
                <w:color w:val="000000" w:themeColor="text1"/>
                <w:sz w:val="24"/>
                <w:szCs w:val="22"/>
                <w:highlight w:val="none"/>
                <w:shd w:val="clear" w:color="auto" w:fill="FFFFFF"/>
                <w14:textFill>
                  <w14:solidFill>
                    <w14:schemeClr w14:val="tx1"/>
                  </w14:solidFill>
                </w14:textFill>
              </w:rPr>
              <w:t>尽量恢复与周边地形地貌相协调及土地使用功能，综上所述，规划于终止采矿时3个月内完成所有场地复垦。</w:t>
            </w:r>
            <w:bookmarkStart w:id="21" w:name="_Toc25008"/>
          </w:p>
          <w:p w14:paraId="461081DF">
            <w:pPr>
              <w:pageBreakBefore w:val="0"/>
              <w:kinsoku/>
              <w:wordWrap/>
              <w:overflowPunct w:val="0"/>
              <w:bidi w:val="0"/>
              <w:spacing w:after="0" w:afterLines="0" w:line="360" w:lineRule="auto"/>
              <w:ind w:firstLine="0" w:firstLineChars="0"/>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7、</w:t>
            </w:r>
            <w:r>
              <w:rPr>
                <w:rFonts w:hint="eastAsia" w:ascii="宋体" w:hAnsi="宋体" w:eastAsia="宋体" w:cs="宋体"/>
                <w:b/>
                <w:bCs/>
                <w:color w:val="000000"/>
                <w:kern w:val="0"/>
                <w:sz w:val="24"/>
                <w:szCs w:val="24"/>
                <w:highlight w:val="none"/>
                <w:lang w:val="en-US" w:eastAsia="zh-CN" w:bidi="ar"/>
              </w:rPr>
              <w:t>地下水环境保护措施</w:t>
            </w:r>
          </w:p>
          <w:p w14:paraId="659D5D8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Lines="0" w:afterAutospacing="0" w:line="360" w:lineRule="auto"/>
              <w:ind w:left="0" w:right="0" w:firstLine="480" w:firstLineChars="200"/>
              <w:jc w:val="left"/>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对厂区可能泄漏污染物的地面进行防渗处理，可有效防治污染物渗入地下及土壤，并及时将渗漏、泄漏的污染物收集并进行集中处理。依据地下水导则中相关分区防控措施，结合项目的性质、包气带岩性结构、污染控制难易程度及地下水环境风险，按照重点防渗区、简单防渗区和一般污染防渗区进行分区防渗，防渗层结构依据不同防渗区要求单独使用一种材料或者多种材料结合使用。根据本项目特点，环评要求项目采取的防渗措施包括：</w:t>
            </w:r>
          </w:p>
          <w:p w14:paraId="5EC2E4A0">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Lines="0" w:afterAutospacing="0" w:line="360" w:lineRule="auto"/>
              <w:ind w:left="0" w:right="0"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（1）重点防渗区：本项目危废贮存库建成重点防渗区（不应低于6m厚渗透系数为1.0×10</w:t>
            </w:r>
            <w:r>
              <w:rPr>
                <w:rFonts w:hint="default" w:ascii="Times New Roman" w:hAnsi="Times New Roman" w:eastAsia="宋体" w:cs="Times New Roman"/>
                <w:color w:val="auto"/>
                <w:sz w:val="24"/>
                <w:szCs w:val="24"/>
                <w:highlight w:val="none"/>
                <w:vertAlign w:val="superscript"/>
                <w:lang w:val="en-US" w:eastAsia="zh-CN"/>
              </w:rPr>
              <w:t>-7</w:t>
            </w:r>
            <w:r>
              <w:rPr>
                <w:rFonts w:hint="default" w:ascii="Times New Roman" w:hAnsi="Times New Roman" w:eastAsia="宋体" w:cs="Times New Roman"/>
                <w:color w:val="auto"/>
                <w:sz w:val="24"/>
                <w:szCs w:val="24"/>
                <w:highlight w:val="none"/>
                <w:lang w:val="en-US" w:eastAsia="zh-CN"/>
              </w:rPr>
              <w:t>cm/s的</w:t>
            </w:r>
            <w:r>
              <w:rPr>
                <w:rFonts w:hint="default" w:ascii="Times New Roman" w:hAnsi="Times New Roman" w:eastAsia="宋体" w:cs="Times New Roman"/>
                <w:color w:val="auto"/>
                <w:kern w:val="0"/>
                <w:sz w:val="24"/>
                <w:szCs w:val="24"/>
                <w:highlight w:val="none"/>
                <w:lang w:val="en-US" w:eastAsia="zh-CN"/>
              </w:rPr>
              <w:t>黏土层的防渗性能</w:t>
            </w:r>
            <w:r>
              <w:rPr>
                <w:rFonts w:hint="default" w:ascii="Times New Roman" w:hAnsi="Times New Roman" w:eastAsia="宋体" w:cs="Times New Roman"/>
                <w:color w:val="auto"/>
                <w:sz w:val="24"/>
                <w:szCs w:val="24"/>
                <w:highlight w:val="none"/>
                <w:lang w:val="en-US" w:eastAsia="zh-CN"/>
              </w:rPr>
              <w:t>）。</w:t>
            </w:r>
          </w:p>
          <w:p w14:paraId="5D9304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Lines="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（2）一般防渗区：本项目沉淀池建成一般防渗区（不应低于1.5m厚渗透系数为1.0×10</w:t>
            </w:r>
            <w:r>
              <w:rPr>
                <w:rFonts w:hint="default" w:ascii="Times New Roman" w:hAnsi="Times New Roman" w:eastAsia="宋体" w:cs="Times New Roman"/>
                <w:color w:val="auto"/>
                <w:sz w:val="24"/>
                <w:szCs w:val="24"/>
                <w:highlight w:val="none"/>
                <w:vertAlign w:val="superscript"/>
                <w:lang w:val="en-US" w:eastAsia="zh-CN"/>
              </w:rPr>
              <w:t>-7</w:t>
            </w:r>
            <w:r>
              <w:rPr>
                <w:rFonts w:hint="default" w:ascii="Times New Roman" w:hAnsi="Times New Roman" w:eastAsia="宋体" w:cs="Times New Roman"/>
                <w:color w:val="auto"/>
                <w:sz w:val="24"/>
                <w:szCs w:val="24"/>
                <w:highlight w:val="none"/>
                <w:lang w:val="en-US" w:eastAsia="zh-CN"/>
              </w:rPr>
              <w:t>cm/s的</w:t>
            </w:r>
            <w:r>
              <w:rPr>
                <w:rFonts w:hint="default" w:ascii="Times New Roman" w:hAnsi="Times New Roman" w:eastAsia="宋体" w:cs="Times New Roman"/>
                <w:color w:val="auto"/>
                <w:kern w:val="0"/>
                <w:sz w:val="24"/>
                <w:szCs w:val="24"/>
                <w:highlight w:val="none"/>
                <w:lang w:val="en-US" w:eastAsia="zh-CN"/>
              </w:rPr>
              <w:t>黏土层的防渗性能</w:t>
            </w:r>
            <w:r>
              <w:rPr>
                <w:rFonts w:hint="default" w:ascii="Times New Roman" w:hAnsi="Times New Roman" w:eastAsia="宋体" w:cs="Times New Roman"/>
                <w:color w:val="auto"/>
                <w:sz w:val="24"/>
                <w:szCs w:val="24"/>
                <w:highlight w:val="none"/>
                <w:lang w:val="en-US" w:eastAsia="zh-CN"/>
              </w:rPr>
              <w:t>）。</w:t>
            </w:r>
          </w:p>
          <w:p w14:paraId="63F996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Lines="0" w:afterAutospacing="0" w:line="360" w:lineRule="auto"/>
              <w:ind w:left="0" w:right="0" w:firstLine="480" w:firstLineChars="200"/>
              <w:jc w:val="both"/>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auto"/>
                <w:sz w:val="24"/>
                <w:szCs w:val="24"/>
                <w:highlight w:val="none"/>
                <w:lang w:val="en-US" w:eastAsia="zh-CN"/>
              </w:rPr>
              <w:t>（3）简单防渗区：场内办公生活区域</w:t>
            </w:r>
            <w:r>
              <w:rPr>
                <w:rFonts w:hint="eastAsia" w:ascii="Times New Roman" w:hAnsi="Times New Roman" w:eastAsia="宋体" w:cs="Times New Roman"/>
                <w:color w:val="auto"/>
                <w:sz w:val="24"/>
                <w:szCs w:val="24"/>
                <w:highlight w:val="none"/>
                <w:lang w:val="en-US" w:eastAsia="zh-CN"/>
              </w:rPr>
              <w:t>以地面硬化为主</w:t>
            </w:r>
            <w:r>
              <w:rPr>
                <w:rFonts w:hint="default" w:ascii="Times New Roman" w:hAnsi="Times New Roman" w:eastAsia="宋体" w:cs="Times New Roman"/>
                <w:color w:val="auto"/>
                <w:sz w:val="24"/>
                <w:szCs w:val="24"/>
                <w:highlight w:val="none"/>
                <w:lang w:val="en-US" w:eastAsia="zh-CN"/>
              </w:rPr>
              <w:t>。在认真采取以上措施的基础上，一旦发生溢出与渗漏事故，渗漏物质将由于防渗层的保护作用，积聚在地面上，不会对地下水及土壤造成影响</w:t>
            </w:r>
          </w:p>
          <w:p w14:paraId="385C08AE">
            <w:pPr>
              <w:pageBreakBefore w:val="0"/>
              <w:kinsoku/>
              <w:wordWrap/>
              <w:overflowPunct w:val="0"/>
              <w:bidi w:val="0"/>
              <w:spacing w:after="0" w:afterLines="0" w:line="360" w:lineRule="auto"/>
              <w:ind w:firstLine="0" w:firstLineChars="0"/>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8</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、环境风险分析</w:t>
            </w:r>
          </w:p>
          <w:p w14:paraId="43621D8B">
            <w:pPr>
              <w:pageBreakBefore w:val="0"/>
              <w:kinsoku/>
              <w:wordWrap/>
              <w:overflowPunct w:val="0"/>
              <w:bidi w:val="0"/>
              <w:spacing w:after="0" w:afterLines="0" w:line="360" w:lineRule="auto"/>
              <w:ind w:firstLine="48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环境风险评价是对本项目建设期和运行期间发生的可预测突发性事件或事故（一般不包括人为破坏及自然灾害），引起有毒有害、易燃易爆等物质泄漏，或突发事件产生的新的有毒有害物质，所造成的对人身安全与环境的影响和损害，进行评估，提出防范、应急与减缓措施。</w:t>
            </w:r>
          </w:p>
          <w:p w14:paraId="12882DE5">
            <w:pPr>
              <w:pageBreakBefore w:val="0"/>
              <w:kinsoku/>
              <w:wordWrap/>
              <w:bidi w:val="0"/>
              <w:spacing w:after="0" w:afterLines="0" w:line="360" w:lineRule="auto"/>
              <w:ind w:firstLine="0" w:firstLineChars="0"/>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8</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.1评价依据</w:t>
            </w:r>
          </w:p>
          <w:p w14:paraId="3208DAD0">
            <w:pPr>
              <w:pageBreakBefore w:val="0"/>
              <w:kinsoku/>
              <w:wordWrap/>
              <w:overflowPunct w:val="0"/>
              <w:bidi w:val="0"/>
              <w:spacing w:after="0" w:afterLines="0" w:line="360" w:lineRule="auto"/>
              <w:ind w:firstLine="480"/>
              <w:rPr>
                <w:rFonts w:hint="default" w:ascii="Times New Roman" w:hAnsi="Times New Roman" w:eastAsia="宋体" w:cs="Times New Roman"/>
                <w:color w:val="000000" w:themeColor="text1"/>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按照《建设项目环境风险评价导则》（以下简称《导则》）的要求，项目风险识别范围主要包括生产设施风险识别和生产过程涉及的物质风险识别。生产设施主要包括生产工艺、贮运、公用工程设施及作业环境、环保工程、消防等系统。物质风险识别包括主要原材料及辅助材料、燃料、中间产品、最终产品以及生产过程排放的</w:t>
            </w: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三废</w:t>
            </w: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污染物等。</w:t>
            </w:r>
          </w:p>
          <w:p w14:paraId="70FF2A10">
            <w:pPr>
              <w:pageBreakBefore w:val="0"/>
              <w:kinsoku/>
              <w:wordWrap/>
              <w:overflowPunct w:val="0"/>
              <w:bidi w:val="0"/>
              <w:spacing w:after="0" w:afterLines="0" w:line="360" w:lineRule="auto"/>
              <w:ind w:firstLine="480"/>
              <w:rPr>
                <w:rFonts w:hint="default" w:ascii="Times New Roman" w:hAnsi="Times New Roman" w:eastAsia="宋体" w:cs="Times New Roman"/>
                <w:color w:val="000000" w:themeColor="text1"/>
                <w:kern w:val="0"/>
                <w:szCs w:val="22"/>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评价工作程序见下图：</w:t>
            </w:r>
          </w:p>
          <w:p w14:paraId="3BF31324">
            <w:pPr>
              <w:pageBreakBefore w:val="0"/>
              <w:kinsoku/>
              <w:wordWrap/>
              <w:overflowPunct w:val="0"/>
              <w:bidi w:val="0"/>
              <w:spacing w:after="0" w:afterLines="0"/>
              <w:ind w:firstLine="480"/>
              <w:rPr>
                <w:rFonts w:hint="default" w:ascii="Times New Roman" w:hAnsi="Times New Roman" w:eastAsia="宋体" w:cs="Times New Roman"/>
                <w:color w:val="000000" w:themeColor="text1"/>
                <w:kern w:val="0"/>
                <w:szCs w:val="22"/>
                <w:highlight w:val="none"/>
                <w14:textFill>
                  <w14:solidFill>
                    <w14:schemeClr w14:val="tx1"/>
                  </w14:solidFill>
                </w14:textFill>
              </w:rPr>
            </w:pPr>
            <w:r>
              <w:rPr>
                <w:rFonts w:hint="default" w:ascii="Times New Roman" w:hAnsi="Times New Roman" w:eastAsia="宋体" w:cs="Times New Roman"/>
                <w:color w:val="000000" w:themeColor="text1"/>
                <w:kern w:val="0"/>
                <w:szCs w:val="22"/>
                <w:highlight w:val="none"/>
                <w14:textFill>
                  <w14:solidFill>
                    <w14:schemeClr w14:val="tx1"/>
                  </w14:solidFill>
                </w14:textFill>
              </w:rPr>
              <w:drawing>
                <wp:inline distT="0" distB="0" distL="114300" distR="114300">
                  <wp:extent cx="4661535" cy="4606925"/>
                  <wp:effectExtent l="0" t="0" r="1905" b="10795"/>
                  <wp:docPr id="8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3"/>
                          <pic:cNvPicPr>
                            <a:picLocks noChangeAspect="1"/>
                          </pic:cNvPicPr>
                        </pic:nvPicPr>
                        <pic:blipFill>
                          <a:blip r:embed="rId21"/>
                          <a:stretch>
                            <a:fillRect/>
                          </a:stretch>
                        </pic:blipFill>
                        <pic:spPr>
                          <a:xfrm>
                            <a:off x="0" y="0"/>
                            <a:ext cx="4661535" cy="4606925"/>
                          </a:xfrm>
                          <a:prstGeom prst="rect">
                            <a:avLst/>
                          </a:prstGeom>
                          <a:noFill/>
                          <a:ln>
                            <a:noFill/>
                          </a:ln>
                        </pic:spPr>
                      </pic:pic>
                    </a:graphicData>
                  </a:graphic>
                </wp:inline>
              </w:drawing>
            </w:r>
          </w:p>
          <w:p w14:paraId="6322249B">
            <w:pPr>
              <w:pageBreakBefore w:val="0"/>
              <w:kinsoku/>
              <w:wordWrap/>
              <w:overflowPunct w:val="0"/>
              <w:bidi w:val="0"/>
              <w:spacing w:after="0" w:afterLines="0"/>
              <w:ind w:firstLine="482"/>
              <w:jc w:val="center"/>
              <w:rPr>
                <w:rFonts w:hint="default" w:ascii="Times New Roman" w:hAnsi="Times New Roman" w:eastAsia="宋体" w:cs="Times New Roman"/>
                <w:b/>
                <w:bCs/>
                <w:color w:val="000000" w:themeColor="text1"/>
                <w:kern w:val="0"/>
                <w:szCs w:val="22"/>
                <w:highlight w:val="none"/>
                <w14:textFill>
                  <w14:solidFill>
                    <w14:schemeClr w14:val="tx1"/>
                  </w14:solidFill>
                </w14:textFill>
              </w:rPr>
            </w:pPr>
            <w:r>
              <w:rPr>
                <w:rFonts w:hint="default" w:ascii="Times New Roman" w:hAnsi="Times New Roman" w:eastAsia="宋体" w:cs="Times New Roman"/>
                <w:b/>
                <w:bCs/>
                <w:color w:val="000000" w:themeColor="text1"/>
                <w:kern w:val="0"/>
                <w:szCs w:val="22"/>
                <w:highlight w:val="none"/>
                <w14:textFill>
                  <w14:solidFill>
                    <w14:schemeClr w14:val="tx1"/>
                  </w14:solidFill>
                </w14:textFill>
              </w:rPr>
              <w:t>图</w:t>
            </w:r>
            <w:r>
              <w:rPr>
                <w:rFonts w:hint="default" w:ascii="Times New Roman" w:hAnsi="Times New Roman" w:eastAsia="宋体" w:cs="Times New Roman"/>
                <w:b/>
                <w:bCs/>
                <w:color w:val="000000" w:themeColor="text1"/>
                <w:kern w:val="0"/>
                <w:szCs w:val="22"/>
                <w:highlight w:val="none"/>
                <w:lang w:val="en-US" w:eastAsia="zh-CN"/>
                <w14:textFill>
                  <w14:solidFill>
                    <w14:schemeClr w14:val="tx1"/>
                  </w14:solidFill>
                </w14:textFill>
              </w:rPr>
              <w:t>5</w:t>
            </w:r>
            <w:r>
              <w:rPr>
                <w:rFonts w:hint="default" w:ascii="Times New Roman" w:hAnsi="Times New Roman" w:eastAsia="宋体" w:cs="Times New Roman"/>
                <w:b/>
                <w:bCs/>
                <w:color w:val="000000" w:themeColor="text1"/>
                <w:kern w:val="0"/>
                <w:szCs w:val="22"/>
                <w:highlight w:val="none"/>
                <w14:textFill>
                  <w14:solidFill>
                    <w14:schemeClr w14:val="tx1"/>
                  </w14:solidFill>
                </w14:textFill>
              </w:rPr>
              <w:t>-1  评价工作流程图</w:t>
            </w:r>
          </w:p>
          <w:p w14:paraId="445D9390">
            <w:pPr>
              <w:pageBreakBefore w:val="0"/>
              <w:kinsoku/>
              <w:wordWrap/>
              <w:autoSpaceDE w:val="0"/>
              <w:bidi w:val="0"/>
              <w:spacing w:after="0" w:afterLines="0" w:line="360" w:lineRule="auto"/>
              <w:ind w:firstLine="480"/>
              <w:rPr>
                <w:rFonts w:hint="default" w:ascii="Times New Roman" w:hAnsi="Times New Roman" w:eastAsia="宋体" w:cs="Times New Roman"/>
                <w:color w:val="000000" w:themeColor="text1"/>
                <w:sz w:val="24"/>
                <w:szCs w:val="24"/>
                <w:highlight w:val="none"/>
                <w:lang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根据本项目的特点和</w:t>
            </w:r>
            <w:r>
              <w:rPr>
                <w:rFonts w:hint="default" w:ascii="Times New Roman" w:hAnsi="Times New Roman" w:eastAsia="宋体" w:cs="Times New Roman"/>
                <w:color w:val="000000" w:themeColor="text1"/>
                <w:sz w:val="24"/>
                <w:szCs w:val="24"/>
                <w:highlight w:val="none"/>
                <w:lang w:bidi="ar"/>
                <w14:textFill>
                  <w14:solidFill>
                    <w14:schemeClr w14:val="tx1"/>
                  </w14:solidFill>
                </w14:textFill>
              </w:rPr>
              <w:t>《建设项目环境风险评价技术导则》（HJ 169—2018）等相关资料，对本项目有关的主要物料的毒性及其风险危害特性进行识别。</w:t>
            </w:r>
          </w:p>
          <w:p w14:paraId="2D7854D7">
            <w:pPr>
              <w:pageBreakBefore w:val="0"/>
              <w:kinsoku/>
              <w:wordWrap/>
              <w:bidi w:val="0"/>
              <w:spacing w:after="0" w:afterLines="0" w:line="360" w:lineRule="auto"/>
              <w:ind w:firstLine="0" w:firstLineChars="0"/>
              <w:rPr>
                <w:rFonts w:hint="eastAsia" w:ascii="Times New Roman" w:hAnsi="Times New Roman" w:eastAsia="宋体" w:cs="Times New Roman"/>
                <w:color w:val="auto"/>
                <w:sz w:val="24"/>
                <w:szCs w:val="24"/>
                <w:highlight w:val="none"/>
                <w:lang w:eastAsia="zh-CN" w:bidi="ar"/>
              </w:rPr>
            </w:pP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8</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w:t>
            </w: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评价</w:t>
            </w: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内容</w:t>
            </w:r>
          </w:p>
          <w:p w14:paraId="25F4C306">
            <w:pPr>
              <w:pageBreakBefore w:val="0"/>
              <w:kinsoku/>
              <w:wordWrap/>
              <w:autoSpaceDE w:val="0"/>
              <w:bidi w:val="0"/>
              <w:spacing w:after="0" w:afterLines="0" w:line="360" w:lineRule="auto"/>
              <w:ind w:firstLine="480"/>
              <w:rPr>
                <w:rFonts w:hint="default" w:ascii="Times New Roman" w:hAnsi="Times New Roman" w:eastAsia="宋体" w:cs="Times New Roman"/>
                <w:color w:val="auto"/>
                <w:sz w:val="24"/>
                <w:szCs w:val="24"/>
                <w:highlight w:val="none"/>
                <w:lang w:bidi="ar"/>
              </w:rPr>
            </w:pPr>
            <w:r>
              <w:rPr>
                <w:rFonts w:hint="default" w:ascii="Times New Roman" w:hAnsi="Times New Roman" w:eastAsia="宋体" w:cs="Times New Roman"/>
                <w:color w:val="auto"/>
                <w:sz w:val="24"/>
                <w:szCs w:val="24"/>
                <w:highlight w:val="none"/>
                <w:lang w:bidi="ar"/>
              </w:rPr>
              <w:t>根据</w:t>
            </w:r>
            <w:r>
              <w:rPr>
                <w:rFonts w:hint="default" w:ascii="Times New Roman" w:hAnsi="Times New Roman" w:eastAsia="宋体" w:cs="Times New Roman"/>
                <w:color w:val="auto"/>
                <w:sz w:val="24"/>
                <w:szCs w:val="24"/>
                <w:highlight w:val="none"/>
                <w:lang w:val="en-US" w:eastAsia="zh-CN" w:bidi="ar"/>
              </w:rPr>
              <w:t>风险</w:t>
            </w:r>
            <w:r>
              <w:rPr>
                <w:rFonts w:hint="default" w:ascii="Times New Roman" w:hAnsi="Times New Roman" w:eastAsia="宋体" w:cs="Times New Roman"/>
                <w:color w:val="auto"/>
                <w:sz w:val="24"/>
                <w:szCs w:val="24"/>
                <w:highlight w:val="none"/>
                <w:lang w:bidi="ar"/>
              </w:rPr>
              <w:t>识别，本项目的主要风险源为危废</w:t>
            </w:r>
            <w:r>
              <w:rPr>
                <w:rFonts w:hint="default" w:ascii="Times New Roman" w:hAnsi="Times New Roman" w:eastAsia="宋体" w:cs="Times New Roman"/>
                <w:color w:val="auto"/>
                <w:sz w:val="24"/>
                <w:szCs w:val="24"/>
                <w:highlight w:val="none"/>
                <w:lang w:val="en-US" w:eastAsia="zh-CN" w:bidi="ar"/>
              </w:rPr>
              <w:t>贮存库</w:t>
            </w:r>
            <w:r>
              <w:rPr>
                <w:rFonts w:hint="default" w:ascii="Times New Roman" w:hAnsi="Times New Roman" w:eastAsia="宋体" w:cs="Times New Roman"/>
                <w:color w:val="auto"/>
                <w:sz w:val="24"/>
                <w:szCs w:val="24"/>
                <w:highlight w:val="none"/>
                <w:lang w:bidi="ar"/>
              </w:rPr>
              <w:t>暂存的废机油</w:t>
            </w:r>
            <w:r>
              <w:rPr>
                <w:rFonts w:hint="default" w:ascii="Times New Roman" w:hAnsi="Times New Roman" w:eastAsia="宋体" w:cs="Times New Roman"/>
                <w:color w:val="auto"/>
                <w:sz w:val="24"/>
                <w:szCs w:val="24"/>
                <w:highlight w:val="none"/>
                <w:lang w:val="en-US" w:eastAsia="zh-CN" w:bidi="ar"/>
              </w:rPr>
              <w:t>和油桶</w:t>
            </w:r>
            <w:r>
              <w:rPr>
                <w:rFonts w:hint="default" w:ascii="Times New Roman" w:hAnsi="Times New Roman" w:eastAsia="宋体" w:cs="Times New Roman"/>
                <w:color w:val="auto"/>
                <w:sz w:val="24"/>
                <w:szCs w:val="24"/>
                <w:highlight w:val="none"/>
                <w:lang w:eastAsia="zh-CN" w:bidi="ar"/>
              </w:rPr>
              <w:t>，</w:t>
            </w:r>
            <w:r>
              <w:rPr>
                <w:rFonts w:hint="default" w:ascii="Times New Roman" w:hAnsi="Times New Roman" w:eastAsia="宋体" w:cs="Times New Roman"/>
                <w:color w:val="auto"/>
                <w:sz w:val="24"/>
                <w:szCs w:val="24"/>
                <w:highlight w:val="none"/>
                <w:lang w:val="en-US" w:eastAsia="zh-CN"/>
              </w:rPr>
              <w:t>露天采矿区域存在地质灾害风险影响，主要表现在坍塌、泥石流、洪水等。</w:t>
            </w:r>
          </w:p>
          <w:p w14:paraId="752BF6A3">
            <w:pPr>
              <w:pageBreakBefore w:val="0"/>
              <w:kinsoku/>
              <w:wordWrap/>
              <w:autoSpaceDE w:val="0"/>
              <w:bidi w:val="0"/>
              <w:spacing w:after="0" w:afterLines="0" w:line="360" w:lineRule="auto"/>
              <w:ind w:firstLine="48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bidi="ar"/>
                <w14:textFill>
                  <w14:solidFill>
                    <w14:schemeClr w14:val="tx1"/>
                  </w14:solidFill>
                </w14:textFill>
              </w:rPr>
              <w:t>根据风险调查需要分析计算的危险物质，其临界量可按表B.2中推荐值选取，其主要风险因素为生产过程中产生的泄漏等。</w:t>
            </w:r>
          </w:p>
          <w:p w14:paraId="66D882EC">
            <w:pPr>
              <w:pageBreakBefore w:val="0"/>
              <w:kinsoku/>
              <w:wordWrap/>
              <w:autoSpaceDE w:val="0"/>
              <w:bidi w:val="0"/>
              <w:spacing w:after="0" w:afterLines="0"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（1）生产单元、储存单元内存在的危险化学品为单一品种，该危险化学品的数量</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即</w:t>
            </w:r>
            <w:r>
              <w:rPr>
                <w:rFonts w:hint="default" w:ascii="Times New Roman" w:hAnsi="Times New Roman" w:eastAsia="宋体" w:cs="Times New Roman"/>
                <w:color w:val="000000" w:themeColor="text1"/>
                <w:sz w:val="24"/>
                <w:szCs w:val="24"/>
                <w:highlight w:val="none"/>
                <w14:textFill>
                  <w14:solidFill>
                    <w14:schemeClr w14:val="tx1"/>
                  </w14:solidFill>
                </w14:textFill>
              </w:rPr>
              <w:t>为单元内危险化学品的总量，若等于或超过相应的临界量，则定为重大危险源。</w:t>
            </w:r>
          </w:p>
          <w:p w14:paraId="41203186">
            <w:pPr>
              <w:pageBreakBefore w:val="0"/>
              <w:kinsoku/>
              <w:wordWrap/>
              <w:autoSpaceDE w:val="0"/>
              <w:bidi w:val="0"/>
              <w:spacing w:after="0" w:afterLines="0" w:line="360" w:lineRule="auto"/>
              <w:ind w:firstLine="480" w:firstLineChars="20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（2）生产单元、储存单元内存在的危险化学品为多品种时，则按式（1）计算，若满足式（1），则定为重大危险源；</w:t>
            </w:r>
          </w:p>
          <w:p w14:paraId="0A3B710A">
            <w:pPr>
              <w:keepNext/>
              <w:keepLines/>
              <w:pageBreakBefore w:val="0"/>
              <w:widowControl/>
              <w:kinsoku/>
              <w:wordWrap/>
              <w:bidi w:val="0"/>
              <w:spacing w:after="0" w:afterLines="0"/>
              <w:ind w:firstLine="0" w:firstLineChars="0"/>
              <w:outlineLvl w:val="2"/>
              <w:rPr>
                <w:rFonts w:hint="default" w:ascii="Times New Roman" w:hAnsi="Times New Roman" w:eastAsia="宋体" w:cs="Times New Roman"/>
                <w:b/>
                <w:bCs/>
                <w:color w:val="000000" w:themeColor="text1"/>
                <w:kern w:val="0"/>
                <w:szCs w:val="22"/>
                <w:highlight w:val="none"/>
                <w14:textFill>
                  <w14:solidFill>
                    <w14:schemeClr w14:val="tx1"/>
                  </w14:solidFill>
                </w14:textFill>
              </w:rPr>
            </w:pPr>
            <w:r>
              <w:rPr>
                <w:rFonts w:hint="default" w:ascii="Times New Roman" w:hAnsi="Times New Roman" w:eastAsia="宋体" w:cs="Times New Roman"/>
                <w:b/>
                <w:bCs/>
                <w:color w:val="000000" w:themeColor="text1"/>
                <w:kern w:val="0"/>
                <w:position w:val="-10"/>
                <w:sz w:val="28"/>
                <w:szCs w:val="28"/>
                <w:highlight w:val="none"/>
                <w14:textFill>
                  <w14:solidFill>
                    <w14:schemeClr w14:val="tx1"/>
                  </w14:solidFill>
                </w14:textFill>
              </w:rPr>
              <w:pict>
                <v:shape id="_x0000_s1026" o:spid="_x0000_s1026" o:spt="75" type="#_x0000_t75" style="position:absolute;left:0pt;margin-left:99.6pt;margin-top:8.6pt;height:23.95pt;width:278.3pt;mso-wrap-distance-bottom:0pt;mso-wrap-distance-left:9pt;mso-wrap-distance-right:9pt;mso-wrap-distance-top:0pt;z-index:-251657216;mso-width-relative:page;mso-height-relative:page;" o:ole="t" filled="f" coordsize="21600,21600">
                  <v:path/>
                  <v:fill on="f" focussize="0,0"/>
                  <v:stroke/>
                  <v:imagedata r:id="rId23" o:title=""/>
                  <o:lock v:ext="edit" aspectratio="t"/>
                  <w10:wrap type="square"/>
                </v:shape>
                <o:OLEObject Type="Embed" ProgID="" ShapeID="_x0000_s1026" DrawAspect="Content" ObjectID="_1468075726" r:id="rId22">
                  <o:LockedField>false</o:LockedField>
                </o:OLEObject>
              </w:pict>
            </w:r>
            <w:r>
              <w:rPr>
                <w:rFonts w:hint="default" w:ascii="Times New Roman" w:hAnsi="Times New Roman" w:eastAsia="宋体" w:cs="Times New Roman"/>
                <w:b/>
                <w:bCs/>
                <w:color w:val="000000" w:themeColor="text1"/>
                <w:kern w:val="0"/>
                <w:sz w:val="30"/>
                <w:szCs w:val="30"/>
                <w:highlight w:val="none"/>
                <w14:textFill>
                  <w14:solidFill>
                    <w14:schemeClr w14:val="tx1"/>
                  </w14:solidFill>
                </w14:textFill>
              </w:rPr>
              <w:t xml:space="preserve">  </w:t>
            </w:r>
            <w:r>
              <w:rPr>
                <w:rFonts w:hint="default" w:ascii="Times New Roman" w:hAnsi="Times New Roman" w:eastAsia="宋体" w:cs="Times New Roman"/>
                <w:b/>
                <w:bCs/>
                <w:color w:val="000000" w:themeColor="text1"/>
                <w:kern w:val="0"/>
                <w:sz w:val="28"/>
                <w:szCs w:val="28"/>
                <w:highlight w:val="none"/>
                <w14:textFill>
                  <w14:solidFill>
                    <w14:schemeClr w14:val="tx1"/>
                  </w14:solidFill>
                </w14:textFill>
              </w:rPr>
              <w:t xml:space="preserve"> </w:t>
            </w:r>
          </w:p>
          <w:p w14:paraId="367979F5">
            <w:pPr>
              <w:pageBreakBefore w:val="0"/>
              <w:kinsoku/>
              <w:wordWrap/>
              <w:overflowPunct w:val="0"/>
              <w:bidi w:val="0"/>
              <w:spacing w:after="0" w:afterLines="0"/>
              <w:rPr>
                <w:rFonts w:hint="default" w:ascii="Times New Roman" w:hAnsi="Times New Roman" w:eastAsia="宋体" w:cs="Times New Roman"/>
                <w:color w:val="000000" w:themeColor="text1"/>
                <w:kern w:val="0"/>
                <w:szCs w:val="22"/>
                <w:highlight w:val="none"/>
                <w14:textFill>
                  <w14:solidFill>
                    <w14:schemeClr w14:val="tx1"/>
                  </w14:solidFill>
                </w14:textFill>
              </w:rPr>
            </w:pPr>
          </w:p>
          <w:p w14:paraId="05E6908F">
            <w:pPr>
              <w:pageBreakBefore w:val="0"/>
              <w:kinsoku/>
              <w:wordWrap/>
              <w:overflowPunct w:val="0"/>
              <w:bidi w:val="0"/>
              <w:spacing w:after="0" w:afterLines="0" w:line="360" w:lineRule="auto"/>
              <w:ind w:firstLine="960" w:firstLineChars="400"/>
              <w:rPr>
                <w:rFonts w:hint="default" w:ascii="Times New Roman" w:hAnsi="Times New Roman" w:eastAsia="宋体" w:cs="Times New Roman"/>
                <w:color w:val="000000" w:themeColor="text1"/>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式中：</w:t>
            </w:r>
          </w:p>
          <w:p w14:paraId="48207380">
            <w:pPr>
              <w:pageBreakBefore w:val="0"/>
              <w:kinsoku/>
              <w:wordWrap/>
              <w:overflowPunct w:val="0"/>
              <w:bidi w:val="0"/>
              <w:spacing w:after="0" w:afterLines="0" w:line="360" w:lineRule="auto"/>
              <w:ind w:firstLine="960" w:firstLineChars="400"/>
              <w:rPr>
                <w:rFonts w:hint="default" w:ascii="Times New Roman" w:hAnsi="Times New Roman" w:eastAsia="宋体" w:cs="Times New Roman"/>
                <w:color w:val="000000" w:themeColor="text1"/>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S——辨识指标；</w:t>
            </w:r>
          </w:p>
          <w:p w14:paraId="1D8DEE6C">
            <w:pPr>
              <w:pageBreakBefore w:val="0"/>
              <w:kinsoku/>
              <w:wordWrap/>
              <w:overflowPunct w:val="0"/>
              <w:bidi w:val="0"/>
              <w:spacing w:after="0" w:afterLines="0" w:line="360" w:lineRule="auto"/>
              <w:ind w:firstLine="960" w:firstLineChars="400"/>
              <w:rPr>
                <w:rFonts w:hint="default" w:ascii="Times New Roman" w:hAnsi="Times New Roman" w:eastAsia="宋体" w:cs="Times New Roman"/>
                <w:color w:val="000000" w:themeColor="text1"/>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q</w:t>
            </w:r>
            <w:r>
              <w:rPr>
                <w:rFonts w:hint="default" w:ascii="Times New Roman" w:hAnsi="Times New Roman" w:eastAsia="宋体" w:cs="Times New Roman"/>
                <w:color w:val="000000" w:themeColor="text1"/>
                <w:kern w:val="0"/>
                <w:sz w:val="24"/>
                <w:szCs w:val="24"/>
                <w:highlight w:val="none"/>
                <w:vertAlign w:val="subscript"/>
                <w14:textFill>
                  <w14:solidFill>
                    <w14:schemeClr w14:val="tx1"/>
                  </w14:solidFill>
                </w14:textFill>
              </w:rPr>
              <w:t>1</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、q</w:t>
            </w:r>
            <w:r>
              <w:rPr>
                <w:rFonts w:hint="default" w:ascii="Times New Roman" w:hAnsi="Times New Roman" w:eastAsia="宋体" w:cs="Times New Roman"/>
                <w:color w:val="000000" w:themeColor="text1"/>
                <w:kern w:val="0"/>
                <w:sz w:val="24"/>
                <w:szCs w:val="24"/>
                <w:highlight w:val="none"/>
                <w:vertAlign w:val="subscript"/>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、q</w:t>
            </w:r>
            <w:r>
              <w:rPr>
                <w:rFonts w:hint="default" w:ascii="Times New Roman" w:hAnsi="Times New Roman" w:eastAsia="宋体" w:cs="Times New Roman"/>
                <w:color w:val="000000" w:themeColor="text1"/>
                <w:kern w:val="0"/>
                <w:sz w:val="24"/>
                <w:szCs w:val="24"/>
                <w:highlight w:val="none"/>
                <w:vertAlign w:val="subscript"/>
                <w14:textFill>
                  <w14:solidFill>
                    <w14:schemeClr w14:val="tx1"/>
                  </w14:solidFill>
                </w14:textFill>
              </w:rPr>
              <w:t>n</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——每种危险化学品实际存在量，t。</w:t>
            </w:r>
          </w:p>
          <w:p w14:paraId="386E71A7">
            <w:pPr>
              <w:pageBreakBefore w:val="0"/>
              <w:kinsoku/>
              <w:wordWrap/>
              <w:overflowPunct w:val="0"/>
              <w:bidi w:val="0"/>
              <w:spacing w:after="0" w:afterLines="0" w:line="360" w:lineRule="auto"/>
              <w:ind w:firstLine="960" w:firstLineChars="400"/>
              <w:rPr>
                <w:rFonts w:hint="default" w:ascii="Times New Roman" w:hAnsi="Times New Roman" w:eastAsia="宋体" w:cs="Times New Roman"/>
                <w:color w:val="000000" w:themeColor="text1"/>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Q</w:t>
            </w:r>
            <w:r>
              <w:rPr>
                <w:rFonts w:hint="default" w:ascii="Times New Roman" w:hAnsi="Times New Roman" w:eastAsia="宋体" w:cs="Times New Roman"/>
                <w:color w:val="000000" w:themeColor="text1"/>
                <w:kern w:val="0"/>
                <w:sz w:val="24"/>
                <w:szCs w:val="24"/>
                <w:highlight w:val="none"/>
                <w:vertAlign w:val="subscript"/>
                <w14:textFill>
                  <w14:solidFill>
                    <w14:schemeClr w14:val="tx1"/>
                  </w14:solidFill>
                </w14:textFill>
              </w:rPr>
              <w:t>1</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、Q</w:t>
            </w:r>
            <w:r>
              <w:rPr>
                <w:rFonts w:hint="default" w:ascii="Times New Roman" w:hAnsi="Times New Roman" w:eastAsia="宋体" w:cs="Times New Roman"/>
                <w:color w:val="000000" w:themeColor="text1"/>
                <w:kern w:val="0"/>
                <w:sz w:val="24"/>
                <w:szCs w:val="24"/>
                <w:highlight w:val="none"/>
                <w:vertAlign w:val="subscript"/>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、Q</w:t>
            </w:r>
            <w:r>
              <w:rPr>
                <w:rFonts w:hint="default" w:ascii="Times New Roman" w:hAnsi="Times New Roman" w:eastAsia="宋体" w:cs="Times New Roman"/>
                <w:color w:val="000000" w:themeColor="text1"/>
                <w:kern w:val="0"/>
                <w:sz w:val="24"/>
                <w:szCs w:val="24"/>
                <w:highlight w:val="none"/>
                <w:vertAlign w:val="subscript"/>
                <w14:textFill>
                  <w14:solidFill>
                    <w14:schemeClr w14:val="tx1"/>
                  </w14:solidFill>
                </w14:textFill>
              </w:rPr>
              <w:t>3</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——与每种危险化学品相对应的临界量，t。</w:t>
            </w:r>
          </w:p>
          <w:p w14:paraId="7C154AC6">
            <w:pPr>
              <w:pageBreakBefore w:val="0"/>
              <w:kinsoku/>
              <w:wordWrap/>
              <w:overflowPunct w:val="0"/>
              <w:bidi w:val="0"/>
              <w:spacing w:after="0" w:afterLines="0" w:line="360" w:lineRule="auto"/>
              <w:ind w:firstLine="480"/>
              <w:rPr>
                <w:rFonts w:hint="default" w:ascii="Times New Roman" w:hAnsi="Times New Roman" w:eastAsia="宋体" w:cs="Times New Roman"/>
                <w:color w:val="000000" w:themeColor="text1"/>
                <w:kern w:val="0"/>
                <w:sz w:val="24"/>
                <w:szCs w:val="24"/>
                <w:highlight w:val="none"/>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根据以上分析，辨识本单位危险化学品重大危险源见表</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14:textFill>
                  <w14:solidFill>
                    <w14:schemeClr w14:val="tx1"/>
                  </w14:solidFill>
                </w14:textFill>
              </w:rPr>
              <w:t>。</w:t>
            </w:r>
          </w:p>
          <w:p w14:paraId="40845236">
            <w:pPr>
              <w:pageBreakBefore w:val="0"/>
              <w:kinsoku/>
              <w:wordWrap/>
              <w:autoSpaceDE w:val="0"/>
              <w:bidi w:val="0"/>
              <w:spacing w:after="0" w:afterLines="0" w:line="240" w:lineRule="auto"/>
              <w:ind w:firstLine="0" w:firstLineChars="0"/>
              <w:jc w:val="center"/>
              <w:rPr>
                <w:rFonts w:hint="default" w:ascii="Times New Roman" w:hAnsi="Times New Roman" w:eastAsia="宋体" w:cs="Times New Roman"/>
                <w:b/>
                <w:color w:val="000000" w:themeColor="text1"/>
                <w:sz w:val="21"/>
                <w:szCs w:val="21"/>
                <w:highlight w:val="none"/>
                <w14:textFill>
                  <w14:solidFill>
                    <w14:schemeClr w14:val="tx1"/>
                  </w14:solidFill>
                </w14:textFill>
              </w:rPr>
            </w:pPr>
            <w:r>
              <w:rPr>
                <w:rFonts w:hint="default" w:ascii="Times New Roman" w:hAnsi="Times New Roman" w:eastAsia="宋体" w:cs="Times New Roman"/>
                <w:b/>
                <w:color w:val="000000" w:themeColor="text1"/>
                <w:sz w:val="21"/>
                <w:szCs w:val="21"/>
                <w:highlight w:val="none"/>
                <w:lang w:bidi="ar"/>
                <w14:textFill>
                  <w14:solidFill>
                    <w14:schemeClr w14:val="tx1"/>
                  </w14:solidFill>
                </w14:textFill>
              </w:rPr>
              <w:t>表</w:t>
            </w:r>
            <w:r>
              <w:rPr>
                <w:rFonts w:hint="default" w:ascii="Times New Roman" w:hAnsi="Times New Roman" w:eastAsia="宋体" w:cs="Times New Roman"/>
                <w:b/>
                <w:color w:val="000000" w:themeColor="text1"/>
                <w:sz w:val="21"/>
                <w:szCs w:val="21"/>
                <w:highlight w:val="none"/>
                <w:lang w:val="en-US" w:eastAsia="zh-CN" w:bidi="ar"/>
                <w14:textFill>
                  <w14:solidFill>
                    <w14:schemeClr w14:val="tx1"/>
                  </w14:solidFill>
                </w14:textFill>
              </w:rPr>
              <w:t>5</w:t>
            </w:r>
            <w:r>
              <w:rPr>
                <w:rFonts w:hint="default" w:ascii="Times New Roman" w:hAnsi="Times New Roman" w:eastAsia="宋体" w:cs="Times New Roman"/>
                <w:b/>
                <w:color w:val="000000" w:themeColor="text1"/>
                <w:sz w:val="21"/>
                <w:szCs w:val="21"/>
                <w:highlight w:val="none"/>
                <w:lang w:bidi="ar"/>
                <w14:textFill>
                  <w14:solidFill>
                    <w14:schemeClr w14:val="tx1"/>
                  </w14:solidFill>
                </w14:textFill>
              </w:rPr>
              <w:t>-</w:t>
            </w:r>
            <w:r>
              <w:rPr>
                <w:rFonts w:hint="default" w:ascii="Times New Roman" w:hAnsi="Times New Roman" w:eastAsia="宋体" w:cs="Times New Roman"/>
                <w:b/>
                <w:color w:val="000000" w:themeColor="text1"/>
                <w:sz w:val="21"/>
                <w:szCs w:val="21"/>
                <w:highlight w:val="none"/>
                <w:lang w:val="en-US" w:eastAsia="zh-CN" w:bidi="ar"/>
                <w14:textFill>
                  <w14:solidFill>
                    <w14:schemeClr w14:val="tx1"/>
                  </w14:solidFill>
                </w14:textFill>
              </w:rPr>
              <w:t>2</w:t>
            </w:r>
            <w:r>
              <w:rPr>
                <w:rFonts w:hint="default" w:ascii="Times New Roman" w:hAnsi="Times New Roman" w:eastAsia="宋体" w:cs="Times New Roman"/>
                <w:b/>
                <w:color w:val="000000" w:themeColor="text1"/>
                <w:sz w:val="21"/>
                <w:szCs w:val="21"/>
                <w:highlight w:val="none"/>
                <w:lang w:bidi="ar"/>
                <w14:textFill>
                  <w14:solidFill>
                    <w14:schemeClr w14:val="tx1"/>
                  </w14:solidFill>
                </w14:textFill>
              </w:rPr>
              <w:t xml:space="preserve">   危险物质临界量及实际存量</w:t>
            </w:r>
          </w:p>
          <w:tbl>
            <w:tblPr>
              <w:tblStyle w:val="38"/>
              <w:tblW w:w="8668"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 w:type="dxa"/>
                <w:bottom w:w="0" w:type="dxa"/>
                <w:right w:w="10" w:type="dxa"/>
              </w:tblCellMar>
            </w:tblPr>
            <w:tblGrid>
              <w:gridCol w:w="474"/>
              <w:gridCol w:w="2210"/>
              <w:gridCol w:w="1059"/>
              <w:gridCol w:w="1648"/>
              <w:gridCol w:w="1151"/>
              <w:gridCol w:w="2126"/>
            </w:tblGrid>
            <w:tr w14:paraId="23F1217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 w:type="dxa"/>
                  <w:bottom w:w="0" w:type="dxa"/>
                  <w:right w:w="10" w:type="dxa"/>
                </w:tblCellMar>
              </w:tblPrEx>
              <w:trPr>
                <w:trHeight w:val="334" w:hRule="atLeast"/>
                <w:jc w:val="center"/>
              </w:trPr>
              <w:tc>
                <w:tcPr>
                  <w:tcW w:w="474" w:type="dxa"/>
                  <w:vMerge w:val="restart"/>
                  <w:tcBorders>
                    <w:bottom w:val="single" w:color="000000" w:sz="12" w:space="0"/>
                    <w:tl2br w:val="nil"/>
                    <w:tr2bl w:val="nil"/>
                  </w:tcBorders>
                  <w:tcMar>
                    <w:left w:w="108" w:type="dxa"/>
                    <w:right w:w="108" w:type="dxa"/>
                  </w:tcMar>
                  <w:vAlign w:val="center"/>
                </w:tcPr>
                <w:p w14:paraId="45F81C30">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序号</w:t>
                  </w:r>
                </w:p>
              </w:tc>
              <w:tc>
                <w:tcPr>
                  <w:tcW w:w="3269" w:type="dxa"/>
                  <w:gridSpan w:val="2"/>
                  <w:tcBorders>
                    <w:tl2br w:val="nil"/>
                    <w:tr2bl w:val="nil"/>
                  </w:tcBorders>
                  <w:tcMar>
                    <w:left w:w="108" w:type="dxa"/>
                    <w:right w:w="108" w:type="dxa"/>
                  </w:tcMar>
                  <w:vAlign w:val="center"/>
                </w:tcPr>
                <w:p w14:paraId="593F000E">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危险物质</w:t>
                  </w:r>
                </w:p>
              </w:tc>
              <w:tc>
                <w:tcPr>
                  <w:tcW w:w="1648" w:type="dxa"/>
                  <w:vMerge w:val="restart"/>
                  <w:tcBorders>
                    <w:tl2br w:val="nil"/>
                    <w:tr2bl w:val="nil"/>
                  </w:tcBorders>
                  <w:tcMar>
                    <w:left w:w="108" w:type="dxa"/>
                    <w:right w:w="108" w:type="dxa"/>
                  </w:tcMar>
                  <w:vAlign w:val="center"/>
                </w:tcPr>
                <w:p w14:paraId="330BC5D3">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储存/使用量</w:t>
                  </w:r>
                </w:p>
              </w:tc>
              <w:tc>
                <w:tcPr>
                  <w:tcW w:w="1151" w:type="dxa"/>
                  <w:vMerge w:val="restart"/>
                  <w:tcBorders>
                    <w:tl2br w:val="nil"/>
                    <w:tr2bl w:val="nil"/>
                  </w:tcBorders>
                  <w:tcMar>
                    <w:left w:w="108" w:type="dxa"/>
                    <w:right w:w="108" w:type="dxa"/>
                  </w:tcMar>
                  <w:vAlign w:val="center"/>
                </w:tcPr>
                <w:p w14:paraId="49F3F17F">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临界量</w:t>
                  </w:r>
                </w:p>
              </w:tc>
              <w:tc>
                <w:tcPr>
                  <w:tcW w:w="2126" w:type="dxa"/>
                  <w:vMerge w:val="restart"/>
                  <w:tcBorders>
                    <w:tl2br w:val="nil"/>
                    <w:tr2bl w:val="nil"/>
                  </w:tcBorders>
                  <w:tcMar>
                    <w:left w:w="108" w:type="dxa"/>
                    <w:right w:w="108" w:type="dxa"/>
                  </w:tcMar>
                  <w:vAlign w:val="center"/>
                </w:tcPr>
                <w:p w14:paraId="63F115F2">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 xml:space="preserve">该种危险物 </w:t>
                  </w:r>
                </w:p>
                <w:p w14:paraId="6089E467">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质Q值</w:t>
                  </w:r>
                </w:p>
              </w:tc>
            </w:tr>
            <w:tr w14:paraId="5C76BD5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 w:type="dxa"/>
                  <w:bottom w:w="0" w:type="dxa"/>
                  <w:right w:w="10" w:type="dxa"/>
                </w:tblCellMar>
              </w:tblPrEx>
              <w:trPr>
                <w:trHeight w:val="312" w:hRule="atLeast"/>
                <w:jc w:val="center"/>
              </w:trPr>
              <w:tc>
                <w:tcPr>
                  <w:tcW w:w="474" w:type="dxa"/>
                  <w:vMerge w:val="continue"/>
                  <w:tcBorders>
                    <w:top w:val="single" w:color="000000" w:sz="12" w:space="0"/>
                    <w:bottom w:val="single" w:color="000000" w:sz="12" w:space="0"/>
                    <w:tl2br w:val="nil"/>
                    <w:tr2bl w:val="nil"/>
                  </w:tcBorders>
                  <w:tcMar>
                    <w:left w:w="108" w:type="dxa"/>
                    <w:right w:w="108" w:type="dxa"/>
                  </w:tcMar>
                  <w:vAlign w:val="center"/>
                </w:tcPr>
                <w:p w14:paraId="410E5E91">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210" w:type="dxa"/>
                  <w:tcBorders>
                    <w:bottom w:val="single" w:color="000000" w:sz="12" w:space="0"/>
                    <w:tl2br w:val="nil"/>
                    <w:tr2bl w:val="nil"/>
                  </w:tcBorders>
                  <w:tcMar>
                    <w:left w:w="108" w:type="dxa"/>
                    <w:right w:w="108" w:type="dxa"/>
                  </w:tcMar>
                  <w:vAlign w:val="center"/>
                </w:tcPr>
                <w:p w14:paraId="085681B6">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物质名称</w:t>
                  </w:r>
                </w:p>
              </w:tc>
              <w:tc>
                <w:tcPr>
                  <w:tcW w:w="1059" w:type="dxa"/>
                  <w:tcBorders>
                    <w:bottom w:val="single" w:color="000000" w:sz="12" w:space="0"/>
                    <w:tl2br w:val="nil"/>
                    <w:tr2bl w:val="nil"/>
                  </w:tcBorders>
                  <w:tcMar>
                    <w:left w:w="108" w:type="dxa"/>
                    <w:right w:w="108" w:type="dxa"/>
                  </w:tcMar>
                  <w:vAlign w:val="center"/>
                </w:tcPr>
                <w:p w14:paraId="4659C46C">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0"/>
                      <w:szCs w:val="20"/>
                      <w:highlight w:val="none"/>
                      <w:lang w:bidi="en-US"/>
                      <w14:textFill>
                        <w14:solidFill>
                          <w14:schemeClr w14:val="tx1"/>
                        </w14:solidFill>
                      </w14:textFill>
                    </w:rPr>
                    <w:t>CAS</w:t>
                  </w:r>
                  <w:r>
                    <w:rPr>
                      <w:rFonts w:hint="default" w:ascii="Times New Roman" w:hAnsi="Times New Roman" w:eastAsia="宋体" w:cs="Times New Roman"/>
                      <w:color w:val="000000" w:themeColor="text1"/>
                      <w:sz w:val="20"/>
                      <w:szCs w:val="20"/>
                      <w:highlight w:val="none"/>
                      <w14:textFill>
                        <w14:solidFill>
                          <w14:schemeClr w14:val="tx1"/>
                        </w14:solidFill>
                      </w14:textFill>
                    </w:rPr>
                    <w:t>号</w:t>
                  </w:r>
                </w:p>
              </w:tc>
              <w:tc>
                <w:tcPr>
                  <w:tcW w:w="1648" w:type="dxa"/>
                  <w:vMerge w:val="continue"/>
                  <w:tcBorders>
                    <w:bottom w:val="single" w:color="000000" w:sz="12" w:space="0"/>
                    <w:tl2br w:val="nil"/>
                    <w:tr2bl w:val="nil"/>
                  </w:tcBorders>
                  <w:tcMar>
                    <w:left w:w="108" w:type="dxa"/>
                    <w:right w:w="108" w:type="dxa"/>
                  </w:tcMar>
                  <w:vAlign w:val="center"/>
                </w:tcPr>
                <w:p w14:paraId="0E3BE9D5">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151" w:type="dxa"/>
                  <w:vMerge w:val="continue"/>
                  <w:tcBorders>
                    <w:bottom w:val="single" w:color="000000" w:sz="12" w:space="0"/>
                    <w:tl2br w:val="nil"/>
                    <w:tr2bl w:val="nil"/>
                  </w:tcBorders>
                  <w:tcMar>
                    <w:left w:w="108" w:type="dxa"/>
                    <w:right w:w="108" w:type="dxa"/>
                  </w:tcMar>
                  <w:vAlign w:val="center"/>
                </w:tcPr>
                <w:p w14:paraId="3C68271E">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2126" w:type="dxa"/>
                  <w:vMerge w:val="continue"/>
                  <w:tcBorders>
                    <w:bottom w:val="single" w:color="000000" w:sz="12" w:space="0"/>
                    <w:tl2br w:val="nil"/>
                    <w:tr2bl w:val="nil"/>
                  </w:tcBorders>
                  <w:tcMar>
                    <w:left w:w="108" w:type="dxa"/>
                    <w:right w:w="108" w:type="dxa"/>
                  </w:tcMar>
                  <w:vAlign w:val="center"/>
                </w:tcPr>
                <w:p w14:paraId="1077B219">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r>
            <w:tr w14:paraId="69B3120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 w:type="dxa"/>
                  <w:bottom w:w="0" w:type="dxa"/>
                  <w:right w:w="10" w:type="dxa"/>
                </w:tblCellMar>
              </w:tblPrEx>
              <w:trPr>
                <w:trHeight w:val="359" w:hRule="atLeast"/>
                <w:jc w:val="center"/>
              </w:trPr>
              <w:tc>
                <w:tcPr>
                  <w:tcW w:w="474" w:type="dxa"/>
                  <w:tcBorders>
                    <w:top w:val="single" w:color="000000" w:sz="12" w:space="0"/>
                    <w:tl2br w:val="nil"/>
                    <w:tr2bl w:val="nil"/>
                  </w:tcBorders>
                  <w:tcMar>
                    <w:left w:w="108" w:type="dxa"/>
                    <w:right w:w="108" w:type="dxa"/>
                  </w:tcMar>
                  <w:vAlign w:val="center"/>
                </w:tcPr>
                <w:p w14:paraId="4DA76FBA">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2210" w:type="dxa"/>
                  <w:tcBorders>
                    <w:top w:val="single" w:color="000000" w:sz="12" w:space="0"/>
                    <w:tl2br w:val="nil"/>
                    <w:tr2bl w:val="nil"/>
                  </w:tcBorders>
                  <w:tcMar>
                    <w:left w:w="108" w:type="dxa"/>
                    <w:right w:w="108" w:type="dxa"/>
                  </w:tcMar>
                  <w:vAlign w:val="center"/>
                </w:tcPr>
                <w:p w14:paraId="53FDA375">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废机油</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和油桶</w:t>
                  </w:r>
                </w:p>
              </w:tc>
              <w:tc>
                <w:tcPr>
                  <w:tcW w:w="1059" w:type="dxa"/>
                  <w:tcBorders>
                    <w:top w:val="single" w:color="000000" w:sz="12" w:space="0"/>
                    <w:tl2br w:val="nil"/>
                    <w:tr2bl w:val="nil"/>
                  </w:tcBorders>
                  <w:tcMar>
                    <w:left w:w="108" w:type="dxa"/>
                    <w:right w:w="108" w:type="dxa"/>
                  </w:tcMar>
                  <w:vAlign w:val="center"/>
                </w:tcPr>
                <w:p w14:paraId="2E74FF8E">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0"/>
                      <w:szCs w:val="20"/>
                      <w:highlight w:val="none"/>
                      <w:lang w:bidi="en-US"/>
                      <w14:textFill>
                        <w14:solidFill>
                          <w14:schemeClr w14:val="tx1"/>
                        </w14:solidFill>
                      </w14:textFill>
                    </w:rPr>
                    <w:t>/</w:t>
                  </w:r>
                </w:p>
              </w:tc>
              <w:tc>
                <w:tcPr>
                  <w:tcW w:w="1648" w:type="dxa"/>
                  <w:tcBorders>
                    <w:top w:val="single" w:color="000000" w:sz="12" w:space="0"/>
                    <w:tl2br w:val="nil"/>
                    <w:tr2bl w:val="nil"/>
                  </w:tcBorders>
                  <w:tcMar>
                    <w:left w:w="108" w:type="dxa"/>
                    <w:right w:w="108" w:type="dxa"/>
                  </w:tcMar>
                  <w:vAlign w:val="center"/>
                </w:tcPr>
                <w:p w14:paraId="707FE8E6">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0.</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highlight w:val="none"/>
                      <w14:textFill>
                        <w14:solidFill>
                          <w14:schemeClr w14:val="tx1"/>
                        </w14:solidFill>
                      </w14:textFill>
                    </w:rPr>
                    <w:t>t/a</w:t>
                  </w:r>
                </w:p>
              </w:tc>
              <w:tc>
                <w:tcPr>
                  <w:tcW w:w="1151" w:type="dxa"/>
                  <w:tcBorders>
                    <w:top w:val="single" w:color="000000" w:sz="12" w:space="0"/>
                    <w:tl2br w:val="nil"/>
                    <w:tr2bl w:val="nil"/>
                  </w:tcBorders>
                  <w:tcMar>
                    <w:left w:w="108" w:type="dxa"/>
                    <w:right w:w="108" w:type="dxa"/>
                  </w:tcMar>
                  <w:vAlign w:val="center"/>
                </w:tcPr>
                <w:p w14:paraId="0FFDFA45">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2500t</w:t>
                  </w:r>
                </w:p>
              </w:tc>
              <w:tc>
                <w:tcPr>
                  <w:tcW w:w="2126" w:type="dxa"/>
                  <w:tcBorders>
                    <w:top w:val="single" w:color="000000" w:sz="12" w:space="0"/>
                    <w:tl2br w:val="nil"/>
                    <w:tr2bl w:val="nil"/>
                  </w:tcBorders>
                  <w:tcMar>
                    <w:left w:w="108" w:type="dxa"/>
                    <w:right w:w="108" w:type="dxa"/>
                  </w:tcMar>
                  <w:vAlign w:val="center"/>
                </w:tcPr>
                <w:p w14:paraId="124D31A0">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0.000</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04</w:t>
                  </w:r>
                </w:p>
              </w:tc>
            </w:tr>
            <w:tr w14:paraId="1F4C451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 w:type="dxa"/>
                  <w:bottom w:w="0" w:type="dxa"/>
                  <w:right w:w="10" w:type="dxa"/>
                </w:tblCellMar>
              </w:tblPrEx>
              <w:trPr>
                <w:trHeight w:val="420" w:hRule="atLeast"/>
                <w:jc w:val="center"/>
              </w:trPr>
              <w:tc>
                <w:tcPr>
                  <w:tcW w:w="474" w:type="dxa"/>
                  <w:tcBorders>
                    <w:tl2br w:val="nil"/>
                    <w:tr2bl w:val="nil"/>
                  </w:tcBorders>
                  <w:tcMar>
                    <w:left w:w="108" w:type="dxa"/>
                    <w:right w:w="108" w:type="dxa"/>
                  </w:tcMar>
                  <w:vAlign w:val="center"/>
                </w:tcPr>
                <w:p w14:paraId="1BF64828">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w:t>
                  </w:r>
                </w:p>
              </w:tc>
              <w:tc>
                <w:tcPr>
                  <w:tcW w:w="6068" w:type="dxa"/>
                  <w:gridSpan w:val="4"/>
                  <w:tcBorders>
                    <w:tl2br w:val="nil"/>
                    <w:tr2bl w:val="nil"/>
                  </w:tcBorders>
                  <w:tcMar>
                    <w:left w:w="108" w:type="dxa"/>
                    <w:right w:w="108" w:type="dxa"/>
                  </w:tcMar>
                  <w:vAlign w:val="center"/>
                </w:tcPr>
                <w:p w14:paraId="36CDF65F">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项目Q值∑</w:t>
                  </w:r>
                </w:p>
              </w:tc>
              <w:tc>
                <w:tcPr>
                  <w:tcW w:w="2126" w:type="dxa"/>
                  <w:tcBorders>
                    <w:tl2br w:val="nil"/>
                    <w:tr2bl w:val="nil"/>
                  </w:tcBorders>
                  <w:tcMar>
                    <w:left w:w="108" w:type="dxa"/>
                    <w:right w:w="108" w:type="dxa"/>
                  </w:tcMar>
                  <w:vAlign w:val="center"/>
                </w:tcPr>
                <w:p w14:paraId="44E0D19D">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0.0000</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w:t>
                  </w:r>
                </w:p>
              </w:tc>
            </w:tr>
          </w:tbl>
          <w:p w14:paraId="3C641BDB">
            <w:pPr>
              <w:pageBreakBefore w:val="0"/>
              <w:kinsoku/>
              <w:wordWrap/>
              <w:autoSpaceDE w:val="0"/>
              <w:bidi w:val="0"/>
              <w:spacing w:after="0" w:afterLines="0" w:line="360" w:lineRule="auto"/>
              <w:ind w:firstLine="464"/>
              <w:rPr>
                <w:rFonts w:hint="default" w:ascii="Times New Roman" w:hAnsi="Times New Roman" w:eastAsia="宋体" w:cs="Times New Roman"/>
                <w:color w:val="000000" w:themeColor="text1"/>
                <w:spacing w:val="-4"/>
                <w:sz w:val="24"/>
                <w:szCs w:val="24"/>
                <w:highlight w:val="none"/>
                <w:lang w:bidi="ar"/>
                <w14:textFill>
                  <w14:solidFill>
                    <w14:schemeClr w14:val="tx1"/>
                  </w14:solidFill>
                </w14:textFill>
              </w:rPr>
            </w:pPr>
            <w:r>
              <w:rPr>
                <w:rFonts w:hint="default" w:ascii="Times New Roman" w:hAnsi="Times New Roman" w:eastAsia="宋体" w:cs="Times New Roman"/>
                <w:color w:val="000000" w:themeColor="text1"/>
                <w:spacing w:val="-4"/>
                <w:sz w:val="24"/>
                <w:szCs w:val="24"/>
                <w:highlight w:val="none"/>
                <w:lang w:bidi="ar"/>
                <w14:textFill>
                  <w14:solidFill>
                    <w14:schemeClr w14:val="tx1"/>
                  </w14:solidFill>
                </w14:textFill>
              </w:rPr>
              <w:t>根据表</w:t>
            </w:r>
            <w:r>
              <w:rPr>
                <w:rFonts w:hint="default" w:ascii="Times New Roman" w:hAnsi="Times New Roman" w:eastAsia="宋体" w:cs="Times New Roman"/>
                <w:color w:val="000000" w:themeColor="text1"/>
                <w:spacing w:val="-4"/>
                <w:sz w:val="24"/>
                <w:szCs w:val="24"/>
                <w:highlight w:val="none"/>
                <w:lang w:val="en-US" w:eastAsia="zh-CN" w:bidi="ar"/>
                <w14:textFill>
                  <w14:solidFill>
                    <w14:schemeClr w14:val="tx1"/>
                  </w14:solidFill>
                </w14:textFill>
              </w:rPr>
              <w:t>5</w:t>
            </w:r>
            <w:r>
              <w:rPr>
                <w:rFonts w:hint="default" w:ascii="Times New Roman" w:hAnsi="Times New Roman" w:eastAsia="宋体" w:cs="Times New Roman"/>
                <w:color w:val="000000" w:themeColor="text1"/>
                <w:spacing w:val="-4"/>
                <w:sz w:val="24"/>
                <w:szCs w:val="24"/>
                <w:highlight w:val="none"/>
                <w:lang w:bidi="ar"/>
                <w14:textFill>
                  <w14:solidFill>
                    <w14:schemeClr w14:val="tx1"/>
                  </w14:solidFill>
                </w14:textFill>
              </w:rPr>
              <w:t>-2数据计算得出Q=0.0000</w:t>
            </w:r>
            <w:r>
              <w:rPr>
                <w:rFonts w:hint="default" w:ascii="Times New Roman" w:hAnsi="Times New Roman" w:eastAsia="宋体" w:cs="Times New Roman"/>
                <w:color w:val="000000" w:themeColor="text1"/>
                <w:spacing w:val="-4"/>
                <w:sz w:val="24"/>
                <w:szCs w:val="24"/>
                <w:highlight w:val="none"/>
                <w:lang w:val="en-US" w:eastAsia="zh-CN" w:bidi="ar"/>
                <w14:textFill>
                  <w14:solidFill>
                    <w14:schemeClr w14:val="tx1"/>
                  </w14:solidFill>
                </w14:textFill>
              </w:rPr>
              <w:t>4</w:t>
            </w:r>
            <w:r>
              <w:rPr>
                <w:rFonts w:hint="default" w:ascii="Times New Roman" w:hAnsi="Times New Roman" w:eastAsia="宋体" w:cs="Times New Roman"/>
                <w:color w:val="000000" w:themeColor="text1"/>
                <w:spacing w:val="-4"/>
                <w:sz w:val="24"/>
                <w:szCs w:val="24"/>
                <w:highlight w:val="none"/>
                <w:lang w:bidi="ar"/>
                <w14:textFill>
                  <w14:solidFill>
                    <w14:schemeClr w14:val="tx1"/>
                  </w14:solidFill>
                </w14:textFill>
              </w:rPr>
              <w:t>＜1，</w:t>
            </w:r>
            <w:r>
              <w:rPr>
                <w:rFonts w:hint="default" w:ascii="Times New Roman" w:hAnsi="Times New Roman" w:eastAsia="宋体" w:cs="Times New Roman"/>
                <w:color w:val="000000" w:themeColor="text1"/>
                <w:sz w:val="24"/>
                <w:szCs w:val="24"/>
                <w:highlight w:val="none"/>
                <w:lang w:bidi="ar"/>
                <w14:textFill>
                  <w14:solidFill>
                    <w14:schemeClr w14:val="tx1"/>
                  </w14:solidFill>
                </w14:textFill>
              </w:rPr>
              <w:t>本</w:t>
            </w:r>
            <w:r>
              <w:rPr>
                <w:rFonts w:hint="default" w:ascii="Times New Roman" w:hAnsi="Times New Roman" w:eastAsia="宋体" w:cs="Times New Roman"/>
                <w:color w:val="000000" w:themeColor="text1"/>
                <w:spacing w:val="-4"/>
                <w:sz w:val="24"/>
                <w:szCs w:val="24"/>
                <w:highlight w:val="none"/>
                <w:lang w:bidi="ar"/>
                <w14:textFill>
                  <w14:solidFill>
                    <w14:schemeClr w14:val="tx1"/>
                  </w14:solidFill>
                </w14:textFill>
              </w:rPr>
              <w:t>项目所在地非环境敏感区，本项目危险物质的最大存放量不构成重大危险源。</w:t>
            </w:r>
          </w:p>
          <w:p w14:paraId="0831835B">
            <w:pPr>
              <w:pageBreakBefore w:val="0"/>
              <w:kinsoku/>
              <w:wordWrap/>
              <w:autoSpaceDE w:val="0"/>
              <w:bidi w:val="0"/>
              <w:spacing w:after="0" w:afterLines="0" w:line="360" w:lineRule="auto"/>
              <w:ind w:firstLine="464"/>
              <w:jc w:val="left"/>
              <w:rPr>
                <w:rFonts w:hint="default" w:ascii="Times New Roman" w:hAnsi="Times New Roman" w:eastAsia="宋体" w:cs="Times New Roman"/>
                <w:b/>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pacing w:val="-4"/>
                <w:sz w:val="24"/>
                <w:szCs w:val="24"/>
                <w:highlight w:val="none"/>
                <w:lang w:bidi="ar"/>
                <w14:textFill>
                  <w14:solidFill>
                    <w14:schemeClr w14:val="tx1"/>
                  </w14:solidFill>
                </w14:textFill>
              </w:rPr>
              <w:t>依据《建设项目环境风险评价技术导则》（HJ169-2018），建设项目环境风险评价工作级别按表</w:t>
            </w:r>
            <w:r>
              <w:rPr>
                <w:rFonts w:hint="default" w:ascii="Times New Roman" w:hAnsi="Times New Roman" w:eastAsia="宋体" w:cs="Times New Roman"/>
                <w:color w:val="000000" w:themeColor="text1"/>
                <w:spacing w:val="-4"/>
                <w:sz w:val="24"/>
                <w:szCs w:val="24"/>
                <w:highlight w:val="none"/>
                <w:lang w:val="en-US" w:eastAsia="zh-CN" w:bidi="ar"/>
                <w14:textFill>
                  <w14:solidFill>
                    <w14:schemeClr w14:val="tx1"/>
                  </w14:solidFill>
                </w14:textFill>
              </w:rPr>
              <w:t>5</w:t>
            </w:r>
            <w:r>
              <w:rPr>
                <w:rFonts w:hint="default" w:ascii="Times New Roman" w:hAnsi="Times New Roman" w:eastAsia="宋体" w:cs="Times New Roman"/>
                <w:color w:val="000000" w:themeColor="text1"/>
                <w:spacing w:val="-4"/>
                <w:sz w:val="24"/>
                <w:szCs w:val="24"/>
                <w:highlight w:val="none"/>
                <w:lang w:bidi="ar"/>
                <w14:textFill>
                  <w14:solidFill>
                    <w14:schemeClr w14:val="tx1"/>
                  </w14:solidFill>
                </w14:textFill>
              </w:rPr>
              <w:t>-</w:t>
            </w:r>
            <w:r>
              <w:rPr>
                <w:rFonts w:hint="default" w:ascii="Times New Roman" w:hAnsi="Times New Roman" w:eastAsia="宋体" w:cs="Times New Roman"/>
                <w:color w:val="000000" w:themeColor="text1"/>
                <w:spacing w:val="-4"/>
                <w:sz w:val="24"/>
                <w:szCs w:val="24"/>
                <w:highlight w:val="none"/>
                <w:lang w:val="en-US" w:eastAsia="zh-CN" w:bidi="ar"/>
                <w14:textFill>
                  <w14:solidFill>
                    <w14:schemeClr w14:val="tx1"/>
                  </w14:solidFill>
                </w14:textFill>
              </w:rPr>
              <w:t>3</w:t>
            </w:r>
            <w:r>
              <w:rPr>
                <w:rFonts w:hint="default" w:ascii="Times New Roman" w:hAnsi="Times New Roman" w:eastAsia="宋体" w:cs="Times New Roman"/>
                <w:color w:val="000000" w:themeColor="text1"/>
                <w:spacing w:val="-4"/>
                <w:sz w:val="24"/>
                <w:szCs w:val="24"/>
                <w:highlight w:val="none"/>
                <w:lang w:bidi="ar"/>
                <w14:textFill>
                  <w14:solidFill>
                    <w14:schemeClr w14:val="tx1"/>
                  </w14:solidFill>
                </w14:textFill>
              </w:rPr>
              <w:t>进行划分。</w:t>
            </w:r>
          </w:p>
          <w:p w14:paraId="7649CE8F">
            <w:pPr>
              <w:pageBreakBefore w:val="0"/>
              <w:tabs>
                <w:tab w:val="left" w:pos="438"/>
              </w:tabs>
              <w:kinsoku/>
              <w:wordWrap/>
              <w:bidi w:val="0"/>
              <w:spacing w:after="0" w:afterLines="0" w:line="240" w:lineRule="auto"/>
              <w:ind w:firstLine="0" w:firstLineChars="0"/>
              <w:jc w:val="center"/>
              <w:rPr>
                <w:rFonts w:hint="default" w:ascii="Times New Roman" w:hAnsi="Times New Roman" w:eastAsia="宋体" w:cs="Times New Roman"/>
                <w:b/>
                <w:color w:val="000000" w:themeColor="text1"/>
                <w:sz w:val="21"/>
                <w:szCs w:val="21"/>
                <w:highlight w:val="none"/>
                <w14:textFill>
                  <w14:solidFill>
                    <w14:schemeClr w14:val="tx1"/>
                  </w14:solidFill>
                </w14:textFill>
              </w:rPr>
            </w:pPr>
            <w:r>
              <w:rPr>
                <w:rFonts w:hint="default" w:ascii="Times New Roman" w:hAnsi="Times New Roman" w:eastAsia="宋体" w:cs="Times New Roman"/>
                <w:b/>
                <w:color w:val="000000" w:themeColor="text1"/>
                <w:sz w:val="21"/>
                <w:szCs w:val="21"/>
                <w:highlight w:val="none"/>
                <w14:textFill>
                  <w14:solidFill>
                    <w14:schemeClr w14:val="tx1"/>
                  </w14:solidFill>
                </w14:textFill>
              </w:rPr>
              <w:t>表</w:t>
            </w:r>
            <w:r>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t>5</w:t>
            </w:r>
            <w:r>
              <w:rPr>
                <w:rFonts w:hint="default" w:ascii="Times New Roman" w:hAnsi="Times New Roman" w:eastAsia="宋体" w:cs="Times New Roman"/>
                <w:b/>
                <w:color w:val="000000" w:themeColor="text1"/>
                <w:sz w:val="21"/>
                <w:szCs w:val="21"/>
                <w:highlight w:val="none"/>
                <w14:textFill>
                  <w14:solidFill>
                    <w14:schemeClr w14:val="tx1"/>
                  </w14:solidFill>
                </w14:textFill>
              </w:rPr>
              <w:t>-</w:t>
            </w:r>
            <w:r>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t>3</w:t>
            </w:r>
            <w:r>
              <w:rPr>
                <w:rFonts w:hint="default" w:ascii="Times New Roman" w:hAnsi="Times New Roman" w:eastAsia="宋体" w:cs="Times New Roman"/>
                <w:b/>
                <w:color w:val="000000" w:themeColor="text1"/>
                <w:sz w:val="21"/>
                <w:szCs w:val="21"/>
                <w:highlight w:val="none"/>
                <w14:textFill>
                  <w14:solidFill>
                    <w14:schemeClr w14:val="tx1"/>
                  </w14:solidFill>
                </w14:textFill>
              </w:rPr>
              <w:t xml:space="preserve">  评价工作级别</w:t>
            </w:r>
          </w:p>
          <w:tbl>
            <w:tblPr>
              <w:tblStyle w:val="38"/>
              <w:tblW w:w="8800" w:type="dxa"/>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1525"/>
              <w:gridCol w:w="1243"/>
              <w:gridCol w:w="1742"/>
              <w:gridCol w:w="2036"/>
              <w:gridCol w:w="2254"/>
            </w:tblGrid>
            <w:tr w14:paraId="619760D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866" w:type="pct"/>
                  <w:tcBorders>
                    <w:top w:val="single" w:color="auto" w:sz="12" w:space="0"/>
                    <w:left w:val="nil"/>
                  </w:tcBorders>
                  <w:vAlign w:val="center"/>
                </w:tcPr>
                <w:p w14:paraId="09C2D7DC">
                  <w:pPr>
                    <w:pageBreakBefore w:val="0"/>
                    <w:kinsoku/>
                    <w:wordWrap/>
                    <w:bidi w:val="0"/>
                    <w:spacing w:after="0" w:afterLines="0" w:line="240" w:lineRule="auto"/>
                    <w:ind w:firstLine="0" w:firstLineChars="0"/>
                    <w:jc w:val="center"/>
                    <w:textAlignment w:val="baseline"/>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环境风险潜势</w:t>
                  </w:r>
                </w:p>
              </w:tc>
              <w:tc>
                <w:tcPr>
                  <w:tcW w:w="706" w:type="pct"/>
                  <w:tcBorders>
                    <w:top w:val="single" w:color="auto" w:sz="12" w:space="0"/>
                  </w:tcBorders>
                  <w:vAlign w:val="center"/>
                </w:tcPr>
                <w:p w14:paraId="4E27EAA4">
                  <w:pPr>
                    <w:pageBreakBefore w:val="0"/>
                    <w:kinsoku/>
                    <w:wordWrap/>
                    <w:bidi w:val="0"/>
                    <w:spacing w:after="0" w:afterLines="0" w:line="240" w:lineRule="auto"/>
                    <w:ind w:firstLine="0" w:firstLineChars="0"/>
                    <w:jc w:val="center"/>
                    <w:textAlignment w:val="baseline"/>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Ⅳ、 Ⅳ</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 xml:space="preserve"> </w:t>
                  </w:r>
                </w:p>
              </w:tc>
              <w:tc>
                <w:tcPr>
                  <w:tcW w:w="989" w:type="pct"/>
                  <w:tcBorders>
                    <w:top w:val="single" w:color="auto" w:sz="12" w:space="0"/>
                  </w:tcBorders>
                  <w:vAlign w:val="center"/>
                </w:tcPr>
                <w:p w14:paraId="56EEBC0F">
                  <w:pPr>
                    <w:pageBreakBefore w:val="0"/>
                    <w:kinsoku/>
                    <w:wordWrap/>
                    <w:bidi w:val="0"/>
                    <w:spacing w:after="0" w:afterLines="0" w:line="240" w:lineRule="auto"/>
                    <w:ind w:firstLine="0" w:firstLineChars="0"/>
                    <w:jc w:val="center"/>
                    <w:textAlignment w:val="baseline"/>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 xml:space="preserve">Ⅲ  </w:t>
                  </w:r>
                </w:p>
              </w:tc>
              <w:tc>
                <w:tcPr>
                  <w:tcW w:w="1156" w:type="pct"/>
                  <w:tcBorders>
                    <w:top w:val="single" w:color="auto" w:sz="12" w:space="0"/>
                  </w:tcBorders>
                  <w:vAlign w:val="center"/>
                </w:tcPr>
                <w:p w14:paraId="32EDA356">
                  <w:pPr>
                    <w:pageBreakBefore w:val="0"/>
                    <w:kinsoku/>
                    <w:wordWrap/>
                    <w:bidi w:val="0"/>
                    <w:spacing w:after="0" w:afterLines="0" w:line="240" w:lineRule="auto"/>
                    <w:ind w:firstLine="0" w:firstLineChars="0"/>
                    <w:jc w:val="center"/>
                    <w:textAlignment w:val="baseline"/>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Ⅱ</w:t>
                  </w:r>
                </w:p>
              </w:tc>
              <w:tc>
                <w:tcPr>
                  <w:tcW w:w="1280" w:type="pct"/>
                  <w:tcBorders>
                    <w:top w:val="single" w:color="auto" w:sz="12" w:space="0"/>
                    <w:right w:val="nil"/>
                  </w:tcBorders>
                  <w:vAlign w:val="center"/>
                </w:tcPr>
                <w:p w14:paraId="61F97FC3">
                  <w:pPr>
                    <w:pageBreakBefore w:val="0"/>
                    <w:kinsoku/>
                    <w:wordWrap/>
                    <w:bidi w:val="0"/>
                    <w:spacing w:after="0" w:afterLines="0" w:line="240" w:lineRule="auto"/>
                    <w:ind w:firstLine="0" w:firstLineChars="0"/>
                    <w:jc w:val="center"/>
                    <w:textAlignment w:val="baseline"/>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Ⅰ</w:t>
                  </w:r>
                </w:p>
              </w:tc>
            </w:tr>
            <w:tr w14:paraId="10A32F17">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866" w:type="pct"/>
                  <w:tcBorders>
                    <w:left w:val="nil"/>
                  </w:tcBorders>
                  <w:vAlign w:val="center"/>
                </w:tcPr>
                <w:p w14:paraId="6B0E7DD4">
                  <w:pPr>
                    <w:pageBreakBefore w:val="0"/>
                    <w:kinsoku/>
                    <w:wordWrap/>
                    <w:bidi w:val="0"/>
                    <w:spacing w:after="0" w:afterLines="0" w:line="240" w:lineRule="auto"/>
                    <w:ind w:firstLine="0" w:firstLineChars="0"/>
                    <w:jc w:val="center"/>
                    <w:textAlignment w:val="baseline"/>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评价工作等级</w:t>
                  </w:r>
                </w:p>
              </w:tc>
              <w:tc>
                <w:tcPr>
                  <w:tcW w:w="706" w:type="pct"/>
                  <w:vAlign w:val="center"/>
                </w:tcPr>
                <w:p w14:paraId="14F62924">
                  <w:pPr>
                    <w:pageBreakBefore w:val="0"/>
                    <w:kinsoku/>
                    <w:wordWrap/>
                    <w:bidi w:val="0"/>
                    <w:spacing w:after="0" w:afterLines="0" w:line="240" w:lineRule="auto"/>
                    <w:ind w:firstLine="0" w:firstLineChars="0"/>
                    <w:jc w:val="center"/>
                    <w:textAlignment w:val="baseline"/>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一</w:t>
                  </w:r>
                </w:p>
              </w:tc>
              <w:tc>
                <w:tcPr>
                  <w:tcW w:w="989" w:type="pct"/>
                  <w:vAlign w:val="center"/>
                </w:tcPr>
                <w:p w14:paraId="120BD19A">
                  <w:pPr>
                    <w:pageBreakBefore w:val="0"/>
                    <w:kinsoku/>
                    <w:wordWrap/>
                    <w:bidi w:val="0"/>
                    <w:spacing w:after="0" w:afterLines="0" w:line="240" w:lineRule="auto"/>
                    <w:ind w:firstLine="0" w:firstLineChars="0"/>
                    <w:jc w:val="center"/>
                    <w:textAlignment w:val="baseline"/>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二</w:t>
                  </w:r>
                </w:p>
              </w:tc>
              <w:tc>
                <w:tcPr>
                  <w:tcW w:w="1156" w:type="pct"/>
                  <w:vAlign w:val="center"/>
                </w:tcPr>
                <w:p w14:paraId="7BCFCD8F">
                  <w:pPr>
                    <w:pageBreakBefore w:val="0"/>
                    <w:kinsoku/>
                    <w:wordWrap/>
                    <w:bidi w:val="0"/>
                    <w:spacing w:after="0" w:afterLines="0" w:line="240" w:lineRule="auto"/>
                    <w:ind w:firstLine="0" w:firstLineChars="0"/>
                    <w:jc w:val="center"/>
                    <w:textAlignment w:val="baseline"/>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三</w:t>
                  </w:r>
                </w:p>
              </w:tc>
              <w:tc>
                <w:tcPr>
                  <w:tcW w:w="1280" w:type="pct"/>
                  <w:tcBorders>
                    <w:right w:val="nil"/>
                  </w:tcBorders>
                  <w:vAlign w:val="center"/>
                </w:tcPr>
                <w:p w14:paraId="751BA679">
                  <w:pPr>
                    <w:pageBreakBefore w:val="0"/>
                    <w:kinsoku/>
                    <w:wordWrap/>
                    <w:bidi w:val="0"/>
                    <w:spacing w:after="0" w:afterLines="0" w:line="240" w:lineRule="auto"/>
                    <w:ind w:firstLine="0" w:firstLineChars="0"/>
                    <w:jc w:val="center"/>
                    <w:textAlignment w:val="baseline"/>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简单分析</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a</w:t>
                  </w:r>
                </w:p>
              </w:tc>
            </w:tr>
            <w:tr w14:paraId="0A45C72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5000" w:type="pct"/>
                  <w:gridSpan w:val="5"/>
                  <w:tcBorders>
                    <w:left w:val="nil"/>
                    <w:bottom w:val="single" w:color="auto" w:sz="12" w:space="0"/>
                    <w:right w:val="nil"/>
                  </w:tcBorders>
                  <w:vAlign w:val="center"/>
                </w:tcPr>
                <w:p w14:paraId="7E6FFCBB">
                  <w:pPr>
                    <w:pageBreakBefore w:val="0"/>
                    <w:kinsoku/>
                    <w:wordWrap/>
                    <w:bidi w:val="0"/>
                    <w:spacing w:after="0" w:afterLines="0" w:line="240" w:lineRule="auto"/>
                    <w:ind w:firstLine="0" w:firstLineChars="0"/>
                    <w:jc w:val="left"/>
                    <w:textAlignment w:val="baseline"/>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a</w:t>
                  </w:r>
                  <w:r>
                    <w:rPr>
                      <w:rFonts w:hint="default" w:ascii="Times New Roman" w:hAnsi="Times New Roman" w:eastAsia="宋体" w:cs="Times New Roman"/>
                      <w:color w:val="000000" w:themeColor="text1"/>
                      <w:sz w:val="21"/>
                      <w:szCs w:val="21"/>
                      <w:highlight w:val="none"/>
                      <w14:textFill>
                        <w14:solidFill>
                          <w14:schemeClr w14:val="tx1"/>
                        </w14:solidFill>
                      </w14:textFill>
                    </w:rPr>
                    <w:t>是相对于详细评价工作内容而言，在描述危险物质、环境影响途径、环境危害后果、风险防范措施等方面给出定性说明</w:t>
                  </w:r>
                </w:p>
              </w:tc>
            </w:tr>
          </w:tbl>
          <w:p w14:paraId="74E09852">
            <w:pPr>
              <w:pageBreakBefore w:val="0"/>
              <w:kinsoku/>
              <w:wordWrap/>
              <w:autoSpaceDE w:val="0"/>
              <w:bidi w:val="0"/>
              <w:spacing w:after="0" w:afterLines="0" w:line="360" w:lineRule="auto"/>
              <w:ind w:firstLine="464"/>
              <w:rPr>
                <w:rFonts w:hint="default" w:ascii="Times New Roman" w:hAnsi="Times New Roman" w:eastAsia="宋体" w:cs="Times New Roman"/>
                <w:color w:val="000000" w:themeColor="text1"/>
                <w:spacing w:val="-4"/>
                <w:sz w:val="24"/>
                <w:szCs w:val="24"/>
                <w:highlight w:val="none"/>
                <w:lang w:bidi="ar"/>
                <w14:textFill>
                  <w14:solidFill>
                    <w14:schemeClr w14:val="tx1"/>
                  </w14:solidFill>
                </w14:textFill>
              </w:rPr>
            </w:pPr>
            <w:r>
              <w:rPr>
                <w:rFonts w:hint="default" w:ascii="Times New Roman" w:hAnsi="Times New Roman" w:eastAsia="宋体" w:cs="Times New Roman"/>
                <w:color w:val="000000" w:themeColor="text1"/>
                <w:spacing w:val="-4"/>
                <w:sz w:val="24"/>
                <w:szCs w:val="24"/>
                <w:highlight w:val="none"/>
                <w:lang w:bidi="ar"/>
                <w14:textFill>
                  <w14:solidFill>
                    <w14:schemeClr w14:val="tx1"/>
                  </w14:solidFill>
                </w14:textFill>
              </w:rPr>
              <w:t>根据导则附录C中计算物质的Q值为0.0000</w:t>
            </w:r>
            <w:r>
              <w:rPr>
                <w:rFonts w:hint="default" w:ascii="Times New Roman" w:hAnsi="Times New Roman" w:eastAsia="宋体" w:cs="Times New Roman"/>
                <w:color w:val="000000" w:themeColor="text1"/>
                <w:spacing w:val="-4"/>
                <w:sz w:val="24"/>
                <w:szCs w:val="24"/>
                <w:highlight w:val="none"/>
                <w:lang w:val="en-US" w:eastAsia="zh-CN" w:bidi="ar"/>
                <w14:textFill>
                  <w14:solidFill>
                    <w14:schemeClr w14:val="tx1"/>
                  </w14:solidFill>
                </w14:textFill>
              </w:rPr>
              <w:t>4</w:t>
            </w:r>
            <w:r>
              <w:rPr>
                <w:rFonts w:hint="default" w:ascii="Times New Roman" w:hAnsi="Times New Roman" w:eastAsia="宋体" w:cs="Times New Roman"/>
                <w:color w:val="000000" w:themeColor="text1"/>
                <w:spacing w:val="-4"/>
                <w:sz w:val="24"/>
                <w:szCs w:val="24"/>
                <w:highlight w:val="none"/>
                <w:lang w:bidi="ar"/>
                <w14:textFill>
                  <w14:solidFill>
                    <w14:schemeClr w14:val="tx1"/>
                  </w14:solidFill>
                </w14:textFill>
              </w:rPr>
              <w:t>＜1，同时，附录C中规定</w:t>
            </w:r>
            <w:r>
              <w:rPr>
                <w:rFonts w:hint="default" w:ascii="Times New Roman" w:hAnsi="Times New Roman" w:eastAsia="宋体" w:cs="Times New Roman"/>
                <w:color w:val="000000" w:themeColor="text1"/>
                <w:spacing w:val="-4"/>
                <w:sz w:val="24"/>
                <w:szCs w:val="24"/>
                <w:highlight w:val="none"/>
                <w:lang w:eastAsia="zh-CN" w:bidi="ar"/>
                <w14:textFill>
                  <w14:solidFill>
                    <w14:schemeClr w14:val="tx1"/>
                  </w14:solidFill>
                </w14:textFill>
              </w:rPr>
              <w:t>“</w:t>
            </w:r>
            <w:r>
              <w:rPr>
                <w:rFonts w:hint="default" w:ascii="Times New Roman" w:hAnsi="Times New Roman" w:eastAsia="宋体" w:cs="Times New Roman"/>
                <w:color w:val="000000" w:themeColor="text1"/>
                <w:spacing w:val="-4"/>
                <w:sz w:val="24"/>
                <w:szCs w:val="24"/>
                <w:highlight w:val="none"/>
                <w:lang w:bidi="ar"/>
                <w14:textFill>
                  <w14:solidFill>
                    <w14:schemeClr w14:val="tx1"/>
                  </w14:solidFill>
                </w14:textFill>
              </w:rPr>
              <w:t>当Q＜1时，该项目环境风险潜势为Ⅰ</w:t>
            </w:r>
            <w:r>
              <w:rPr>
                <w:rFonts w:hint="default" w:ascii="Times New Roman" w:hAnsi="Times New Roman" w:eastAsia="宋体" w:cs="Times New Roman"/>
                <w:color w:val="000000" w:themeColor="text1"/>
                <w:spacing w:val="-4"/>
                <w:sz w:val="24"/>
                <w:szCs w:val="24"/>
                <w:highlight w:val="none"/>
                <w:lang w:eastAsia="zh-CN" w:bidi="ar"/>
                <w14:textFill>
                  <w14:solidFill>
                    <w14:schemeClr w14:val="tx1"/>
                  </w14:solidFill>
                </w14:textFill>
              </w:rPr>
              <w:t>”</w:t>
            </w:r>
            <w:r>
              <w:rPr>
                <w:rFonts w:hint="default" w:ascii="Times New Roman" w:hAnsi="Times New Roman" w:eastAsia="宋体" w:cs="Times New Roman"/>
                <w:color w:val="000000" w:themeColor="text1"/>
                <w:spacing w:val="-4"/>
                <w:sz w:val="24"/>
                <w:szCs w:val="24"/>
                <w:highlight w:val="none"/>
                <w:lang w:bidi="ar"/>
                <w14:textFill>
                  <w14:solidFill>
                    <w14:schemeClr w14:val="tx1"/>
                  </w14:solidFill>
                </w14:textFill>
              </w:rPr>
              <w:t>。</w:t>
            </w:r>
          </w:p>
          <w:p w14:paraId="46506624">
            <w:pPr>
              <w:pageBreakBefore w:val="0"/>
              <w:kinsoku/>
              <w:wordWrap/>
              <w:autoSpaceDE w:val="0"/>
              <w:bidi w:val="0"/>
              <w:spacing w:after="0" w:afterLines="0" w:line="360" w:lineRule="auto"/>
              <w:ind w:firstLine="464"/>
              <w:rPr>
                <w:rFonts w:hint="default" w:ascii="Times New Roman" w:hAnsi="Times New Roman" w:eastAsia="宋体" w:cs="Times New Roman"/>
                <w:color w:val="000000" w:themeColor="text1"/>
                <w:spacing w:val="-4"/>
                <w:sz w:val="24"/>
                <w:szCs w:val="24"/>
                <w:highlight w:val="none"/>
                <w:lang w:bidi="ar"/>
                <w14:textFill>
                  <w14:solidFill>
                    <w14:schemeClr w14:val="tx1"/>
                  </w14:solidFill>
                </w14:textFill>
              </w:rPr>
            </w:pPr>
            <w:r>
              <w:rPr>
                <w:rFonts w:hint="default" w:ascii="Times New Roman" w:hAnsi="Times New Roman" w:eastAsia="宋体" w:cs="Times New Roman"/>
                <w:color w:val="000000" w:themeColor="text1"/>
                <w:spacing w:val="-4"/>
                <w:sz w:val="24"/>
                <w:szCs w:val="24"/>
                <w:highlight w:val="none"/>
                <w:lang w:bidi="ar"/>
                <w14:textFill>
                  <w14:solidFill>
                    <w14:schemeClr w14:val="tx1"/>
                  </w14:solidFill>
                </w14:textFill>
              </w:rPr>
              <w:t>根据表</w:t>
            </w:r>
            <w:r>
              <w:rPr>
                <w:rFonts w:hint="default" w:ascii="Times New Roman" w:hAnsi="Times New Roman" w:eastAsia="宋体" w:cs="Times New Roman"/>
                <w:color w:val="000000" w:themeColor="text1"/>
                <w:spacing w:val="-4"/>
                <w:sz w:val="24"/>
                <w:szCs w:val="24"/>
                <w:highlight w:val="none"/>
                <w:lang w:val="en-US" w:eastAsia="zh-CN" w:bidi="ar"/>
                <w14:textFill>
                  <w14:solidFill>
                    <w14:schemeClr w14:val="tx1"/>
                  </w14:solidFill>
                </w14:textFill>
              </w:rPr>
              <w:t>5</w:t>
            </w:r>
            <w:r>
              <w:rPr>
                <w:rFonts w:hint="default" w:ascii="Times New Roman" w:hAnsi="Times New Roman" w:eastAsia="宋体" w:cs="Times New Roman"/>
                <w:color w:val="000000" w:themeColor="text1"/>
                <w:spacing w:val="-4"/>
                <w:sz w:val="24"/>
                <w:szCs w:val="24"/>
                <w:highlight w:val="none"/>
                <w:lang w:bidi="ar"/>
                <w14:textFill>
                  <w14:solidFill>
                    <w14:schemeClr w14:val="tx1"/>
                  </w14:solidFill>
                </w14:textFill>
              </w:rPr>
              <w:t>-</w:t>
            </w:r>
            <w:r>
              <w:rPr>
                <w:rFonts w:hint="default" w:ascii="Times New Roman" w:hAnsi="Times New Roman" w:eastAsia="宋体" w:cs="Times New Roman"/>
                <w:color w:val="000000" w:themeColor="text1"/>
                <w:spacing w:val="-4"/>
                <w:sz w:val="24"/>
                <w:szCs w:val="24"/>
                <w:highlight w:val="none"/>
                <w:lang w:val="en-US" w:eastAsia="zh-CN" w:bidi="ar"/>
                <w14:textFill>
                  <w14:solidFill>
                    <w14:schemeClr w14:val="tx1"/>
                  </w14:solidFill>
                </w14:textFill>
              </w:rPr>
              <w:t>3</w:t>
            </w:r>
            <w:r>
              <w:rPr>
                <w:rFonts w:hint="default" w:ascii="Times New Roman" w:hAnsi="Times New Roman" w:eastAsia="宋体" w:cs="Times New Roman"/>
                <w:color w:val="000000" w:themeColor="text1"/>
                <w:spacing w:val="-4"/>
                <w:sz w:val="24"/>
                <w:szCs w:val="24"/>
                <w:highlight w:val="none"/>
                <w:lang w:bidi="ar"/>
                <w14:textFill>
                  <w14:solidFill>
                    <w14:schemeClr w14:val="tx1"/>
                  </w14:solidFill>
                </w14:textFill>
              </w:rPr>
              <w:t>规定，本次评价只对环境风险进行简单分析。</w:t>
            </w:r>
          </w:p>
          <w:p w14:paraId="16E5F710">
            <w:pPr>
              <w:pageBreakBefore w:val="0"/>
              <w:kinsoku/>
              <w:wordWrap/>
              <w:bidi w:val="0"/>
              <w:spacing w:after="0" w:afterLines="0" w:line="360" w:lineRule="auto"/>
              <w:ind w:firstLine="0" w:firstLineChars="0"/>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8</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w:t>
            </w: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 xml:space="preserve"> 环境敏感目标概况</w:t>
            </w:r>
          </w:p>
          <w:p w14:paraId="61693C7C">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right="0" w:rightChars="0" w:firstLine="422" w:firstLineChars="200"/>
              <w:jc w:val="center"/>
              <w:textAlignment w:val="auto"/>
              <w:outlineLvl w:val="9"/>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表5-4  项目环境保护目标一览表</w:t>
            </w:r>
          </w:p>
          <w:tbl>
            <w:tblPr>
              <w:tblStyle w:val="38"/>
              <w:tblW w:w="4995"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21"/>
              <w:gridCol w:w="1239"/>
              <w:gridCol w:w="1723"/>
              <w:gridCol w:w="2483"/>
              <w:gridCol w:w="2557"/>
            </w:tblGrid>
            <w:tr w14:paraId="27C56B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13" w:type="pct"/>
                  <w:tcBorders>
                    <w:bottom w:val="single" w:color="000000" w:sz="12" w:space="0"/>
                    <w:tl2br w:val="nil"/>
                    <w:tr2bl w:val="nil"/>
                  </w:tcBorders>
                  <w:noWrap w:val="0"/>
                  <w:vAlign w:val="center"/>
                </w:tcPr>
                <w:p w14:paraId="35ED381D">
                  <w:pPr>
                    <w:keepNext w:val="0"/>
                    <w:keepLines w:val="0"/>
                    <w:pageBreakBefore w:val="0"/>
                    <w:widowControl w:val="0"/>
                    <w:kinsoku/>
                    <w:wordWrap/>
                    <w:overflowPunct/>
                    <w:topLinePunct w:val="0"/>
                    <w:autoSpaceDN/>
                    <w:bidi w:val="0"/>
                    <w:adjustRightInd/>
                    <w:snapToGrid/>
                    <w:spacing w:before="0" w:after="0" w:afterLines="0" w:line="20" w:lineRule="atLeast"/>
                    <w:ind w:left="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序号</w:t>
                  </w:r>
                </w:p>
              </w:tc>
              <w:tc>
                <w:tcPr>
                  <w:tcW w:w="710" w:type="pct"/>
                  <w:tcBorders>
                    <w:bottom w:val="single" w:color="000000" w:sz="12" w:space="0"/>
                    <w:tl2br w:val="nil"/>
                    <w:tr2bl w:val="nil"/>
                  </w:tcBorders>
                  <w:noWrap w:val="0"/>
                  <w:vAlign w:val="center"/>
                </w:tcPr>
                <w:p w14:paraId="779049B1">
                  <w:pPr>
                    <w:keepNext w:val="0"/>
                    <w:keepLines w:val="0"/>
                    <w:pageBreakBefore w:val="0"/>
                    <w:widowControl w:val="0"/>
                    <w:kinsoku/>
                    <w:wordWrap/>
                    <w:overflowPunct/>
                    <w:topLinePunct w:val="0"/>
                    <w:autoSpaceDN/>
                    <w:bidi w:val="0"/>
                    <w:adjustRightInd/>
                    <w:snapToGrid/>
                    <w:spacing w:before="0" w:after="0" w:afterLines="0" w:line="20" w:lineRule="atLeast"/>
                    <w:ind w:left="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环境要素</w:t>
                  </w:r>
                </w:p>
              </w:tc>
              <w:tc>
                <w:tcPr>
                  <w:tcW w:w="987" w:type="pct"/>
                  <w:tcBorders>
                    <w:bottom w:val="single" w:color="000000" w:sz="12" w:space="0"/>
                    <w:tl2br w:val="nil"/>
                    <w:tr2bl w:val="nil"/>
                  </w:tcBorders>
                  <w:noWrap w:val="0"/>
                  <w:vAlign w:val="center"/>
                </w:tcPr>
                <w:p w14:paraId="11AE5AC4">
                  <w:pPr>
                    <w:keepNext w:val="0"/>
                    <w:keepLines w:val="0"/>
                    <w:pageBreakBefore w:val="0"/>
                    <w:widowControl w:val="0"/>
                    <w:kinsoku/>
                    <w:wordWrap/>
                    <w:overflowPunct/>
                    <w:topLinePunct w:val="0"/>
                    <w:autoSpaceDN/>
                    <w:bidi w:val="0"/>
                    <w:adjustRightInd/>
                    <w:snapToGrid/>
                    <w:spacing w:before="0" w:after="0" w:afterLines="0" w:line="20" w:lineRule="atLeast"/>
                    <w:ind w:left="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环境保护目标</w:t>
                  </w:r>
                </w:p>
              </w:tc>
              <w:tc>
                <w:tcPr>
                  <w:tcW w:w="1423" w:type="pct"/>
                  <w:tcBorders>
                    <w:bottom w:val="single" w:color="000000" w:sz="12" w:space="0"/>
                    <w:tl2br w:val="nil"/>
                    <w:tr2bl w:val="nil"/>
                  </w:tcBorders>
                  <w:noWrap w:val="0"/>
                  <w:vAlign w:val="center"/>
                </w:tcPr>
                <w:p w14:paraId="2950E4B9">
                  <w:pPr>
                    <w:keepNext w:val="0"/>
                    <w:keepLines w:val="0"/>
                    <w:pageBreakBefore w:val="0"/>
                    <w:widowControl w:val="0"/>
                    <w:kinsoku/>
                    <w:wordWrap/>
                    <w:overflowPunct/>
                    <w:topLinePunct w:val="0"/>
                    <w:autoSpaceDN/>
                    <w:bidi w:val="0"/>
                    <w:adjustRightInd/>
                    <w:snapToGrid/>
                    <w:spacing w:before="0" w:after="0" w:afterLines="0" w:line="20" w:lineRule="atLeast"/>
                    <w:ind w:left="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工程与敏感目标的关系</w:t>
                  </w:r>
                </w:p>
              </w:tc>
              <w:tc>
                <w:tcPr>
                  <w:tcW w:w="1465" w:type="pct"/>
                  <w:tcBorders>
                    <w:bottom w:val="single" w:color="000000" w:sz="12" w:space="0"/>
                    <w:tl2br w:val="nil"/>
                    <w:tr2bl w:val="nil"/>
                  </w:tcBorders>
                  <w:noWrap w:val="0"/>
                  <w:vAlign w:val="center"/>
                </w:tcPr>
                <w:p w14:paraId="6EA11F16">
                  <w:pPr>
                    <w:keepNext w:val="0"/>
                    <w:keepLines w:val="0"/>
                    <w:pageBreakBefore w:val="0"/>
                    <w:widowControl w:val="0"/>
                    <w:kinsoku/>
                    <w:wordWrap/>
                    <w:overflowPunct/>
                    <w:topLinePunct w:val="0"/>
                    <w:autoSpaceDN/>
                    <w:bidi w:val="0"/>
                    <w:adjustRightInd/>
                    <w:snapToGrid/>
                    <w:spacing w:before="0" w:after="0" w:afterLines="0" w:line="20" w:lineRule="atLeast"/>
                    <w:ind w:left="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敏感点环境保护要求</w:t>
                  </w:r>
                </w:p>
              </w:tc>
            </w:tr>
            <w:tr w14:paraId="1178B3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13" w:type="pct"/>
                  <w:tcBorders>
                    <w:top w:val="single" w:color="000000" w:sz="12" w:space="0"/>
                    <w:tl2br w:val="nil"/>
                    <w:tr2bl w:val="nil"/>
                  </w:tcBorders>
                  <w:noWrap w:val="0"/>
                  <w:vAlign w:val="center"/>
                </w:tcPr>
                <w:p w14:paraId="674E688B">
                  <w:pPr>
                    <w:keepNext w:val="0"/>
                    <w:keepLines w:val="0"/>
                    <w:pageBreakBefore w:val="0"/>
                    <w:widowControl w:val="0"/>
                    <w:kinsoku/>
                    <w:wordWrap/>
                    <w:overflowPunct/>
                    <w:topLinePunct w:val="0"/>
                    <w:autoSpaceDN/>
                    <w:bidi w:val="0"/>
                    <w:adjustRightInd/>
                    <w:snapToGrid/>
                    <w:spacing w:before="0" w:after="0" w:afterLines="0" w:line="20" w:lineRule="atLeast"/>
                    <w:ind w:left="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1</w:t>
                  </w:r>
                </w:p>
              </w:tc>
              <w:tc>
                <w:tcPr>
                  <w:tcW w:w="710" w:type="pct"/>
                  <w:tcBorders>
                    <w:top w:val="single" w:color="000000" w:sz="12" w:space="0"/>
                    <w:tl2br w:val="nil"/>
                    <w:tr2bl w:val="nil"/>
                  </w:tcBorders>
                  <w:noWrap w:val="0"/>
                  <w:vAlign w:val="center"/>
                </w:tcPr>
                <w:p w14:paraId="0A8AD26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Lines="0" w:afterAutospacing="0" w:line="20" w:lineRule="atLeast"/>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t>生态</w:t>
                  </w:r>
                </w:p>
              </w:tc>
              <w:tc>
                <w:tcPr>
                  <w:tcW w:w="987" w:type="pct"/>
                  <w:tcBorders>
                    <w:top w:val="single" w:color="000000" w:sz="12" w:space="0"/>
                    <w:tl2br w:val="nil"/>
                    <w:tr2bl w:val="nil"/>
                  </w:tcBorders>
                  <w:noWrap w:val="0"/>
                  <w:vAlign w:val="center"/>
                </w:tcPr>
                <w:p w14:paraId="36731C9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Lines="0" w:afterAutospacing="0" w:line="20" w:lineRule="atLeast"/>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t>自然植被、农田</w:t>
                  </w:r>
                </w:p>
              </w:tc>
              <w:tc>
                <w:tcPr>
                  <w:tcW w:w="1423" w:type="pct"/>
                  <w:tcBorders>
                    <w:top w:val="single" w:color="000000" w:sz="12" w:space="0"/>
                    <w:tl2br w:val="nil"/>
                    <w:tr2bl w:val="nil"/>
                  </w:tcBorders>
                  <w:noWrap w:val="0"/>
                  <w:vAlign w:val="center"/>
                </w:tcPr>
                <w:p w14:paraId="2725B8A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Lines="0" w:afterAutospacing="0" w:line="20" w:lineRule="atLeast"/>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t>项目区周边</w:t>
                  </w:r>
                </w:p>
              </w:tc>
              <w:tc>
                <w:tcPr>
                  <w:tcW w:w="1465" w:type="pct"/>
                  <w:tcBorders>
                    <w:top w:val="single" w:color="000000" w:sz="12" w:space="0"/>
                    <w:tl2br w:val="nil"/>
                    <w:tr2bl w:val="nil"/>
                  </w:tcBorders>
                  <w:noWrap w:val="0"/>
                  <w:vAlign w:val="center"/>
                </w:tcPr>
                <w:p w14:paraId="0E485C9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Lines="0" w:afterAutospacing="0" w:line="20" w:lineRule="atLeast"/>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t>保护现有</w:t>
                  </w:r>
                </w:p>
                <w:p w14:paraId="7B68173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Lines="0" w:afterAutospacing="0" w:line="20" w:lineRule="atLeast"/>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
                      <w14:textFill>
                        <w14:solidFill>
                          <w14:schemeClr w14:val="tx1"/>
                        </w14:solidFill>
                      </w14:textFill>
                    </w:rPr>
                    <w:t>生态环境不受破坏</w:t>
                  </w:r>
                </w:p>
              </w:tc>
            </w:tr>
          </w:tbl>
          <w:p w14:paraId="045A93E1">
            <w:pPr>
              <w:pageBreakBefore w:val="0"/>
              <w:kinsoku/>
              <w:wordWrap/>
              <w:bidi w:val="0"/>
              <w:spacing w:after="0" w:afterLines="0" w:line="360" w:lineRule="auto"/>
              <w:ind w:firstLine="0" w:firstLineChars="0"/>
              <w:rPr>
                <w:rFonts w:hint="default" w:ascii="Times New Roman" w:hAnsi="Times New Roman" w:eastAsia="宋体" w:cs="Times New Roman"/>
                <w:b/>
                <w:bCs/>
                <w:color w:val="auto"/>
                <w:sz w:val="24"/>
                <w:szCs w:val="24"/>
                <w:highlight w:val="none"/>
              </w:rPr>
            </w:pPr>
            <w:r>
              <w:rPr>
                <w:rFonts w:hint="eastAsia" w:ascii="Times New Roman" w:hAnsi="Times New Roman" w:eastAsia="宋体" w:cs="Times New Roman"/>
                <w:b/>
                <w:bCs/>
                <w:color w:val="auto"/>
                <w:sz w:val="24"/>
                <w:szCs w:val="24"/>
                <w:highlight w:val="none"/>
                <w:lang w:val="en-US" w:eastAsia="zh-CN"/>
              </w:rPr>
              <w:t>8</w:t>
            </w:r>
            <w:r>
              <w:rPr>
                <w:rFonts w:hint="default" w:ascii="Times New Roman" w:hAnsi="Times New Roman" w:eastAsia="宋体" w:cs="Times New Roman"/>
                <w:b/>
                <w:bCs/>
                <w:color w:val="auto"/>
                <w:sz w:val="24"/>
                <w:szCs w:val="24"/>
                <w:highlight w:val="none"/>
              </w:rPr>
              <w:t>.</w:t>
            </w:r>
            <w:r>
              <w:rPr>
                <w:rFonts w:hint="eastAsia" w:ascii="Times New Roman" w:hAnsi="Times New Roman" w:eastAsia="宋体" w:cs="Times New Roman"/>
                <w:b/>
                <w:bCs/>
                <w:color w:val="auto"/>
                <w:sz w:val="24"/>
                <w:szCs w:val="24"/>
                <w:highlight w:val="none"/>
                <w:lang w:val="en-US" w:eastAsia="zh-CN"/>
              </w:rPr>
              <w:t>4</w:t>
            </w:r>
            <w:r>
              <w:rPr>
                <w:rFonts w:hint="default" w:ascii="Times New Roman" w:hAnsi="Times New Roman" w:eastAsia="宋体" w:cs="Times New Roman"/>
                <w:b/>
                <w:bCs/>
                <w:color w:val="auto"/>
                <w:sz w:val="24"/>
                <w:szCs w:val="24"/>
                <w:highlight w:val="none"/>
              </w:rPr>
              <w:t>环境风险识别</w:t>
            </w:r>
          </w:p>
          <w:p w14:paraId="6B66AB23">
            <w:pPr>
              <w:pageBreakBefore w:val="0"/>
              <w:kinsoku/>
              <w:wordWrap/>
              <w:bidi w:val="0"/>
              <w:spacing w:after="0" w:afterLines="0" w:line="360" w:lineRule="auto"/>
              <w:ind w:firstLine="480"/>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依据《建设项目环境风险评价技术导则》（HJ169-2018），结合本项目实际情况，项目环境风险识别情况见下表。</w:t>
            </w:r>
          </w:p>
          <w:p w14:paraId="67698279">
            <w:pPr>
              <w:pageBreakBefore w:val="0"/>
              <w:kinsoku/>
              <w:wordWrap/>
              <w:bidi w:val="0"/>
              <w:spacing w:after="0" w:afterLines="0" w:line="240" w:lineRule="auto"/>
              <w:ind w:firstLine="422"/>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表</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5</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-5  环境风险识别一览表</w:t>
            </w:r>
          </w:p>
          <w:tbl>
            <w:tblPr>
              <w:tblStyle w:val="38"/>
              <w:tblW w:w="4997"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300"/>
              <w:gridCol w:w="1186"/>
              <w:gridCol w:w="1200"/>
              <w:gridCol w:w="1787"/>
              <w:gridCol w:w="1366"/>
              <w:gridCol w:w="1888"/>
            </w:tblGrid>
            <w:tr w14:paraId="6403D30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07" w:hRule="atLeast"/>
              </w:trPr>
              <w:tc>
                <w:tcPr>
                  <w:tcW w:w="745" w:type="pct"/>
                  <w:vAlign w:val="center"/>
                </w:tcPr>
                <w:p w14:paraId="3FC7B98C">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危险单元</w:t>
                  </w:r>
                </w:p>
              </w:tc>
              <w:tc>
                <w:tcPr>
                  <w:tcW w:w="679" w:type="pct"/>
                  <w:vAlign w:val="center"/>
                </w:tcPr>
                <w:p w14:paraId="430F40C2">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风险源</w:t>
                  </w:r>
                </w:p>
              </w:tc>
              <w:tc>
                <w:tcPr>
                  <w:tcW w:w="687" w:type="pct"/>
                  <w:vAlign w:val="center"/>
                </w:tcPr>
                <w:p w14:paraId="0641270E">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主要危险物质</w:t>
                  </w:r>
                </w:p>
              </w:tc>
              <w:tc>
                <w:tcPr>
                  <w:tcW w:w="1023" w:type="pct"/>
                  <w:vAlign w:val="center"/>
                </w:tcPr>
                <w:p w14:paraId="10FD0930">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环境风险类型</w:t>
                  </w:r>
                </w:p>
              </w:tc>
              <w:tc>
                <w:tcPr>
                  <w:tcW w:w="782" w:type="pct"/>
                  <w:vAlign w:val="center"/>
                </w:tcPr>
                <w:p w14:paraId="5B06FEC6">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环境影响</w:t>
                  </w:r>
                </w:p>
                <w:p w14:paraId="1DCAD05D">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途径</w:t>
                  </w:r>
                </w:p>
              </w:tc>
              <w:tc>
                <w:tcPr>
                  <w:tcW w:w="1081" w:type="pct"/>
                  <w:vAlign w:val="center"/>
                </w:tcPr>
                <w:p w14:paraId="4142543D">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可能受影响的环境敏感目标</w:t>
                  </w:r>
                </w:p>
              </w:tc>
            </w:tr>
            <w:tr w14:paraId="2024752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745" w:type="pct"/>
                  <w:vAlign w:val="center"/>
                </w:tcPr>
                <w:p w14:paraId="12A12AD8">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危废</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贮存库</w:t>
                  </w:r>
                </w:p>
              </w:tc>
              <w:tc>
                <w:tcPr>
                  <w:tcW w:w="679" w:type="pct"/>
                  <w:vAlign w:val="center"/>
                </w:tcPr>
                <w:p w14:paraId="62053388">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危废</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贮存库</w:t>
                  </w:r>
                </w:p>
              </w:tc>
              <w:tc>
                <w:tcPr>
                  <w:tcW w:w="687" w:type="pct"/>
                  <w:vAlign w:val="center"/>
                </w:tcPr>
                <w:p w14:paraId="23BB9F79">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废机油</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及油桶</w:t>
                  </w:r>
                </w:p>
              </w:tc>
              <w:tc>
                <w:tcPr>
                  <w:tcW w:w="1023" w:type="pct"/>
                  <w:vAlign w:val="center"/>
                </w:tcPr>
                <w:p w14:paraId="22DDB5B8">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泄漏引发的次生污染</w:t>
                  </w:r>
                </w:p>
              </w:tc>
              <w:tc>
                <w:tcPr>
                  <w:tcW w:w="782" w:type="pct"/>
                  <w:vAlign w:val="center"/>
                </w:tcPr>
                <w:p w14:paraId="76340A5B">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地下水、大气、土壤</w:t>
                  </w:r>
                </w:p>
              </w:tc>
              <w:tc>
                <w:tcPr>
                  <w:tcW w:w="1081" w:type="pct"/>
                  <w:vAlign w:val="center"/>
                </w:tcPr>
                <w:p w14:paraId="7D0AB171">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项目区及周边</w:t>
                  </w:r>
                </w:p>
              </w:tc>
            </w:tr>
            <w:tr w14:paraId="39F7BC3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745" w:type="pct"/>
                  <w:vAlign w:val="center"/>
                </w:tcPr>
                <w:p w14:paraId="53D18056">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矿区</w:t>
                  </w:r>
                </w:p>
              </w:tc>
              <w:tc>
                <w:tcPr>
                  <w:tcW w:w="679" w:type="pct"/>
                  <w:vAlign w:val="center"/>
                </w:tcPr>
                <w:p w14:paraId="3C151248">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矿区</w:t>
                  </w:r>
                </w:p>
              </w:tc>
              <w:tc>
                <w:tcPr>
                  <w:tcW w:w="687" w:type="pct"/>
                  <w:vAlign w:val="center"/>
                </w:tcPr>
                <w:p w14:paraId="261C27E6">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坍塌、泥石流、洪水</w:t>
                  </w:r>
                </w:p>
              </w:tc>
              <w:tc>
                <w:tcPr>
                  <w:tcW w:w="1023" w:type="pct"/>
                  <w:vAlign w:val="center"/>
                </w:tcPr>
                <w:p w14:paraId="6FE2871F">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坍塌、泥石流、洪水</w:t>
                  </w:r>
                </w:p>
              </w:tc>
              <w:tc>
                <w:tcPr>
                  <w:tcW w:w="782" w:type="pct"/>
                  <w:vAlign w:val="center"/>
                </w:tcPr>
                <w:p w14:paraId="26BA18A3">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大气、土壤</w:t>
                  </w:r>
                </w:p>
              </w:tc>
              <w:tc>
                <w:tcPr>
                  <w:tcW w:w="1081" w:type="pct"/>
                  <w:vAlign w:val="center"/>
                </w:tcPr>
                <w:p w14:paraId="30CD0458">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项目区及周边</w:t>
                  </w:r>
                </w:p>
              </w:tc>
            </w:tr>
          </w:tbl>
          <w:p w14:paraId="2344C8D1">
            <w:pPr>
              <w:pageBreakBefore w:val="0"/>
              <w:kinsoku/>
              <w:wordWrap/>
              <w:bidi w:val="0"/>
              <w:spacing w:after="0" w:afterLines="0" w:line="360" w:lineRule="auto"/>
              <w:ind w:firstLine="0" w:firstLineChars="0"/>
              <w:rPr>
                <w:rFonts w:hint="default" w:ascii="Times New Roman" w:hAnsi="Times New Roman" w:eastAsia="宋体" w:cs="Times New Roman"/>
                <w:b/>
                <w:bCs/>
                <w:color w:val="000000" w:themeColor="text1"/>
                <w:sz w:val="24"/>
                <w:szCs w:val="24"/>
                <w:highlight w:val="none"/>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8</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w:t>
            </w: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b/>
                <w:bCs/>
                <w:color w:val="000000" w:themeColor="text1"/>
                <w:sz w:val="24"/>
                <w:szCs w:val="24"/>
                <w:highlight w:val="none"/>
                <w14:textFill>
                  <w14:solidFill>
                    <w14:schemeClr w14:val="tx1"/>
                  </w14:solidFill>
                </w14:textFill>
              </w:rPr>
              <w:t xml:space="preserve"> 环境风险分析</w:t>
            </w:r>
          </w:p>
          <w:p w14:paraId="12F444E0">
            <w:pPr>
              <w:pageBreakBefore w:val="0"/>
              <w:kinsoku/>
              <w:wordWrap/>
              <w:bidi w:val="0"/>
              <w:spacing w:after="0" w:afterLines="0" w:line="240" w:lineRule="auto"/>
              <w:ind w:firstLine="422"/>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表</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5</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 xml:space="preserve">6   </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 xml:space="preserve"> 本项目环境风险一览表</w:t>
            </w:r>
          </w:p>
          <w:tbl>
            <w:tblPr>
              <w:tblStyle w:val="38"/>
              <w:tblW w:w="8711"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418"/>
              <w:gridCol w:w="612"/>
              <w:gridCol w:w="880"/>
              <w:gridCol w:w="1385"/>
              <w:gridCol w:w="1829"/>
              <w:gridCol w:w="3587"/>
            </w:tblGrid>
            <w:tr w14:paraId="1395E1B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62" w:hRule="atLeast"/>
                <w:jc w:val="center"/>
              </w:trPr>
              <w:tc>
                <w:tcPr>
                  <w:tcW w:w="418" w:type="dxa"/>
                  <w:tcBorders>
                    <w:bottom w:val="single" w:color="000000" w:sz="12" w:space="0"/>
                    <w:tl2br w:val="nil"/>
                    <w:tr2bl w:val="nil"/>
                  </w:tcBorders>
                  <w:shd w:val="clear" w:color="auto" w:fill="auto"/>
                  <w:vAlign w:val="center"/>
                </w:tcPr>
                <w:p w14:paraId="3B103EE0">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序号</w:t>
                  </w:r>
                </w:p>
              </w:tc>
              <w:tc>
                <w:tcPr>
                  <w:tcW w:w="1492" w:type="dxa"/>
                  <w:gridSpan w:val="2"/>
                  <w:tcBorders>
                    <w:bottom w:val="single" w:color="000000" w:sz="12" w:space="0"/>
                    <w:tl2br w:val="nil"/>
                    <w:tr2bl w:val="nil"/>
                  </w:tcBorders>
                  <w:shd w:val="clear" w:color="auto" w:fill="auto"/>
                  <w:vAlign w:val="center"/>
                </w:tcPr>
                <w:p w14:paraId="5907E795">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风险源</w:t>
                  </w:r>
                </w:p>
              </w:tc>
              <w:tc>
                <w:tcPr>
                  <w:tcW w:w="1385" w:type="dxa"/>
                  <w:tcBorders>
                    <w:bottom w:val="single" w:color="000000" w:sz="12" w:space="0"/>
                    <w:tl2br w:val="nil"/>
                    <w:tr2bl w:val="nil"/>
                  </w:tcBorders>
                  <w:shd w:val="clear" w:color="auto" w:fill="auto"/>
                  <w:vAlign w:val="center"/>
                </w:tcPr>
                <w:p w14:paraId="1466F3AF">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风险类型</w:t>
                  </w:r>
                </w:p>
              </w:tc>
              <w:tc>
                <w:tcPr>
                  <w:tcW w:w="1829" w:type="dxa"/>
                  <w:tcBorders>
                    <w:bottom w:val="single" w:color="000000" w:sz="12" w:space="0"/>
                    <w:tl2br w:val="nil"/>
                    <w:tr2bl w:val="nil"/>
                  </w:tcBorders>
                  <w:shd w:val="clear" w:color="auto" w:fill="auto"/>
                  <w:vAlign w:val="center"/>
                </w:tcPr>
                <w:p w14:paraId="3A1C8F2E">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主要污染途径</w:t>
                  </w:r>
                </w:p>
              </w:tc>
              <w:tc>
                <w:tcPr>
                  <w:tcW w:w="3587" w:type="dxa"/>
                  <w:tcBorders>
                    <w:bottom w:val="single" w:color="000000" w:sz="12" w:space="0"/>
                    <w:tl2br w:val="nil"/>
                    <w:tr2bl w:val="nil"/>
                  </w:tcBorders>
                  <w:shd w:val="clear" w:color="auto" w:fill="auto"/>
                  <w:vAlign w:val="center"/>
                </w:tcPr>
                <w:p w14:paraId="4D1F10BF">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可能造成的危害后果</w:t>
                  </w:r>
                </w:p>
              </w:tc>
            </w:tr>
            <w:tr w14:paraId="68A9534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635" w:hRule="atLeast"/>
                <w:jc w:val="center"/>
              </w:trPr>
              <w:tc>
                <w:tcPr>
                  <w:tcW w:w="418" w:type="dxa"/>
                  <w:tcBorders>
                    <w:top w:val="single" w:color="000000" w:sz="12" w:space="0"/>
                    <w:tl2br w:val="nil"/>
                    <w:tr2bl w:val="nil"/>
                  </w:tcBorders>
                  <w:shd w:val="clear" w:color="auto" w:fill="auto"/>
                  <w:vAlign w:val="center"/>
                </w:tcPr>
                <w:p w14:paraId="67312F4E">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w:t>
                  </w:r>
                </w:p>
              </w:tc>
              <w:tc>
                <w:tcPr>
                  <w:tcW w:w="612" w:type="dxa"/>
                  <w:vMerge w:val="restart"/>
                  <w:tcBorders>
                    <w:top w:val="single" w:color="000000" w:sz="12" w:space="0"/>
                    <w:tl2br w:val="nil"/>
                    <w:tr2bl w:val="nil"/>
                  </w:tcBorders>
                  <w:shd w:val="clear" w:color="auto" w:fill="auto"/>
                  <w:vAlign w:val="center"/>
                </w:tcPr>
                <w:p w14:paraId="323781AB">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危废</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贮存库</w:t>
                  </w:r>
                </w:p>
              </w:tc>
              <w:tc>
                <w:tcPr>
                  <w:tcW w:w="880" w:type="dxa"/>
                  <w:vMerge w:val="restart"/>
                  <w:tcBorders>
                    <w:top w:val="single" w:color="000000" w:sz="12" w:space="0"/>
                    <w:tl2br w:val="nil"/>
                    <w:tr2bl w:val="nil"/>
                  </w:tcBorders>
                  <w:shd w:val="clear" w:color="auto" w:fill="auto"/>
                  <w:vAlign w:val="center"/>
                </w:tcPr>
                <w:p w14:paraId="0105D134">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废机油</w:t>
                  </w:r>
                </w:p>
              </w:tc>
              <w:tc>
                <w:tcPr>
                  <w:tcW w:w="1385" w:type="dxa"/>
                  <w:tcBorders>
                    <w:top w:val="single" w:color="000000" w:sz="12" w:space="0"/>
                    <w:tl2br w:val="nil"/>
                    <w:tr2bl w:val="nil"/>
                  </w:tcBorders>
                  <w:shd w:val="clear" w:color="auto" w:fill="auto"/>
                  <w:vAlign w:val="center"/>
                </w:tcPr>
                <w:p w14:paraId="0DC7B011">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废机油发生火灾、爆炸引发伴生/次生污染物排放</w:t>
                  </w:r>
                </w:p>
              </w:tc>
              <w:tc>
                <w:tcPr>
                  <w:tcW w:w="1829" w:type="dxa"/>
                  <w:tcBorders>
                    <w:top w:val="single" w:color="000000" w:sz="12" w:space="0"/>
                    <w:tl2br w:val="nil"/>
                    <w:tr2bl w:val="nil"/>
                  </w:tcBorders>
                  <w:shd w:val="clear" w:color="auto" w:fill="auto"/>
                  <w:vAlign w:val="center"/>
                </w:tcPr>
                <w:p w14:paraId="39BDBBE7">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废机油泄漏→发生火灾爆炸→燃烧形成的伴生/次生污染物随风速和风向扩散到大气环境；</w:t>
                  </w:r>
                </w:p>
              </w:tc>
              <w:tc>
                <w:tcPr>
                  <w:tcW w:w="3587" w:type="dxa"/>
                  <w:tcBorders>
                    <w:top w:val="single" w:color="000000" w:sz="12" w:space="0"/>
                    <w:tl2br w:val="nil"/>
                    <w:tr2bl w:val="nil"/>
                  </w:tcBorders>
                  <w:shd w:val="clear" w:color="auto" w:fill="auto"/>
                  <w:vAlign w:val="center"/>
                </w:tcPr>
                <w:p w14:paraId="030ED4DD">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发生火灾、爆炸事件时会产生大量的NOx、CO等可能引发伴生/次生污染的物质，造成厂区周边大气环境明显污染及人员伤亡；</w:t>
                  </w:r>
                </w:p>
              </w:tc>
            </w:tr>
            <w:tr w14:paraId="0D7932A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372" w:hRule="atLeast"/>
                <w:jc w:val="center"/>
              </w:trPr>
              <w:tc>
                <w:tcPr>
                  <w:tcW w:w="418" w:type="dxa"/>
                  <w:tcBorders>
                    <w:tl2br w:val="nil"/>
                    <w:tr2bl w:val="nil"/>
                  </w:tcBorders>
                  <w:shd w:val="clear" w:color="auto" w:fill="auto"/>
                  <w:vAlign w:val="center"/>
                </w:tcPr>
                <w:p w14:paraId="329D16C0">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w:t>
                  </w:r>
                </w:p>
              </w:tc>
              <w:tc>
                <w:tcPr>
                  <w:tcW w:w="612" w:type="dxa"/>
                  <w:vMerge w:val="continue"/>
                  <w:tcBorders>
                    <w:tl2br w:val="nil"/>
                    <w:tr2bl w:val="nil"/>
                  </w:tcBorders>
                  <w:shd w:val="clear" w:color="auto" w:fill="auto"/>
                  <w:vAlign w:val="center"/>
                </w:tcPr>
                <w:p w14:paraId="1A32EEE2">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880" w:type="dxa"/>
                  <w:vMerge w:val="continue"/>
                  <w:tcBorders>
                    <w:tl2br w:val="nil"/>
                    <w:tr2bl w:val="nil"/>
                  </w:tcBorders>
                  <w:shd w:val="clear" w:color="auto" w:fill="auto"/>
                  <w:vAlign w:val="center"/>
                </w:tcPr>
                <w:p w14:paraId="15BFB210">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p>
              </w:tc>
              <w:tc>
                <w:tcPr>
                  <w:tcW w:w="1385" w:type="dxa"/>
                  <w:tcBorders>
                    <w:tl2br w:val="nil"/>
                    <w:tr2bl w:val="nil"/>
                  </w:tcBorders>
                  <w:shd w:val="clear" w:color="auto" w:fill="auto"/>
                  <w:vAlign w:val="center"/>
                </w:tcPr>
                <w:p w14:paraId="3B53696D">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废机油</w:t>
                  </w:r>
                </w:p>
              </w:tc>
              <w:tc>
                <w:tcPr>
                  <w:tcW w:w="1829" w:type="dxa"/>
                  <w:tcBorders>
                    <w:tl2br w:val="nil"/>
                    <w:tr2bl w:val="nil"/>
                  </w:tcBorders>
                  <w:shd w:val="clear" w:color="auto" w:fill="auto"/>
                  <w:vAlign w:val="center"/>
                </w:tcPr>
                <w:p w14:paraId="5FB40A80">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废机油/消防水→随地表径流进入地表水体→通过破损的地面等下渗经包气带进入浅层地下水造成污染</w:t>
                  </w:r>
                </w:p>
              </w:tc>
              <w:tc>
                <w:tcPr>
                  <w:tcW w:w="3587" w:type="dxa"/>
                  <w:tcBorders>
                    <w:tl2br w:val="nil"/>
                    <w:tr2bl w:val="nil"/>
                  </w:tcBorders>
                  <w:shd w:val="clear" w:color="auto" w:fill="auto"/>
                  <w:vAlign w:val="center"/>
                </w:tcPr>
                <w:p w14:paraId="26FDC159">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①一般情况下，废机油泄漏产生的泄漏液和火灾产生的消防废水可能流入到地表水环境中对地表水体造成污染，进而通过破损的地面等下渗经包气带进入浅层地下水造成污染；②暴雨等异常天气下，泄漏液、消防废水和被污染的雨水等导致产生更多的污染水可能流入到地表水环境对地表水体造成污染，进而通过破损的地面等下渗经包气带进入浅层地下水造成污染。</w:t>
                  </w:r>
                </w:p>
              </w:tc>
            </w:tr>
            <w:tr w14:paraId="1F6D804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372" w:hRule="atLeast"/>
                <w:jc w:val="center"/>
              </w:trPr>
              <w:tc>
                <w:tcPr>
                  <w:tcW w:w="418" w:type="dxa"/>
                  <w:tcBorders>
                    <w:tl2br w:val="nil"/>
                    <w:tr2bl w:val="nil"/>
                  </w:tcBorders>
                  <w:shd w:val="clear" w:color="auto" w:fill="auto"/>
                  <w:vAlign w:val="center"/>
                </w:tcPr>
                <w:p w14:paraId="22794998">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3</w:t>
                  </w:r>
                </w:p>
              </w:tc>
              <w:tc>
                <w:tcPr>
                  <w:tcW w:w="612" w:type="dxa"/>
                  <w:tcBorders>
                    <w:tl2br w:val="nil"/>
                    <w:tr2bl w:val="nil"/>
                  </w:tcBorders>
                  <w:shd w:val="clear" w:color="auto" w:fill="auto"/>
                  <w:vAlign w:val="center"/>
                </w:tcPr>
                <w:p w14:paraId="749ECE0F">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矿区</w:t>
                  </w:r>
                </w:p>
              </w:tc>
              <w:tc>
                <w:tcPr>
                  <w:tcW w:w="880" w:type="dxa"/>
                  <w:tcBorders>
                    <w:tl2br w:val="nil"/>
                    <w:tr2bl w:val="nil"/>
                  </w:tcBorders>
                  <w:shd w:val="clear" w:color="auto" w:fill="auto"/>
                  <w:vAlign w:val="center"/>
                </w:tcPr>
                <w:p w14:paraId="09DA81FB">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地质灾害</w:t>
                  </w:r>
                </w:p>
              </w:tc>
              <w:tc>
                <w:tcPr>
                  <w:tcW w:w="1385" w:type="dxa"/>
                  <w:tcBorders>
                    <w:tl2br w:val="nil"/>
                    <w:tr2bl w:val="nil"/>
                  </w:tcBorders>
                  <w:shd w:val="clear" w:color="auto" w:fill="auto"/>
                  <w:vAlign w:val="center"/>
                </w:tcPr>
                <w:p w14:paraId="4BEEC03D">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地面塌陷</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、泥石流、洪水</w:t>
                  </w:r>
                </w:p>
              </w:tc>
              <w:tc>
                <w:tcPr>
                  <w:tcW w:w="1829" w:type="dxa"/>
                  <w:tcBorders>
                    <w:tl2br w:val="nil"/>
                    <w:tr2bl w:val="nil"/>
                  </w:tcBorders>
                  <w:shd w:val="clear" w:color="auto" w:fill="auto"/>
                  <w:vAlign w:val="center"/>
                </w:tcPr>
                <w:p w14:paraId="37338A71">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地面塌陷</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、泥石流、洪水</w:t>
                  </w:r>
                </w:p>
              </w:tc>
              <w:tc>
                <w:tcPr>
                  <w:tcW w:w="3587" w:type="dxa"/>
                  <w:tcBorders>
                    <w:tl2br w:val="nil"/>
                    <w:tr2bl w:val="nil"/>
                  </w:tcBorders>
                  <w:shd w:val="clear" w:color="auto" w:fill="auto"/>
                  <w:vAlign w:val="center"/>
                </w:tcPr>
                <w:p w14:paraId="44DB383B">
                  <w:pPr>
                    <w:pageBreakBefore w:val="0"/>
                    <w:kinsoku/>
                    <w:wordWrap/>
                    <w:bidi w:val="0"/>
                    <w:spacing w:after="0" w:afterLines="0"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对事故区域及下游环境质量及人员健康安全产生的影响</w:t>
                  </w:r>
                </w:p>
              </w:tc>
            </w:tr>
          </w:tbl>
          <w:p w14:paraId="0FBB65A1">
            <w:pPr>
              <w:pageBreakBefore w:val="0"/>
              <w:kinsoku/>
              <w:wordWrap/>
              <w:bidi w:val="0"/>
              <w:spacing w:after="0" w:afterLines="0" w:line="360" w:lineRule="auto"/>
              <w:ind w:firstLine="0" w:firstLineChars="0"/>
              <w:rPr>
                <w:rFonts w:hint="default" w:ascii="Times New Roman" w:hAnsi="Times New Roman" w:eastAsia="宋体" w:cs="Times New Roman"/>
                <w:b/>
                <w:bCs/>
                <w:color w:val="auto"/>
                <w:sz w:val="24"/>
                <w:szCs w:val="24"/>
                <w:highlight w:val="none"/>
              </w:rPr>
            </w:pPr>
            <w:r>
              <w:rPr>
                <w:rFonts w:hint="eastAsia" w:ascii="Times New Roman" w:hAnsi="Times New Roman" w:eastAsia="宋体" w:cs="Times New Roman"/>
                <w:b/>
                <w:bCs/>
                <w:color w:val="auto"/>
                <w:sz w:val="24"/>
                <w:szCs w:val="24"/>
                <w:highlight w:val="none"/>
                <w:lang w:val="en-US" w:eastAsia="zh-CN"/>
              </w:rPr>
              <w:t>8</w:t>
            </w:r>
            <w:r>
              <w:rPr>
                <w:rFonts w:hint="default" w:ascii="Times New Roman" w:hAnsi="Times New Roman" w:eastAsia="宋体" w:cs="Times New Roman"/>
                <w:b/>
                <w:bCs/>
                <w:color w:val="auto"/>
                <w:sz w:val="24"/>
                <w:szCs w:val="24"/>
                <w:highlight w:val="none"/>
              </w:rPr>
              <w:t>.</w:t>
            </w:r>
            <w:r>
              <w:rPr>
                <w:rFonts w:hint="eastAsia" w:ascii="Times New Roman" w:hAnsi="Times New Roman" w:eastAsia="宋体" w:cs="Times New Roman"/>
                <w:b/>
                <w:bCs/>
                <w:color w:val="auto"/>
                <w:sz w:val="24"/>
                <w:szCs w:val="24"/>
                <w:highlight w:val="none"/>
                <w:lang w:val="en-US" w:eastAsia="zh-CN"/>
              </w:rPr>
              <w:t>6</w:t>
            </w:r>
            <w:r>
              <w:rPr>
                <w:rFonts w:hint="default" w:ascii="Times New Roman" w:hAnsi="Times New Roman" w:eastAsia="宋体" w:cs="Times New Roman"/>
                <w:b/>
                <w:bCs/>
                <w:color w:val="auto"/>
                <w:sz w:val="24"/>
                <w:szCs w:val="24"/>
                <w:highlight w:val="none"/>
              </w:rPr>
              <w:t>环境风险防范措施及应急要求</w:t>
            </w:r>
          </w:p>
          <w:p w14:paraId="2E7B6AB7">
            <w:pPr>
              <w:pageBreakBefore w:val="0"/>
              <w:widowControl/>
              <w:tabs>
                <w:tab w:val="left" w:pos="334"/>
              </w:tabs>
              <w:kinsoku/>
              <w:wordWrap/>
              <w:bidi w:val="0"/>
              <w:spacing w:after="0" w:afterLines="0" w:line="360" w:lineRule="auto"/>
              <w:ind w:firstLine="0" w:firstLineChars="0"/>
              <w:jc w:val="left"/>
              <w:rPr>
                <w:rFonts w:hint="default" w:ascii="Times New Roman" w:hAnsi="Times New Roman" w:eastAsia="宋体" w:cs="Times New Roman"/>
                <w:b/>
                <w:bCs/>
                <w:color w:val="auto"/>
                <w:sz w:val="24"/>
                <w:szCs w:val="24"/>
                <w:highlight w:val="none"/>
              </w:rPr>
            </w:pPr>
            <w:r>
              <w:rPr>
                <w:rFonts w:hint="eastAsia" w:ascii="Times New Roman" w:hAnsi="Times New Roman" w:eastAsia="宋体" w:cs="Times New Roman"/>
                <w:b/>
                <w:bCs/>
                <w:color w:val="auto"/>
                <w:kern w:val="0"/>
                <w:sz w:val="24"/>
                <w:szCs w:val="24"/>
                <w:highlight w:val="none"/>
                <w:lang w:val="en-US" w:eastAsia="zh-CN" w:bidi="ar"/>
              </w:rPr>
              <w:t>8</w:t>
            </w:r>
            <w:r>
              <w:rPr>
                <w:rFonts w:hint="default" w:ascii="Times New Roman" w:hAnsi="Times New Roman" w:eastAsia="宋体" w:cs="Times New Roman"/>
                <w:b/>
                <w:bCs/>
                <w:color w:val="auto"/>
                <w:kern w:val="0"/>
                <w:sz w:val="24"/>
                <w:szCs w:val="24"/>
                <w:highlight w:val="none"/>
                <w:lang w:bidi="ar"/>
              </w:rPr>
              <w:t>.</w:t>
            </w:r>
            <w:r>
              <w:rPr>
                <w:rFonts w:hint="eastAsia" w:ascii="Times New Roman" w:hAnsi="Times New Roman" w:eastAsia="宋体" w:cs="Times New Roman"/>
                <w:b/>
                <w:bCs/>
                <w:color w:val="auto"/>
                <w:kern w:val="0"/>
                <w:sz w:val="24"/>
                <w:szCs w:val="24"/>
                <w:highlight w:val="none"/>
                <w:lang w:val="en-US" w:eastAsia="zh-CN" w:bidi="ar"/>
              </w:rPr>
              <w:t>6</w:t>
            </w:r>
            <w:r>
              <w:rPr>
                <w:rFonts w:hint="default" w:ascii="Times New Roman" w:hAnsi="Times New Roman" w:eastAsia="宋体" w:cs="Times New Roman"/>
                <w:b/>
                <w:bCs/>
                <w:color w:val="auto"/>
                <w:kern w:val="0"/>
                <w:sz w:val="24"/>
                <w:szCs w:val="24"/>
                <w:highlight w:val="none"/>
                <w:lang w:bidi="ar"/>
              </w:rPr>
              <w:t>.1 环境风险事故防范措施</w:t>
            </w:r>
          </w:p>
          <w:p w14:paraId="23BABAF6">
            <w:pPr>
              <w:pageBreakBefore w:val="0"/>
              <w:kinsoku/>
              <w:wordWrap/>
              <w:bidi w:val="0"/>
              <w:spacing w:after="0" w:afterLines="0"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本项目风险物质为废机油泄漏和火灾，根据实际情况，评价提出以下风险防范措施。</w:t>
            </w:r>
          </w:p>
          <w:p w14:paraId="5FD02291">
            <w:pPr>
              <w:pageBreakBefore w:val="0"/>
              <w:kinsoku/>
              <w:wordWrap/>
              <w:bidi w:val="0"/>
              <w:spacing w:after="0" w:afterLines="0"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（1）废机油泄漏风险防范措施</w:t>
            </w:r>
          </w:p>
          <w:p w14:paraId="18EE6387">
            <w:pPr>
              <w:pageBreakBefore w:val="0"/>
              <w:kinsoku/>
              <w:wordWrap/>
              <w:bidi w:val="0"/>
              <w:spacing w:after="0" w:afterLines="0"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1）废油所在危废</w:t>
            </w:r>
            <w:r>
              <w:rPr>
                <w:rFonts w:hint="default" w:ascii="Times New Roman" w:hAnsi="Times New Roman" w:eastAsia="宋体" w:cs="Times New Roman"/>
                <w:color w:val="auto"/>
                <w:sz w:val="24"/>
                <w:szCs w:val="24"/>
                <w:highlight w:val="none"/>
                <w:lang w:val="en-US" w:eastAsia="zh-CN"/>
              </w:rPr>
              <w:t>贮存库</w:t>
            </w:r>
            <w:r>
              <w:rPr>
                <w:rFonts w:hint="default" w:ascii="Times New Roman" w:hAnsi="Times New Roman" w:eastAsia="宋体" w:cs="Times New Roman"/>
                <w:color w:val="auto"/>
                <w:sz w:val="24"/>
                <w:szCs w:val="24"/>
                <w:highlight w:val="none"/>
              </w:rPr>
              <w:t>地面须采取硬化防渗、防腐措施，各类危险化学品应分类贮存并张贴相应的危化品标识，健全库管制度，建立进出库台账记录；</w:t>
            </w:r>
          </w:p>
          <w:p w14:paraId="0D9044E5">
            <w:pPr>
              <w:pageBreakBefore w:val="0"/>
              <w:kinsoku/>
              <w:wordWrap/>
              <w:bidi w:val="0"/>
              <w:spacing w:after="0" w:afterLines="0"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2）在贮存期内，定期检查，发现其品质变化、包装破损、渗漏等应及时处理；</w:t>
            </w:r>
          </w:p>
          <w:p w14:paraId="4017969D">
            <w:pPr>
              <w:pageBreakBefore w:val="0"/>
              <w:kinsoku/>
              <w:wordWrap/>
              <w:bidi w:val="0"/>
              <w:spacing w:after="0" w:afterLines="0"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3）危废</w:t>
            </w:r>
            <w:r>
              <w:rPr>
                <w:rFonts w:hint="default" w:ascii="Times New Roman" w:hAnsi="Times New Roman" w:eastAsia="宋体" w:cs="Times New Roman"/>
                <w:color w:val="auto"/>
                <w:sz w:val="24"/>
                <w:szCs w:val="24"/>
                <w:highlight w:val="none"/>
                <w:lang w:val="en-US" w:eastAsia="zh-CN"/>
              </w:rPr>
              <w:t>贮存库</w:t>
            </w:r>
            <w:r>
              <w:rPr>
                <w:rFonts w:hint="default" w:ascii="Times New Roman" w:hAnsi="Times New Roman" w:eastAsia="宋体" w:cs="Times New Roman"/>
                <w:color w:val="auto"/>
                <w:sz w:val="24"/>
                <w:szCs w:val="24"/>
                <w:highlight w:val="none"/>
              </w:rPr>
              <w:t>应配备有相应的足量应急物资、消防设施等，如防毒面具、喷淋设施、砂土等，并配备经过培训的应急人员。</w:t>
            </w:r>
          </w:p>
          <w:p w14:paraId="310DACCB">
            <w:pPr>
              <w:pageBreakBefore w:val="0"/>
              <w:kinsoku/>
              <w:wordWrap/>
              <w:bidi w:val="0"/>
              <w:spacing w:after="0" w:afterLines="0"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对区域内容易引发重大突发环境事件的环境危险源、危险区域进行调查、登记、风险评估，对环境危险源、危险区域定期组织（每月不得少于一次）进行检查、监控，并采取安全防范措施，对突发环境事件进行预防，公司设置专人每天进行巡检，定期对各环保设施进行巡查，一旦发现破损，及时检修。</w:t>
            </w:r>
          </w:p>
          <w:p w14:paraId="516E8194">
            <w:pPr>
              <w:pageBreakBefore w:val="0"/>
              <w:kinsoku/>
              <w:wordWrap/>
              <w:bidi w:val="0"/>
              <w:spacing w:after="0" w:afterLines="0"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5）危险废物应严格按照《危险废物贮存污染控制标准》进行储存，危险废物分类分区在危废贮存间暂存，交由有危险废物处置资质的单位定期进行回收处理。</w:t>
            </w:r>
          </w:p>
          <w:p w14:paraId="0CD2DE73">
            <w:pPr>
              <w:pageBreakBefore w:val="0"/>
              <w:kinsoku/>
              <w:wordWrap/>
              <w:bidi w:val="0"/>
              <w:spacing w:after="0" w:afterLines="0"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6）危险废物</w:t>
            </w:r>
            <w:r>
              <w:rPr>
                <w:rFonts w:hint="default" w:ascii="Times New Roman" w:hAnsi="Times New Roman" w:eastAsia="宋体" w:cs="Times New Roman"/>
                <w:color w:val="auto"/>
                <w:sz w:val="24"/>
                <w:szCs w:val="24"/>
                <w:highlight w:val="none"/>
                <w:lang w:val="en-US" w:eastAsia="zh-CN"/>
              </w:rPr>
              <w:t>贮存库</w:t>
            </w:r>
            <w:r>
              <w:rPr>
                <w:rFonts w:hint="default" w:ascii="Times New Roman" w:hAnsi="Times New Roman" w:eastAsia="宋体" w:cs="Times New Roman"/>
                <w:color w:val="auto"/>
                <w:sz w:val="24"/>
                <w:szCs w:val="24"/>
                <w:highlight w:val="none"/>
              </w:rPr>
              <w:t>要防风、防雨、防晒、防渗，不得堆放在露天场地，避免遭受雨淋水浸；不得存放在阳光直接照射、高温及潮湿的地方。</w:t>
            </w:r>
          </w:p>
          <w:p w14:paraId="244B7E39">
            <w:pPr>
              <w:pageBreakBefore w:val="0"/>
              <w:kinsoku/>
              <w:wordWrap/>
              <w:autoSpaceDE w:val="0"/>
              <w:autoSpaceDN w:val="0"/>
              <w:bidi w:val="0"/>
              <w:spacing w:after="0" w:afterLines="0" w:line="360" w:lineRule="auto"/>
              <w:ind w:firstLine="48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7）危废</w:t>
            </w:r>
            <w:r>
              <w:rPr>
                <w:rFonts w:hint="default" w:ascii="Times New Roman" w:hAnsi="Times New Roman" w:eastAsia="宋体" w:cs="Times New Roman"/>
                <w:color w:val="auto"/>
                <w:sz w:val="24"/>
                <w:szCs w:val="24"/>
                <w:highlight w:val="none"/>
                <w:lang w:val="en-US" w:eastAsia="zh-CN"/>
              </w:rPr>
              <w:t>贮存库</w:t>
            </w:r>
            <w:r>
              <w:rPr>
                <w:rFonts w:hint="default" w:ascii="Times New Roman" w:hAnsi="Times New Roman" w:eastAsia="宋体" w:cs="Times New Roman"/>
                <w:color w:val="auto"/>
                <w:sz w:val="24"/>
                <w:szCs w:val="24"/>
                <w:highlight w:val="none"/>
              </w:rPr>
              <w:t>应做地面防渗处理，防渗层为至少1m厚粘土层（渗透系数≤10</w:t>
            </w:r>
            <w:r>
              <w:rPr>
                <w:rFonts w:hint="default" w:ascii="Times New Roman" w:hAnsi="Times New Roman" w:eastAsia="宋体" w:cs="Times New Roman"/>
                <w:color w:val="auto"/>
                <w:sz w:val="24"/>
                <w:szCs w:val="24"/>
                <w:highlight w:val="none"/>
                <w:vertAlign w:val="superscript"/>
              </w:rPr>
              <w:t>-7</w:t>
            </w:r>
            <w:r>
              <w:rPr>
                <w:rFonts w:hint="default" w:ascii="Times New Roman" w:hAnsi="Times New Roman" w:eastAsia="宋体" w:cs="Times New Roman"/>
                <w:color w:val="auto"/>
                <w:sz w:val="24"/>
                <w:szCs w:val="24"/>
                <w:highlight w:val="none"/>
              </w:rPr>
              <w:t>cm/s），或至少2mm厚的其它人工材料，渗透系数≤10</w:t>
            </w:r>
            <w:r>
              <w:rPr>
                <w:rFonts w:hint="default" w:ascii="Times New Roman" w:hAnsi="Times New Roman" w:eastAsia="宋体" w:cs="Times New Roman"/>
                <w:color w:val="auto"/>
                <w:sz w:val="24"/>
                <w:szCs w:val="24"/>
                <w:highlight w:val="none"/>
                <w:vertAlign w:val="superscript"/>
              </w:rPr>
              <w:t>-10</w:t>
            </w:r>
            <w:r>
              <w:rPr>
                <w:rFonts w:hint="default" w:ascii="Times New Roman" w:hAnsi="Times New Roman" w:eastAsia="宋体" w:cs="Times New Roman"/>
                <w:color w:val="auto"/>
                <w:sz w:val="24"/>
                <w:szCs w:val="24"/>
                <w:highlight w:val="none"/>
              </w:rPr>
              <w:t>cm/s。</w:t>
            </w:r>
          </w:p>
          <w:p w14:paraId="75BD7910">
            <w:pPr>
              <w:pageBreakBefore w:val="0"/>
              <w:kinsoku/>
              <w:wordWrap/>
              <w:bidi w:val="0"/>
              <w:spacing w:after="0" w:afterLines="0"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8）危险废物</w:t>
            </w:r>
            <w:r>
              <w:rPr>
                <w:rFonts w:hint="default" w:ascii="Times New Roman" w:hAnsi="Times New Roman" w:eastAsia="宋体" w:cs="Times New Roman"/>
                <w:color w:val="auto"/>
                <w:sz w:val="24"/>
                <w:szCs w:val="24"/>
                <w:highlight w:val="none"/>
                <w:lang w:val="en-US" w:eastAsia="zh-CN"/>
              </w:rPr>
              <w:t>贮存库</w:t>
            </w:r>
            <w:r>
              <w:rPr>
                <w:rFonts w:hint="default" w:ascii="Times New Roman" w:hAnsi="Times New Roman" w:eastAsia="宋体" w:cs="Times New Roman"/>
                <w:color w:val="auto"/>
                <w:sz w:val="24"/>
                <w:szCs w:val="24"/>
                <w:highlight w:val="none"/>
              </w:rPr>
              <w:t>应设专人管理，管理人员须具备相关方面的专业知识，并定期组织应急演练，了解消防、环保常识。</w:t>
            </w:r>
          </w:p>
          <w:p w14:paraId="3FC1E00E">
            <w:pPr>
              <w:pageBreakBefore w:val="0"/>
              <w:kinsoku/>
              <w:wordWrap/>
              <w:bidi w:val="0"/>
              <w:spacing w:after="0" w:afterLines="0"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9）存放至危险废物</w:t>
            </w:r>
            <w:r>
              <w:rPr>
                <w:rFonts w:hint="default" w:ascii="Times New Roman" w:hAnsi="Times New Roman" w:eastAsia="宋体" w:cs="Times New Roman"/>
                <w:color w:val="auto"/>
                <w:sz w:val="24"/>
                <w:szCs w:val="24"/>
                <w:highlight w:val="none"/>
                <w:lang w:val="en-US" w:eastAsia="zh-CN"/>
              </w:rPr>
              <w:t>贮存库</w:t>
            </w:r>
            <w:r>
              <w:rPr>
                <w:rFonts w:hint="default" w:ascii="Times New Roman" w:hAnsi="Times New Roman" w:eastAsia="宋体" w:cs="Times New Roman"/>
                <w:color w:val="auto"/>
                <w:sz w:val="24"/>
                <w:szCs w:val="24"/>
                <w:highlight w:val="none"/>
              </w:rPr>
              <w:t>的危险废物需进行登记，严格填写危险废物贮存台账，注明名称、来源、数量、特性和包装容器的类别、入库日期、存放库位、废物出库日期及接收单位名称，危险废物处置建立健全转移联单制度。</w:t>
            </w:r>
          </w:p>
          <w:p w14:paraId="34743D44">
            <w:pPr>
              <w:pageBreakBefore w:val="0"/>
              <w:kinsoku/>
              <w:wordWrap/>
              <w:bidi w:val="0"/>
              <w:spacing w:after="0" w:afterLines="0"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（2）火灾防范措施</w:t>
            </w:r>
          </w:p>
          <w:p w14:paraId="29617DDD">
            <w:pPr>
              <w:pageBreakBefore w:val="0"/>
              <w:kinsoku/>
              <w:wordWrap/>
              <w:bidi w:val="0"/>
              <w:spacing w:after="0" w:afterLines="0"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在运营期使用的机械设备都是利用电能，如果管理维护不当发生线路老化、短路等现象，可导致爆炸。因此本项目在运营期间，应加强对生产运营设备的维护管理，保证通风设备以及除尘设施的正常运行，定期进行检修，同时加强员工的管理以及风险防范意识，通过设置短路保护电路等措施，及时发现设备及线路中存在的问题，消除隐患，并配备相应的消防器材和应急设备。</w:t>
            </w:r>
          </w:p>
          <w:p w14:paraId="00693E42">
            <w:pPr>
              <w:pageBreakBefore w:val="0"/>
              <w:kinsoku/>
              <w:wordWrap/>
              <w:bidi w:val="0"/>
              <w:spacing w:after="0" w:afterLines="0"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（3）污染物事故性排放防范措施</w:t>
            </w:r>
          </w:p>
          <w:p w14:paraId="6CB41E40">
            <w:pPr>
              <w:pageBreakBefore w:val="0"/>
              <w:widowControl/>
              <w:kinsoku/>
              <w:wordWrap/>
              <w:bidi w:val="0"/>
              <w:spacing w:after="0" w:afterLines="0" w:line="360" w:lineRule="auto"/>
              <w:ind w:firstLine="48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加强生产区域的管理，加强环保设施的运营维护与保养，提高员工的风险防范意识，定期组织员工进行演练，提高员工的实际操作技能。</w:t>
            </w:r>
          </w:p>
          <w:p w14:paraId="3E92C9A4">
            <w:pPr>
              <w:pageBreakBefore w:val="0"/>
              <w:widowControl/>
              <w:kinsoku/>
              <w:wordWrap/>
              <w:bidi w:val="0"/>
              <w:spacing w:after="0" w:afterLines="0" w:line="360" w:lineRule="auto"/>
              <w:ind w:firstLine="480" w:firstLineChars="200"/>
              <w:jc w:val="left"/>
              <w:rPr>
                <w:rFonts w:hint="default" w:ascii="Times New Roman" w:hAnsi="Times New Roman" w:eastAsia="宋体" w:cs="Times New Roman"/>
                <w:b w:val="0"/>
                <w:bCs w:val="0"/>
                <w:color w:val="auto"/>
                <w:kern w:val="0"/>
                <w:sz w:val="24"/>
                <w:szCs w:val="24"/>
                <w:highlight w:val="none"/>
                <w:lang w:val="en-US" w:eastAsia="zh-CN" w:bidi="ar"/>
              </w:rPr>
            </w:pPr>
            <w:r>
              <w:rPr>
                <w:rFonts w:hint="default" w:ascii="Times New Roman" w:hAnsi="Times New Roman" w:eastAsia="宋体" w:cs="Times New Roman"/>
                <w:b w:val="0"/>
                <w:bCs w:val="0"/>
                <w:color w:val="auto"/>
                <w:sz w:val="24"/>
                <w:szCs w:val="24"/>
                <w:highlight w:val="none"/>
              </w:rPr>
              <w:t>（</w:t>
            </w:r>
            <w:r>
              <w:rPr>
                <w:rFonts w:hint="default" w:ascii="Times New Roman" w:hAnsi="Times New Roman" w:eastAsia="宋体" w:cs="Times New Roman"/>
                <w:b w:val="0"/>
                <w:bCs w:val="0"/>
                <w:color w:val="auto"/>
                <w:sz w:val="24"/>
                <w:szCs w:val="24"/>
                <w:highlight w:val="none"/>
                <w:lang w:val="en-US" w:eastAsia="zh-CN"/>
              </w:rPr>
              <w:t>4</w:t>
            </w:r>
            <w:r>
              <w:rPr>
                <w:rFonts w:hint="default" w:ascii="Times New Roman" w:hAnsi="Times New Roman" w:eastAsia="宋体" w:cs="Times New Roman"/>
                <w:b w:val="0"/>
                <w:bCs w:val="0"/>
                <w:color w:val="auto"/>
                <w:sz w:val="24"/>
                <w:szCs w:val="24"/>
                <w:highlight w:val="none"/>
              </w:rPr>
              <w:t>）</w:t>
            </w:r>
            <w:r>
              <w:rPr>
                <w:rFonts w:hint="default" w:ascii="Times New Roman" w:hAnsi="Times New Roman" w:eastAsia="宋体" w:cs="Times New Roman"/>
                <w:b w:val="0"/>
                <w:bCs w:val="0"/>
                <w:color w:val="auto"/>
                <w:kern w:val="0"/>
                <w:sz w:val="24"/>
                <w:szCs w:val="24"/>
                <w:highlight w:val="none"/>
                <w:lang w:val="en-US" w:eastAsia="zh-CN" w:bidi="ar"/>
              </w:rPr>
              <w:t>地质灾害事故防范措施</w:t>
            </w:r>
          </w:p>
          <w:p w14:paraId="07143EB7">
            <w:pPr>
              <w:pageBreakBefore w:val="0"/>
              <w:widowControl/>
              <w:kinsoku/>
              <w:wordWrap/>
              <w:bidi w:val="0"/>
              <w:spacing w:after="0" w:afterLines="0" w:line="360" w:lineRule="auto"/>
              <w:ind w:firstLine="480" w:firstLineChars="200"/>
              <w:jc w:val="left"/>
              <w:rPr>
                <w:rFonts w:hint="default" w:ascii="Times New Roman" w:hAnsi="Times New Roman" w:eastAsia="宋体" w:cs="Times New Roman"/>
                <w:b w:val="0"/>
                <w:bCs w:val="0"/>
                <w:color w:val="auto"/>
                <w:kern w:val="0"/>
                <w:sz w:val="24"/>
                <w:szCs w:val="24"/>
                <w:highlight w:val="none"/>
                <w:lang w:val="en-US" w:eastAsia="zh-CN" w:bidi="ar"/>
              </w:rPr>
            </w:pPr>
            <w:r>
              <w:rPr>
                <w:rFonts w:hint="default" w:ascii="Times New Roman" w:hAnsi="Times New Roman" w:eastAsia="宋体" w:cs="Times New Roman"/>
                <w:b w:val="0"/>
                <w:bCs w:val="0"/>
                <w:color w:val="auto"/>
                <w:kern w:val="0"/>
                <w:sz w:val="24"/>
                <w:szCs w:val="24"/>
                <w:highlight w:val="none"/>
                <w:lang w:val="en-US" w:eastAsia="zh-CN" w:bidi="ar"/>
              </w:rPr>
              <w:t>项目区气候干燥、降水量稀少。虽然项目区降雨稀少，考虑在夏季有可能发生暴雨。本项目采矿场开采、废料、产品堆放过程中有可能引发采场滑坡、塌方、泥石流等地质灾害，现提出以下地质灾害预防措施：</w:t>
            </w:r>
          </w:p>
          <w:p w14:paraId="3BEDA788">
            <w:pPr>
              <w:pageBreakBefore w:val="0"/>
              <w:widowControl/>
              <w:kinsoku/>
              <w:wordWrap/>
              <w:bidi w:val="0"/>
              <w:spacing w:after="0" w:afterLines="0" w:line="360" w:lineRule="auto"/>
              <w:ind w:firstLine="480" w:firstLineChars="200"/>
              <w:jc w:val="left"/>
              <w:rPr>
                <w:rFonts w:hint="default" w:ascii="Times New Roman" w:hAnsi="Times New Roman" w:eastAsia="宋体" w:cs="Times New Roman"/>
                <w:b w:val="0"/>
                <w:bCs w:val="0"/>
                <w:color w:val="auto"/>
                <w:kern w:val="0"/>
                <w:sz w:val="24"/>
                <w:szCs w:val="24"/>
                <w:highlight w:val="none"/>
                <w:lang w:val="en-US" w:eastAsia="zh-CN" w:bidi="ar"/>
              </w:rPr>
            </w:pPr>
            <w:r>
              <w:rPr>
                <w:rFonts w:hint="default" w:ascii="Times New Roman" w:hAnsi="Times New Roman" w:eastAsia="宋体" w:cs="Times New Roman"/>
                <w:b w:val="0"/>
                <w:bCs w:val="0"/>
                <w:color w:val="auto"/>
                <w:kern w:val="0"/>
                <w:sz w:val="24"/>
                <w:szCs w:val="24"/>
                <w:highlight w:val="none"/>
                <w:lang w:val="en-US" w:eastAsia="zh-CN" w:bidi="ar"/>
              </w:rPr>
              <w:t>①采取边开采边恢复的方式，缩短堆放时间。</w:t>
            </w:r>
          </w:p>
          <w:p w14:paraId="4699D61E">
            <w:pPr>
              <w:pageBreakBefore w:val="0"/>
              <w:widowControl/>
              <w:kinsoku/>
              <w:wordWrap/>
              <w:bidi w:val="0"/>
              <w:spacing w:after="0" w:afterLines="0" w:line="360" w:lineRule="auto"/>
              <w:ind w:firstLine="480" w:firstLineChars="200"/>
              <w:jc w:val="left"/>
              <w:rPr>
                <w:rFonts w:hint="default" w:ascii="Times New Roman" w:hAnsi="Times New Roman" w:eastAsia="宋体" w:cs="Times New Roman"/>
                <w:b w:val="0"/>
                <w:bCs w:val="0"/>
                <w:color w:val="auto"/>
                <w:kern w:val="0"/>
                <w:sz w:val="24"/>
                <w:szCs w:val="24"/>
                <w:highlight w:val="none"/>
                <w:lang w:val="en-US" w:eastAsia="zh-CN" w:bidi="ar"/>
              </w:rPr>
            </w:pPr>
            <w:r>
              <w:rPr>
                <w:rFonts w:hint="default" w:ascii="Times New Roman" w:hAnsi="Times New Roman" w:eastAsia="宋体" w:cs="Times New Roman"/>
                <w:b w:val="0"/>
                <w:bCs w:val="0"/>
                <w:color w:val="auto"/>
                <w:kern w:val="0"/>
                <w:sz w:val="24"/>
                <w:szCs w:val="24"/>
                <w:highlight w:val="none"/>
                <w:lang w:val="en-US" w:eastAsia="zh-CN" w:bidi="ar"/>
              </w:rPr>
              <w:t>②及时削减边坡角，清理危岩体，定期加强对不稳定边坡的监测，在危险地段设置警示牌及铁丝围栏。</w:t>
            </w:r>
          </w:p>
          <w:p w14:paraId="7779520E">
            <w:pPr>
              <w:pageBreakBefore w:val="0"/>
              <w:widowControl/>
              <w:kinsoku/>
              <w:wordWrap/>
              <w:bidi w:val="0"/>
              <w:spacing w:after="0" w:afterLines="0" w:line="360" w:lineRule="auto"/>
              <w:ind w:firstLine="480" w:firstLineChars="200"/>
              <w:jc w:val="left"/>
              <w:rPr>
                <w:rFonts w:hint="default" w:ascii="Times New Roman" w:hAnsi="Times New Roman" w:eastAsia="宋体" w:cs="Times New Roman"/>
                <w:b w:val="0"/>
                <w:bCs w:val="0"/>
                <w:color w:val="auto"/>
                <w:kern w:val="0"/>
                <w:sz w:val="24"/>
                <w:szCs w:val="24"/>
                <w:highlight w:val="none"/>
                <w:lang w:val="en-US" w:eastAsia="zh-CN" w:bidi="ar"/>
              </w:rPr>
            </w:pPr>
            <w:r>
              <w:rPr>
                <w:rFonts w:hint="default" w:ascii="Times New Roman" w:hAnsi="Times New Roman" w:eastAsia="宋体" w:cs="Times New Roman"/>
                <w:b w:val="0"/>
                <w:bCs w:val="0"/>
                <w:color w:val="auto"/>
                <w:kern w:val="0"/>
                <w:sz w:val="24"/>
                <w:szCs w:val="24"/>
                <w:highlight w:val="none"/>
                <w:lang w:val="en-US" w:eastAsia="zh-CN" w:bidi="ar"/>
              </w:rPr>
              <w:t>③矿山开采期间需严格按照设计规范要求开采，并加强边坡稳定巡查排险，及时处理高陡边坡。</w:t>
            </w:r>
          </w:p>
          <w:p w14:paraId="56EC0EF9">
            <w:pPr>
              <w:pageBreakBefore w:val="0"/>
              <w:widowControl/>
              <w:kinsoku/>
              <w:wordWrap/>
              <w:bidi w:val="0"/>
              <w:spacing w:after="0" w:afterLines="0" w:line="360" w:lineRule="auto"/>
              <w:ind w:firstLine="480" w:firstLineChars="200"/>
              <w:jc w:val="left"/>
              <w:rPr>
                <w:rFonts w:hint="default" w:ascii="Times New Roman" w:hAnsi="Times New Roman" w:eastAsia="宋体" w:cs="Times New Roman"/>
                <w:b w:val="0"/>
                <w:bCs w:val="0"/>
                <w:color w:val="auto"/>
                <w:kern w:val="0"/>
                <w:sz w:val="24"/>
                <w:szCs w:val="24"/>
                <w:highlight w:val="none"/>
                <w:lang w:val="en-US" w:eastAsia="zh-CN" w:bidi="ar"/>
              </w:rPr>
            </w:pPr>
            <w:r>
              <w:rPr>
                <w:rFonts w:hint="default" w:ascii="Times New Roman" w:hAnsi="Times New Roman" w:eastAsia="宋体" w:cs="Times New Roman"/>
                <w:b w:val="0"/>
                <w:bCs w:val="0"/>
                <w:color w:val="auto"/>
                <w:kern w:val="0"/>
                <w:sz w:val="24"/>
                <w:szCs w:val="24"/>
                <w:highlight w:val="none"/>
                <w:lang w:val="en-US" w:eastAsia="zh-CN" w:bidi="ar"/>
              </w:rPr>
              <w:t>④在可能发生地质灾害区段设置警示标志。</w:t>
            </w:r>
          </w:p>
          <w:p w14:paraId="1636E696">
            <w:pPr>
              <w:pageBreakBefore w:val="0"/>
              <w:widowControl/>
              <w:kinsoku/>
              <w:wordWrap/>
              <w:bidi w:val="0"/>
              <w:spacing w:after="0" w:afterLines="0" w:line="360" w:lineRule="auto"/>
              <w:ind w:firstLine="480" w:firstLineChars="200"/>
              <w:jc w:val="left"/>
              <w:rPr>
                <w:rFonts w:hint="default" w:ascii="Times New Roman" w:hAnsi="Times New Roman" w:eastAsia="宋体" w:cs="Times New Roman"/>
                <w:b w:val="0"/>
                <w:bCs w:val="0"/>
                <w:color w:val="auto"/>
                <w:kern w:val="0"/>
                <w:sz w:val="24"/>
                <w:szCs w:val="24"/>
                <w:highlight w:val="none"/>
                <w:lang w:val="en-US" w:eastAsia="zh-CN" w:bidi="ar"/>
              </w:rPr>
            </w:pPr>
            <w:r>
              <w:rPr>
                <w:rFonts w:hint="default" w:ascii="Times New Roman" w:hAnsi="Times New Roman" w:eastAsia="宋体" w:cs="Times New Roman"/>
                <w:b w:val="0"/>
                <w:bCs w:val="0"/>
                <w:color w:val="auto"/>
                <w:kern w:val="0"/>
                <w:sz w:val="24"/>
                <w:szCs w:val="24"/>
                <w:highlight w:val="none"/>
                <w:lang w:val="en-US" w:eastAsia="zh-CN" w:bidi="ar"/>
              </w:rPr>
              <w:t>⑤不超挖坡底，不留伞檐，进行科学、合理的采剥。</w:t>
            </w:r>
          </w:p>
          <w:p w14:paraId="04BF0E38">
            <w:pPr>
              <w:pageBreakBefore w:val="0"/>
              <w:widowControl/>
              <w:kinsoku/>
              <w:wordWrap/>
              <w:bidi w:val="0"/>
              <w:spacing w:after="0" w:afterLines="0" w:line="360" w:lineRule="auto"/>
              <w:ind w:firstLine="480" w:firstLineChars="200"/>
              <w:jc w:val="left"/>
              <w:rPr>
                <w:rFonts w:hint="default" w:ascii="Times New Roman" w:hAnsi="Times New Roman" w:eastAsia="宋体" w:cs="Times New Roman"/>
                <w:b w:val="0"/>
                <w:bCs w:val="0"/>
                <w:color w:val="auto"/>
                <w:kern w:val="0"/>
                <w:sz w:val="24"/>
                <w:szCs w:val="24"/>
                <w:highlight w:val="none"/>
                <w:lang w:val="en-US" w:eastAsia="zh-CN" w:bidi="ar"/>
              </w:rPr>
            </w:pPr>
            <w:r>
              <w:rPr>
                <w:rFonts w:hint="default" w:ascii="Times New Roman" w:hAnsi="Times New Roman" w:eastAsia="宋体" w:cs="Times New Roman"/>
                <w:b w:val="0"/>
                <w:bCs w:val="0"/>
                <w:color w:val="auto"/>
                <w:kern w:val="0"/>
                <w:sz w:val="24"/>
                <w:szCs w:val="24"/>
                <w:highlight w:val="none"/>
                <w:lang w:val="en-US" w:eastAsia="zh-CN" w:bidi="ar"/>
              </w:rPr>
              <w:t>⑥严禁采场内台阶上下垂直方向双层作业。</w:t>
            </w:r>
          </w:p>
          <w:p w14:paraId="52531DF7">
            <w:pPr>
              <w:pageBreakBefore w:val="0"/>
              <w:widowControl/>
              <w:kinsoku/>
              <w:wordWrap/>
              <w:bidi w:val="0"/>
              <w:spacing w:after="0" w:afterLines="0" w:line="360" w:lineRule="auto"/>
              <w:ind w:firstLine="480" w:firstLineChars="200"/>
              <w:jc w:val="left"/>
              <w:rPr>
                <w:rFonts w:hint="default" w:ascii="Times New Roman" w:hAnsi="Times New Roman" w:eastAsia="宋体" w:cs="Times New Roman"/>
                <w:b w:val="0"/>
                <w:bCs w:val="0"/>
                <w:color w:val="auto"/>
                <w:kern w:val="0"/>
                <w:sz w:val="24"/>
                <w:szCs w:val="24"/>
                <w:highlight w:val="none"/>
                <w:lang w:val="en-US" w:eastAsia="zh-CN" w:bidi="ar"/>
              </w:rPr>
            </w:pPr>
            <w:r>
              <w:rPr>
                <w:rFonts w:hint="default" w:ascii="Times New Roman" w:hAnsi="Times New Roman" w:eastAsia="宋体" w:cs="Times New Roman"/>
                <w:b w:val="0"/>
                <w:bCs w:val="0"/>
                <w:color w:val="auto"/>
                <w:kern w:val="0"/>
                <w:sz w:val="24"/>
                <w:szCs w:val="24"/>
                <w:highlight w:val="none"/>
                <w:lang w:val="en-US" w:eastAsia="zh-CN" w:bidi="ar"/>
              </w:rPr>
              <w:t>⑦在台阶坡面作业时，必须佩戴安全带。</w:t>
            </w:r>
          </w:p>
          <w:p w14:paraId="25EF2B24">
            <w:pPr>
              <w:pageBreakBefore w:val="0"/>
              <w:widowControl/>
              <w:kinsoku/>
              <w:wordWrap/>
              <w:bidi w:val="0"/>
              <w:spacing w:after="0" w:afterLines="0" w:line="360" w:lineRule="auto"/>
              <w:ind w:firstLine="480" w:firstLineChars="200"/>
              <w:jc w:val="left"/>
              <w:rPr>
                <w:rFonts w:hint="default" w:ascii="Times New Roman" w:hAnsi="Times New Roman" w:eastAsia="宋体" w:cs="Times New Roman"/>
                <w:b/>
                <w:bCs/>
                <w:color w:val="auto"/>
                <w:kern w:val="0"/>
                <w:sz w:val="24"/>
                <w:szCs w:val="24"/>
                <w:highlight w:val="none"/>
                <w:lang w:bidi="ar"/>
              </w:rPr>
            </w:pPr>
            <w:r>
              <w:rPr>
                <w:rFonts w:hint="default" w:ascii="Times New Roman" w:hAnsi="Times New Roman" w:eastAsia="宋体" w:cs="Times New Roman"/>
                <w:b w:val="0"/>
                <w:bCs w:val="0"/>
                <w:color w:val="auto"/>
                <w:kern w:val="0"/>
                <w:sz w:val="24"/>
                <w:szCs w:val="24"/>
                <w:highlight w:val="none"/>
                <w:lang w:val="en-US" w:eastAsia="zh-CN" w:bidi="ar"/>
              </w:rPr>
              <w:t>⑧大雾、大雨、大风、暴风雨时应停止施工。</w:t>
            </w:r>
          </w:p>
          <w:p w14:paraId="11AA56F9">
            <w:pPr>
              <w:pageBreakBefore w:val="0"/>
              <w:widowControl/>
              <w:kinsoku/>
              <w:wordWrap/>
              <w:bidi w:val="0"/>
              <w:spacing w:after="0" w:afterLines="0" w:line="360" w:lineRule="auto"/>
              <w:ind w:firstLine="0" w:firstLineChars="0"/>
              <w:jc w:val="left"/>
              <w:rPr>
                <w:rFonts w:hint="default" w:ascii="Times New Roman" w:hAnsi="Times New Roman" w:eastAsia="宋体" w:cs="Times New Roman"/>
                <w:b/>
                <w:bCs/>
                <w:color w:val="auto"/>
                <w:sz w:val="24"/>
                <w:szCs w:val="24"/>
                <w:highlight w:val="none"/>
              </w:rPr>
            </w:pPr>
            <w:r>
              <w:rPr>
                <w:rFonts w:hint="eastAsia" w:ascii="Times New Roman" w:hAnsi="Times New Roman" w:eastAsia="宋体" w:cs="Times New Roman"/>
                <w:b/>
                <w:bCs/>
                <w:color w:val="auto"/>
                <w:kern w:val="0"/>
                <w:sz w:val="24"/>
                <w:szCs w:val="24"/>
                <w:highlight w:val="none"/>
                <w:lang w:val="en-US" w:eastAsia="zh-CN" w:bidi="ar"/>
              </w:rPr>
              <w:t>8</w:t>
            </w:r>
            <w:r>
              <w:rPr>
                <w:rFonts w:hint="default" w:ascii="Times New Roman" w:hAnsi="Times New Roman" w:eastAsia="宋体" w:cs="Times New Roman"/>
                <w:b/>
                <w:bCs/>
                <w:color w:val="auto"/>
                <w:kern w:val="0"/>
                <w:sz w:val="24"/>
                <w:szCs w:val="24"/>
                <w:highlight w:val="none"/>
                <w:lang w:bidi="ar"/>
              </w:rPr>
              <w:t>.</w:t>
            </w:r>
            <w:r>
              <w:rPr>
                <w:rFonts w:hint="eastAsia" w:ascii="Times New Roman" w:hAnsi="Times New Roman" w:eastAsia="宋体" w:cs="Times New Roman"/>
                <w:b/>
                <w:bCs/>
                <w:color w:val="auto"/>
                <w:kern w:val="0"/>
                <w:sz w:val="24"/>
                <w:szCs w:val="24"/>
                <w:highlight w:val="none"/>
                <w:lang w:val="en-US" w:eastAsia="zh-CN" w:bidi="ar"/>
              </w:rPr>
              <w:t>6</w:t>
            </w:r>
            <w:r>
              <w:rPr>
                <w:rFonts w:hint="default" w:ascii="Times New Roman" w:hAnsi="Times New Roman" w:eastAsia="宋体" w:cs="Times New Roman"/>
                <w:b/>
                <w:bCs/>
                <w:color w:val="auto"/>
                <w:kern w:val="0"/>
                <w:sz w:val="24"/>
                <w:szCs w:val="24"/>
                <w:highlight w:val="none"/>
                <w:lang w:bidi="ar"/>
              </w:rPr>
              <w:t>.2 环境风险管理</w:t>
            </w:r>
          </w:p>
          <w:p w14:paraId="2B12FF04">
            <w:pPr>
              <w:pageBreakBefore w:val="0"/>
              <w:kinsoku/>
              <w:wordWrap/>
              <w:bidi w:val="0"/>
              <w:spacing w:after="0" w:afterLines="0"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为避免风险事故，尤其是避免风险事故发生后对环境造成严重的污染，建设单位应树立并强化环境风险意识，增加对环境风险的防范措施，并使这些措施在实际工作中得到落实。为进一步减少事故的发生，减缓该项目运营过程中对环境的潜在威胁，建设单位应采取综合防范措施，并从技术、工艺、管理等方面对以下几方面予以重视：</w:t>
            </w:r>
          </w:p>
          <w:p w14:paraId="34973EA7">
            <w:pPr>
              <w:pageBreakBefore w:val="0"/>
              <w:kinsoku/>
              <w:wordWrap/>
              <w:bidi w:val="0"/>
              <w:spacing w:after="0" w:afterLines="0"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（1）树立环境风险意识</w:t>
            </w:r>
          </w:p>
          <w:p w14:paraId="04DB0417">
            <w:pPr>
              <w:pageBreakBefore w:val="0"/>
              <w:kinsoku/>
              <w:wordWrap/>
              <w:bidi w:val="0"/>
              <w:spacing w:after="0" w:afterLines="0"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该项目客观上存在着一定的不安全因素，对周围环境存在着潜在的威胁。发生环境安全事故后，对周围环境有难以弥补的损害，所以在贯彻</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安全第一，预防为主</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的方针同时，应树立环境风险意识，强化环境风险责任，体现出环境保护的内容。</w:t>
            </w:r>
          </w:p>
          <w:p w14:paraId="1353AFB9">
            <w:pPr>
              <w:pageBreakBefore w:val="0"/>
              <w:kinsoku/>
              <w:wordWrap/>
              <w:bidi w:val="0"/>
              <w:spacing w:after="0" w:afterLines="0"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（2）实行全面环境安全管理制度</w:t>
            </w:r>
          </w:p>
          <w:p w14:paraId="175F2DE6">
            <w:pPr>
              <w:pageBreakBefore w:val="0"/>
              <w:kinsoku/>
              <w:wordWrap/>
              <w:bidi w:val="0"/>
              <w:spacing w:after="0" w:afterLines="0"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项目在生产过程中有可能发生各种事故，事故发生后均会对环境造成不同程度的污染，因此应该针对该项目开展全面、全员、全过程的系数安全管理，把环境安全工作的重点放在消除系统的潜在危险上，并从整体和全局上促进该项目各个环节的环境安全运作，并建立监察、管理、检测、信息系统和科学决策体系，实行环境安全目标管理。</w:t>
            </w:r>
          </w:p>
          <w:p w14:paraId="18F88FDB">
            <w:pPr>
              <w:pageBreakBefore w:val="0"/>
              <w:kinsoku/>
              <w:wordWrap/>
              <w:bidi w:val="0"/>
              <w:spacing w:after="0" w:afterLines="0"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（3）加强资料的日常记录与管理</w:t>
            </w:r>
          </w:p>
          <w:p w14:paraId="7F70ADDE">
            <w:pPr>
              <w:pageBreakBefore w:val="0"/>
              <w:kinsoku/>
              <w:wordWrap/>
              <w:bidi w:val="0"/>
              <w:spacing w:after="0" w:afterLines="0"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加强对生产过程中的各项操作参数等资料的日常记录及管理，及时发现问题并采取减缓危害的措施。</w:t>
            </w:r>
          </w:p>
          <w:p w14:paraId="21788F06">
            <w:pPr>
              <w:pageBreakBefore w:val="0"/>
              <w:kinsoku/>
              <w:wordWrap/>
              <w:bidi w:val="0"/>
              <w:spacing w:after="0" w:afterLines="0"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（4）应对措施</w:t>
            </w:r>
          </w:p>
          <w:p w14:paraId="27B68EC3">
            <w:pPr>
              <w:pageBreakBefore w:val="0"/>
              <w:kinsoku/>
              <w:wordWrap/>
              <w:bidi w:val="0"/>
              <w:spacing w:after="0" w:afterLines="0"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事故发生的可能性总是存在的，为减少事故发生后造成的损失，尤其是减少对环境造成严重的污染，建设单位除一方面要落实已制定的各种安全管理制度以及上述所列各项风险减缓措施，另一方面，建设单位还应对发生各类风险事故后</w:t>
            </w:r>
          </w:p>
          <w:p w14:paraId="06F7B4CB">
            <w:pPr>
              <w:pageBreakBefore w:val="0"/>
              <w:kinsoku/>
              <w:wordWrap/>
              <w:bidi w:val="0"/>
              <w:spacing w:after="0" w:afterLines="0"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采取必要的事故应急措施，建议建设单位对以下几方面予以着重考虑：</w:t>
            </w:r>
          </w:p>
          <w:p w14:paraId="3E05F3E7">
            <w:pPr>
              <w:pageBreakBefore w:val="0"/>
              <w:kinsoku/>
              <w:wordWrap/>
              <w:bidi w:val="0"/>
              <w:spacing w:after="0" w:afterLines="0"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①发生事故后，应进行事故后果评价，并将有关情况通报给上级环保主管部门。</w:t>
            </w:r>
          </w:p>
          <w:p w14:paraId="783EA111">
            <w:pPr>
              <w:pageBreakBefore w:val="0"/>
              <w:kinsoku/>
              <w:wordWrap/>
              <w:bidi w:val="0"/>
              <w:spacing w:after="0" w:afterLines="0"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②定期举行应急培训活动，对该项目相关人员进行事故应急培训，提高事故发生后的应急处理能力；对新上岗的工作人员、实习人员、进行岗前安全、环保培训，重点部门的人员定期轮训；在对项目相关系统人员进行知识培训后，还对其进行了责任分配制度，确保不出现意外。</w:t>
            </w:r>
          </w:p>
          <w:p w14:paraId="1E185AFE">
            <w:pPr>
              <w:pageBreakBefore w:val="0"/>
              <w:kinsoku/>
              <w:wordWrap/>
              <w:bidi w:val="0"/>
              <w:spacing w:after="0" w:afterLines="0" w:line="360" w:lineRule="auto"/>
              <w:ind w:firstLine="0" w:firstLineChars="0"/>
              <w:rPr>
                <w:rFonts w:hint="default" w:ascii="Times New Roman" w:hAnsi="Times New Roman" w:eastAsia="宋体" w:cs="Times New Roman"/>
                <w:b/>
                <w:bCs/>
                <w:color w:val="auto"/>
                <w:sz w:val="24"/>
                <w:szCs w:val="24"/>
                <w:highlight w:val="none"/>
              </w:rPr>
            </w:pPr>
            <w:r>
              <w:rPr>
                <w:rFonts w:hint="eastAsia" w:ascii="Times New Roman" w:hAnsi="Times New Roman" w:eastAsia="宋体" w:cs="Times New Roman"/>
                <w:b/>
                <w:bCs/>
                <w:color w:val="auto"/>
                <w:sz w:val="24"/>
                <w:szCs w:val="24"/>
                <w:highlight w:val="none"/>
                <w:lang w:val="en-US" w:eastAsia="zh-CN"/>
              </w:rPr>
              <w:t>8</w:t>
            </w:r>
            <w:r>
              <w:rPr>
                <w:rFonts w:hint="default" w:ascii="Times New Roman" w:hAnsi="Times New Roman" w:eastAsia="宋体" w:cs="Times New Roman"/>
                <w:b/>
                <w:bCs/>
                <w:color w:val="auto"/>
                <w:sz w:val="24"/>
                <w:szCs w:val="24"/>
                <w:highlight w:val="none"/>
              </w:rPr>
              <w:t>.</w:t>
            </w:r>
            <w:r>
              <w:rPr>
                <w:rFonts w:hint="eastAsia" w:ascii="Times New Roman" w:hAnsi="Times New Roman" w:eastAsia="宋体" w:cs="Times New Roman"/>
                <w:b/>
                <w:bCs/>
                <w:color w:val="auto"/>
                <w:sz w:val="24"/>
                <w:szCs w:val="24"/>
                <w:highlight w:val="none"/>
                <w:lang w:val="en-US" w:eastAsia="zh-CN"/>
              </w:rPr>
              <w:t>6</w:t>
            </w:r>
            <w:r>
              <w:rPr>
                <w:rFonts w:hint="default" w:ascii="Times New Roman" w:hAnsi="Times New Roman" w:eastAsia="宋体" w:cs="Times New Roman"/>
                <w:b/>
                <w:bCs/>
                <w:color w:val="auto"/>
                <w:sz w:val="24"/>
                <w:szCs w:val="24"/>
                <w:highlight w:val="none"/>
              </w:rPr>
              <w:t>.3 应急预案</w:t>
            </w:r>
          </w:p>
          <w:p w14:paraId="4C155EB5">
            <w:pPr>
              <w:pageBreakBefore w:val="0"/>
              <w:kinsoku/>
              <w:wordWrap/>
              <w:bidi w:val="0"/>
              <w:spacing w:after="0" w:afterLines="0"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事故应急预案是在发生事故后，按照预先</w:t>
            </w:r>
            <w:r>
              <w:rPr>
                <w:rFonts w:hint="eastAsia" w:ascii="Times New Roman" w:hAnsi="Times New Roman" w:eastAsia="宋体" w:cs="Times New Roman"/>
                <w:color w:val="auto"/>
                <w:sz w:val="24"/>
                <w:szCs w:val="24"/>
                <w:highlight w:val="none"/>
                <w:lang w:eastAsia="zh-CN"/>
              </w:rPr>
              <w:t>制定</w:t>
            </w:r>
            <w:r>
              <w:rPr>
                <w:rFonts w:hint="default" w:ascii="Times New Roman" w:hAnsi="Times New Roman" w:eastAsia="宋体" w:cs="Times New Roman"/>
                <w:color w:val="auto"/>
                <w:sz w:val="24"/>
                <w:szCs w:val="24"/>
                <w:highlight w:val="none"/>
              </w:rPr>
              <w:t>的方案采取的一系列的措施，将事故的损失降低到</w:t>
            </w:r>
            <w:r>
              <w:rPr>
                <w:rFonts w:hint="eastAsia" w:ascii="Times New Roman" w:hAnsi="Times New Roman" w:eastAsia="宋体" w:cs="Times New Roman"/>
                <w:color w:val="auto"/>
                <w:sz w:val="24"/>
                <w:szCs w:val="24"/>
                <w:highlight w:val="none"/>
                <w:lang w:eastAsia="zh-CN"/>
              </w:rPr>
              <w:t>最低</w:t>
            </w:r>
            <w:r>
              <w:rPr>
                <w:rFonts w:hint="default" w:ascii="Times New Roman" w:hAnsi="Times New Roman" w:eastAsia="宋体" w:cs="Times New Roman"/>
                <w:color w:val="auto"/>
                <w:sz w:val="24"/>
                <w:szCs w:val="24"/>
                <w:highlight w:val="none"/>
              </w:rPr>
              <w:t>程度。本工程应急预案重点如下：</w:t>
            </w:r>
          </w:p>
          <w:p w14:paraId="03EB64DF">
            <w:pPr>
              <w:pageBreakBefore w:val="0"/>
              <w:kinsoku/>
              <w:wordWrap/>
              <w:bidi w:val="0"/>
              <w:spacing w:after="0" w:afterLines="0"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A、必须制定应急计划、方案和程序</w:t>
            </w:r>
          </w:p>
          <w:p w14:paraId="22B242AE">
            <w:pPr>
              <w:pageBreakBefore w:val="0"/>
              <w:kinsoku/>
              <w:wordWrap/>
              <w:bidi w:val="0"/>
              <w:spacing w:after="0" w:afterLines="0"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为了使突发事故发生后能有条不紊</w:t>
            </w:r>
            <w:r>
              <w:rPr>
                <w:rFonts w:hint="default" w:ascii="Times New Roman" w:hAnsi="Times New Roman" w:eastAsia="宋体" w:cs="Times New Roman"/>
                <w:color w:val="auto"/>
                <w:sz w:val="24"/>
                <w:szCs w:val="24"/>
                <w:highlight w:val="none"/>
                <w:lang w:eastAsia="zh-CN"/>
              </w:rPr>
              <w:t>地</w:t>
            </w:r>
            <w:r>
              <w:rPr>
                <w:rFonts w:hint="default" w:ascii="Times New Roman" w:hAnsi="Times New Roman" w:eastAsia="宋体" w:cs="Times New Roman"/>
                <w:color w:val="auto"/>
                <w:sz w:val="24"/>
                <w:szCs w:val="24"/>
                <w:highlight w:val="none"/>
              </w:rPr>
              <w:t>处理事故，在工程投产之前就应制定好事故应急计划和方案，以备在发生事故后有备无患。</w:t>
            </w:r>
          </w:p>
          <w:p w14:paraId="4A4689A1">
            <w:pPr>
              <w:pageBreakBefore w:val="0"/>
              <w:kinsoku/>
              <w:wordWrap/>
              <w:bidi w:val="0"/>
              <w:spacing w:after="0" w:afterLines="0"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B、成立重大事故应急救援小组</w:t>
            </w:r>
          </w:p>
          <w:p w14:paraId="4742D27D">
            <w:pPr>
              <w:pageBreakBefore w:val="0"/>
              <w:kinsoku/>
              <w:wordWrap/>
              <w:bidi w:val="0"/>
              <w:spacing w:after="0" w:afterLines="0"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成立由厂长、分管厂长及生产、安全、环保、保卫等部门组成的重大事故应急救援小组，一旦发生事故，救援小组便及时</w:t>
            </w:r>
            <w:r>
              <w:rPr>
                <w:rFonts w:hint="eastAsia" w:ascii="Times New Roman" w:hAnsi="Times New Roman" w:eastAsia="宋体" w:cs="Times New Roman"/>
                <w:color w:val="auto"/>
                <w:sz w:val="24"/>
                <w:szCs w:val="24"/>
                <w:highlight w:val="none"/>
                <w:lang w:eastAsia="zh-CN"/>
              </w:rPr>
              <w:t>履行</w:t>
            </w:r>
            <w:r>
              <w:rPr>
                <w:rFonts w:hint="default" w:ascii="Times New Roman" w:hAnsi="Times New Roman" w:eastAsia="宋体" w:cs="Times New Roman"/>
                <w:color w:val="auto"/>
                <w:sz w:val="24"/>
                <w:szCs w:val="24"/>
                <w:highlight w:val="none"/>
              </w:rPr>
              <w:t>其相应的职责，处理事故。</w:t>
            </w:r>
          </w:p>
          <w:p w14:paraId="329E4F59">
            <w:pPr>
              <w:pageBreakBefore w:val="0"/>
              <w:kinsoku/>
              <w:wordWrap/>
              <w:bidi w:val="0"/>
              <w:spacing w:after="0" w:afterLines="0"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C、事故发生后应采取紧急隔离和疏散措施</w:t>
            </w:r>
          </w:p>
          <w:p w14:paraId="023E423A">
            <w:pPr>
              <w:pageBreakBefore w:val="0"/>
              <w:kinsoku/>
              <w:wordWrap/>
              <w:bidi w:val="0"/>
              <w:spacing w:after="0" w:afterLines="0"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一旦发生突发事故，应及时发出警报，并在救援小组的领导下，紧急隔离危险物品，切断电源，疏散人群，抢救受害人员。</w:t>
            </w:r>
          </w:p>
          <w:p w14:paraId="4DA3FC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Lines="0" w:afterAutospacing="0" w:line="360" w:lineRule="auto"/>
              <w:ind w:left="0" w:leftChars="0" w:right="0" w:rightChars="0" w:firstLine="0" w:firstLineChars="0"/>
              <w:jc w:val="both"/>
              <w:textAlignment w:val="auto"/>
              <w:outlineLvl w:val="9"/>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8</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7</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 xml:space="preserve"> 分析结论</w:t>
            </w:r>
          </w:p>
          <w:p w14:paraId="72512E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Lines="0" w:afterAutospacing="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建设单位须进一步加强风险管理，严格风险管理机制，落实本评价提出的环境风险防范措施和应急措施，并应经常或定期开展应急救援培训和演练，一旦发生事故，能够及时启动应急预案，将风险事故的影响降到较低水平。在此基础上，本项目环境风险可接受。</w:t>
            </w:r>
          </w:p>
          <w:p w14:paraId="6109CE3C">
            <w:pPr>
              <w:keepNext w:val="0"/>
              <w:keepLines w:val="0"/>
              <w:pageBreakBefore w:val="0"/>
              <w:widowControl w:val="0"/>
              <w:suppressLineNumbers w:val="0"/>
              <w:tabs>
                <w:tab w:val="left" w:pos="438"/>
              </w:tabs>
              <w:kinsoku/>
              <w:wordWrap/>
              <w:overflowPunct/>
              <w:topLinePunct w:val="0"/>
              <w:autoSpaceDE/>
              <w:autoSpaceDN/>
              <w:bidi w:val="0"/>
              <w:adjustRightInd/>
              <w:snapToGrid/>
              <w:spacing w:before="0" w:beforeAutospacing="0" w:after="0" w:afterLines="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color w:val="000000" w:themeColor="text1"/>
                <w:sz w:val="21"/>
                <w:szCs w:val="21"/>
                <w:highlight w:val="none"/>
                <w14:textFill>
                  <w14:solidFill>
                    <w14:schemeClr w14:val="tx1"/>
                  </w14:solidFill>
                </w14:textFill>
              </w:rPr>
              <w:t>表</w:t>
            </w:r>
            <w:r>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t>5-7</w:t>
            </w:r>
            <w:r>
              <w:rPr>
                <w:rFonts w:hint="default" w:ascii="Times New Roman" w:hAnsi="Times New Roman" w:eastAsia="宋体" w:cs="Times New Roman"/>
                <w:b/>
                <w:color w:val="000000" w:themeColor="text1"/>
                <w:sz w:val="21"/>
                <w:szCs w:val="21"/>
                <w:highlight w:val="none"/>
                <w14:textFill>
                  <w14:solidFill>
                    <w14:schemeClr w14:val="tx1"/>
                  </w14:solidFill>
                </w14:textFill>
              </w:rPr>
              <w:t xml:space="preserve"> </w:t>
            </w:r>
            <w:r>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eastAsia="宋体" w:cs="Times New Roman"/>
                <w:b/>
                <w:color w:val="000000" w:themeColor="text1"/>
                <w:sz w:val="21"/>
                <w:szCs w:val="21"/>
                <w:highlight w:val="none"/>
                <w14:textFill>
                  <w14:solidFill>
                    <w14:schemeClr w14:val="tx1"/>
                  </w14:solidFill>
                </w14:textFill>
              </w:rPr>
              <w:t xml:space="preserve"> </w:t>
            </w:r>
            <w:r>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t>建设项目环境风险简单分析内容表</w:t>
            </w:r>
          </w:p>
          <w:tbl>
            <w:tblPr>
              <w:tblStyle w:val="39"/>
              <w:tblW w:w="4995"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82"/>
              <w:gridCol w:w="1145"/>
              <w:gridCol w:w="1838"/>
              <w:gridCol w:w="1808"/>
              <w:gridCol w:w="2351"/>
            </w:tblGrid>
            <w:tr w14:paraId="39FFC7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06" w:type="pct"/>
                  <w:tcBorders>
                    <w:tl2br w:val="nil"/>
                    <w:tr2bl w:val="nil"/>
                  </w:tcBorders>
                  <w:vAlign w:val="center"/>
                </w:tcPr>
                <w:p w14:paraId="61E2AF69">
                  <w:pPr>
                    <w:keepNext w:val="0"/>
                    <w:keepLines w:val="0"/>
                    <w:pageBreakBefore w:val="0"/>
                    <w:widowControl w:val="0"/>
                    <w:suppressLineNumbers w:val="0"/>
                    <w:kinsoku/>
                    <w:wordWrap/>
                    <w:overflowPunct/>
                    <w:topLinePunct w:val="0"/>
                    <w:autoSpaceDE/>
                    <w:autoSpaceDN/>
                    <w:bidi w:val="0"/>
                    <w:spacing w:before="0" w:beforeAutospacing="0" w:after="0" w:afterLines="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建设项目名称</w:t>
                  </w:r>
                </w:p>
              </w:tc>
              <w:tc>
                <w:tcPr>
                  <w:tcW w:w="4093" w:type="pct"/>
                  <w:gridSpan w:val="4"/>
                  <w:tcBorders>
                    <w:tl2br w:val="nil"/>
                    <w:tr2bl w:val="nil"/>
                  </w:tcBorders>
                  <w:vAlign w:val="center"/>
                </w:tcPr>
                <w:p w14:paraId="0EA165CE">
                  <w:pPr>
                    <w:keepNext w:val="0"/>
                    <w:keepLines w:val="0"/>
                    <w:pageBreakBefore w:val="0"/>
                    <w:widowControl w:val="0"/>
                    <w:suppressLineNumbers w:val="0"/>
                    <w:kinsoku/>
                    <w:wordWrap/>
                    <w:overflowPunct/>
                    <w:topLinePunct w:val="0"/>
                    <w:autoSpaceDE/>
                    <w:autoSpaceDN/>
                    <w:bidi w:val="0"/>
                    <w:spacing w:before="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吉木萨尔县庆阳湖乡1号建筑用砂矿项目</w:t>
                  </w:r>
                </w:p>
              </w:tc>
            </w:tr>
            <w:tr w14:paraId="6E55E0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06" w:type="pct"/>
                  <w:tcBorders>
                    <w:tl2br w:val="nil"/>
                    <w:tr2bl w:val="nil"/>
                  </w:tcBorders>
                  <w:vAlign w:val="center"/>
                </w:tcPr>
                <w:p w14:paraId="3A2191A2">
                  <w:pPr>
                    <w:keepNext w:val="0"/>
                    <w:keepLines w:val="0"/>
                    <w:pageBreakBefore w:val="0"/>
                    <w:widowControl w:val="0"/>
                    <w:suppressLineNumbers w:val="0"/>
                    <w:kinsoku/>
                    <w:wordWrap/>
                    <w:overflowPunct/>
                    <w:topLinePunct w:val="0"/>
                    <w:autoSpaceDE/>
                    <w:autoSpaceDN/>
                    <w:bidi w:val="0"/>
                    <w:spacing w:before="0" w:beforeAutospacing="0" w:after="0" w:afterLines="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建设地点</w:t>
                  </w:r>
                </w:p>
              </w:tc>
              <w:tc>
                <w:tcPr>
                  <w:tcW w:w="656" w:type="pct"/>
                  <w:tcBorders>
                    <w:tl2br w:val="nil"/>
                    <w:tr2bl w:val="nil"/>
                  </w:tcBorders>
                  <w:vAlign w:val="center"/>
                </w:tcPr>
                <w:p w14:paraId="1B6C9FB8">
                  <w:pPr>
                    <w:keepNext w:val="0"/>
                    <w:keepLines w:val="0"/>
                    <w:pageBreakBefore w:val="0"/>
                    <w:widowControl w:val="0"/>
                    <w:suppressLineNumbers w:val="0"/>
                    <w:kinsoku/>
                    <w:wordWrap/>
                    <w:overflowPunct/>
                    <w:topLinePunct w:val="0"/>
                    <w:autoSpaceDE/>
                    <w:autoSpaceDN/>
                    <w:bidi w:val="0"/>
                    <w:spacing w:before="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新疆维吾尔自治区</w:t>
                  </w:r>
                </w:p>
              </w:tc>
              <w:tc>
                <w:tcPr>
                  <w:tcW w:w="1053" w:type="pct"/>
                  <w:tcBorders>
                    <w:tl2br w:val="nil"/>
                    <w:tr2bl w:val="nil"/>
                  </w:tcBorders>
                  <w:vAlign w:val="center"/>
                </w:tcPr>
                <w:p w14:paraId="02B05B06">
                  <w:pPr>
                    <w:keepNext w:val="0"/>
                    <w:keepLines w:val="0"/>
                    <w:pageBreakBefore w:val="0"/>
                    <w:widowControl w:val="0"/>
                    <w:suppressLineNumbers w:val="0"/>
                    <w:kinsoku/>
                    <w:wordWrap/>
                    <w:overflowPunct/>
                    <w:topLinePunct w:val="0"/>
                    <w:autoSpaceDE/>
                    <w:autoSpaceDN/>
                    <w:bidi w:val="0"/>
                    <w:spacing w:before="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昌吉回族自治州</w:t>
                  </w:r>
                </w:p>
              </w:tc>
              <w:tc>
                <w:tcPr>
                  <w:tcW w:w="1036" w:type="pct"/>
                  <w:tcBorders>
                    <w:tl2br w:val="nil"/>
                    <w:tr2bl w:val="nil"/>
                  </w:tcBorders>
                  <w:vAlign w:val="center"/>
                </w:tcPr>
                <w:p w14:paraId="21E88AC5">
                  <w:pPr>
                    <w:keepNext w:val="0"/>
                    <w:keepLines w:val="0"/>
                    <w:pageBreakBefore w:val="0"/>
                    <w:widowControl w:val="0"/>
                    <w:suppressLineNumbers w:val="0"/>
                    <w:kinsoku/>
                    <w:wordWrap/>
                    <w:overflowPunct/>
                    <w:topLinePunct w:val="0"/>
                    <w:autoSpaceDE/>
                    <w:autoSpaceDN/>
                    <w:bidi w:val="0"/>
                    <w:spacing w:before="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吉木萨尔县</w:t>
                  </w:r>
                </w:p>
              </w:tc>
              <w:tc>
                <w:tcPr>
                  <w:tcW w:w="1347" w:type="pct"/>
                  <w:tcBorders>
                    <w:tl2br w:val="nil"/>
                    <w:tr2bl w:val="nil"/>
                  </w:tcBorders>
                  <w:vAlign w:val="center"/>
                </w:tcPr>
                <w:p w14:paraId="207EE3D8">
                  <w:pPr>
                    <w:keepNext w:val="0"/>
                    <w:keepLines w:val="0"/>
                    <w:pageBreakBefore w:val="0"/>
                    <w:widowControl w:val="0"/>
                    <w:suppressLineNumbers w:val="0"/>
                    <w:kinsoku/>
                    <w:wordWrap/>
                    <w:overflowPunct/>
                    <w:topLinePunct w:val="0"/>
                    <w:autoSpaceDE/>
                    <w:autoSpaceDN/>
                    <w:bidi w:val="0"/>
                    <w:spacing w:before="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庆阳湖乡</w:t>
                  </w:r>
                </w:p>
              </w:tc>
            </w:tr>
            <w:tr w14:paraId="1840E6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06" w:type="pct"/>
                  <w:tcBorders>
                    <w:tl2br w:val="nil"/>
                    <w:tr2bl w:val="nil"/>
                  </w:tcBorders>
                  <w:vAlign w:val="center"/>
                </w:tcPr>
                <w:p w14:paraId="30E51F02">
                  <w:pPr>
                    <w:keepNext w:val="0"/>
                    <w:keepLines w:val="0"/>
                    <w:pageBreakBefore w:val="0"/>
                    <w:widowControl w:val="0"/>
                    <w:suppressLineNumbers w:val="0"/>
                    <w:kinsoku/>
                    <w:wordWrap/>
                    <w:overflowPunct/>
                    <w:topLinePunct w:val="0"/>
                    <w:autoSpaceDE/>
                    <w:autoSpaceDN/>
                    <w:bidi w:val="0"/>
                    <w:spacing w:before="0" w:beforeAutospacing="0" w:after="0" w:afterLines="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地理坐标</w:t>
                  </w:r>
                </w:p>
              </w:tc>
              <w:tc>
                <w:tcPr>
                  <w:tcW w:w="656" w:type="pct"/>
                  <w:tcBorders>
                    <w:tl2br w:val="nil"/>
                    <w:tr2bl w:val="nil"/>
                  </w:tcBorders>
                  <w:vAlign w:val="center"/>
                </w:tcPr>
                <w:p w14:paraId="64108D47">
                  <w:pPr>
                    <w:keepNext w:val="0"/>
                    <w:keepLines w:val="0"/>
                    <w:pageBreakBefore w:val="0"/>
                    <w:widowControl w:val="0"/>
                    <w:suppressLineNumbers w:val="0"/>
                    <w:kinsoku/>
                    <w:wordWrap/>
                    <w:overflowPunct/>
                    <w:topLinePunct w:val="0"/>
                    <w:autoSpaceDE/>
                    <w:autoSpaceDN/>
                    <w:bidi w:val="0"/>
                    <w:spacing w:before="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经度</w:t>
                  </w:r>
                </w:p>
              </w:tc>
              <w:tc>
                <w:tcPr>
                  <w:tcW w:w="1053" w:type="pct"/>
                  <w:tcBorders>
                    <w:tl2br w:val="nil"/>
                    <w:tr2bl w:val="nil"/>
                  </w:tcBorders>
                  <w:vAlign w:val="center"/>
                </w:tcPr>
                <w:p w14:paraId="638257CB">
                  <w:pPr>
                    <w:keepNext w:val="0"/>
                    <w:keepLines w:val="0"/>
                    <w:pageBreakBefore w:val="0"/>
                    <w:widowControl w:val="0"/>
                    <w:suppressLineNumbers w:val="0"/>
                    <w:kinsoku/>
                    <w:wordWrap/>
                    <w:overflowPunct/>
                    <w:topLinePunct w:val="0"/>
                    <w:autoSpaceDE/>
                    <w:autoSpaceDN/>
                    <w:bidi w:val="0"/>
                    <w:spacing w:before="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89°00′04.284"</w:t>
                  </w:r>
                </w:p>
              </w:tc>
              <w:tc>
                <w:tcPr>
                  <w:tcW w:w="1036" w:type="pct"/>
                  <w:tcBorders>
                    <w:tl2br w:val="nil"/>
                    <w:tr2bl w:val="nil"/>
                  </w:tcBorders>
                  <w:vAlign w:val="center"/>
                </w:tcPr>
                <w:p w14:paraId="0AF3D978">
                  <w:pPr>
                    <w:keepNext w:val="0"/>
                    <w:keepLines w:val="0"/>
                    <w:pageBreakBefore w:val="0"/>
                    <w:widowControl w:val="0"/>
                    <w:suppressLineNumbers w:val="0"/>
                    <w:kinsoku/>
                    <w:wordWrap/>
                    <w:overflowPunct/>
                    <w:topLinePunct w:val="0"/>
                    <w:autoSpaceDE/>
                    <w:autoSpaceDN/>
                    <w:bidi w:val="0"/>
                    <w:spacing w:before="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纬度</w:t>
                  </w:r>
                </w:p>
              </w:tc>
              <w:tc>
                <w:tcPr>
                  <w:tcW w:w="1347" w:type="pct"/>
                  <w:tcBorders>
                    <w:tl2br w:val="nil"/>
                    <w:tr2bl w:val="nil"/>
                  </w:tcBorders>
                  <w:vAlign w:val="center"/>
                </w:tcPr>
                <w:p w14:paraId="66922ED1">
                  <w:pPr>
                    <w:keepNext w:val="0"/>
                    <w:keepLines w:val="0"/>
                    <w:pageBreakBefore w:val="0"/>
                    <w:widowControl w:val="0"/>
                    <w:suppressLineNumbers w:val="0"/>
                    <w:kinsoku/>
                    <w:wordWrap/>
                    <w:overflowPunct/>
                    <w:topLinePunct w:val="0"/>
                    <w:autoSpaceDE/>
                    <w:autoSpaceDN/>
                    <w:bidi w:val="0"/>
                    <w:spacing w:before="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44°00'30.160"</w:t>
                  </w:r>
                </w:p>
              </w:tc>
            </w:tr>
            <w:tr w14:paraId="0EB336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06" w:type="pct"/>
                  <w:tcBorders>
                    <w:tl2br w:val="nil"/>
                    <w:tr2bl w:val="nil"/>
                  </w:tcBorders>
                  <w:vAlign w:val="center"/>
                </w:tcPr>
                <w:p w14:paraId="12624FD0">
                  <w:pPr>
                    <w:keepNext w:val="0"/>
                    <w:keepLines w:val="0"/>
                    <w:pageBreakBefore w:val="0"/>
                    <w:widowControl w:val="0"/>
                    <w:suppressLineNumbers w:val="0"/>
                    <w:kinsoku/>
                    <w:wordWrap/>
                    <w:overflowPunct/>
                    <w:topLinePunct w:val="0"/>
                    <w:autoSpaceDE/>
                    <w:autoSpaceDN/>
                    <w:bidi w:val="0"/>
                    <w:spacing w:before="0" w:beforeAutospacing="0" w:after="0" w:afterLines="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主要危险物质及分布</w:t>
                  </w:r>
                </w:p>
              </w:tc>
              <w:tc>
                <w:tcPr>
                  <w:tcW w:w="4093" w:type="pct"/>
                  <w:gridSpan w:val="4"/>
                  <w:tcBorders>
                    <w:tl2br w:val="nil"/>
                    <w:tr2bl w:val="nil"/>
                  </w:tcBorders>
                  <w:vAlign w:val="center"/>
                </w:tcPr>
                <w:p w14:paraId="262FF5C3">
                  <w:pPr>
                    <w:keepNext w:val="0"/>
                    <w:keepLines w:val="0"/>
                    <w:pageBreakBefore w:val="0"/>
                    <w:widowControl w:val="0"/>
                    <w:kinsoku/>
                    <w:wordWrap/>
                    <w:overflowPunct/>
                    <w:topLinePunct w:val="0"/>
                    <w:autoSpaceDE/>
                    <w:autoSpaceDN/>
                    <w:bidi w:val="0"/>
                    <w:spacing w:after="0" w:afterLines="0"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主要危险物质：废机油</w:t>
                  </w:r>
                </w:p>
                <w:p w14:paraId="56A0F6CF">
                  <w:pPr>
                    <w:keepNext w:val="0"/>
                    <w:keepLines w:val="0"/>
                    <w:pageBreakBefore w:val="0"/>
                    <w:widowControl w:val="0"/>
                    <w:kinsoku/>
                    <w:wordWrap/>
                    <w:overflowPunct/>
                    <w:topLinePunct w:val="0"/>
                    <w:autoSpaceDE/>
                    <w:autoSpaceDN/>
                    <w:bidi w:val="0"/>
                    <w:spacing w:after="0" w:afterLines="0"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分布：</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危废贮存库</w:t>
                  </w:r>
                </w:p>
              </w:tc>
            </w:tr>
            <w:tr w14:paraId="4C9F51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06" w:type="pct"/>
                  <w:tcBorders>
                    <w:tl2br w:val="nil"/>
                    <w:tr2bl w:val="nil"/>
                  </w:tcBorders>
                  <w:vAlign w:val="center"/>
                </w:tcPr>
                <w:p w14:paraId="2C733236">
                  <w:pPr>
                    <w:keepNext w:val="0"/>
                    <w:keepLines w:val="0"/>
                    <w:pageBreakBefore w:val="0"/>
                    <w:widowControl w:val="0"/>
                    <w:suppressLineNumbers w:val="0"/>
                    <w:kinsoku/>
                    <w:wordWrap/>
                    <w:overflowPunct/>
                    <w:topLinePunct w:val="0"/>
                    <w:autoSpaceDE/>
                    <w:autoSpaceDN/>
                    <w:bidi w:val="0"/>
                    <w:spacing w:before="0" w:beforeAutospacing="0" w:after="0" w:afterLines="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环境影响途径及危害后果</w:t>
                  </w:r>
                </w:p>
              </w:tc>
              <w:tc>
                <w:tcPr>
                  <w:tcW w:w="4093" w:type="pct"/>
                  <w:gridSpan w:val="4"/>
                  <w:tcBorders>
                    <w:tl2br w:val="nil"/>
                    <w:tr2bl w:val="nil"/>
                  </w:tcBorders>
                  <w:vAlign w:val="center"/>
                </w:tcPr>
                <w:p w14:paraId="6B4DC7FB">
                  <w:pPr>
                    <w:keepNext w:val="0"/>
                    <w:keepLines w:val="0"/>
                    <w:pageBreakBefore w:val="0"/>
                    <w:widowControl w:val="0"/>
                    <w:kinsoku/>
                    <w:wordWrap/>
                    <w:overflowPunct/>
                    <w:topLinePunct w:val="0"/>
                    <w:autoSpaceDE/>
                    <w:autoSpaceDN/>
                    <w:bidi w:val="0"/>
                    <w:spacing w:after="0" w:afterLines="0"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一旦废机油泄漏、火灾引发的次生污染，将会给附近地下水、大气、土壤带来一定污染，短时间难以得到修复</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地质灾害对事故区域及下游环境质量及人员健康安全产生的影响。</w:t>
                  </w:r>
                </w:p>
              </w:tc>
            </w:tr>
            <w:tr w14:paraId="188C34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06" w:type="pct"/>
                  <w:tcBorders>
                    <w:tl2br w:val="nil"/>
                    <w:tr2bl w:val="nil"/>
                  </w:tcBorders>
                  <w:vAlign w:val="center"/>
                </w:tcPr>
                <w:p w14:paraId="7996F086">
                  <w:pPr>
                    <w:keepNext w:val="0"/>
                    <w:keepLines w:val="0"/>
                    <w:pageBreakBefore w:val="0"/>
                    <w:widowControl w:val="0"/>
                    <w:suppressLineNumbers w:val="0"/>
                    <w:kinsoku/>
                    <w:wordWrap/>
                    <w:overflowPunct/>
                    <w:topLinePunct w:val="0"/>
                    <w:autoSpaceDE/>
                    <w:autoSpaceDN/>
                    <w:bidi w:val="0"/>
                    <w:spacing w:before="0" w:beforeAutospacing="0" w:after="0" w:afterLines="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风险防范措施要求</w:t>
                  </w:r>
                </w:p>
              </w:tc>
              <w:tc>
                <w:tcPr>
                  <w:tcW w:w="4093" w:type="pct"/>
                  <w:gridSpan w:val="4"/>
                  <w:tcBorders>
                    <w:tl2br w:val="nil"/>
                    <w:tr2bl w:val="nil"/>
                  </w:tcBorders>
                  <w:vAlign w:val="center"/>
                </w:tcPr>
                <w:p w14:paraId="78090EDE">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0" w:firstLineChars="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（1）废机油泄漏风险防范措施</w:t>
                  </w:r>
                </w:p>
                <w:p w14:paraId="579A06D6">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42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1）废油所在危废</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贮存库</w:t>
                  </w:r>
                  <w:r>
                    <w:rPr>
                      <w:rFonts w:hint="default" w:ascii="Times New Roman" w:hAnsi="Times New Roman" w:eastAsia="宋体" w:cs="Times New Roman"/>
                      <w:color w:val="000000" w:themeColor="text1"/>
                      <w:sz w:val="21"/>
                      <w:szCs w:val="21"/>
                      <w:highlight w:val="none"/>
                      <w14:textFill>
                        <w14:solidFill>
                          <w14:schemeClr w14:val="tx1"/>
                        </w14:solidFill>
                      </w14:textFill>
                    </w:rPr>
                    <w:t>地面须采取硬化防渗、防腐措施，并张贴相应标识，健全库管制度，建立进出库台账记录；</w:t>
                  </w:r>
                </w:p>
                <w:p w14:paraId="3AC2A074">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42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2）在贮存期内，定期检查，发现其包装破损、渗漏等应及时处理；</w:t>
                  </w:r>
                </w:p>
                <w:p w14:paraId="10AD3C39">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42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3）危废</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贮存库</w:t>
                  </w:r>
                  <w:r>
                    <w:rPr>
                      <w:rFonts w:hint="default" w:ascii="Times New Roman" w:hAnsi="Times New Roman" w:eastAsia="宋体" w:cs="Times New Roman"/>
                      <w:color w:val="000000" w:themeColor="text1"/>
                      <w:sz w:val="21"/>
                      <w:szCs w:val="21"/>
                      <w:highlight w:val="none"/>
                      <w14:textFill>
                        <w14:solidFill>
                          <w14:schemeClr w14:val="tx1"/>
                        </w14:solidFill>
                      </w14:textFill>
                    </w:rPr>
                    <w:t>应配备有相应的足量应急物资、消防设施等，如防毒面具、喷淋设施、砂土等，并配备经过培训的应急人员。</w:t>
                  </w:r>
                </w:p>
                <w:p w14:paraId="4EFB90D3">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42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4）对区域内容易引发重大突发环境事件的环境危险源、危险区域进行调查、登记、风险评估，对环境危险源、危险区域定期组织（每月不得少于一次）进行检查、监控，并采取安全防范措施，对突发环境事件进行预防，公司设置专人每天进行巡检，定期对各环保设施进行巡查，一旦发现破损，及时检修。</w:t>
                  </w:r>
                </w:p>
                <w:p w14:paraId="29F07126">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42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5）危险废物应严格按照《危险废物贮存控制标准》进行储存，危险废物分类分区在危废贮存间暂存，交由有危险废物处置资质的单位定期进行回收处理。</w:t>
                  </w:r>
                </w:p>
                <w:p w14:paraId="4A8DBB3C">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42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6）危险废物</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贮存库</w:t>
                  </w:r>
                  <w:r>
                    <w:rPr>
                      <w:rFonts w:hint="default" w:ascii="Times New Roman" w:hAnsi="Times New Roman" w:eastAsia="宋体" w:cs="Times New Roman"/>
                      <w:color w:val="000000" w:themeColor="text1"/>
                      <w:sz w:val="21"/>
                      <w:szCs w:val="21"/>
                      <w:highlight w:val="none"/>
                      <w14:textFill>
                        <w14:solidFill>
                          <w14:schemeClr w14:val="tx1"/>
                        </w14:solidFill>
                      </w14:textFill>
                    </w:rPr>
                    <w:t>要防风、防雨、防晒、防渗，不得堆放在露天场地，避免遭受雨淋水浸；不得存放在阳光直接照射、高温及潮湿的地方；</w:t>
                  </w:r>
                </w:p>
                <w:p w14:paraId="57B28B80">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42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7）危废</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贮存库</w:t>
                  </w:r>
                  <w:r>
                    <w:rPr>
                      <w:rFonts w:hint="default" w:ascii="Times New Roman" w:hAnsi="Times New Roman" w:eastAsia="宋体" w:cs="Times New Roman"/>
                      <w:color w:val="000000" w:themeColor="text1"/>
                      <w:sz w:val="21"/>
                      <w:szCs w:val="21"/>
                      <w:highlight w:val="none"/>
                      <w14:textFill>
                        <w14:solidFill>
                          <w14:schemeClr w14:val="tx1"/>
                        </w14:solidFill>
                      </w14:textFill>
                    </w:rPr>
                    <w:t>应做地面防渗处理，防渗层为至少1m厚粘土层（渗透系数≤</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highlight w:val="none"/>
                      <w14:textFill>
                        <w14:solidFill>
                          <w14:schemeClr w14:val="tx1"/>
                        </w14:solidFill>
                      </w14:textFill>
                    </w:rPr>
                    <w:t>10</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-7</w:t>
                  </w:r>
                  <w:r>
                    <w:rPr>
                      <w:rFonts w:hint="default" w:ascii="Times New Roman" w:hAnsi="Times New Roman" w:eastAsia="宋体" w:cs="Times New Roman"/>
                      <w:color w:val="000000" w:themeColor="text1"/>
                      <w:sz w:val="21"/>
                      <w:szCs w:val="21"/>
                      <w:highlight w:val="none"/>
                      <w14:textFill>
                        <w14:solidFill>
                          <w14:schemeClr w14:val="tx1"/>
                        </w14:solidFill>
                      </w14:textFill>
                    </w:rPr>
                    <w:t>cm/s），或至少2mm厚的其它人工材料，渗透系数≤</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highlight w:val="none"/>
                      <w14:textFill>
                        <w14:solidFill>
                          <w14:schemeClr w14:val="tx1"/>
                        </w14:solidFill>
                      </w14:textFill>
                    </w:rPr>
                    <w:t>10</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-10</w:t>
                  </w:r>
                  <w:r>
                    <w:rPr>
                      <w:rFonts w:hint="default" w:ascii="Times New Roman" w:hAnsi="Times New Roman" w:eastAsia="宋体" w:cs="Times New Roman"/>
                      <w:color w:val="000000" w:themeColor="text1"/>
                      <w:sz w:val="21"/>
                      <w:szCs w:val="21"/>
                      <w:highlight w:val="none"/>
                      <w14:textFill>
                        <w14:solidFill>
                          <w14:schemeClr w14:val="tx1"/>
                        </w14:solidFill>
                      </w14:textFill>
                    </w:rPr>
                    <w:t>cm/s。</w:t>
                  </w:r>
                </w:p>
                <w:p w14:paraId="2AC3801F">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42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8）危险废物</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贮存库</w:t>
                  </w:r>
                  <w:r>
                    <w:rPr>
                      <w:rFonts w:hint="default" w:ascii="Times New Roman" w:hAnsi="Times New Roman" w:eastAsia="宋体" w:cs="Times New Roman"/>
                      <w:color w:val="000000" w:themeColor="text1"/>
                      <w:sz w:val="21"/>
                      <w:szCs w:val="21"/>
                      <w:highlight w:val="none"/>
                      <w14:textFill>
                        <w14:solidFill>
                          <w14:schemeClr w14:val="tx1"/>
                        </w14:solidFill>
                      </w14:textFill>
                    </w:rPr>
                    <w:t>应设专人管理，管理人员须具备相关方面的专业知识，并定期组织应急演练，了解消防、环保常识。</w:t>
                  </w:r>
                </w:p>
                <w:p w14:paraId="644DC284">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42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9）存放至危险废物</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贮存库</w:t>
                  </w:r>
                  <w:r>
                    <w:rPr>
                      <w:rFonts w:hint="default" w:ascii="Times New Roman" w:hAnsi="Times New Roman" w:eastAsia="宋体" w:cs="Times New Roman"/>
                      <w:color w:val="000000" w:themeColor="text1"/>
                      <w:sz w:val="21"/>
                      <w:szCs w:val="21"/>
                      <w:highlight w:val="none"/>
                      <w14:textFill>
                        <w14:solidFill>
                          <w14:schemeClr w14:val="tx1"/>
                        </w14:solidFill>
                      </w14:textFill>
                    </w:rPr>
                    <w:t>的危险废物需进行登记，严格填写危险废物贮存台账，注明名称、来源、数量、特性和包装容器的类别、入库日期、存放库位、废物出库日期及接收单位名称，危险废物处置建立健全转移联单制度。</w:t>
                  </w:r>
                </w:p>
                <w:p w14:paraId="2F6E0887">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0" w:firstLineChars="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（2）火灾防范措施</w:t>
                  </w:r>
                </w:p>
                <w:p w14:paraId="4084254F">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42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本项目在运营期使用的机械设备都是利用电能，如果管理维护不当发生线路老化、短路等现象，可导致爆炸。因此本项目在运营期间，应加强对生产运营设备的维护管理，保证通风设备以及除尘设施的正常运行，定期进行检修，同时加强员工的管理以及风险防范意识，通过设置短路保护电路等措施，及时发现设备及线路中存在的问题，消除隐患，并配备相应的消防器材和应急设备。</w:t>
                  </w:r>
                </w:p>
                <w:p w14:paraId="422BF46D">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0" w:firstLineChars="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（3）污染物事故性排放防范措施</w:t>
                  </w:r>
                </w:p>
                <w:p w14:paraId="68F67FDD">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420" w:firstLineChars="200"/>
                    <w:textAlignment w:val="auto"/>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加强生产区域的管理，加强环保设施的运营维护与保养，提高员工的风险防范意识，定期组织员工进行演练，提高员工的实际操作技能。</w:t>
                  </w:r>
                </w:p>
                <w:p w14:paraId="3BFA6A76">
                  <w:pPr>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1"/>
                      <w:szCs w:val="21"/>
                      <w:highlight w:val="none"/>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地质灾害事故防范措施</w:t>
                  </w:r>
                </w:p>
                <w:p w14:paraId="3996F51B">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420" w:firstLineChars="20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项目区气候干燥、降水量稀少。虽然项目区降雨稀少，考虑在夏季有可能发生暴雨。本项目采矿场开采、废料、产品堆放过程中有可能引发采场滑坡、塌方、泥石流等地质灾害，现提出以下地质灾害预防措施：</w:t>
                  </w:r>
                </w:p>
                <w:p w14:paraId="6844B57E">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420" w:firstLineChars="20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①采取边开采边恢复的方式，缩短堆放时间。</w:t>
                  </w:r>
                </w:p>
                <w:p w14:paraId="3EBC3C54">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420" w:firstLineChars="20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②及时削减边坡角，清理危岩体，定期加强对不稳定边坡的监测，在危险地段设置警示牌及铁丝围栏。</w:t>
                  </w:r>
                </w:p>
                <w:p w14:paraId="540BD4FB">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420" w:firstLineChars="20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③矿山开采期间需严格按照设计规范要求开采，并加强边坡稳定巡查排险，及时处理高陡边坡。</w:t>
                  </w:r>
                </w:p>
                <w:p w14:paraId="5E0DDE61">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420" w:firstLineChars="20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④在可能发生地质灾害区段设置警示标志。</w:t>
                  </w:r>
                </w:p>
                <w:p w14:paraId="776D8E56">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420" w:firstLineChars="20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⑤不超挖坡底，不留伞檐，进行科学、合理的采剥。</w:t>
                  </w:r>
                </w:p>
                <w:p w14:paraId="6EB53298">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420" w:firstLineChars="20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⑥严禁采场内台阶上下垂直方向双层作业。</w:t>
                  </w:r>
                </w:p>
                <w:p w14:paraId="3CB6E8C0">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420" w:firstLineChars="20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⑦在台阶坡面作业时，必须佩戴安全带。</w:t>
                  </w:r>
                </w:p>
                <w:p w14:paraId="3EB79DE0">
                  <w:pPr>
                    <w:keepNext w:val="0"/>
                    <w:keepLines w:val="0"/>
                    <w:pageBreakBefore w:val="0"/>
                    <w:widowControl w:val="0"/>
                    <w:kinsoku/>
                    <w:wordWrap/>
                    <w:overflowPunct/>
                    <w:topLinePunct w:val="0"/>
                    <w:autoSpaceDE/>
                    <w:autoSpaceDN/>
                    <w:bidi w:val="0"/>
                    <w:adjustRightInd w:val="0"/>
                    <w:snapToGrid w:val="0"/>
                    <w:spacing w:after="0" w:afterLines="0" w:line="240" w:lineRule="auto"/>
                    <w:ind w:firstLine="420" w:firstLineChars="200"/>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⑧大雾、大雨、大风、暴风雨时应停止施工。</w:t>
                  </w:r>
                </w:p>
              </w:tc>
            </w:tr>
            <w:tr w14:paraId="683625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06" w:type="pct"/>
                  <w:tcBorders>
                    <w:tl2br w:val="nil"/>
                    <w:tr2bl w:val="nil"/>
                  </w:tcBorders>
                  <w:vAlign w:val="center"/>
                </w:tcPr>
                <w:p w14:paraId="3C2AE6F2">
                  <w:pPr>
                    <w:keepNext w:val="0"/>
                    <w:keepLines w:val="0"/>
                    <w:pageBreakBefore w:val="0"/>
                    <w:widowControl w:val="0"/>
                    <w:suppressLineNumbers w:val="0"/>
                    <w:kinsoku/>
                    <w:wordWrap/>
                    <w:overflowPunct/>
                    <w:topLinePunct w:val="0"/>
                    <w:autoSpaceDE/>
                    <w:autoSpaceDN/>
                    <w:bidi w:val="0"/>
                    <w:spacing w:before="0" w:beforeAutospacing="0" w:after="0" w:afterLines="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填表说明</w:t>
                  </w:r>
                </w:p>
              </w:tc>
              <w:tc>
                <w:tcPr>
                  <w:tcW w:w="4093" w:type="pct"/>
                  <w:gridSpan w:val="4"/>
                  <w:tcBorders>
                    <w:tl2br w:val="nil"/>
                    <w:tr2bl w:val="nil"/>
                  </w:tcBorders>
                  <w:vAlign w:val="center"/>
                </w:tcPr>
                <w:p w14:paraId="0043A8BE">
                  <w:pPr>
                    <w:keepNext w:val="0"/>
                    <w:keepLines w:val="0"/>
                    <w:pageBreakBefore w:val="0"/>
                    <w:widowControl w:val="0"/>
                    <w:suppressLineNumbers w:val="0"/>
                    <w:kinsoku/>
                    <w:wordWrap/>
                    <w:overflowPunct/>
                    <w:topLinePunct w:val="0"/>
                    <w:autoSpaceDE/>
                    <w:autoSpaceDN/>
                    <w:bidi w:val="0"/>
                    <w:spacing w:before="0" w:beforeAutospacing="0" w:after="0" w:afterLines="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本项目主要是</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涉及</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的危险物质泄漏可能性小，所涉及工艺较成熟，危险性较低，环境敏感度较低。并且项目风险潜势为I，可开展简单分析。</w:t>
                  </w:r>
                </w:p>
              </w:tc>
            </w:tr>
          </w:tbl>
          <w:p w14:paraId="57881A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Lines="0" w:afterAutospacing="0" w:line="360" w:lineRule="auto"/>
              <w:ind w:left="0" w:leftChars="0" w:right="0" w:rightChars="0" w:firstLine="480" w:firstLineChars="200"/>
              <w:jc w:val="both"/>
              <w:textAlignment w:val="auto"/>
              <w:outlineLvl w:val="9"/>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因此，本项目严格采取上述措施以后，运营期间发生环境风险概率较小，所以本项目的事故风险水平是可以接受的。</w:t>
            </w:r>
            <w:bookmarkEnd w:id="21"/>
          </w:p>
        </w:tc>
      </w:tr>
      <w:tr w14:paraId="4BEE49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91" w:hRule="atLeast"/>
          <w:jc w:val="center"/>
        </w:trPr>
        <w:tc>
          <w:tcPr>
            <w:tcW w:w="456" w:type="dxa"/>
            <w:noWrap w:val="0"/>
            <w:vAlign w:val="center"/>
          </w:tcPr>
          <w:p w14:paraId="3ED6D73A">
            <w:pPr>
              <w:keepNext w:val="0"/>
              <w:keepLines w:val="0"/>
              <w:pageBreakBefore w:val="0"/>
              <w:widowControl w:val="0"/>
              <w:kinsoku/>
              <w:wordWrap/>
              <w:overflowPunct/>
              <w:topLinePunct w:val="0"/>
              <w:autoSpaceDE/>
              <w:autoSpaceDN/>
              <w:bidi w:val="0"/>
              <w:adjustRightInd/>
              <w:snapToGrid/>
              <w:spacing w:after="0" w:afterLines="0" w:line="240" w:lineRule="auto"/>
              <w:ind w:firstLine="0" w:firstLineChars="0"/>
              <w:jc w:val="center"/>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其他</w:t>
            </w:r>
          </w:p>
        </w:tc>
        <w:tc>
          <w:tcPr>
            <w:tcW w:w="8948" w:type="dxa"/>
            <w:noWrap w:val="0"/>
            <w:vAlign w:val="center"/>
          </w:tcPr>
          <w:p w14:paraId="245BE82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Lines="0" w:afterAutospacing="0" w:line="360" w:lineRule="auto"/>
              <w:ind w:left="0" w:leftChars="0" w:right="0" w:rightChars="0" w:firstLine="0" w:firstLineChars="0"/>
              <w:jc w:val="both"/>
              <w:textAlignment w:val="auto"/>
              <w:rPr>
                <w:rFonts w:hint="default" w:ascii="Times New Roman" w:hAnsi="Times New Roman" w:eastAsia="宋体" w:cs="Times New Roman"/>
                <w:b/>
                <w:color w:val="000000" w:themeColor="text1"/>
                <w:kern w:val="2"/>
                <w:sz w:val="24"/>
                <w:szCs w:val="24"/>
                <w:highlight w:val="none"/>
                <w14:textFill>
                  <w14:solidFill>
                    <w14:schemeClr w14:val="tx1"/>
                  </w14:solidFill>
                </w14:textFill>
              </w:rPr>
            </w:pPr>
            <w:r>
              <w:rPr>
                <w:rFonts w:hint="default" w:ascii="Times New Roman" w:hAnsi="Times New Roman" w:eastAsia="宋体" w:cs="Times New Roman"/>
                <w:b/>
                <w:color w:val="000000" w:themeColor="text1"/>
                <w:kern w:val="2"/>
                <w:sz w:val="24"/>
                <w:szCs w:val="24"/>
                <w:highlight w:val="none"/>
                <w:lang w:val="en-US" w:eastAsia="zh-CN" w:bidi="ar"/>
                <w14:textFill>
                  <w14:solidFill>
                    <w14:schemeClr w14:val="tx1"/>
                  </w14:solidFill>
                </w14:textFill>
              </w:rPr>
              <w:t>1、环境管理与监测计划</w:t>
            </w:r>
          </w:p>
          <w:p w14:paraId="6B8A7F9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Lines="0" w:afterAutospacing="0" w:line="360" w:lineRule="auto"/>
              <w:ind w:left="0" w:leftChars="0" w:right="0" w:rightChars="0" w:firstLine="480" w:firstLineChars="200"/>
              <w:jc w:val="both"/>
              <w:textAlignment w:val="auto"/>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（1）环境管理</w:t>
            </w:r>
          </w:p>
          <w:p w14:paraId="286C65A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Lines="0" w:afterAutospacing="0" w:line="360" w:lineRule="auto"/>
              <w:ind w:left="0" w:leftChars="0" w:right="0" w:rightChars="0" w:firstLine="480" w:firstLineChars="200"/>
              <w:jc w:val="both"/>
              <w:textAlignment w:val="auto"/>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根据《中华人民共和国环境保护法》规定，建设项目污染防治设施必须与主体工程同时设计、同时施工、同时投入运行，而污染防治设施建设“三同时”验收是严格控制污染源和污染物排放总量、遏制环境恶化趋势的有力措施。本项目应在试生产阶段进行“三同时”验收，具体实施计划为：</w:t>
            </w:r>
          </w:p>
          <w:p w14:paraId="321F4FD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Lines="0" w:afterAutospacing="0" w:line="360" w:lineRule="auto"/>
              <w:ind w:left="0" w:leftChars="0" w:right="0" w:rightChars="0" w:firstLine="480" w:firstLineChars="200"/>
              <w:jc w:val="both"/>
              <w:textAlignment w:val="auto"/>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①落实环保投资，确保污染治理措施执行“三同时”和各项治理与环保措施达到设计要求。</w:t>
            </w:r>
          </w:p>
          <w:p w14:paraId="54CC690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Lines="0" w:afterAutospacing="0" w:line="360" w:lineRule="auto"/>
              <w:ind w:left="0" w:leftChars="0" w:right="0" w:rightChars="0" w:firstLine="480" w:firstLineChars="200"/>
              <w:jc w:val="both"/>
              <w:textAlignment w:val="auto"/>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②建设单位或者其委托的技术机构依照法律法规及技术规范等要求，查验建设项目环保“三同时”落实情况，监测污染物达标排放情况，核实环评文件及批复要求的污染防治措施、总量减排控制、防护距离等落实情况，并据此编制竣工环保验收报告。</w:t>
            </w:r>
          </w:p>
          <w:p w14:paraId="2E55189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Lines="0" w:afterAutospacing="0" w:line="360" w:lineRule="auto"/>
              <w:ind w:left="0" w:leftChars="0" w:right="0" w:rightChars="0" w:firstLine="480" w:firstLineChars="200"/>
              <w:jc w:val="both"/>
              <w:textAlignment w:val="auto"/>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③环境保护验收报告编制完成后，建设单位应组织成立验收工作组。验收组对建设项目配套建设的环境保护设施进行验收，形成验收意见。</w:t>
            </w:r>
          </w:p>
          <w:p w14:paraId="7B9BAD3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Lines="0" w:afterAutospacing="0" w:line="360" w:lineRule="auto"/>
              <w:ind w:left="0" w:leftChars="0" w:right="0" w:rightChars="0" w:firstLine="480" w:firstLineChars="200"/>
              <w:jc w:val="both"/>
              <w:textAlignment w:val="auto"/>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④建设单位应当对验收工作组提出的问题进行整改，合格后方可出具验收合格的意见。建设项目配套建设的环境保护设施经验收合格后，其主体工程才可以投入生产或者使用。</w:t>
            </w:r>
          </w:p>
          <w:p w14:paraId="587E7E2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Lines="0" w:afterAutospacing="0" w:line="360" w:lineRule="auto"/>
              <w:ind w:left="0" w:leftChars="0" w:right="0" w:rightChars="0" w:firstLine="480" w:firstLineChars="200"/>
              <w:jc w:val="both"/>
              <w:textAlignment w:val="auto"/>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⑤建设单位取得验收合格的意见后5个工作日内，通过网站或者其他便于公众知悉的方式，依法向社会公开验收报告和验收意见。</w:t>
            </w:r>
          </w:p>
          <w:p w14:paraId="0118FAD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Lines="0" w:afterAutospacing="0" w:line="360" w:lineRule="auto"/>
              <w:ind w:left="0" w:leftChars="0" w:right="0" w:rightChars="0" w:firstLine="480" w:firstLineChars="200"/>
              <w:jc w:val="both"/>
              <w:textAlignment w:val="auto"/>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（2）环境监测制度和计划</w:t>
            </w:r>
          </w:p>
          <w:p w14:paraId="68D3EA4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Lines="0" w:afterAutospacing="0" w:line="360" w:lineRule="auto"/>
              <w:ind w:left="0" w:leftChars="0" w:right="0" w:rightChars="0" w:firstLine="480" w:firstLineChars="200"/>
              <w:jc w:val="both"/>
              <w:textAlignment w:val="auto"/>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环境监测是环保工作重要组成部分，它是弄清污染物来源、性质、数量和分布，正确评价环境质量和处理装置效果必不可少的手段。要求本企业监测任务委托专业环境监测单位承担，并要求必须与对方签订协议，明确监测范围、监测项目及监测频次。</w:t>
            </w:r>
          </w:p>
          <w:p w14:paraId="20E46EB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Lines="0" w:afterAutospacing="0" w:line="360" w:lineRule="auto"/>
              <w:ind w:left="0" w:leftChars="0" w:right="0" w:rightChars="0" w:firstLine="480" w:firstLineChars="200"/>
              <w:jc w:val="both"/>
              <w:textAlignment w:val="auto"/>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环境监测布点的基本原则应包括污染源源强（生产车间所有排污口）与环境质量（项目区及环境敏感目标）。从气、声等几方面进行监控。根据本项目生产工艺特点，其监测工作内容详见表5-8。</w:t>
            </w:r>
          </w:p>
          <w:p w14:paraId="7AE60880">
            <w:pPr>
              <w:pageBreakBefore w:val="0"/>
              <w:widowControl w:val="0"/>
              <w:kinsoku/>
              <w:wordWrap/>
              <w:overflowPunct w:val="0"/>
              <w:bidi w:val="0"/>
              <w:snapToGrid w:val="0"/>
              <w:spacing w:after="0" w:afterLines="0" w:line="360" w:lineRule="auto"/>
              <w:ind w:left="0" w:leftChars="0" w:firstLine="0" w:firstLineChars="0"/>
              <w:jc w:val="cente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t>表5-8   项目监测计划一览表</w:t>
            </w:r>
          </w:p>
          <w:tbl>
            <w:tblPr>
              <w:tblStyle w:val="38"/>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1533"/>
              <w:gridCol w:w="2845"/>
              <w:gridCol w:w="3108"/>
              <w:gridCol w:w="1243"/>
            </w:tblGrid>
            <w:tr w14:paraId="27B38E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64" w:hRule="atLeast"/>
                <w:jc w:val="center"/>
              </w:trPr>
              <w:tc>
                <w:tcPr>
                  <w:tcW w:w="878" w:type="pct"/>
                  <w:tcBorders>
                    <w:bottom w:val="single" w:color="000000" w:sz="12" w:space="0"/>
                    <w:tl2br w:val="nil"/>
                    <w:tr2bl w:val="nil"/>
                  </w:tcBorders>
                  <w:noWrap w:val="0"/>
                  <w:vAlign w:val="center"/>
                </w:tcPr>
                <w:p w14:paraId="79E22387">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污染物类别</w:t>
                  </w:r>
                </w:p>
              </w:tc>
              <w:tc>
                <w:tcPr>
                  <w:tcW w:w="1629" w:type="pct"/>
                  <w:tcBorders>
                    <w:bottom w:val="single" w:color="000000" w:sz="12" w:space="0"/>
                    <w:tl2br w:val="nil"/>
                    <w:tr2bl w:val="nil"/>
                  </w:tcBorders>
                  <w:noWrap w:val="0"/>
                  <w:vAlign w:val="center"/>
                </w:tcPr>
                <w:p w14:paraId="7AA7951B">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监测点</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位</w:t>
                  </w:r>
                </w:p>
              </w:tc>
              <w:tc>
                <w:tcPr>
                  <w:tcW w:w="1780" w:type="pct"/>
                  <w:tcBorders>
                    <w:bottom w:val="single" w:color="000000" w:sz="12" w:space="0"/>
                    <w:tl2br w:val="nil"/>
                    <w:tr2bl w:val="nil"/>
                  </w:tcBorders>
                  <w:noWrap w:val="0"/>
                  <w:vAlign w:val="center"/>
                </w:tcPr>
                <w:p w14:paraId="31A849F8">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监测</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因子</w:t>
                  </w:r>
                </w:p>
              </w:tc>
              <w:tc>
                <w:tcPr>
                  <w:tcW w:w="711" w:type="pct"/>
                  <w:tcBorders>
                    <w:bottom w:val="single" w:color="000000" w:sz="12" w:space="0"/>
                    <w:tl2br w:val="nil"/>
                    <w:tr2bl w:val="nil"/>
                  </w:tcBorders>
                  <w:noWrap w:val="0"/>
                  <w:vAlign w:val="center"/>
                </w:tcPr>
                <w:p w14:paraId="2F15D037">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监测</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频率</w:t>
                  </w:r>
                </w:p>
              </w:tc>
            </w:tr>
            <w:tr w14:paraId="1C704A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19" w:hRule="atLeast"/>
                <w:jc w:val="center"/>
              </w:trPr>
              <w:tc>
                <w:tcPr>
                  <w:tcW w:w="878" w:type="pct"/>
                  <w:vMerge w:val="restart"/>
                  <w:tcBorders>
                    <w:top w:val="single" w:color="000000" w:sz="12" w:space="0"/>
                    <w:tl2br w:val="nil"/>
                    <w:tr2bl w:val="nil"/>
                  </w:tcBorders>
                  <w:noWrap w:val="0"/>
                  <w:vAlign w:val="center"/>
                </w:tcPr>
                <w:p w14:paraId="080E8F0F">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废气</w:t>
                  </w:r>
                </w:p>
              </w:tc>
              <w:tc>
                <w:tcPr>
                  <w:tcW w:w="1629" w:type="pct"/>
                  <w:tcBorders>
                    <w:top w:val="single" w:color="000000" w:sz="12" w:space="0"/>
                    <w:tl2br w:val="nil"/>
                    <w:tr2bl w:val="nil"/>
                  </w:tcBorders>
                  <w:noWrap w:val="0"/>
                  <w:vAlign w:val="center"/>
                </w:tcPr>
                <w:p w14:paraId="4631777D">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DA001</w:t>
                  </w:r>
                </w:p>
              </w:tc>
              <w:tc>
                <w:tcPr>
                  <w:tcW w:w="1780" w:type="pct"/>
                  <w:tcBorders>
                    <w:top w:val="single" w:color="000000" w:sz="12" w:space="0"/>
                    <w:tl2br w:val="nil"/>
                    <w:tr2bl w:val="nil"/>
                  </w:tcBorders>
                  <w:noWrap w:val="0"/>
                  <w:vAlign w:val="center"/>
                </w:tcPr>
                <w:p w14:paraId="5CFF605C">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颗粒物</w:t>
                  </w:r>
                </w:p>
              </w:tc>
              <w:tc>
                <w:tcPr>
                  <w:tcW w:w="711" w:type="pct"/>
                  <w:tcBorders>
                    <w:top w:val="single" w:color="000000" w:sz="12" w:space="0"/>
                    <w:tl2br w:val="nil"/>
                    <w:tr2bl w:val="nil"/>
                  </w:tcBorders>
                  <w:noWrap w:val="0"/>
                  <w:vAlign w:val="center"/>
                </w:tcPr>
                <w:p w14:paraId="21699B8F">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1次/年</w:t>
                  </w:r>
                </w:p>
              </w:tc>
            </w:tr>
            <w:tr w14:paraId="53E29C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19" w:hRule="atLeast"/>
                <w:jc w:val="center"/>
              </w:trPr>
              <w:tc>
                <w:tcPr>
                  <w:tcW w:w="878" w:type="pct"/>
                  <w:vMerge w:val="continue"/>
                  <w:tcBorders>
                    <w:tl2br w:val="nil"/>
                    <w:tr2bl w:val="nil"/>
                  </w:tcBorders>
                  <w:noWrap w:val="0"/>
                  <w:vAlign w:val="center"/>
                </w:tcPr>
                <w:p w14:paraId="5BE7A4F2">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p>
              </w:tc>
              <w:tc>
                <w:tcPr>
                  <w:tcW w:w="1629" w:type="pct"/>
                  <w:tcBorders>
                    <w:tl2br w:val="nil"/>
                    <w:tr2bl w:val="nil"/>
                  </w:tcBorders>
                  <w:noWrap w:val="0"/>
                  <w:vAlign w:val="center"/>
                </w:tcPr>
                <w:p w14:paraId="25CB181C">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DA002</w:t>
                  </w:r>
                </w:p>
              </w:tc>
              <w:tc>
                <w:tcPr>
                  <w:tcW w:w="1780" w:type="pct"/>
                  <w:tcBorders>
                    <w:tl2br w:val="nil"/>
                    <w:tr2bl w:val="nil"/>
                  </w:tcBorders>
                  <w:noWrap w:val="0"/>
                  <w:vAlign w:val="center"/>
                </w:tcPr>
                <w:p w14:paraId="50AA7629">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颗粒物</w:t>
                  </w:r>
                </w:p>
              </w:tc>
              <w:tc>
                <w:tcPr>
                  <w:tcW w:w="711" w:type="pct"/>
                  <w:tcBorders>
                    <w:tl2br w:val="nil"/>
                    <w:tr2bl w:val="nil"/>
                  </w:tcBorders>
                  <w:noWrap w:val="0"/>
                  <w:vAlign w:val="center"/>
                </w:tcPr>
                <w:p w14:paraId="2C52AA4D">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1次/年</w:t>
                  </w:r>
                </w:p>
              </w:tc>
            </w:tr>
            <w:tr w14:paraId="343F3F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19" w:hRule="atLeast"/>
                <w:jc w:val="center"/>
              </w:trPr>
              <w:tc>
                <w:tcPr>
                  <w:tcW w:w="878" w:type="pct"/>
                  <w:vMerge w:val="continue"/>
                  <w:tcBorders>
                    <w:tl2br w:val="nil"/>
                    <w:tr2bl w:val="nil"/>
                  </w:tcBorders>
                  <w:noWrap w:val="0"/>
                  <w:vAlign w:val="center"/>
                </w:tcPr>
                <w:p w14:paraId="3CC63CD0">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p>
              </w:tc>
              <w:tc>
                <w:tcPr>
                  <w:tcW w:w="1629" w:type="pct"/>
                  <w:tcBorders>
                    <w:tl2br w:val="nil"/>
                    <w:tr2bl w:val="nil"/>
                  </w:tcBorders>
                  <w:noWrap w:val="0"/>
                  <w:vAlign w:val="center"/>
                </w:tcPr>
                <w:p w14:paraId="545BD33E">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DA003</w:t>
                  </w:r>
                </w:p>
              </w:tc>
              <w:tc>
                <w:tcPr>
                  <w:tcW w:w="1780" w:type="pct"/>
                  <w:tcBorders>
                    <w:tl2br w:val="nil"/>
                    <w:tr2bl w:val="nil"/>
                  </w:tcBorders>
                  <w:noWrap w:val="0"/>
                  <w:vAlign w:val="center"/>
                </w:tcPr>
                <w:p w14:paraId="62A5783B">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颗粒物</w:t>
                  </w:r>
                </w:p>
              </w:tc>
              <w:tc>
                <w:tcPr>
                  <w:tcW w:w="711" w:type="pct"/>
                  <w:tcBorders>
                    <w:tl2br w:val="nil"/>
                    <w:tr2bl w:val="nil"/>
                  </w:tcBorders>
                  <w:noWrap w:val="0"/>
                  <w:vAlign w:val="center"/>
                </w:tcPr>
                <w:p w14:paraId="055F386C">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1次/年</w:t>
                  </w:r>
                </w:p>
              </w:tc>
            </w:tr>
            <w:tr w14:paraId="664259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19" w:hRule="atLeast"/>
                <w:jc w:val="center"/>
              </w:trPr>
              <w:tc>
                <w:tcPr>
                  <w:tcW w:w="878" w:type="pct"/>
                  <w:vMerge w:val="continue"/>
                  <w:tcBorders>
                    <w:tl2br w:val="nil"/>
                    <w:tr2bl w:val="nil"/>
                  </w:tcBorders>
                  <w:noWrap w:val="0"/>
                  <w:vAlign w:val="center"/>
                </w:tcPr>
                <w:p w14:paraId="672C604D">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p>
              </w:tc>
              <w:tc>
                <w:tcPr>
                  <w:tcW w:w="1629" w:type="pct"/>
                  <w:tcBorders>
                    <w:tl2br w:val="nil"/>
                    <w:tr2bl w:val="nil"/>
                  </w:tcBorders>
                  <w:noWrap w:val="0"/>
                  <w:vAlign w:val="center"/>
                </w:tcPr>
                <w:p w14:paraId="2823126A">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上风向1个点，</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下风向布设</w:t>
                  </w:r>
                  <w:r>
                    <w:rPr>
                      <w:rFonts w:hint="eastAsia"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个监测点</w:t>
                  </w:r>
                </w:p>
              </w:tc>
              <w:tc>
                <w:tcPr>
                  <w:tcW w:w="1780" w:type="pct"/>
                  <w:tcBorders>
                    <w:tl2br w:val="nil"/>
                    <w:tr2bl w:val="nil"/>
                  </w:tcBorders>
                  <w:noWrap w:val="0"/>
                  <w:vAlign w:val="center"/>
                </w:tcPr>
                <w:p w14:paraId="4209416E">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TSP</w:t>
                  </w:r>
                </w:p>
              </w:tc>
              <w:tc>
                <w:tcPr>
                  <w:tcW w:w="711" w:type="pct"/>
                  <w:tcBorders>
                    <w:tl2br w:val="nil"/>
                    <w:tr2bl w:val="nil"/>
                  </w:tcBorders>
                  <w:noWrap w:val="0"/>
                  <w:vAlign w:val="center"/>
                </w:tcPr>
                <w:p w14:paraId="1C100EEB">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1次/年</w:t>
                  </w:r>
                </w:p>
              </w:tc>
            </w:tr>
            <w:tr w14:paraId="2C3403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19" w:hRule="atLeast"/>
                <w:jc w:val="center"/>
              </w:trPr>
              <w:tc>
                <w:tcPr>
                  <w:tcW w:w="878" w:type="pct"/>
                  <w:tcBorders>
                    <w:tl2br w:val="nil"/>
                    <w:tr2bl w:val="nil"/>
                  </w:tcBorders>
                  <w:noWrap w:val="0"/>
                  <w:vAlign w:val="center"/>
                </w:tcPr>
                <w:p w14:paraId="6B528CD9">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噪声</w:t>
                  </w:r>
                </w:p>
              </w:tc>
              <w:tc>
                <w:tcPr>
                  <w:tcW w:w="1629" w:type="pct"/>
                  <w:tcBorders>
                    <w:tl2br w:val="nil"/>
                    <w:tr2bl w:val="nil"/>
                  </w:tcBorders>
                  <w:noWrap w:val="0"/>
                  <w:vAlign w:val="center"/>
                </w:tcPr>
                <w:p w14:paraId="704F00A2">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场界</w:t>
                  </w:r>
                </w:p>
              </w:tc>
              <w:tc>
                <w:tcPr>
                  <w:tcW w:w="1780" w:type="pct"/>
                  <w:tcBorders>
                    <w:tl2br w:val="nil"/>
                    <w:tr2bl w:val="nil"/>
                  </w:tcBorders>
                  <w:noWrap w:val="0"/>
                  <w:vAlign w:val="center"/>
                </w:tcPr>
                <w:p w14:paraId="3C7EE202">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等效A声级</w:t>
                  </w:r>
                </w:p>
              </w:tc>
              <w:tc>
                <w:tcPr>
                  <w:tcW w:w="711" w:type="pct"/>
                  <w:tcBorders>
                    <w:tl2br w:val="nil"/>
                    <w:tr2bl w:val="nil"/>
                  </w:tcBorders>
                  <w:noWrap w:val="0"/>
                  <w:vAlign w:val="center"/>
                </w:tcPr>
                <w:p w14:paraId="7ED758C6">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1次/季</w:t>
                  </w:r>
                </w:p>
              </w:tc>
            </w:tr>
          </w:tbl>
          <w:p w14:paraId="05AF6E3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Lines="0" w:afterAutospacing="0" w:line="360" w:lineRule="auto"/>
              <w:ind w:left="0" w:leftChars="0" w:right="0" w:rightChars="0" w:firstLine="480" w:firstLineChars="200"/>
              <w:jc w:val="both"/>
              <w:textAlignment w:val="auto"/>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（3）排污口规范化建设要求</w:t>
            </w:r>
          </w:p>
          <w:p w14:paraId="00517E3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Lines="0" w:afterAutospacing="0" w:line="360" w:lineRule="auto"/>
              <w:ind w:left="0" w:leftChars="0" w:right="0" w:rightChars="0" w:firstLine="480" w:firstLineChars="200"/>
              <w:jc w:val="both"/>
              <w:textAlignment w:val="auto"/>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固体废物贮存（处置）场所应在醒目处设置标志牌，固废环境保护图形标志牌按照《环境保护图形标志》（GB15562. 1-1995）及修改单规定制定。</w:t>
            </w:r>
          </w:p>
          <w:p w14:paraId="533B700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Lines="0" w:afterAutospacing="0" w:line="360" w:lineRule="auto"/>
              <w:ind w:left="0" w:leftChars="0" w:right="0" w:rightChars="0" w:firstLine="480" w:firstLineChars="200"/>
              <w:jc w:val="both"/>
              <w:textAlignment w:val="auto"/>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（4）环保验收计划</w:t>
            </w:r>
          </w:p>
          <w:p w14:paraId="51FD23D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Lines="0" w:afterAutospacing="0" w:line="360" w:lineRule="auto"/>
              <w:ind w:left="0" w:leftChars="0" w:right="0" w:rightChars="0" w:firstLine="480" w:firstLineChars="200"/>
              <w:jc w:val="both"/>
              <w:textAlignment w:val="auto"/>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项目建设完成后，建设单位应按照规范进行自主验收，进行验收监测（调査）监测（调查）内容一般包括：</w:t>
            </w:r>
          </w:p>
          <w:p w14:paraId="7318B1C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Lines="0" w:afterAutospacing="0" w:line="360" w:lineRule="auto"/>
              <w:ind w:left="0" w:leftChars="0" w:right="0" w:rightChars="0" w:firstLine="480" w:firstLineChars="200"/>
              <w:jc w:val="both"/>
              <w:textAlignment w:val="auto"/>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1）监测各排污口的排污浓度、排污量情况，做好环保设施运行记录，监测内容如下：</w:t>
            </w:r>
          </w:p>
          <w:p w14:paraId="0D1C12B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Lines="0" w:afterAutospacing="0" w:line="360" w:lineRule="auto"/>
              <w:ind w:left="0" w:leftChars="0" w:right="0" w:rightChars="0" w:firstLine="480" w:firstLineChars="200"/>
              <w:jc w:val="both"/>
              <w:textAlignment w:val="auto"/>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①废气：场界废气排放浓度是否达标；</w:t>
            </w:r>
          </w:p>
          <w:p w14:paraId="126E2BF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Lines="0" w:afterAutospacing="0" w:line="360" w:lineRule="auto"/>
              <w:ind w:left="0" w:leftChars="0" w:right="0" w:rightChars="0" w:firstLine="480" w:firstLineChars="200"/>
              <w:jc w:val="both"/>
              <w:textAlignment w:val="auto"/>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②废水：防渗沉淀池是否防渗、防漏；</w:t>
            </w:r>
          </w:p>
          <w:p w14:paraId="16B08A8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Lines="0" w:afterAutospacing="0" w:line="360" w:lineRule="auto"/>
              <w:ind w:left="0" w:leftChars="0" w:right="0" w:rightChars="0" w:firstLine="480" w:firstLineChars="200"/>
              <w:jc w:val="both"/>
              <w:textAlignment w:val="auto"/>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③噪声：项目区四周边界噪声；</w:t>
            </w:r>
          </w:p>
          <w:p w14:paraId="3C9B822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Lines="0" w:afterAutospacing="0" w:line="360" w:lineRule="auto"/>
              <w:ind w:left="0" w:leftChars="0" w:right="0" w:rightChars="0" w:firstLine="480" w:firstLineChars="200"/>
              <w:jc w:val="both"/>
              <w:textAlignment w:val="auto"/>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④固废：生活垃圾是否得到有效处理；</w:t>
            </w:r>
          </w:p>
          <w:p w14:paraId="11D69A1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Lines="0" w:afterAutospacing="0" w:line="360" w:lineRule="auto"/>
              <w:ind w:left="0" w:leftChars="0" w:right="0" w:rightChars="0" w:firstLine="480" w:firstLineChars="200"/>
              <w:jc w:val="both"/>
              <w:textAlignment w:val="auto"/>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⑤生态：施工迹地是否进行了地表形态恢复。生态环境是否进行了恢复治理。</w:t>
            </w:r>
          </w:p>
          <w:p w14:paraId="6A11F4B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Lines="0" w:afterAutospacing="0" w:line="360" w:lineRule="auto"/>
              <w:ind w:left="0" w:leftChars="0" w:right="0" w:rightChars="0" w:firstLine="480" w:firstLineChars="200"/>
              <w:jc w:val="both"/>
              <w:textAlignment w:val="auto"/>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2）核查企业提交的试运行申请报吿；</w:t>
            </w:r>
          </w:p>
          <w:p w14:paraId="49B2948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Lines="0" w:afterAutospacing="0" w:line="360" w:lineRule="auto"/>
              <w:ind w:left="0" w:leftChars="0" w:right="0" w:rightChars="0" w:firstLine="480" w:firstLineChars="200"/>
              <w:jc w:val="both"/>
              <w:textAlignment w:val="auto"/>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3）环保部门和主管部门对环保工作进行现场检査；</w:t>
            </w:r>
          </w:p>
          <w:p w14:paraId="71CB058C">
            <w:pPr>
              <w:keepNext w:val="0"/>
              <w:keepLines w:val="0"/>
              <w:pageBreakBefore w:val="0"/>
              <w:widowControl w:val="0"/>
              <w:kinsoku/>
              <w:wordWrap/>
              <w:overflowPunct/>
              <w:topLinePunct w:val="0"/>
              <w:autoSpaceDE/>
              <w:autoSpaceDN/>
              <w:bidi w:val="0"/>
              <w:spacing w:after="0" w:afterLines="0" w:line="360" w:lineRule="auto"/>
              <w:ind w:left="0" w:leftChars="0" w:firstLine="480" w:firstLineChars="200"/>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
                <w14:textFill>
                  <w14:solidFill>
                    <w14:schemeClr w14:val="tx1"/>
                  </w14:solidFill>
                </w14:textFill>
              </w:rPr>
              <w:t>4）记录各项环保设施的试运转状况，针对出现的问题提出完善修改意见。</w:t>
            </w:r>
          </w:p>
        </w:tc>
      </w:tr>
      <w:tr w14:paraId="4D9379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1" w:hRule="atLeast"/>
          <w:jc w:val="center"/>
        </w:trPr>
        <w:tc>
          <w:tcPr>
            <w:tcW w:w="456" w:type="dxa"/>
            <w:noWrap w:val="0"/>
            <w:vAlign w:val="center"/>
          </w:tcPr>
          <w:p w14:paraId="2298A1B9">
            <w:pPr>
              <w:keepNext w:val="0"/>
              <w:keepLines w:val="0"/>
              <w:pageBreakBefore w:val="0"/>
              <w:widowControl w:val="0"/>
              <w:kinsoku/>
              <w:wordWrap/>
              <w:overflowPunct/>
              <w:topLinePunct w:val="0"/>
              <w:autoSpaceDE/>
              <w:autoSpaceDN/>
              <w:bidi w:val="0"/>
              <w:adjustRightInd/>
              <w:snapToGrid/>
              <w:spacing w:after="0" w:afterLines="0" w:line="240" w:lineRule="auto"/>
              <w:ind w:firstLine="0" w:firstLineChars="0"/>
              <w:jc w:val="center"/>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环保投资</w:t>
            </w:r>
          </w:p>
        </w:tc>
        <w:tc>
          <w:tcPr>
            <w:tcW w:w="8948" w:type="dxa"/>
            <w:noWrap w:val="0"/>
            <w:vAlign w:val="top"/>
          </w:tcPr>
          <w:p w14:paraId="3AC97D75">
            <w:pPr>
              <w:pStyle w:val="80"/>
              <w:keepNext w:val="0"/>
              <w:keepLines w:val="0"/>
              <w:pageBreakBefore w:val="0"/>
              <w:widowControl/>
              <w:kinsoku/>
              <w:wordWrap/>
              <w:overflowPunct/>
              <w:topLinePunct w:val="0"/>
              <w:autoSpaceDE/>
              <w:autoSpaceDN/>
              <w:bidi w:val="0"/>
              <w:adjustRightInd/>
              <w:snapToGrid/>
              <w:spacing w:after="0" w:afterLines="0" w:line="360" w:lineRule="auto"/>
              <w:ind w:left="0" w:leftChars="0" w:right="0" w:rightChars="0" w:firstLine="520" w:firstLineChars="0"/>
              <w:jc w:val="both"/>
              <w:textAlignment w:val="auto"/>
              <w:outlineLvl w:val="9"/>
              <w:rPr>
                <w:rFonts w:hint="default" w:ascii="Times New Roman" w:hAnsi="Times New Roman" w:eastAsia="宋体" w:cs="Times New Roman"/>
                <w:b/>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5"/>
                <w:sz w:val="24"/>
                <w:szCs w:val="24"/>
                <w:highlight w:val="none"/>
                <w:shd w:val="clear" w:color="auto" w:fill="auto"/>
                <w:lang w:val="en-US" w:eastAsia="zh-CN"/>
                <w14:textFill>
                  <w14:solidFill>
                    <w14:schemeClr w14:val="tx1"/>
                  </w14:solidFill>
                </w14:textFill>
              </w:rPr>
              <w:t>本</w:t>
            </w:r>
            <w:r>
              <w:rPr>
                <w:rFonts w:hint="default" w:ascii="Times New Roman" w:hAnsi="Times New Roman" w:eastAsia="宋体" w:cs="Times New Roman"/>
                <w:color w:val="000000" w:themeColor="text1"/>
                <w:spacing w:val="5"/>
                <w:sz w:val="24"/>
                <w:szCs w:val="24"/>
                <w:highlight w:val="none"/>
                <w:shd w:val="clear" w:color="auto" w:fill="auto"/>
                <w14:textFill>
                  <w14:solidFill>
                    <w14:schemeClr w14:val="tx1"/>
                  </w14:solidFill>
                </w14:textFill>
              </w:rPr>
              <w:t>项目投资估算为</w:t>
            </w:r>
            <w:r>
              <w:rPr>
                <w:rFonts w:hint="default" w:ascii="Times New Roman" w:hAnsi="Times New Roman" w:eastAsia="宋体" w:cs="Times New Roman"/>
                <w:color w:val="000000" w:themeColor="text1"/>
                <w:spacing w:val="5"/>
                <w:sz w:val="24"/>
                <w:szCs w:val="24"/>
                <w:highlight w:val="none"/>
                <w:shd w:val="clear" w:color="auto" w:fill="auto"/>
                <w:lang w:val="en-US" w:eastAsia="zh-CN"/>
                <w14:textFill>
                  <w14:solidFill>
                    <w14:schemeClr w14:val="tx1"/>
                  </w14:solidFill>
                </w14:textFill>
              </w:rPr>
              <w:t>6000</w:t>
            </w:r>
            <w:r>
              <w:rPr>
                <w:rFonts w:hint="default" w:ascii="Times New Roman" w:hAnsi="Times New Roman" w:eastAsia="宋体" w:cs="Times New Roman"/>
                <w:color w:val="000000" w:themeColor="text1"/>
                <w:spacing w:val="5"/>
                <w:sz w:val="24"/>
                <w:szCs w:val="24"/>
                <w:highlight w:val="none"/>
                <w:shd w:val="clear" w:color="auto" w:fill="auto"/>
                <w14:textFill>
                  <w14:solidFill>
                    <w14:schemeClr w14:val="tx1"/>
                  </w14:solidFill>
                </w14:textFill>
              </w:rPr>
              <w:t>万元，</w:t>
            </w:r>
            <w:r>
              <w:rPr>
                <w:rFonts w:hint="default" w:ascii="Times New Roman" w:hAnsi="Times New Roman" w:eastAsia="宋体" w:cs="Times New Roman"/>
                <w:color w:val="000000" w:themeColor="text1"/>
                <w:spacing w:val="5"/>
                <w:sz w:val="24"/>
                <w:szCs w:val="24"/>
                <w:highlight w:val="none"/>
                <w:shd w:val="clear" w:color="auto" w:fill="auto"/>
                <w:lang w:eastAsia="zh-CN"/>
                <w14:textFill>
                  <w14:solidFill>
                    <w14:schemeClr w14:val="tx1"/>
                  </w14:solidFill>
                </w14:textFill>
              </w:rPr>
              <w:t>环保</w:t>
            </w:r>
            <w:r>
              <w:rPr>
                <w:rFonts w:hint="default" w:ascii="Times New Roman" w:hAnsi="Times New Roman" w:eastAsia="宋体" w:cs="Times New Roman"/>
                <w:color w:val="000000" w:themeColor="text1"/>
                <w:spacing w:val="5"/>
                <w:sz w:val="24"/>
                <w:szCs w:val="24"/>
                <w:highlight w:val="none"/>
                <w:shd w:val="clear" w:color="auto" w:fill="auto"/>
                <w14:textFill>
                  <w14:solidFill>
                    <w14:schemeClr w14:val="tx1"/>
                  </w14:solidFill>
                </w14:textFill>
              </w:rPr>
              <w:t>投资</w:t>
            </w:r>
            <w:r>
              <w:rPr>
                <w:rFonts w:hint="default" w:ascii="Times New Roman" w:hAnsi="Times New Roman" w:eastAsia="宋体" w:cs="Times New Roman"/>
                <w:color w:val="000000" w:themeColor="text1"/>
                <w:spacing w:val="5"/>
                <w:sz w:val="24"/>
                <w:szCs w:val="24"/>
                <w:highlight w:val="none"/>
                <w:shd w:val="clear" w:color="auto" w:fill="auto"/>
                <w:lang w:val="en-US" w:eastAsia="zh-CN"/>
                <w14:textFill>
                  <w14:solidFill>
                    <w14:schemeClr w14:val="tx1"/>
                  </w14:solidFill>
                </w14:textFill>
              </w:rPr>
              <w:t>205</w:t>
            </w:r>
            <w:r>
              <w:rPr>
                <w:rFonts w:hint="default" w:ascii="Times New Roman" w:hAnsi="Times New Roman" w:eastAsia="宋体" w:cs="Times New Roman"/>
                <w:color w:val="000000" w:themeColor="text1"/>
                <w:spacing w:val="5"/>
                <w:sz w:val="24"/>
                <w:szCs w:val="24"/>
                <w:highlight w:val="none"/>
                <w:shd w:val="clear" w:color="auto" w:fill="auto"/>
                <w14:textFill>
                  <w14:solidFill>
                    <w14:schemeClr w14:val="tx1"/>
                  </w14:solidFill>
                </w14:textFill>
              </w:rPr>
              <w:t>万元，投资比例为</w:t>
            </w:r>
            <w:r>
              <w:rPr>
                <w:rFonts w:hint="default" w:ascii="Times New Roman" w:hAnsi="Times New Roman" w:eastAsia="宋体" w:cs="Times New Roman"/>
                <w:color w:val="000000" w:themeColor="text1"/>
                <w:spacing w:val="5"/>
                <w:sz w:val="24"/>
                <w:szCs w:val="24"/>
                <w:highlight w:val="none"/>
                <w:shd w:val="clear" w:color="auto" w:fill="auto"/>
                <w:lang w:val="en-US" w:eastAsia="zh-CN"/>
                <w14:textFill>
                  <w14:solidFill>
                    <w14:schemeClr w14:val="tx1"/>
                  </w14:solidFill>
                </w14:textFill>
              </w:rPr>
              <w:t>3.42</w:t>
            </w:r>
            <w:r>
              <w:rPr>
                <w:rFonts w:hint="default" w:ascii="Times New Roman" w:hAnsi="Times New Roman" w:eastAsia="宋体" w:cs="Times New Roman"/>
                <w:color w:val="000000" w:themeColor="text1"/>
                <w:spacing w:val="5"/>
                <w:sz w:val="24"/>
                <w:szCs w:val="24"/>
                <w:highlight w:val="none"/>
                <w:shd w:val="clear" w:color="auto" w:fill="auto"/>
                <w14:textFill>
                  <w14:solidFill>
                    <w14:schemeClr w14:val="tx1"/>
                  </w14:solidFill>
                </w14:textFill>
              </w:rPr>
              <w:t>%，见表</w:t>
            </w:r>
            <w:r>
              <w:rPr>
                <w:rFonts w:hint="default" w:ascii="Times New Roman" w:hAnsi="Times New Roman" w:eastAsia="宋体" w:cs="Times New Roman"/>
                <w:color w:val="000000" w:themeColor="text1"/>
                <w:spacing w:val="5"/>
                <w:sz w:val="24"/>
                <w:szCs w:val="24"/>
                <w:highlight w:val="none"/>
                <w:shd w:val="clear" w:color="auto" w:fill="auto"/>
                <w:lang w:val="en-US" w:eastAsia="zh-CN"/>
                <w14:textFill>
                  <w14:solidFill>
                    <w14:schemeClr w14:val="tx1"/>
                  </w14:solidFill>
                </w14:textFill>
              </w:rPr>
              <w:t>5-9</w:t>
            </w:r>
            <w:r>
              <w:rPr>
                <w:rFonts w:hint="default" w:ascii="Times New Roman" w:hAnsi="Times New Roman" w:eastAsia="宋体" w:cs="Times New Roman"/>
                <w:color w:val="000000" w:themeColor="text1"/>
                <w:spacing w:val="5"/>
                <w:sz w:val="24"/>
                <w:szCs w:val="24"/>
                <w:highlight w:val="none"/>
                <w:shd w:val="clear" w:color="auto" w:fill="auto"/>
                <w14:textFill>
                  <w14:solidFill>
                    <w14:schemeClr w14:val="tx1"/>
                  </w14:solidFill>
                </w14:textFill>
              </w:rPr>
              <w:t>。</w:t>
            </w:r>
          </w:p>
          <w:p w14:paraId="277356D9">
            <w:pPr>
              <w:pStyle w:val="52"/>
              <w:pageBreakBefore w:val="0"/>
              <w:kinsoku/>
              <w:wordWrap/>
              <w:bidi w:val="0"/>
              <w:spacing w:after="0" w:afterLines="0"/>
              <w:ind w:left="0" w:leftChars="0"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表</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 xml:space="preserve">5-9  </w:t>
            </w:r>
            <w:r>
              <w:rPr>
                <w:rFonts w:hint="default" w:ascii="Times New Roman" w:hAnsi="Times New Roman" w:eastAsia="宋体" w:cs="Times New Roman"/>
                <w:color w:val="000000" w:themeColor="text1"/>
                <w:sz w:val="21"/>
                <w:szCs w:val="21"/>
                <w:highlight w:val="none"/>
                <w14:textFill>
                  <w14:solidFill>
                    <w14:schemeClr w14:val="tx1"/>
                  </w14:solidFill>
                </w14:textFill>
              </w:rPr>
              <w:t>环境保护投资一览表</w:t>
            </w:r>
          </w:p>
          <w:tbl>
            <w:tblPr>
              <w:tblStyle w:val="38"/>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1016"/>
              <w:gridCol w:w="5964"/>
              <w:gridCol w:w="1747"/>
            </w:tblGrid>
            <w:tr w14:paraId="7715D0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63" w:hRule="atLeast"/>
                <w:jc w:val="center"/>
              </w:trPr>
              <w:tc>
                <w:tcPr>
                  <w:tcW w:w="582" w:type="pct"/>
                  <w:tcBorders>
                    <w:bottom w:val="single" w:color="000000" w:sz="12" w:space="0"/>
                    <w:tl2br w:val="nil"/>
                    <w:tr2bl w:val="nil"/>
                  </w:tcBorders>
                  <w:noWrap w:val="0"/>
                  <w:vAlign w:val="center"/>
                </w:tcPr>
                <w:p w14:paraId="0C81409B">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bookmarkStart w:id="22" w:name="OLE_LINK11"/>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环境要素</w:t>
                  </w:r>
                </w:p>
              </w:tc>
              <w:tc>
                <w:tcPr>
                  <w:tcW w:w="3416" w:type="pct"/>
                  <w:tcBorders>
                    <w:bottom w:val="single" w:color="000000" w:sz="12" w:space="0"/>
                    <w:tl2br w:val="nil"/>
                    <w:tr2bl w:val="nil"/>
                  </w:tcBorders>
                  <w:noWrap w:val="0"/>
                  <w:vAlign w:val="center"/>
                </w:tcPr>
                <w:p w14:paraId="6265E5F6">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环保措施和设施</w:t>
                  </w:r>
                </w:p>
              </w:tc>
              <w:tc>
                <w:tcPr>
                  <w:tcW w:w="1000" w:type="pct"/>
                  <w:tcBorders>
                    <w:bottom w:val="single" w:color="000000" w:sz="12" w:space="0"/>
                    <w:tl2br w:val="nil"/>
                    <w:tr2bl w:val="nil"/>
                  </w:tcBorders>
                  <w:noWrap w:val="0"/>
                  <w:vAlign w:val="center"/>
                </w:tcPr>
                <w:p w14:paraId="210D84C5">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费用（万元）</w:t>
                  </w:r>
                </w:p>
              </w:tc>
            </w:tr>
            <w:tr w14:paraId="2B3003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63" w:hRule="atLeast"/>
                <w:jc w:val="center"/>
              </w:trPr>
              <w:tc>
                <w:tcPr>
                  <w:tcW w:w="582" w:type="pct"/>
                  <w:tcBorders>
                    <w:top w:val="single" w:color="000000" w:sz="12" w:space="0"/>
                    <w:tl2br w:val="nil"/>
                    <w:tr2bl w:val="nil"/>
                  </w:tcBorders>
                  <w:noWrap w:val="0"/>
                  <w:vAlign w:val="center"/>
                </w:tcPr>
                <w:p w14:paraId="78577662">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废气</w:t>
                  </w:r>
                </w:p>
              </w:tc>
              <w:tc>
                <w:tcPr>
                  <w:tcW w:w="3416" w:type="pct"/>
                  <w:tcBorders>
                    <w:top w:val="single" w:color="000000" w:sz="12" w:space="0"/>
                    <w:tl2br w:val="nil"/>
                    <w:tr2bl w:val="nil"/>
                  </w:tcBorders>
                  <w:noWrap w:val="0"/>
                  <w:vAlign w:val="center"/>
                </w:tcPr>
                <w:p w14:paraId="2244010E">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color w:val="000000" w:themeColor="text1"/>
                      <w:kern w:val="2"/>
                      <w:sz w:val="21"/>
                      <w:szCs w:val="21"/>
                      <w:highlight w:val="none"/>
                      <w:lang w:val="en-US" w:eastAsia="zh-CN" w:bidi="ar-SA"/>
                      <w14:textFill>
                        <w14:solidFill>
                          <w14:schemeClr w14:val="tx1"/>
                        </w14:solidFill>
                      </w14:textFill>
                    </w:rPr>
                    <w:t>洒水降尘，各堆场覆盖防风抑尘网，移动式雾炮设施等；筛分、破碎筛分系统置于密闭车间内、全封闭输运皮带，配套设置</w:t>
                  </w:r>
                  <w:r>
                    <w:rPr>
                      <w:rFonts w:hint="eastAsia" w:ascii="Times New Roman" w:hAnsi="Times New Roman" w:eastAsia="宋体" w:cs="Times New Roman"/>
                      <w:b w:val="0"/>
                      <w:color w:val="000000" w:themeColor="text1"/>
                      <w:kern w:val="2"/>
                      <w:sz w:val="21"/>
                      <w:szCs w:val="21"/>
                      <w:highlight w:val="none"/>
                      <w:lang w:val="en-US" w:eastAsia="zh-CN" w:bidi="ar-SA"/>
                      <w14:textFill>
                        <w14:solidFill>
                          <w14:schemeClr w14:val="tx1"/>
                        </w14:solidFill>
                      </w14:textFill>
                    </w:rPr>
                    <w:t>密闭</w:t>
                  </w:r>
                  <w:r>
                    <w:rPr>
                      <w:rFonts w:hint="default" w:ascii="Times New Roman" w:hAnsi="Times New Roman" w:eastAsia="宋体" w:cs="Times New Roman"/>
                      <w:b w:val="0"/>
                      <w:color w:val="000000" w:themeColor="text1"/>
                      <w:kern w:val="2"/>
                      <w:sz w:val="21"/>
                      <w:szCs w:val="21"/>
                      <w:highlight w:val="none"/>
                      <w:lang w:val="en-US" w:eastAsia="zh-CN" w:bidi="ar-SA"/>
                      <w14:textFill>
                        <w14:solidFill>
                          <w14:schemeClr w14:val="tx1"/>
                        </w14:solidFill>
                      </w14:textFill>
                    </w:rPr>
                    <w:t>集气罩、水稳设备搅拌布袋除尘器+15m高排气筒（DA001）</w:t>
                  </w:r>
                  <w:r>
                    <w:rPr>
                      <w:rFonts w:hint="default" w:ascii="Times New Roman" w:hAnsi="Times New Roman" w:eastAsia="宋体" w:cs="Times New Roman"/>
                      <w:highlight w:val="none"/>
                      <w:lang w:eastAsia="zh-CN"/>
                    </w:rPr>
                    <w:t>、</w:t>
                  </w:r>
                  <w:r>
                    <w:rPr>
                      <w:rFonts w:hint="default" w:ascii="Times New Roman" w:hAnsi="Times New Roman" w:eastAsia="宋体" w:cs="Times New Roman"/>
                      <w:highlight w:val="none"/>
                      <w:lang w:val="en-US" w:eastAsia="zh-CN"/>
                    </w:rPr>
                    <w:t>筛分设备</w:t>
                  </w:r>
                  <w:r>
                    <w:rPr>
                      <w:rFonts w:hint="default" w:ascii="Times New Roman" w:hAnsi="Times New Roman" w:eastAsia="宋体" w:cs="Times New Roman"/>
                      <w:b w:val="0"/>
                      <w:color w:val="000000" w:themeColor="text1"/>
                      <w:kern w:val="2"/>
                      <w:sz w:val="21"/>
                      <w:szCs w:val="21"/>
                      <w:highlight w:val="none"/>
                      <w:lang w:val="en-US" w:eastAsia="zh-CN" w:bidi="ar-SA"/>
                      <w14:textFill>
                        <w14:solidFill>
                          <w14:schemeClr w14:val="tx1"/>
                        </w14:solidFill>
                      </w14:textFill>
                    </w:rPr>
                    <w:t>布袋除尘器+15m高排气筒（DA002）、破碎设备布袋除尘器+15m高排气筒（DA003）</w:t>
                  </w:r>
                </w:p>
              </w:tc>
              <w:tc>
                <w:tcPr>
                  <w:tcW w:w="1000" w:type="pct"/>
                  <w:tcBorders>
                    <w:top w:val="single" w:color="000000" w:sz="12" w:space="0"/>
                    <w:tl2br w:val="nil"/>
                    <w:tr2bl w:val="nil"/>
                  </w:tcBorders>
                  <w:noWrap w:val="0"/>
                  <w:vAlign w:val="center"/>
                </w:tcPr>
                <w:p w14:paraId="7F80E250">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50</w:t>
                  </w:r>
                </w:p>
              </w:tc>
            </w:tr>
            <w:tr w14:paraId="41B3D5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63" w:hRule="atLeast"/>
                <w:jc w:val="center"/>
              </w:trPr>
              <w:tc>
                <w:tcPr>
                  <w:tcW w:w="582" w:type="pct"/>
                  <w:tcBorders>
                    <w:tl2br w:val="nil"/>
                    <w:tr2bl w:val="nil"/>
                  </w:tcBorders>
                  <w:noWrap w:val="0"/>
                  <w:vAlign w:val="center"/>
                </w:tcPr>
                <w:p w14:paraId="16B9BF81">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废水</w:t>
                  </w:r>
                </w:p>
              </w:tc>
              <w:tc>
                <w:tcPr>
                  <w:tcW w:w="3416" w:type="pct"/>
                  <w:tcBorders>
                    <w:tl2br w:val="nil"/>
                    <w:tr2bl w:val="nil"/>
                  </w:tcBorders>
                  <w:noWrap w:val="0"/>
                  <w:vAlign w:val="center"/>
                </w:tcPr>
                <w:p w14:paraId="35C692FA">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val="0"/>
                      <w:color w:val="000000" w:themeColor="text1"/>
                      <w:kern w:val="2"/>
                      <w:sz w:val="21"/>
                      <w:szCs w:val="21"/>
                      <w:highlight w:val="none"/>
                      <w:lang w:val="en-US" w:eastAsia="zh-CN" w:bidi="ar-SA"/>
                      <w14:textFill>
                        <w14:solidFill>
                          <w14:schemeClr w14:val="tx1"/>
                        </w14:solidFill>
                      </w14:textFill>
                    </w:rPr>
                    <w:t>废水沉淀池和生活污水防渗池</w:t>
                  </w:r>
                </w:p>
              </w:tc>
              <w:tc>
                <w:tcPr>
                  <w:tcW w:w="1000" w:type="pct"/>
                  <w:tcBorders>
                    <w:tl2br w:val="nil"/>
                    <w:tr2bl w:val="nil"/>
                  </w:tcBorders>
                  <w:noWrap w:val="0"/>
                  <w:vAlign w:val="center"/>
                </w:tcPr>
                <w:p w14:paraId="78D39908">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5</w:t>
                  </w:r>
                </w:p>
              </w:tc>
            </w:tr>
            <w:tr w14:paraId="7397D3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63" w:hRule="atLeast"/>
                <w:jc w:val="center"/>
              </w:trPr>
              <w:tc>
                <w:tcPr>
                  <w:tcW w:w="582" w:type="pct"/>
                  <w:tcBorders>
                    <w:tl2br w:val="nil"/>
                    <w:tr2bl w:val="nil"/>
                  </w:tcBorders>
                  <w:noWrap w:val="0"/>
                  <w:vAlign w:val="center"/>
                </w:tcPr>
                <w:p w14:paraId="6AB33F0F">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噪声</w:t>
                  </w:r>
                </w:p>
              </w:tc>
              <w:tc>
                <w:tcPr>
                  <w:tcW w:w="3416" w:type="pct"/>
                  <w:tcBorders>
                    <w:tl2br w:val="nil"/>
                    <w:tr2bl w:val="nil"/>
                  </w:tcBorders>
                  <w:noWrap w:val="0"/>
                  <w:vAlign w:val="center"/>
                </w:tcPr>
                <w:p w14:paraId="73FB9C07">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设置减振基座，加强设备保养</w:t>
                  </w:r>
                </w:p>
              </w:tc>
              <w:tc>
                <w:tcPr>
                  <w:tcW w:w="1000" w:type="pct"/>
                  <w:tcBorders>
                    <w:tl2br w:val="nil"/>
                    <w:tr2bl w:val="nil"/>
                  </w:tcBorders>
                  <w:noWrap w:val="0"/>
                  <w:vAlign w:val="center"/>
                </w:tcPr>
                <w:p w14:paraId="33CA1751">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5</w:t>
                  </w:r>
                </w:p>
              </w:tc>
            </w:tr>
            <w:tr w14:paraId="672314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63" w:hRule="atLeast"/>
                <w:jc w:val="center"/>
              </w:trPr>
              <w:tc>
                <w:tcPr>
                  <w:tcW w:w="582" w:type="pct"/>
                  <w:tcBorders>
                    <w:tl2br w:val="nil"/>
                    <w:tr2bl w:val="nil"/>
                  </w:tcBorders>
                  <w:noWrap w:val="0"/>
                  <w:vAlign w:val="center"/>
                </w:tcPr>
                <w:p w14:paraId="7E7305AA">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固废</w:t>
                  </w:r>
                </w:p>
              </w:tc>
              <w:tc>
                <w:tcPr>
                  <w:tcW w:w="3416" w:type="pct"/>
                  <w:tcBorders>
                    <w:tl2br w:val="nil"/>
                    <w:tr2bl w:val="nil"/>
                  </w:tcBorders>
                  <w:noWrap w:val="0"/>
                  <w:vAlign w:val="center"/>
                </w:tcPr>
                <w:p w14:paraId="4A248286">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生活垃圾收集装置</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，危废贮存库，堆场，表土堆场。</w:t>
                  </w:r>
                </w:p>
              </w:tc>
              <w:tc>
                <w:tcPr>
                  <w:tcW w:w="1000" w:type="pct"/>
                  <w:tcBorders>
                    <w:tl2br w:val="nil"/>
                    <w:tr2bl w:val="nil"/>
                  </w:tcBorders>
                  <w:noWrap w:val="0"/>
                  <w:vAlign w:val="center"/>
                </w:tcPr>
                <w:p w14:paraId="1617CC30">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5</w:t>
                  </w:r>
                </w:p>
              </w:tc>
            </w:tr>
            <w:tr w14:paraId="41D5B7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63" w:hRule="atLeast"/>
                <w:jc w:val="center"/>
              </w:trPr>
              <w:tc>
                <w:tcPr>
                  <w:tcW w:w="582" w:type="pct"/>
                  <w:tcBorders>
                    <w:tl2br w:val="nil"/>
                    <w:tr2bl w:val="nil"/>
                  </w:tcBorders>
                  <w:noWrap w:val="0"/>
                  <w:vAlign w:val="center"/>
                </w:tcPr>
                <w:p w14:paraId="372FA40E">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生态</w:t>
                  </w:r>
                </w:p>
              </w:tc>
              <w:tc>
                <w:tcPr>
                  <w:tcW w:w="3416" w:type="pct"/>
                  <w:tcBorders>
                    <w:tl2br w:val="nil"/>
                    <w:tr2bl w:val="nil"/>
                  </w:tcBorders>
                  <w:noWrap w:val="0"/>
                  <w:vAlign w:val="center"/>
                </w:tcPr>
                <w:p w14:paraId="51CA700E">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覆土绿化、</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生态恢复，</w:t>
                  </w:r>
                  <w:r>
                    <w:rPr>
                      <w:rFonts w:hint="default" w:ascii="Times New Roman" w:hAnsi="Times New Roman" w:eastAsia="宋体" w:cs="Times New Roman"/>
                      <w:b w:val="0"/>
                      <w:bCs w:val="0"/>
                      <w:color w:val="000000" w:themeColor="text1"/>
                      <w:sz w:val="21"/>
                      <w:szCs w:val="21"/>
                      <w:highlight w:val="none"/>
                      <w:lang w:eastAsia="zh-CN"/>
                      <w14:textFill>
                        <w14:solidFill>
                          <w14:schemeClr w14:val="tx1"/>
                        </w14:solidFill>
                      </w14:textFill>
                    </w:rPr>
                    <w:t>土地复垦，闭矿设备拆除</w:t>
                  </w:r>
                </w:p>
              </w:tc>
              <w:tc>
                <w:tcPr>
                  <w:tcW w:w="1000" w:type="pct"/>
                  <w:tcBorders>
                    <w:tl2br w:val="nil"/>
                    <w:tr2bl w:val="nil"/>
                  </w:tcBorders>
                  <w:noWrap w:val="0"/>
                  <w:vAlign w:val="center"/>
                </w:tcPr>
                <w:p w14:paraId="08F711C0">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140</w:t>
                  </w:r>
                </w:p>
              </w:tc>
            </w:tr>
            <w:tr w14:paraId="0A7A84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63" w:hRule="atLeast"/>
                <w:jc w:val="center"/>
              </w:trPr>
              <w:tc>
                <w:tcPr>
                  <w:tcW w:w="3999" w:type="pct"/>
                  <w:gridSpan w:val="2"/>
                  <w:tcBorders>
                    <w:tl2br w:val="nil"/>
                    <w:tr2bl w:val="nil"/>
                  </w:tcBorders>
                  <w:noWrap w:val="0"/>
                  <w:vAlign w:val="center"/>
                </w:tcPr>
                <w:p w14:paraId="40DD2DD4">
                  <w:pPr>
                    <w:keepNext w:val="0"/>
                    <w:keepLines w:val="0"/>
                    <w:pageBreakBefore w:val="0"/>
                    <w:widowControl w:val="0"/>
                    <w:kinsoku/>
                    <w:wordWrap/>
                    <w:overflowPunct/>
                    <w:topLinePunct w:val="0"/>
                    <w:autoSpaceDE/>
                    <w:autoSpaceDN/>
                    <w:bidi w:val="0"/>
                    <w:adjustRightInd/>
                    <w:snapToGrid/>
                    <w:spacing w:after="0" w:afterLines="0" w:line="240" w:lineRule="auto"/>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合计</w:t>
                  </w:r>
                </w:p>
              </w:tc>
              <w:tc>
                <w:tcPr>
                  <w:tcW w:w="1000" w:type="pct"/>
                  <w:tcBorders>
                    <w:tl2br w:val="nil"/>
                    <w:tr2bl w:val="nil"/>
                  </w:tcBorders>
                  <w:noWrap w:val="0"/>
                  <w:vAlign w:val="center"/>
                </w:tcPr>
                <w:p w14:paraId="31816EF3">
                  <w:pPr>
                    <w:keepNext w:val="0"/>
                    <w:keepLines w:val="0"/>
                    <w:pageBreakBefore w:val="0"/>
                    <w:widowControl w:val="0"/>
                    <w:kinsoku/>
                    <w:wordWrap/>
                    <w:overflowPunct/>
                    <w:topLinePunct w:val="0"/>
                    <w:autoSpaceDE/>
                    <w:autoSpaceDN/>
                    <w:bidi w:val="0"/>
                    <w:adjustRightInd/>
                    <w:snapToGrid/>
                    <w:spacing w:after="0" w:afterLines="0"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205</w:t>
                  </w:r>
                </w:p>
              </w:tc>
            </w:tr>
            <w:bookmarkEnd w:id="22"/>
          </w:tbl>
          <w:p w14:paraId="673EB908">
            <w:pPr>
              <w:pStyle w:val="80"/>
              <w:keepNext w:val="0"/>
              <w:keepLines w:val="0"/>
              <w:pageBreakBefore w:val="0"/>
              <w:widowControl/>
              <w:kinsoku/>
              <w:wordWrap/>
              <w:overflowPunct/>
              <w:topLinePunct w:val="0"/>
              <w:autoSpaceDE/>
              <w:autoSpaceDN/>
              <w:bidi w:val="0"/>
              <w:adjustRightInd/>
              <w:snapToGrid/>
              <w:spacing w:after="0" w:afterLines="0" w:line="360" w:lineRule="auto"/>
              <w:ind w:left="0" w:leftChars="0" w:right="0" w:rightChars="0" w:firstLine="520" w:firstLineChars="0"/>
              <w:jc w:val="both"/>
              <w:textAlignment w:val="auto"/>
              <w:outlineLvl w:val="9"/>
              <w:rPr>
                <w:rFonts w:hint="default" w:ascii="Times New Roman" w:hAnsi="Times New Roman" w:eastAsia="宋体" w:cs="Times New Roman"/>
                <w:color w:val="000000" w:themeColor="text1"/>
                <w:spacing w:val="5"/>
                <w:sz w:val="24"/>
                <w:szCs w:val="24"/>
                <w:highlight w:val="none"/>
                <w:shd w:val="clear" w:color="auto" w:fill="auto"/>
                <w:lang w:val="en-US" w:eastAsia="zh-CN"/>
                <w14:textFill>
                  <w14:solidFill>
                    <w14:schemeClr w14:val="tx1"/>
                  </w14:solidFill>
                </w14:textFill>
              </w:rPr>
            </w:pPr>
          </w:p>
          <w:p w14:paraId="4F7A9180">
            <w:pPr>
              <w:pStyle w:val="80"/>
              <w:keepNext w:val="0"/>
              <w:keepLines w:val="0"/>
              <w:pageBreakBefore w:val="0"/>
              <w:widowControl/>
              <w:kinsoku/>
              <w:wordWrap/>
              <w:overflowPunct/>
              <w:topLinePunct w:val="0"/>
              <w:autoSpaceDE/>
              <w:autoSpaceDN/>
              <w:bidi w:val="0"/>
              <w:adjustRightInd/>
              <w:snapToGrid/>
              <w:spacing w:after="0" w:afterLines="0" w:line="360" w:lineRule="auto"/>
              <w:ind w:left="0" w:leftChars="0" w:right="0" w:rightChars="0" w:firstLine="520" w:firstLineChars="0"/>
              <w:jc w:val="both"/>
              <w:textAlignment w:val="auto"/>
              <w:outlineLvl w:val="9"/>
              <w:rPr>
                <w:rFonts w:hint="default" w:ascii="Times New Roman" w:hAnsi="Times New Roman" w:eastAsia="宋体" w:cs="Times New Roman"/>
                <w:color w:val="000000" w:themeColor="text1"/>
                <w:spacing w:val="5"/>
                <w:sz w:val="24"/>
                <w:szCs w:val="24"/>
                <w:highlight w:val="none"/>
                <w:shd w:val="clear" w:color="auto" w:fill="auto"/>
                <w:lang w:val="en-US" w:eastAsia="zh-CN"/>
                <w14:textFill>
                  <w14:solidFill>
                    <w14:schemeClr w14:val="tx1"/>
                  </w14:solidFill>
                </w14:textFill>
              </w:rPr>
            </w:pPr>
          </w:p>
          <w:p w14:paraId="09EC97C3">
            <w:pPr>
              <w:pStyle w:val="80"/>
              <w:keepNext w:val="0"/>
              <w:keepLines w:val="0"/>
              <w:pageBreakBefore w:val="0"/>
              <w:widowControl/>
              <w:kinsoku/>
              <w:wordWrap/>
              <w:overflowPunct/>
              <w:topLinePunct w:val="0"/>
              <w:autoSpaceDE/>
              <w:autoSpaceDN/>
              <w:bidi w:val="0"/>
              <w:adjustRightInd/>
              <w:snapToGrid/>
              <w:spacing w:after="0" w:afterLines="0" w:line="360" w:lineRule="auto"/>
              <w:ind w:left="0" w:leftChars="0" w:right="0" w:rightChars="0" w:firstLine="520" w:firstLineChars="0"/>
              <w:jc w:val="both"/>
              <w:textAlignment w:val="auto"/>
              <w:outlineLvl w:val="9"/>
              <w:rPr>
                <w:rFonts w:hint="default" w:ascii="Times New Roman" w:hAnsi="Times New Roman" w:eastAsia="宋体" w:cs="Times New Roman"/>
                <w:color w:val="000000" w:themeColor="text1"/>
                <w:spacing w:val="5"/>
                <w:sz w:val="24"/>
                <w:szCs w:val="24"/>
                <w:highlight w:val="none"/>
                <w:shd w:val="clear" w:color="auto" w:fill="auto"/>
                <w:lang w:val="en-US" w:eastAsia="zh-CN"/>
                <w14:textFill>
                  <w14:solidFill>
                    <w14:schemeClr w14:val="tx1"/>
                  </w14:solidFill>
                </w14:textFill>
              </w:rPr>
            </w:pPr>
          </w:p>
          <w:p w14:paraId="4AE3FC0B">
            <w:pPr>
              <w:pStyle w:val="80"/>
              <w:keepNext w:val="0"/>
              <w:keepLines w:val="0"/>
              <w:pageBreakBefore w:val="0"/>
              <w:widowControl/>
              <w:kinsoku/>
              <w:wordWrap/>
              <w:overflowPunct/>
              <w:topLinePunct w:val="0"/>
              <w:autoSpaceDE/>
              <w:autoSpaceDN/>
              <w:bidi w:val="0"/>
              <w:adjustRightInd/>
              <w:snapToGrid/>
              <w:spacing w:after="0" w:afterLines="0" w:line="360" w:lineRule="auto"/>
              <w:ind w:left="0" w:leftChars="0" w:right="0" w:rightChars="0" w:firstLine="520" w:firstLineChars="0"/>
              <w:jc w:val="both"/>
              <w:textAlignment w:val="auto"/>
              <w:outlineLvl w:val="9"/>
              <w:rPr>
                <w:rFonts w:hint="default" w:ascii="Times New Roman" w:hAnsi="Times New Roman" w:eastAsia="宋体" w:cs="Times New Roman"/>
                <w:color w:val="000000" w:themeColor="text1"/>
                <w:spacing w:val="5"/>
                <w:sz w:val="24"/>
                <w:szCs w:val="24"/>
                <w:highlight w:val="none"/>
                <w:shd w:val="clear" w:color="auto" w:fill="auto"/>
                <w:lang w:val="en-US" w:eastAsia="zh-CN"/>
                <w14:textFill>
                  <w14:solidFill>
                    <w14:schemeClr w14:val="tx1"/>
                  </w14:solidFill>
                </w14:textFill>
              </w:rPr>
            </w:pPr>
          </w:p>
          <w:p w14:paraId="77066CE6">
            <w:pPr>
              <w:pStyle w:val="80"/>
              <w:keepNext w:val="0"/>
              <w:keepLines w:val="0"/>
              <w:pageBreakBefore w:val="0"/>
              <w:widowControl/>
              <w:kinsoku/>
              <w:wordWrap/>
              <w:overflowPunct/>
              <w:topLinePunct w:val="0"/>
              <w:autoSpaceDE/>
              <w:autoSpaceDN/>
              <w:bidi w:val="0"/>
              <w:adjustRightInd/>
              <w:snapToGrid/>
              <w:spacing w:after="0" w:afterLines="0" w:line="360" w:lineRule="auto"/>
              <w:ind w:left="0" w:leftChars="0" w:right="0" w:rightChars="0" w:firstLine="520" w:firstLineChars="0"/>
              <w:jc w:val="both"/>
              <w:textAlignment w:val="auto"/>
              <w:outlineLvl w:val="9"/>
              <w:rPr>
                <w:rFonts w:hint="default" w:ascii="Times New Roman" w:hAnsi="Times New Roman" w:eastAsia="宋体" w:cs="Times New Roman"/>
                <w:color w:val="000000" w:themeColor="text1"/>
                <w:spacing w:val="5"/>
                <w:sz w:val="24"/>
                <w:szCs w:val="24"/>
                <w:highlight w:val="none"/>
                <w:shd w:val="clear" w:color="auto" w:fill="auto"/>
                <w:lang w:val="en-US" w:eastAsia="zh-CN"/>
                <w14:textFill>
                  <w14:solidFill>
                    <w14:schemeClr w14:val="tx1"/>
                  </w14:solidFill>
                </w14:textFill>
              </w:rPr>
            </w:pPr>
          </w:p>
          <w:p w14:paraId="6C345674">
            <w:pPr>
              <w:pageBreakBefore w:val="0"/>
              <w:kinsoku/>
              <w:wordWrap/>
              <w:bidi w:val="0"/>
              <w:spacing w:after="0" w:afterLines="0" w:line="360" w:lineRule="auto"/>
              <w:ind w:left="0" w:leftChars="0" w:firstLine="0" w:firstLineChars="0"/>
              <w:rPr>
                <w:rFonts w:hint="default" w:ascii="Times New Roman" w:hAnsi="Times New Roman" w:eastAsia="宋体" w:cs="Times New Roman"/>
                <w:color w:val="000000" w:themeColor="text1"/>
                <w:highlight w:val="none"/>
                <w:lang w:val="en-US" w:eastAsia="zh-CN"/>
                <w14:textFill>
                  <w14:solidFill>
                    <w14:schemeClr w14:val="tx1"/>
                  </w14:solidFill>
                </w14:textFill>
              </w:rPr>
            </w:pPr>
          </w:p>
        </w:tc>
      </w:tr>
    </w:tbl>
    <w:p w14:paraId="6296102E">
      <w:pPr>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highlight w:val="none"/>
        </w:rPr>
        <w:br w:type="page"/>
      </w:r>
      <w:r>
        <w:rPr>
          <w:rFonts w:hint="default" w:ascii="Times New Roman" w:hAnsi="Times New Roman" w:eastAsia="宋体" w:cs="Times New Roman"/>
          <w:b/>
          <w:bCs/>
          <w:snapToGrid w:val="0"/>
          <w:color w:val="000000" w:themeColor="text1"/>
          <w:kern w:val="0"/>
          <w:sz w:val="30"/>
          <w:szCs w:val="30"/>
          <w:highlight w:val="none"/>
          <w:lang w:val="en-US" w:eastAsia="zh-CN" w:bidi="ar-SA"/>
          <w14:textFill>
            <w14:solidFill>
              <w14:schemeClr w14:val="tx1"/>
            </w14:solidFill>
          </w14:textFill>
        </w:rPr>
        <w:t>六、生态环境保护措施监督检查清单</w:t>
      </w:r>
    </w:p>
    <w:tbl>
      <w:tblPr>
        <w:tblStyle w:val="38"/>
        <w:tblW w:w="5023"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292"/>
        <w:gridCol w:w="1462"/>
        <w:gridCol w:w="1404"/>
        <w:gridCol w:w="2459"/>
        <w:gridCol w:w="1944"/>
      </w:tblGrid>
      <w:tr w14:paraId="410F88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71" w:type="pct"/>
            <w:vMerge w:val="restart"/>
            <w:tcBorders>
              <w:tl2br w:val="single" w:color="auto" w:sz="4" w:space="0"/>
            </w:tcBorders>
            <w:noWrap w:val="0"/>
            <w:vAlign w:val="center"/>
          </w:tcPr>
          <w:p w14:paraId="67AC29A5">
            <w:pPr>
              <w:widowControl/>
              <w:adjustRightInd w:val="0"/>
              <w:snapToGrid w:val="0"/>
              <w:spacing w:before="72" w:beforeLines="30" w:beforeAutospacing="0" w:after="0" w:afterAutospacing="0"/>
              <w:ind w:left="0" w:leftChars="0" w:firstLine="630" w:firstLineChars="300"/>
              <w:jc w:val="both"/>
              <w:outlineLvl w:val="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内容</w:t>
            </w:r>
          </w:p>
          <w:p w14:paraId="70046746">
            <w:pPr>
              <w:widowControl/>
              <w:adjustRightInd w:val="0"/>
              <w:snapToGrid w:val="0"/>
              <w:spacing w:before="0" w:beforeAutospacing="0" w:after="0" w:afterAutospacing="0" w:line="14" w:lineRule="auto"/>
              <w:jc w:val="center"/>
              <w:outlineLvl w:val="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p w14:paraId="6A498968">
            <w:pPr>
              <w:widowControl/>
              <w:adjustRightInd w:val="0"/>
              <w:snapToGrid w:val="0"/>
              <w:spacing w:before="0" w:beforeAutospacing="0" w:after="0" w:afterAutospacing="0"/>
              <w:ind w:left="0" w:leftChars="0" w:firstLine="0" w:firstLineChars="0"/>
              <w:jc w:val="both"/>
              <w:outlineLvl w:val="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要素</w:t>
            </w:r>
          </w:p>
        </w:tc>
        <w:tc>
          <w:tcPr>
            <w:tcW w:w="1706" w:type="pct"/>
            <w:gridSpan w:val="2"/>
            <w:noWrap w:val="0"/>
            <w:vAlign w:val="center"/>
          </w:tcPr>
          <w:p w14:paraId="1B67C5CE">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施工期</w:t>
            </w:r>
          </w:p>
        </w:tc>
        <w:tc>
          <w:tcPr>
            <w:tcW w:w="2522" w:type="pct"/>
            <w:gridSpan w:val="2"/>
            <w:noWrap w:val="0"/>
            <w:vAlign w:val="center"/>
          </w:tcPr>
          <w:p w14:paraId="2CA52B2B">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运营期</w:t>
            </w:r>
          </w:p>
        </w:tc>
      </w:tr>
      <w:tr w14:paraId="158C38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71" w:type="pct"/>
            <w:vMerge w:val="continue"/>
            <w:noWrap w:val="0"/>
            <w:vAlign w:val="center"/>
          </w:tcPr>
          <w:p w14:paraId="223C7769">
            <w:pPr>
              <w:widowControl/>
              <w:adjustRightInd w:val="0"/>
              <w:snapToGrid w:val="0"/>
              <w:spacing w:before="0" w:beforeAutospacing="0" w:after="0" w:afterAutospacing="0"/>
              <w:ind w:firstLine="840"/>
              <w:jc w:val="center"/>
              <w:outlineLvl w:val="0"/>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p>
        </w:tc>
        <w:tc>
          <w:tcPr>
            <w:tcW w:w="870" w:type="pct"/>
            <w:noWrap w:val="0"/>
            <w:vAlign w:val="center"/>
          </w:tcPr>
          <w:p w14:paraId="28A042CE">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环境保护措施</w:t>
            </w:r>
          </w:p>
        </w:tc>
        <w:tc>
          <w:tcPr>
            <w:tcW w:w="836" w:type="pct"/>
            <w:noWrap w:val="0"/>
            <w:vAlign w:val="center"/>
          </w:tcPr>
          <w:p w14:paraId="0E71BDBE">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验收要求</w:t>
            </w:r>
          </w:p>
        </w:tc>
        <w:tc>
          <w:tcPr>
            <w:tcW w:w="1452" w:type="pct"/>
            <w:noWrap w:val="0"/>
            <w:vAlign w:val="center"/>
          </w:tcPr>
          <w:p w14:paraId="7618E21A">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环境保护措施</w:t>
            </w:r>
          </w:p>
        </w:tc>
        <w:tc>
          <w:tcPr>
            <w:tcW w:w="1070" w:type="pct"/>
            <w:noWrap w:val="0"/>
            <w:vAlign w:val="center"/>
          </w:tcPr>
          <w:p w14:paraId="4D625594">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验收要求</w:t>
            </w:r>
          </w:p>
        </w:tc>
      </w:tr>
      <w:tr w14:paraId="332DA6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771" w:type="pct"/>
            <w:noWrap w:val="0"/>
            <w:vAlign w:val="center"/>
          </w:tcPr>
          <w:p w14:paraId="6DE0CC7A">
            <w:pPr>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陆生生态</w:t>
            </w:r>
          </w:p>
        </w:tc>
        <w:tc>
          <w:tcPr>
            <w:tcW w:w="1584" w:type="dxa"/>
            <w:noWrap w:val="0"/>
            <w:vAlign w:val="center"/>
          </w:tcPr>
          <w:p w14:paraId="2A4120C0">
            <w:pPr>
              <w:pStyle w:val="72"/>
              <w:bidi w:val="0"/>
              <w:ind w:firstLine="0" w:firstLineChars="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明确施工用地范围，禁止施工人员、车辆进入非施工占地区域。施工结束后，施工临时生产、生活设施将予以拆除，以利于天然状态下植被的恢复</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禁止施工人员捕食鸟类、兽类；禁止施工人员野外用火</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施工结束后对扰动地面采取场地平整措施</w:t>
            </w:r>
          </w:p>
        </w:tc>
        <w:tc>
          <w:tcPr>
            <w:tcW w:w="1522" w:type="dxa"/>
            <w:noWrap w:val="0"/>
            <w:vAlign w:val="center"/>
          </w:tcPr>
          <w:p w14:paraId="33BEB1A1">
            <w:pPr>
              <w:pStyle w:val="72"/>
              <w:bidi w:val="0"/>
              <w:ind w:firstLine="0" w:firstLineChars="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现场是否平整；是否</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硬化压实</w:t>
            </w:r>
            <w:r>
              <w:rPr>
                <w:rFonts w:hint="default" w:ascii="Times New Roman" w:hAnsi="Times New Roman" w:eastAsia="宋体" w:cs="Times New Roman"/>
                <w:color w:val="000000" w:themeColor="text1"/>
                <w:sz w:val="21"/>
                <w:szCs w:val="21"/>
                <w:highlight w:val="none"/>
                <w14:textFill>
                  <w14:solidFill>
                    <w14:schemeClr w14:val="tx1"/>
                  </w14:solidFill>
                </w14:textFill>
              </w:rPr>
              <w:t>；施工区外是否有破坏痕迹及垃圾</w:t>
            </w:r>
          </w:p>
        </w:tc>
        <w:tc>
          <w:tcPr>
            <w:tcW w:w="2644" w:type="dxa"/>
            <w:noWrap w:val="0"/>
            <w:vAlign w:val="center"/>
          </w:tcPr>
          <w:p w14:paraId="02FBFC91">
            <w:pPr>
              <w:pStyle w:val="72"/>
              <w:bidi w:val="0"/>
              <w:ind w:firstLine="0" w:firstLineChars="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运营期实现矿山绿化与生态效益协调发展，制定生态治理及生态恢复方案。在服务期满后及时封场。矿山开采闭矿后必须按照矿山安全、水土保持、地质恢复、环境保护工作的有关规定拆除无用的地面建筑物，将破坏的地表推平，对受破坏的地表恢复原貌等工作</w:t>
            </w: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堆场篷布覆盖</w:t>
            </w: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；闭矿后进行土地复垦，对矿区周边进行表土回填和迹地覆土恢复等措施</w:t>
            </w:r>
          </w:p>
        </w:tc>
        <w:tc>
          <w:tcPr>
            <w:tcW w:w="1948" w:type="dxa"/>
            <w:noWrap w:val="0"/>
            <w:vAlign w:val="center"/>
          </w:tcPr>
          <w:p w14:paraId="6B21E0C4">
            <w:pPr>
              <w:pStyle w:val="72"/>
              <w:bidi w:val="0"/>
              <w:ind w:firstLine="0" w:firstLineChars="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对项目区域生态环境影响较小</w:t>
            </w:r>
          </w:p>
        </w:tc>
      </w:tr>
      <w:tr w14:paraId="107262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771" w:type="pct"/>
            <w:noWrap w:val="0"/>
            <w:vAlign w:val="center"/>
          </w:tcPr>
          <w:p w14:paraId="67B80BB0">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水生生态</w:t>
            </w:r>
          </w:p>
        </w:tc>
        <w:tc>
          <w:tcPr>
            <w:tcW w:w="870" w:type="pct"/>
            <w:noWrap w:val="0"/>
            <w:vAlign w:val="center"/>
          </w:tcPr>
          <w:p w14:paraId="6307F1EC">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836" w:type="pct"/>
            <w:noWrap w:val="0"/>
            <w:vAlign w:val="center"/>
          </w:tcPr>
          <w:p w14:paraId="39208FB9">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1452" w:type="pct"/>
            <w:noWrap w:val="0"/>
            <w:vAlign w:val="center"/>
          </w:tcPr>
          <w:p w14:paraId="02AB7F5E">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1070" w:type="pct"/>
            <w:noWrap w:val="0"/>
            <w:vAlign w:val="center"/>
          </w:tcPr>
          <w:p w14:paraId="3F6BE17F">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70BD60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71" w:type="pct"/>
            <w:noWrap w:val="0"/>
            <w:vAlign w:val="center"/>
          </w:tcPr>
          <w:p w14:paraId="713622E3">
            <w:pPr>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地表水环境</w:t>
            </w:r>
          </w:p>
        </w:tc>
        <w:tc>
          <w:tcPr>
            <w:tcW w:w="1584" w:type="dxa"/>
            <w:noWrap w:val="0"/>
            <w:vAlign w:val="center"/>
          </w:tcPr>
          <w:p w14:paraId="08FEA4DC">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施工废水循环利用；生活污水经隔油池及地埋式一体化污水处理设施处理后，用于矿区洒水降尘</w:t>
            </w:r>
          </w:p>
        </w:tc>
        <w:tc>
          <w:tcPr>
            <w:tcW w:w="1522" w:type="dxa"/>
            <w:noWrap w:val="0"/>
            <w:vAlign w:val="center"/>
          </w:tcPr>
          <w:p w14:paraId="0FD32FD0">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施工废水循环利用；生活污水经隔油池及地埋式一体化污水处理设施处理后，用于矿区洒水降尘</w:t>
            </w:r>
          </w:p>
        </w:tc>
        <w:tc>
          <w:tcPr>
            <w:tcW w:w="2644" w:type="dxa"/>
            <w:noWrap w:val="0"/>
            <w:vAlign w:val="center"/>
          </w:tcPr>
          <w:p w14:paraId="649417A9">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生产废水循环利用；生活污水排入化粪池定期委托拉运</w:t>
            </w:r>
          </w:p>
        </w:tc>
        <w:tc>
          <w:tcPr>
            <w:tcW w:w="1948" w:type="dxa"/>
            <w:noWrap w:val="0"/>
            <w:vAlign w:val="center"/>
          </w:tcPr>
          <w:p w14:paraId="4F8927E8">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生产废水循环利用；生活污水排入化粪池定期委托拉</w:t>
            </w:r>
          </w:p>
        </w:tc>
      </w:tr>
      <w:tr w14:paraId="340A3E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71" w:type="pct"/>
            <w:noWrap w:val="0"/>
            <w:vAlign w:val="center"/>
          </w:tcPr>
          <w:p w14:paraId="68991D66">
            <w:pPr>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地下水及</w:t>
            </w:r>
          </w:p>
          <w:p w14:paraId="0229902A">
            <w:pPr>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土壤环境</w:t>
            </w:r>
          </w:p>
        </w:tc>
        <w:tc>
          <w:tcPr>
            <w:tcW w:w="870" w:type="pct"/>
            <w:noWrap w:val="0"/>
            <w:vAlign w:val="center"/>
          </w:tcPr>
          <w:p w14:paraId="361C68FF">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836" w:type="pct"/>
            <w:noWrap w:val="0"/>
            <w:vAlign w:val="center"/>
          </w:tcPr>
          <w:p w14:paraId="2876B280">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1452" w:type="pct"/>
            <w:noWrap w:val="0"/>
            <w:vAlign w:val="center"/>
          </w:tcPr>
          <w:p w14:paraId="561CF2ED">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危废</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贮存库</w:t>
            </w:r>
            <w:r>
              <w:rPr>
                <w:rFonts w:hint="default" w:ascii="Times New Roman" w:hAnsi="Times New Roman" w:eastAsia="宋体" w:cs="Times New Roman"/>
                <w:color w:val="000000" w:themeColor="text1"/>
                <w:sz w:val="21"/>
                <w:szCs w:val="21"/>
                <w:highlight w:val="none"/>
                <w14:textFill>
                  <w14:solidFill>
                    <w14:schemeClr w14:val="tx1"/>
                  </w14:solidFill>
                </w14:textFill>
              </w:rPr>
              <w:t>应做地面防渗处理，防渗层为至少1m厚粘土层（渗透系数≤</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highlight w:val="none"/>
                <w14:textFill>
                  <w14:solidFill>
                    <w14:schemeClr w14:val="tx1"/>
                  </w14:solidFill>
                </w14:textFill>
              </w:rPr>
              <w:t>10</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-7</w:t>
            </w:r>
            <w:r>
              <w:rPr>
                <w:rFonts w:hint="default" w:ascii="Times New Roman" w:hAnsi="Times New Roman" w:eastAsia="宋体" w:cs="Times New Roman"/>
                <w:color w:val="000000" w:themeColor="text1"/>
                <w:sz w:val="21"/>
                <w:szCs w:val="21"/>
                <w:highlight w:val="none"/>
                <w14:textFill>
                  <w14:solidFill>
                    <w14:schemeClr w14:val="tx1"/>
                  </w14:solidFill>
                </w14:textFill>
              </w:rPr>
              <w:t>cm/s），或至少2mm厚的其它人工材料，渗透系数≤</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highlight w:val="none"/>
                <w14:textFill>
                  <w14:solidFill>
                    <w14:schemeClr w14:val="tx1"/>
                  </w14:solidFill>
                </w14:textFill>
              </w:rPr>
              <w:t>10</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-10</w:t>
            </w:r>
            <w:r>
              <w:rPr>
                <w:rFonts w:hint="default" w:ascii="Times New Roman" w:hAnsi="Times New Roman" w:eastAsia="宋体" w:cs="Times New Roman"/>
                <w:color w:val="000000" w:themeColor="text1"/>
                <w:sz w:val="21"/>
                <w:szCs w:val="21"/>
                <w:highlight w:val="none"/>
                <w14:textFill>
                  <w14:solidFill>
                    <w14:schemeClr w14:val="tx1"/>
                  </w14:solidFill>
                </w14:textFill>
              </w:rPr>
              <w:t>cm/s。</w:t>
            </w:r>
          </w:p>
        </w:tc>
        <w:tc>
          <w:tcPr>
            <w:tcW w:w="1070" w:type="pct"/>
            <w:noWrap w:val="0"/>
            <w:vAlign w:val="center"/>
          </w:tcPr>
          <w:p w14:paraId="5EFED559">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危废</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贮存库</w:t>
            </w:r>
            <w:r>
              <w:rPr>
                <w:rFonts w:hint="default" w:ascii="Times New Roman" w:hAnsi="Times New Roman" w:eastAsia="宋体" w:cs="Times New Roman"/>
                <w:color w:val="000000" w:themeColor="text1"/>
                <w:sz w:val="21"/>
                <w:szCs w:val="21"/>
                <w:highlight w:val="none"/>
                <w14:textFill>
                  <w14:solidFill>
                    <w14:schemeClr w14:val="tx1"/>
                  </w14:solidFill>
                </w14:textFill>
              </w:rPr>
              <w:t>应做地面防渗处理，防渗层为至少1m厚粘土层（渗透系数≤</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highlight w:val="none"/>
                <w14:textFill>
                  <w14:solidFill>
                    <w14:schemeClr w14:val="tx1"/>
                  </w14:solidFill>
                </w14:textFill>
              </w:rPr>
              <w:t>10</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-7</w:t>
            </w:r>
            <w:r>
              <w:rPr>
                <w:rFonts w:hint="default" w:ascii="Times New Roman" w:hAnsi="Times New Roman" w:eastAsia="宋体" w:cs="Times New Roman"/>
                <w:color w:val="000000" w:themeColor="text1"/>
                <w:sz w:val="21"/>
                <w:szCs w:val="21"/>
                <w:highlight w:val="none"/>
                <w14:textFill>
                  <w14:solidFill>
                    <w14:schemeClr w14:val="tx1"/>
                  </w14:solidFill>
                </w14:textFill>
              </w:rPr>
              <w:t>cm/s），或至少2mm厚的其它人工材料，渗透系数≤</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highlight w:val="none"/>
                <w14:textFill>
                  <w14:solidFill>
                    <w14:schemeClr w14:val="tx1"/>
                  </w14:solidFill>
                </w14:textFill>
              </w:rPr>
              <w:t>10</w:t>
            </w:r>
            <w:r>
              <w:rPr>
                <w:rFonts w:hint="default" w:ascii="Times New Roman" w:hAnsi="Times New Roman" w:eastAsia="宋体" w:cs="Times New Roman"/>
                <w:color w:val="000000" w:themeColor="text1"/>
                <w:sz w:val="21"/>
                <w:szCs w:val="21"/>
                <w:highlight w:val="none"/>
                <w:vertAlign w:val="superscript"/>
                <w14:textFill>
                  <w14:solidFill>
                    <w14:schemeClr w14:val="tx1"/>
                  </w14:solidFill>
                </w14:textFill>
              </w:rPr>
              <w:t>-10</w:t>
            </w:r>
            <w:r>
              <w:rPr>
                <w:rFonts w:hint="default" w:ascii="Times New Roman" w:hAnsi="Times New Roman" w:eastAsia="宋体" w:cs="Times New Roman"/>
                <w:color w:val="000000" w:themeColor="text1"/>
                <w:sz w:val="21"/>
                <w:szCs w:val="21"/>
                <w:highlight w:val="none"/>
                <w14:textFill>
                  <w14:solidFill>
                    <w14:schemeClr w14:val="tx1"/>
                  </w14:solidFill>
                </w14:textFill>
              </w:rPr>
              <w:t>cm/s。</w:t>
            </w:r>
          </w:p>
        </w:tc>
      </w:tr>
      <w:tr w14:paraId="20F230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71" w:type="pct"/>
            <w:noWrap w:val="0"/>
            <w:vAlign w:val="center"/>
          </w:tcPr>
          <w:p w14:paraId="54A43DE4">
            <w:pPr>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声环境</w:t>
            </w:r>
          </w:p>
        </w:tc>
        <w:tc>
          <w:tcPr>
            <w:tcW w:w="870" w:type="pct"/>
            <w:noWrap w:val="0"/>
            <w:vAlign w:val="center"/>
          </w:tcPr>
          <w:p w14:paraId="4B9C1428">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选用低声级建筑机械；车辆在施工区内严禁鸣笛</w:t>
            </w:r>
          </w:p>
        </w:tc>
        <w:tc>
          <w:tcPr>
            <w:tcW w:w="836" w:type="pct"/>
            <w:noWrap w:val="0"/>
            <w:vAlign w:val="center"/>
          </w:tcPr>
          <w:p w14:paraId="406AA0F3">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是否有噪声</w:t>
            </w:r>
          </w:p>
          <w:p w14:paraId="421BF0DF">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扰民投诉现象</w:t>
            </w:r>
          </w:p>
        </w:tc>
        <w:tc>
          <w:tcPr>
            <w:tcW w:w="1452" w:type="pct"/>
            <w:noWrap w:val="0"/>
            <w:vAlign w:val="center"/>
          </w:tcPr>
          <w:p w14:paraId="50A97956">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选用低噪声设备，设备定期维护；减震、隔声；合理安排作业时间；合理设置运输路线</w:t>
            </w:r>
          </w:p>
        </w:tc>
        <w:tc>
          <w:tcPr>
            <w:tcW w:w="1070" w:type="pct"/>
            <w:noWrap w:val="0"/>
            <w:vAlign w:val="center"/>
          </w:tcPr>
          <w:p w14:paraId="52E5630C">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《工业企业场界环境噪声排放标准》（GB12348-2008）2类标准</w:t>
            </w:r>
          </w:p>
        </w:tc>
      </w:tr>
      <w:tr w14:paraId="57A0CD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71" w:type="pct"/>
            <w:noWrap w:val="0"/>
            <w:vAlign w:val="center"/>
          </w:tcPr>
          <w:p w14:paraId="32CC8683">
            <w:pPr>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振动</w:t>
            </w:r>
          </w:p>
        </w:tc>
        <w:tc>
          <w:tcPr>
            <w:tcW w:w="870" w:type="pct"/>
            <w:noWrap w:val="0"/>
            <w:vAlign w:val="center"/>
          </w:tcPr>
          <w:p w14:paraId="32C07C8F">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836" w:type="pct"/>
            <w:noWrap w:val="0"/>
            <w:vAlign w:val="center"/>
          </w:tcPr>
          <w:p w14:paraId="2A65FEB3">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1452" w:type="pct"/>
            <w:noWrap w:val="0"/>
            <w:vAlign w:val="center"/>
          </w:tcPr>
          <w:p w14:paraId="64A6A9C7">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1070" w:type="pct"/>
            <w:noWrap w:val="0"/>
            <w:vAlign w:val="center"/>
          </w:tcPr>
          <w:p w14:paraId="54DB9CF1">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24F882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71" w:type="pct"/>
            <w:noWrap w:val="0"/>
            <w:vAlign w:val="center"/>
          </w:tcPr>
          <w:p w14:paraId="11D95876">
            <w:pPr>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大气环境</w:t>
            </w:r>
          </w:p>
        </w:tc>
        <w:tc>
          <w:tcPr>
            <w:tcW w:w="870" w:type="pct"/>
            <w:noWrap w:val="0"/>
            <w:vAlign w:val="center"/>
          </w:tcPr>
          <w:p w14:paraId="692D1942">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保持施工地面平整、堆场采取覆盖、洒水湿润地面、限制车速、严禁抛撒物料</w:t>
            </w:r>
          </w:p>
        </w:tc>
        <w:tc>
          <w:tcPr>
            <w:tcW w:w="836" w:type="pct"/>
            <w:noWrap w:val="0"/>
            <w:vAlign w:val="center"/>
          </w:tcPr>
          <w:p w14:paraId="1ED975B9">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施工区是</w:t>
            </w:r>
          </w:p>
          <w:p w14:paraId="6468EF72">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否尘土飞扬</w:t>
            </w:r>
          </w:p>
        </w:tc>
        <w:tc>
          <w:tcPr>
            <w:tcW w:w="1452" w:type="pct"/>
            <w:noWrap w:val="0"/>
            <w:vAlign w:val="center"/>
          </w:tcPr>
          <w:p w14:paraId="6620A58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开挖、进料粉尘：配备移动式雾炮设施</w:t>
            </w:r>
          </w:p>
          <w:p w14:paraId="463C6AD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水稳站搅拌设备配套设置</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密闭</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集气罩、布袋除尘器+15m高排气筒（DA001）；筛分系统配套设置</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密闭</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集气罩、布袋除尘器+15m高排气筒（DA002）、破碎系统设置</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密闭</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集气罩、布袋除尘器+15m高排气筒（DA003）。</w:t>
            </w:r>
          </w:p>
          <w:p w14:paraId="29287AD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装卸车粉尘：洒水抑尘，降低装卸高度等方法</w:t>
            </w:r>
          </w:p>
          <w:p w14:paraId="5A3178B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运输扬尘：洒水抑尘、控制车速等方法</w:t>
            </w:r>
          </w:p>
          <w:p w14:paraId="5C27E93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堆场扬尘：洒水降尘、防尘网苫盖、配备移动式雾炮设施</w:t>
            </w:r>
          </w:p>
        </w:tc>
        <w:tc>
          <w:tcPr>
            <w:tcW w:w="1070" w:type="pct"/>
            <w:noWrap w:val="0"/>
            <w:vAlign w:val="center"/>
          </w:tcPr>
          <w:p w14:paraId="35E7204C">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《大气污染物综合排放标准》（GB16297-1996）中二级标准及颗粒物无组织排放监控浓度限值</w:t>
            </w:r>
          </w:p>
        </w:tc>
      </w:tr>
      <w:tr w14:paraId="4D705C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1" w:type="pct"/>
            <w:noWrap w:val="0"/>
            <w:vAlign w:val="center"/>
          </w:tcPr>
          <w:p w14:paraId="03B5A796">
            <w:pPr>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固体废物</w:t>
            </w:r>
          </w:p>
        </w:tc>
        <w:tc>
          <w:tcPr>
            <w:tcW w:w="870" w:type="pct"/>
            <w:noWrap w:val="0"/>
            <w:vAlign w:val="center"/>
          </w:tcPr>
          <w:p w14:paraId="59764DE4">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项目剥离表土定点临时堆存；生活区设垃圾箱；建筑垃圾回收利用，无法利用的集中收集后运至指定地点处理</w:t>
            </w:r>
          </w:p>
        </w:tc>
        <w:tc>
          <w:tcPr>
            <w:tcW w:w="836" w:type="pct"/>
            <w:noWrap w:val="0"/>
            <w:vAlign w:val="center"/>
          </w:tcPr>
          <w:p w14:paraId="3A83A022">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施工期间产生的建筑垃圾、生活垃圾均得到了有效地处置，不得随意丢弃</w:t>
            </w:r>
          </w:p>
        </w:tc>
        <w:tc>
          <w:tcPr>
            <w:tcW w:w="1452" w:type="pct"/>
            <w:noWrap w:val="0"/>
            <w:vAlign w:val="center"/>
          </w:tcPr>
          <w:p w14:paraId="62D0064A">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生活垃圾集中收集后，</w:t>
            </w:r>
          </w:p>
          <w:p w14:paraId="0DBC9F39">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定期运往垃圾填埋场处置。废旧的输送皮带定期收集后外售综合利用；废机油经收集后暂存危废贮存库，定期交由有资质的危险废物处理单位处置。</w:t>
            </w:r>
          </w:p>
          <w:p w14:paraId="471A0BD6">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本项目剥离表土拉运至表土堆场堆放，并进行防尘网苫盖，用于后期矿区回填。筛分过程产生的废石暂存在项目区内的废石堆场内，年度开采结束后回填采坑，并清理平整场地无污染物。除尘器收集粉尘回用于生产。沉淀池底泥定期清掏底泥集中收集后回用于生产。</w:t>
            </w:r>
          </w:p>
        </w:tc>
        <w:tc>
          <w:tcPr>
            <w:tcW w:w="1070" w:type="pct"/>
            <w:noWrap w:val="0"/>
            <w:vAlign w:val="center"/>
          </w:tcPr>
          <w:p w14:paraId="3B0C389B">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妥善处置，</w:t>
            </w:r>
            <w:r>
              <w:rPr>
                <w:rFonts w:hint="default" w:ascii="Times New Roman" w:hAnsi="Times New Roman" w:eastAsia="宋体" w:cs="Times New Roman"/>
                <w:color w:val="000000" w:themeColor="text1"/>
                <w:sz w:val="21"/>
                <w:szCs w:val="21"/>
                <w:highlight w:val="none"/>
                <w:shd w:val="clear" w:color="auto" w:fill="FFFFFF"/>
                <w:lang w:val="en-US" w:eastAsia="zh-CN"/>
                <w14:textFill>
                  <w14:solidFill>
                    <w14:schemeClr w14:val="tx1"/>
                  </w14:solidFill>
                </w14:textFill>
              </w:rPr>
              <w:t>固体废物处置过程满足“减量化”“资源化”“无害化”的处置原则，对项目区环境影响较小。</w:t>
            </w:r>
          </w:p>
        </w:tc>
      </w:tr>
      <w:tr w14:paraId="4A69D8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771" w:type="pct"/>
            <w:noWrap w:val="0"/>
            <w:vAlign w:val="center"/>
          </w:tcPr>
          <w:p w14:paraId="10EE912C">
            <w:pPr>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电磁环境</w:t>
            </w:r>
          </w:p>
        </w:tc>
        <w:tc>
          <w:tcPr>
            <w:tcW w:w="870" w:type="pct"/>
            <w:noWrap w:val="0"/>
            <w:vAlign w:val="center"/>
          </w:tcPr>
          <w:p w14:paraId="527A3E1D">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836" w:type="pct"/>
            <w:noWrap w:val="0"/>
            <w:vAlign w:val="center"/>
          </w:tcPr>
          <w:p w14:paraId="07F8D0EE">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1452" w:type="pct"/>
            <w:noWrap w:val="0"/>
            <w:vAlign w:val="center"/>
          </w:tcPr>
          <w:p w14:paraId="4BAE26DB">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1070" w:type="pct"/>
            <w:noWrap w:val="0"/>
            <w:vAlign w:val="center"/>
          </w:tcPr>
          <w:p w14:paraId="750E9E73">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r w14:paraId="36EAF3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771" w:type="pct"/>
            <w:noWrap w:val="0"/>
            <w:vAlign w:val="center"/>
          </w:tcPr>
          <w:p w14:paraId="4D138B10">
            <w:pPr>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环境风险</w:t>
            </w:r>
          </w:p>
        </w:tc>
        <w:tc>
          <w:tcPr>
            <w:tcW w:w="870" w:type="pct"/>
            <w:noWrap w:val="0"/>
            <w:vAlign w:val="center"/>
          </w:tcPr>
          <w:p w14:paraId="2D135A62">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836" w:type="pct"/>
            <w:noWrap w:val="0"/>
            <w:vAlign w:val="center"/>
          </w:tcPr>
          <w:p w14:paraId="5CA90E75">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1452" w:type="pct"/>
            <w:noWrap w:val="0"/>
            <w:vAlign w:val="center"/>
          </w:tcPr>
          <w:p w14:paraId="46A8ED49">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加强对边坡的检査，及时处理安全隐患；根据工程地质条件，必要时调整边坡角；经常检査边坡，发现隐患及时处理；建立全面严格的各 项管理制度和安全管理体系；严格按生产工艺规程进行生产和操作</w:t>
            </w:r>
          </w:p>
        </w:tc>
        <w:tc>
          <w:tcPr>
            <w:tcW w:w="1070" w:type="pct"/>
            <w:noWrap w:val="0"/>
            <w:vAlign w:val="center"/>
          </w:tcPr>
          <w:p w14:paraId="1001C229">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环境风险较低，可以接受</w:t>
            </w:r>
          </w:p>
        </w:tc>
      </w:tr>
      <w:tr w14:paraId="02F28F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771" w:type="pct"/>
            <w:noWrap w:val="0"/>
            <w:vAlign w:val="center"/>
          </w:tcPr>
          <w:p w14:paraId="57090791">
            <w:pPr>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环境监测</w:t>
            </w:r>
          </w:p>
        </w:tc>
        <w:tc>
          <w:tcPr>
            <w:tcW w:w="870" w:type="pct"/>
            <w:noWrap w:val="0"/>
            <w:vAlign w:val="center"/>
          </w:tcPr>
          <w:p w14:paraId="5768B6AE">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836" w:type="pct"/>
            <w:noWrap w:val="0"/>
            <w:vAlign w:val="center"/>
          </w:tcPr>
          <w:p w14:paraId="234C5C02">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2644" w:type="dxa"/>
            <w:noWrap w:val="0"/>
            <w:vAlign w:val="center"/>
          </w:tcPr>
          <w:p w14:paraId="38CA7857">
            <w:pPr>
              <w:pStyle w:val="72"/>
              <w:bidi w:val="0"/>
              <w:ind w:firstLine="0" w:firstLineChars="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定期委托有资质的第三方单位进行监测</w:t>
            </w:r>
          </w:p>
        </w:tc>
        <w:tc>
          <w:tcPr>
            <w:tcW w:w="1948" w:type="dxa"/>
            <w:noWrap w:val="0"/>
            <w:vAlign w:val="center"/>
          </w:tcPr>
          <w:p w14:paraId="3D0AF59C">
            <w:pPr>
              <w:pStyle w:val="72"/>
              <w:bidi w:val="0"/>
              <w:ind w:firstLine="0" w:firstLineChars="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报生态环境主管部门备案</w:t>
            </w:r>
          </w:p>
        </w:tc>
      </w:tr>
      <w:tr w14:paraId="1677AA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771" w:type="pct"/>
            <w:noWrap w:val="0"/>
            <w:vAlign w:val="center"/>
          </w:tcPr>
          <w:p w14:paraId="0C528A09">
            <w:pPr>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其他</w:t>
            </w:r>
          </w:p>
        </w:tc>
        <w:tc>
          <w:tcPr>
            <w:tcW w:w="870" w:type="pct"/>
            <w:noWrap w:val="0"/>
            <w:vAlign w:val="center"/>
          </w:tcPr>
          <w:p w14:paraId="7089053F">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836" w:type="pct"/>
            <w:noWrap w:val="0"/>
            <w:vAlign w:val="center"/>
          </w:tcPr>
          <w:p w14:paraId="4AD44A6B">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1452" w:type="pct"/>
            <w:noWrap w:val="0"/>
            <w:vAlign w:val="center"/>
          </w:tcPr>
          <w:p w14:paraId="432774A4">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c>
          <w:tcPr>
            <w:tcW w:w="1070" w:type="pct"/>
            <w:noWrap w:val="0"/>
            <w:vAlign w:val="center"/>
          </w:tcPr>
          <w:p w14:paraId="1C5A94B8">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outlineLvl w:val="9"/>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p>
        </w:tc>
      </w:tr>
    </w:tbl>
    <w:p w14:paraId="389163DE">
      <w:pPr>
        <w:rPr>
          <w:rFonts w:hint="default" w:ascii="Times New Roman" w:hAnsi="Times New Roman" w:eastAsia="宋体" w:cs="Times New Roman"/>
          <w:snapToGrid w:val="0"/>
          <w:color w:val="000000" w:themeColor="text1"/>
          <w:sz w:val="30"/>
          <w:szCs w:val="30"/>
          <w:highlight w:val="none"/>
          <w14:textFill>
            <w14:solidFill>
              <w14:schemeClr w14:val="tx1"/>
            </w14:solidFill>
          </w14:textFill>
        </w:rPr>
      </w:pPr>
      <w:r>
        <w:rPr>
          <w:rFonts w:hint="default" w:ascii="Times New Roman" w:hAnsi="Times New Roman" w:eastAsia="宋体" w:cs="Times New Roman"/>
          <w:snapToGrid w:val="0"/>
          <w:color w:val="000000" w:themeColor="text1"/>
          <w:sz w:val="30"/>
          <w:szCs w:val="30"/>
          <w:highlight w:val="none"/>
          <w14:textFill>
            <w14:solidFill>
              <w14:schemeClr w14:val="tx1"/>
            </w14:solidFill>
          </w14:textFill>
        </w:rPr>
        <w:br w:type="page"/>
      </w:r>
    </w:p>
    <w:p w14:paraId="102362D9">
      <w:pPr>
        <w:pStyle w:val="34"/>
        <w:spacing w:beforeLines="-2147483648" w:afterLines="-2147483648" w:line="240" w:lineRule="auto"/>
        <w:ind w:firstLine="0" w:firstLineChars="0"/>
        <w:jc w:val="center"/>
        <w:outlineLvl w:val="0"/>
        <w:rPr>
          <w:rFonts w:hint="default" w:ascii="Times New Roman" w:hAnsi="Times New Roman" w:eastAsia="宋体" w:cs="Times New Roman"/>
          <w:b/>
          <w:bCs/>
          <w:snapToGrid w:val="0"/>
          <w:color w:val="000000" w:themeColor="text1"/>
          <w:sz w:val="30"/>
          <w:szCs w:val="30"/>
          <w:highlight w:val="none"/>
          <w14:textFill>
            <w14:solidFill>
              <w14:schemeClr w14:val="tx1"/>
            </w14:solidFill>
          </w14:textFill>
        </w:rPr>
      </w:pPr>
      <w:r>
        <w:rPr>
          <w:rFonts w:hint="default" w:ascii="Times New Roman" w:hAnsi="Times New Roman" w:eastAsia="宋体" w:cs="Times New Roman"/>
          <w:b/>
          <w:bCs/>
          <w:snapToGrid w:val="0"/>
          <w:color w:val="000000" w:themeColor="text1"/>
          <w:sz w:val="30"/>
          <w:szCs w:val="30"/>
          <w:highlight w:val="none"/>
          <w14:textFill>
            <w14:solidFill>
              <w14:schemeClr w14:val="tx1"/>
            </w14:solidFill>
          </w14:textFill>
        </w:rPr>
        <w:t>七、结论</w:t>
      </w:r>
    </w:p>
    <w:tbl>
      <w:tblPr>
        <w:tblStyle w:val="38"/>
        <w:tblW w:w="880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00"/>
      </w:tblGrid>
      <w:tr w14:paraId="729370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14" w:hRule="atLeast"/>
        </w:trPr>
        <w:tc>
          <w:tcPr>
            <w:tcW w:w="8800" w:type="dxa"/>
            <w:noWrap w:val="0"/>
            <w:vAlign w:val="top"/>
          </w:tcPr>
          <w:p w14:paraId="3BE84D0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default" w:ascii="Times New Roman" w:hAnsi="Times New Roman" w:eastAsia="宋体" w:cs="Times New Roman"/>
                <w:color w:val="000000" w:themeColor="text1"/>
                <w:szCs w:val="21"/>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从环境角度考虑，建设单位在建设及运行过程采取工程措施、临时防护措施相结合的综合防治体系，对各项污染防治措施切实逐项予以落实、并加强运营期管理的前提下，对周围环境质量影响较小</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建设项目可行。</w:t>
            </w:r>
          </w:p>
        </w:tc>
      </w:tr>
    </w:tbl>
    <w:p w14:paraId="102D3248">
      <w:pPr>
        <w:pStyle w:val="19"/>
        <w:ind w:left="0" w:leftChars="0" w:firstLine="0" w:firstLineChars="0"/>
        <w:rPr>
          <w:rFonts w:hint="default" w:ascii="Times New Roman" w:hAnsi="Times New Roman" w:eastAsia="宋体" w:cs="Times New Roman"/>
          <w:color w:val="000000" w:themeColor="text1"/>
          <w:highlight w:val="none"/>
          <w14:textFill>
            <w14:solidFill>
              <w14:schemeClr w14:val="tx1"/>
            </w14:solidFill>
          </w14:textFill>
        </w:rPr>
      </w:pPr>
    </w:p>
    <w:p w14:paraId="382045CB">
      <w:pPr>
        <w:pStyle w:val="5"/>
        <w:numPr>
          <w:ilvl w:val="2"/>
          <w:numId w:val="0"/>
        </w:numPr>
        <w:ind w:left="0" w:leftChars="0" w:firstLine="0" w:firstLineChars="0"/>
        <w:rPr>
          <w:rFonts w:hint="default" w:ascii="Times New Roman" w:hAnsi="Times New Roman" w:eastAsia="宋体" w:cs="Times New Roman"/>
          <w:color w:val="000000" w:themeColor="text1"/>
          <w:highlight w:val="none"/>
          <w14:textFill>
            <w14:solidFill>
              <w14:schemeClr w14:val="tx1"/>
            </w14:solidFill>
          </w14:textFill>
        </w:rPr>
      </w:pPr>
      <w:r>
        <w:rPr>
          <w:rFonts w:hint="eastAsia" w:ascii="黑体" w:hAnsi="黑体" w:eastAsia="黑体" w:cs="Times New Roman"/>
          <w:b/>
          <w:bCs/>
          <w:color w:val="000000" w:themeColor="text1"/>
          <w:kern w:val="2"/>
          <w:sz w:val="30"/>
          <w:szCs w:val="30"/>
          <w:lang w:val="en-US" w:eastAsia="zh-CN" w:bidi="ar-SA"/>
          <w14:textFill>
            <w14:solidFill>
              <w14:schemeClr w14:val="tx1"/>
            </w14:solidFill>
          </w14:textFill>
        </w:rPr>
        <w:t>1．</w:t>
      </w:r>
    </w:p>
    <w:p w14:paraId="3F9B0BA8">
      <w:pPr>
        <w:rPr>
          <w:rFonts w:hint="default" w:ascii="Times New Roman" w:hAnsi="Times New Roman" w:eastAsia="宋体" w:cs="Times New Roman"/>
          <w:highlight w:val="none"/>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2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altName w:val="微软雅黑"/>
    <w:panose1 w:val="02000000000000000000"/>
    <w:charset w:val="86"/>
    <w:family w:val="script"/>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0E49B">
    <w:pPr>
      <w:pStyle w:val="26"/>
      <w:rPr>
        <w:rStyle w:val="43"/>
        <w:rFonts w:ascii="宋体" w:hAnsi="宋体"/>
        <w:sz w:val="28"/>
        <w:szCs w:val="28"/>
      </w:rPr>
    </w:pPr>
  </w:p>
  <w:p w14:paraId="4D2457F9">
    <w:pPr>
      <w:pStyle w:val="26"/>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1E9B2">
    <w:pPr>
      <w:pStyle w:val="26"/>
      <w:rPr>
        <w:rStyle w:val="43"/>
        <w:rFonts w:ascii="宋体" w:hAnsi="宋体"/>
        <w:sz w:val="28"/>
        <w:szCs w:val="28"/>
      </w:rPr>
    </w:pPr>
  </w:p>
  <w:p w14:paraId="78768528">
    <w:pPr>
      <w:pStyle w:val="26"/>
      <w:ind w:right="360" w:firstLine="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FE708">
    <w:pPr>
      <w:pStyle w:val="26"/>
      <w:rPr>
        <w:rStyle w:val="43"/>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FB16D6D">
                          <w:pPr>
                            <w:pStyle w:val="26"/>
                          </w:pPr>
                          <w:r>
                            <w:fldChar w:fldCharType="begin"/>
                          </w:r>
                          <w:r>
                            <w:instrText xml:space="preserve"> PAGE  \* MERGEFORMAT </w:instrText>
                          </w:r>
                          <w:r>
                            <w:fldChar w:fldCharType="separate"/>
                          </w:r>
                          <w:r>
                            <w:t>22</w:t>
                          </w:r>
                          <w:r>
                            <w:fldChar w:fldCharType="end"/>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couw43gEAAL4DAAAOAAAAAAAA&#10;AAEAIAAAAB4BAABkcnMvZTJvRG9jLnhtbFBLBQYAAAAABgAGAFkBAABuBQAAAAA=&#10;">
              <v:fill on="f" focussize="0,0"/>
              <v:stroke on="f"/>
              <v:imagedata o:title=""/>
              <o:lock v:ext="edit" aspectratio="f"/>
              <v:textbox inset="0mm,0mm,0mm,0mm" style="mso-fit-shape-to-text:t;">
                <w:txbxContent>
                  <w:p w14:paraId="4FB16D6D">
                    <w:pPr>
                      <w:pStyle w:val="26"/>
                    </w:pPr>
                    <w:r>
                      <w:fldChar w:fldCharType="begin"/>
                    </w:r>
                    <w:r>
                      <w:instrText xml:space="preserve"> PAGE  \* MERGEFORMAT </w:instrText>
                    </w:r>
                    <w:r>
                      <w:fldChar w:fldCharType="separate"/>
                    </w:r>
                    <w:r>
                      <w:t>22</w:t>
                    </w:r>
                    <w:r>
                      <w:fldChar w:fldCharType="end"/>
                    </w:r>
                  </w:p>
                </w:txbxContent>
              </v:textbox>
            </v:shape>
          </w:pict>
        </mc:Fallback>
      </mc:AlternateContent>
    </w:r>
  </w:p>
  <w:p w14:paraId="23D17F55">
    <w:pPr>
      <w:pStyle w:val="26"/>
      <w:ind w:right="360" w:firstLine="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pPr>
      <w:r>
        <w:separator/>
      </w:r>
    </w:p>
  </w:footnote>
  <w:footnote w:type="continuationSeparator" w:id="1">
    <w:p>
      <w:pPr>
        <w:spacing w:before="0" w:after="0" w:line="28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D07402"/>
    <w:multiLevelType w:val="multilevel"/>
    <w:tmpl w:val="A6D07402"/>
    <w:lvl w:ilvl="0" w:tentative="0">
      <w:start w:val="1"/>
      <w:numFmt w:val="chineseCounting"/>
      <w:pStyle w:val="2"/>
      <w:suff w:val="nothing"/>
      <w:lvlText w:val="%1、"/>
      <w:lvlJc w:val="left"/>
      <w:pPr>
        <w:tabs>
          <w:tab w:val="left" w:pos="0"/>
        </w:tabs>
        <w:ind w:left="0" w:firstLine="0"/>
      </w:pPr>
      <w:rPr>
        <w:rFonts w:hint="eastAsia" w:ascii="黑体" w:hAnsi="黑体" w:eastAsia="黑体"/>
      </w:rPr>
    </w:lvl>
    <w:lvl w:ilvl="1" w:tentative="0">
      <w:start w:val="1"/>
      <w:numFmt w:val="chineseCounting"/>
      <w:pStyle w:val="4"/>
      <w:suff w:val="nothing"/>
      <w:lvlText w:val="（%2）"/>
      <w:lvlJc w:val="left"/>
      <w:pPr>
        <w:tabs>
          <w:tab w:val="left" w:pos="0"/>
        </w:tabs>
        <w:ind w:left="0" w:firstLine="0"/>
      </w:pPr>
      <w:rPr>
        <w:rFonts w:hint="eastAsia" w:ascii="黑体" w:hAnsi="黑体" w:eastAsia="黑体"/>
      </w:rPr>
    </w:lvl>
    <w:lvl w:ilvl="2" w:tentative="0">
      <w:start w:val="1"/>
      <w:numFmt w:val="decimal"/>
      <w:pStyle w:val="5"/>
      <w:suff w:val="nothing"/>
      <w:lvlText w:val="%3．"/>
      <w:lvlJc w:val="left"/>
      <w:pPr>
        <w:tabs>
          <w:tab w:val="left" w:pos="0"/>
        </w:tabs>
        <w:ind w:left="0" w:firstLine="0"/>
      </w:pPr>
      <w:rPr>
        <w:rFonts w:hint="eastAsia" w:ascii="黑体" w:hAnsi="黑体" w:eastAsia="黑体"/>
      </w:rPr>
    </w:lvl>
    <w:lvl w:ilvl="3" w:tentative="0">
      <w:start w:val="1"/>
      <w:numFmt w:val="decimal"/>
      <w:pStyle w:val="6"/>
      <w:suff w:val="nothing"/>
      <w:lvlText w:val="（%4）"/>
      <w:lvlJc w:val="left"/>
      <w:pPr>
        <w:tabs>
          <w:tab w:val="left" w:pos="0"/>
        </w:tabs>
        <w:ind w:left="0" w:firstLine="0"/>
      </w:pPr>
      <w:rPr>
        <w:rFonts w:hint="eastAsia" w:ascii="黑体" w:hAnsi="黑体" w:eastAsia="黑体"/>
      </w:rPr>
    </w:lvl>
    <w:lvl w:ilvl="4" w:tentative="0">
      <w:start w:val="1"/>
      <w:numFmt w:val="decimalEnclosedCircleChinese"/>
      <w:pStyle w:val="7"/>
      <w:suff w:val="space"/>
      <w:lvlText w:val="%5"/>
      <w:lvlJc w:val="left"/>
      <w:pPr>
        <w:ind w:left="0" w:firstLine="0"/>
      </w:pPr>
      <w:rPr>
        <w:rFonts w:hint="eastAsia" w:ascii="黑体" w:hAnsi="黑体" w:eastAsia="黑体"/>
      </w:rPr>
    </w:lvl>
    <w:lvl w:ilvl="5" w:tentative="0">
      <w:start w:val="1"/>
      <w:numFmt w:val="decimal"/>
      <w:pStyle w:val="8"/>
      <w:suff w:val="nothing"/>
      <w:lvlText w:val="%6）"/>
      <w:lvlJc w:val="left"/>
      <w:pPr>
        <w:ind w:left="0" w:firstLine="0"/>
      </w:pPr>
      <w:rPr>
        <w:rFonts w:hint="eastAsia"/>
      </w:rPr>
    </w:lvl>
    <w:lvl w:ilvl="6" w:tentative="0">
      <w:start w:val="1"/>
      <w:numFmt w:val="lowerLetter"/>
      <w:pStyle w:val="9"/>
      <w:suff w:val="nothing"/>
      <w:lvlText w:val="%7．"/>
      <w:lvlJc w:val="left"/>
      <w:pPr>
        <w:ind w:left="0" w:firstLine="0"/>
      </w:pPr>
      <w:rPr>
        <w:rFonts w:hint="eastAsia"/>
      </w:rPr>
    </w:lvl>
    <w:lvl w:ilvl="7" w:tentative="0">
      <w:start w:val="1"/>
      <w:numFmt w:val="lowerLetter"/>
      <w:pStyle w:val="10"/>
      <w:suff w:val="nothing"/>
      <w:lvlText w:val="%8）"/>
      <w:lvlJc w:val="left"/>
      <w:pPr>
        <w:ind w:left="0" w:firstLine="0"/>
      </w:pPr>
      <w:rPr>
        <w:rFonts w:hint="eastAsia"/>
      </w:rPr>
    </w:lvl>
    <w:lvl w:ilvl="8" w:tentative="0">
      <w:start w:val="1"/>
      <w:numFmt w:val="lowerRoman"/>
      <w:pStyle w:val="11"/>
      <w:suff w:val="nothing"/>
      <w:lvlText w:val="%9 "/>
      <w:lvlJc w:val="left"/>
      <w:pPr>
        <w:ind w:left="0" w:firstLine="0"/>
      </w:pPr>
      <w:rPr>
        <w:rFonts w:hint="eastAsia"/>
      </w:rPr>
    </w:lvl>
  </w:abstractNum>
  <w:abstractNum w:abstractNumId="1">
    <w:nsid w:val="BB0313DB"/>
    <w:multiLevelType w:val="singleLevel"/>
    <w:tmpl w:val="BB0313DB"/>
    <w:lvl w:ilvl="0" w:tentative="0">
      <w:start w:val="3"/>
      <w:numFmt w:val="decimal"/>
      <w:suff w:val="nothing"/>
      <w:lvlText w:val="%1、"/>
      <w:lvlJc w:val="left"/>
    </w:lvl>
  </w:abstractNum>
  <w:abstractNum w:abstractNumId="2">
    <w:nsid w:val="0BCDC0B3"/>
    <w:multiLevelType w:val="singleLevel"/>
    <w:tmpl w:val="0BCDC0B3"/>
    <w:lvl w:ilvl="0" w:tentative="0">
      <w:start w:val="1"/>
      <w:numFmt w:val="decimal"/>
      <w:pStyle w:val="30"/>
      <w:lvlText w:val="%1."/>
      <w:lvlJc w:val="left"/>
      <w:pPr>
        <w:tabs>
          <w:tab w:val="left" w:pos="2040"/>
        </w:tabs>
        <w:ind w:left="2040" w:hanging="360"/>
      </w:pPr>
    </w:lvl>
  </w:abstractNum>
  <w:abstractNum w:abstractNumId="3">
    <w:nsid w:val="5E493BD9"/>
    <w:multiLevelType w:val="singleLevel"/>
    <w:tmpl w:val="5E493BD9"/>
    <w:lvl w:ilvl="0" w:tentative="0">
      <w:start w:val="1"/>
      <w:numFmt w:val="bullet"/>
      <w:pStyle w:val="21"/>
      <w:lvlText w:val=""/>
      <w:lvlJc w:val="left"/>
      <w:pPr>
        <w:tabs>
          <w:tab w:val="left" w:pos="2040"/>
        </w:tabs>
        <w:ind w:left="2040" w:hanging="360"/>
      </w:pPr>
      <w:rPr>
        <w:rFonts w:hint="default" w:ascii="Wingdings" w:hAnsi="Wingdings"/>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E441BF8"/>
    <w:rsid w:val="0EA21814"/>
    <w:rsid w:val="11F16F8B"/>
    <w:rsid w:val="12255BBE"/>
    <w:rsid w:val="1703790B"/>
    <w:rsid w:val="1B783041"/>
    <w:rsid w:val="1BD80629"/>
    <w:rsid w:val="20F258FC"/>
    <w:rsid w:val="213B4094"/>
    <w:rsid w:val="252E0198"/>
    <w:rsid w:val="26121868"/>
    <w:rsid w:val="2C031C19"/>
    <w:rsid w:val="2E1B3283"/>
    <w:rsid w:val="2F7F7410"/>
    <w:rsid w:val="315216B2"/>
    <w:rsid w:val="321C2A95"/>
    <w:rsid w:val="322D0C09"/>
    <w:rsid w:val="323242FE"/>
    <w:rsid w:val="349A75F8"/>
    <w:rsid w:val="42CE7920"/>
    <w:rsid w:val="4CAD2277"/>
    <w:rsid w:val="53DD2C05"/>
    <w:rsid w:val="549459BA"/>
    <w:rsid w:val="57635095"/>
    <w:rsid w:val="5D610403"/>
    <w:rsid w:val="61717B5B"/>
    <w:rsid w:val="624A00C2"/>
    <w:rsid w:val="63DF2082"/>
    <w:rsid w:val="63FB5B22"/>
    <w:rsid w:val="65672D64"/>
    <w:rsid w:val="6F7804FF"/>
    <w:rsid w:val="6FF84AE4"/>
    <w:rsid w:val="702A73AC"/>
    <w:rsid w:val="710C5E09"/>
    <w:rsid w:val="73D865B3"/>
    <w:rsid w:val="74983A1F"/>
    <w:rsid w:val="756D1BE3"/>
    <w:rsid w:val="77CD5906"/>
    <w:rsid w:val="7F6D43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20" w:afterLines="20" w:line="288" w:lineRule="auto"/>
      <w:jc w:val="both"/>
    </w:pPr>
    <w:rPr>
      <w:rFonts w:ascii="黑体" w:hAnsi="黑体" w:eastAsia="黑体" w:cstheme="minorBidi"/>
      <w:kern w:val="2"/>
      <w:sz w:val="21"/>
      <w:szCs w:val="21"/>
      <w:lang w:val="en-US" w:eastAsia="zh-CN" w:bidi="ar-SA"/>
    </w:rPr>
  </w:style>
  <w:style w:type="paragraph" w:styleId="2">
    <w:name w:val="heading 1"/>
    <w:next w:val="3"/>
    <w:qFormat/>
    <w:uiPriority w:val="9"/>
    <w:pPr>
      <w:keepNext/>
      <w:keepLines/>
      <w:numPr>
        <w:ilvl w:val="0"/>
        <w:numId w:val="1"/>
      </w:numPr>
      <w:adjustRightInd w:val="0"/>
      <w:snapToGrid w:val="0"/>
      <w:spacing w:before="100" w:beforeLines="100" w:after="50" w:afterLines="50" w:line="288" w:lineRule="auto"/>
      <w:outlineLvl w:val="0"/>
    </w:pPr>
    <w:rPr>
      <w:rFonts w:ascii="黑体" w:hAnsi="黑体" w:eastAsia="黑体" w:cstheme="minorBidi"/>
      <w:b/>
      <w:bCs/>
      <w:kern w:val="44"/>
      <w:sz w:val="36"/>
      <w:szCs w:val="36"/>
      <w:lang w:val="en-US" w:eastAsia="zh-CN" w:bidi="ar-SA"/>
    </w:rPr>
  </w:style>
  <w:style w:type="paragraph" w:styleId="4">
    <w:name w:val="heading 2"/>
    <w:next w:val="3"/>
    <w:unhideWhenUsed/>
    <w:qFormat/>
    <w:uiPriority w:val="9"/>
    <w:pPr>
      <w:numPr>
        <w:ilvl w:val="1"/>
        <w:numId w:val="1"/>
      </w:numPr>
      <w:adjustRightInd w:val="0"/>
      <w:snapToGrid w:val="0"/>
      <w:spacing w:before="100" w:beforeLines="100" w:after="50" w:afterLines="50" w:line="288" w:lineRule="auto"/>
      <w:ind w:left="0" w:firstLine="0"/>
      <w:outlineLvl w:val="1"/>
    </w:pPr>
    <w:rPr>
      <w:rFonts w:ascii="黑体" w:hAnsi="黑体" w:eastAsia="黑体" w:cstheme="minorBidi"/>
      <w:b/>
      <w:bCs/>
      <w:kern w:val="2"/>
      <w:sz w:val="32"/>
      <w:szCs w:val="32"/>
      <w:lang w:val="en-US" w:eastAsia="zh-CN" w:bidi="ar-SA"/>
    </w:rPr>
  </w:style>
  <w:style w:type="paragraph" w:styleId="5">
    <w:name w:val="heading 3"/>
    <w:next w:val="3"/>
    <w:unhideWhenUsed/>
    <w:qFormat/>
    <w:uiPriority w:val="9"/>
    <w:pPr>
      <w:numPr>
        <w:ilvl w:val="2"/>
        <w:numId w:val="1"/>
      </w:numPr>
      <w:tabs>
        <w:tab w:val="left" w:pos="312"/>
        <w:tab w:val="clear" w:pos="0"/>
      </w:tabs>
      <w:adjustRightInd w:val="0"/>
      <w:snapToGrid w:val="0"/>
      <w:spacing w:before="100" w:beforeLines="100" w:after="50" w:afterLines="50" w:line="288" w:lineRule="auto"/>
      <w:ind w:left="0" w:firstLine="0"/>
      <w:outlineLvl w:val="2"/>
    </w:pPr>
    <w:rPr>
      <w:rFonts w:ascii="黑体" w:hAnsi="黑体" w:eastAsia="黑体" w:cstheme="minorBidi"/>
      <w:b/>
      <w:bCs/>
      <w:kern w:val="2"/>
      <w:sz w:val="30"/>
      <w:szCs w:val="30"/>
      <w:lang w:val="en-US" w:eastAsia="zh-CN" w:bidi="ar-SA"/>
    </w:rPr>
  </w:style>
  <w:style w:type="paragraph" w:styleId="6">
    <w:name w:val="heading 4"/>
    <w:next w:val="3"/>
    <w:unhideWhenUsed/>
    <w:qFormat/>
    <w:uiPriority w:val="9"/>
    <w:pPr>
      <w:numPr>
        <w:ilvl w:val="3"/>
        <w:numId w:val="1"/>
      </w:numPr>
      <w:adjustRightInd w:val="0"/>
      <w:snapToGrid w:val="0"/>
      <w:spacing w:before="100" w:beforeLines="100" w:after="50" w:afterLines="50" w:line="288" w:lineRule="auto"/>
      <w:ind w:left="0" w:firstLine="0"/>
      <w:outlineLvl w:val="3"/>
    </w:pPr>
    <w:rPr>
      <w:rFonts w:ascii="黑体" w:hAnsi="黑体" w:eastAsia="黑体" w:cstheme="minorBidi"/>
      <w:b/>
      <w:bCs/>
      <w:sz w:val="28"/>
      <w:szCs w:val="28"/>
      <w:lang w:val="en-US" w:eastAsia="zh-CN" w:bidi="ar-SA"/>
    </w:rPr>
  </w:style>
  <w:style w:type="paragraph" w:styleId="7">
    <w:name w:val="heading 5"/>
    <w:basedOn w:val="1"/>
    <w:next w:val="3"/>
    <w:unhideWhenUsed/>
    <w:qFormat/>
    <w:uiPriority w:val="9"/>
    <w:pPr>
      <w:numPr>
        <w:ilvl w:val="4"/>
        <w:numId w:val="1"/>
      </w:numPr>
      <w:tabs>
        <w:tab w:val="left" w:pos="312"/>
      </w:tabs>
      <w:adjustRightInd w:val="0"/>
      <w:snapToGrid w:val="0"/>
      <w:spacing w:before="100" w:beforeLines="100" w:after="50" w:afterLines="50"/>
      <w:ind w:left="0" w:firstLine="0"/>
      <w:outlineLvl w:val="4"/>
    </w:pPr>
    <w:rPr>
      <w:rFonts w:ascii="黑体" w:hAnsi="黑体" w:eastAsia="黑体"/>
      <w:b/>
      <w:bCs/>
      <w:sz w:val="24"/>
      <w:szCs w:val="24"/>
    </w:rPr>
  </w:style>
  <w:style w:type="paragraph" w:styleId="8">
    <w:name w:val="heading 6"/>
    <w:basedOn w:val="1"/>
    <w:next w:val="3"/>
    <w:unhideWhenUsed/>
    <w:qFormat/>
    <w:uiPriority w:val="0"/>
    <w:pPr>
      <w:numPr>
        <w:ilvl w:val="5"/>
        <w:numId w:val="1"/>
      </w:numPr>
      <w:spacing w:before="30" w:beforeLines="30" w:after="30" w:afterLines="30" w:line="312" w:lineRule="auto"/>
      <w:outlineLvl w:val="5"/>
    </w:pPr>
    <w:rPr>
      <w:b/>
      <w:bCs/>
      <w:sz w:val="24"/>
      <w:szCs w:val="24"/>
    </w:rPr>
  </w:style>
  <w:style w:type="paragraph" w:styleId="9">
    <w:name w:val="heading 7"/>
    <w:basedOn w:val="1"/>
    <w:next w:val="3"/>
    <w:unhideWhenUsed/>
    <w:qFormat/>
    <w:uiPriority w:val="0"/>
    <w:pPr>
      <w:numPr>
        <w:ilvl w:val="6"/>
        <w:numId w:val="1"/>
      </w:numPr>
      <w:spacing w:before="30" w:beforeLines="30" w:after="30" w:afterLines="30" w:line="312" w:lineRule="auto"/>
      <w:outlineLvl w:val="6"/>
    </w:pPr>
    <w:rPr>
      <w:b/>
      <w:bCs/>
      <w:sz w:val="24"/>
      <w:szCs w:val="24"/>
    </w:rPr>
  </w:style>
  <w:style w:type="paragraph" w:styleId="10">
    <w:name w:val="heading 8"/>
    <w:basedOn w:val="1"/>
    <w:next w:val="3"/>
    <w:unhideWhenUsed/>
    <w:qFormat/>
    <w:uiPriority w:val="0"/>
    <w:pPr>
      <w:numPr>
        <w:ilvl w:val="7"/>
        <w:numId w:val="1"/>
      </w:numPr>
      <w:spacing w:before="30" w:beforeLines="30" w:after="30" w:afterLines="30" w:line="312" w:lineRule="auto"/>
      <w:outlineLvl w:val="7"/>
    </w:pPr>
    <w:rPr>
      <w:b/>
      <w:bCs/>
      <w:sz w:val="24"/>
      <w:szCs w:val="24"/>
    </w:rPr>
  </w:style>
  <w:style w:type="paragraph" w:styleId="11">
    <w:name w:val="heading 9"/>
    <w:basedOn w:val="1"/>
    <w:next w:val="3"/>
    <w:unhideWhenUsed/>
    <w:qFormat/>
    <w:uiPriority w:val="0"/>
    <w:pPr>
      <w:numPr>
        <w:ilvl w:val="8"/>
        <w:numId w:val="1"/>
      </w:numPr>
      <w:spacing w:before="30" w:beforeLines="30" w:after="30" w:afterLines="30" w:line="312" w:lineRule="auto"/>
      <w:outlineLvl w:val="8"/>
    </w:pPr>
    <w:rPr>
      <w:b/>
      <w:bCs/>
      <w:sz w:val="24"/>
      <w:szCs w:val="24"/>
    </w:rPr>
  </w:style>
  <w:style w:type="character" w:default="1" w:styleId="40">
    <w:name w:val="Default Paragraph Font"/>
    <w:semiHidden/>
    <w:qFormat/>
    <w:uiPriority w:val="0"/>
  </w:style>
  <w:style w:type="table" w:default="1" w:styleId="38">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before="100" w:after="100" w:afterLines="0" w:afterAutospacing="0" w:line="300" w:lineRule="auto"/>
      <w:ind w:firstLine="1124" w:firstLineChars="200"/>
    </w:pPr>
    <w:rPr>
      <w:rFonts w:ascii="黑体" w:hAnsi="黑体"/>
    </w:rPr>
  </w:style>
  <w:style w:type="paragraph" w:styleId="12">
    <w:name w:val="Normal Indent"/>
    <w:basedOn w:val="1"/>
    <w:next w:val="13"/>
    <w:qFormat/>
    <w:uiPriority w:val="0"/>
    <w:pPr>
      <w:ind w:firstLine="420" w:firstLineChars="200"/>
    </w:pPr>
  </w:style>
  <w:style w:type="paragraph" w:customStyle="1" w:styleId="13">
    <w:name w:val="样式 正文文本 + 首行缩进:  2 字符"/>
    <w:autoRedefine/>
    <w:qFormat/>
    <w:uiPriority w:val="99"/>
    <w:pPr>
      <w:spacing w:after="200" w:line="480" w:lineRule="exact"/>
      <w:ind w:firstLine="480" w:firstLineChars="200"/>
      <w:jc w:val="center"/>
    </w:pPr>
    <w:rPr>
      <w:rFonts w:ascii="宋体" w:hAnsi="宋体" w:eastAsia="Calibri" w:cs="Times New Roman"/>
      <w:sz w:val="24"/>
      <w:szCs w:val="22"/>
      <w:lang w:val="en-US" w:eastAsia="zh-CN" w:bidi="ar-SA"/>
    </w:rPr>
  </w:style>
  <w:style w:type="paragraph" w:styleId="14">
    <w:name w:val="caption"/>
    <w:basedOn w:val="1"/>
    <w:next w:val="1"/>
    <w:unhideWhenUsed/>
    <w:qFormat/>
    <w:uiPriority w:val="0"/>
    <w:pPr>
      <w:ind w:firstLine="0" w:firstLineChars="0"/>
    </w:pPr>
    <w:rPr>
      <w:rFonts w:cs="Times New Roman"/>
      <w:sz w:val="20"/>
      <w:szCs w:val="20"/>
    </w:rPr>
  </w:style>
  <w:style w:type="paragraph" w:styleId="15">
    <w:name w:val="annotation text"/>
    <w:basedOn w:val="1"/>
    <w:qFormat/>
    <w:uiPriority w:val="0"/>
    <w:pPr>
      <w:jc w:val="left"/>
    </w:pPr>
    <w:rPr>
      <w:color w:val="262626" w:themeColor="text1" w:themeTint="D9"/>
      <w14:textFill>
        <w14:solidFill>
          <w14:schemeClr w14:val="tx1">
            <w14:lumMod w14:val="85000"/>
            <w14:lumOff w14:val="15000"/>
          </w14:schemeClr>
        </w14:solidFill>
      </w14:textFill>
    </w:rPr>
  </w:style>
  <w:style w:type="paragraph" w:styleId="16">
    <w:name w:val="Salutation"/>
    <w:basedOn w:val="1"/>
    <w:next w:val="1"/>
    <w:qFormat/>
    <w:uiPriority w:val="0"/>
    <w:pPr>
      <w:adjustRightInd w:val="0"/>
      <w:snapToGrid w:val="0"/>
      <w:ind w:firstLine="0" w:firstLineChars="0"/>
    </w:pPr>
  </w:style>
  <w:style w:type="paragraph" w:styleId="17">
    <w:name w:val="Body Text Indent"/>
    <w:basedOn w:val="1"/>
    <w:next w:val="18"/>
    <w:semiHidden/>
    <w:qFormat/>
    <w:uiPriority w:val="0"/>
    <w:pPr>
      <w:spacing w:after="120"/>
      <w:ind w:left="420" w:leftChars="200"/>
    </w:pPr>
  </w:style>
  <w:style w:type="paragraph" w:styleId="18">
    <w:name w:val="Body Text First Indent 2"/>
    <w:basedOn w:val="17"/>
    <w:next w:val="1"/>
    <w:qFormat/>
    <w:uiPriority w:val="0"/>
    <w:pPr>
      <w:ind w:firstLine="420"/>
    </w:pPr>
    <w:rPr>
      <w:rFonts w:ascii="Calibri" w:hAnsi="Calibri"/>
      <w:szCs w:val="22"/>
    </w:rPr>
  </w:style>
  <w:style w:type="paragraph" w:styleId="19">
    <w:name w:val="Block Text"/>
    <w:basedOn w:val="1"/>
    <w:qFormat/>
    <w:uiPriority w:val="99"/>
    <w:pPr>
      <w:spacing w:line="480" w:lineRule="exact"/>
      <w:ind w:left="-125" w:right="-56" w:firstLine="570"/>
    </w:pPr>
    <w:rPr>
      <w:sz w:val="28"/>
      <w:szCs w:val="24"/>
    </w:rPr>
  </w:style>
  <w:style w:type="paragraph" w:styleId="20">
    <w:name w:val="Plain Text"/>
    <w:basedOn w:val="1"/>
    <w:qFormat/>
    <w:uiPriority w:val="0"/>
    <w:rPr>
      <w:rFonts w:ascii="宋体" w:hAnsi="Courier New" w:eastAsia="仿宋_GB2312"/>
      <w:sz w:val="28"/>
    </w:rPr>
  </w:style>
  <w:style w:type="paragraph" w:styleId="21">
    <w:name w:val="List Bullet 5"/>
    <w:basedOn w:val="1"/>
    <w:qFormat/>
    <w:uiPriority w:val="0"/>
    <w:pPr>
      <w:numPr>
        <w:ilvl w:val="0"/>
        <w:numId w:val="2"/>
      </w:numPr>
    </w:pPr>
  </w:style>
  <w:style w:type="paragraph" w:styleId="22">
    <w:name w:val="Date"/>
    <w:basedOn w:val="1"/>
    <w:next w:val="1"/>
    <w:qFormat/>
    <w:uiPriority w:val="0"/>
    <w:pPr>
      <w:ind w:firstLine="0" w:firstLineChars="0"/>
      <w:jc w:val="right"/>
    </w:pPr>
    <w:rPr>
      <w:color w:val="262626" w:themeColor="text1" w:themeTint="D9"/>
      <w14:textFill>
        <w14:solidFill>
          <w14:schemeClr w14:val="tx1">
            <w14:lumMod w14:val="85000"/>
            <w14:lumOff w14:val="15000"/>
          </w14:schemeClr>
        </w14:solidFill>
      </w14:textFill>
    </w:rPr>
  </w:style>
  <w:style w:type="paragraph" w:styleId="23">
    <w:name w:val="Body Text Indent 2"/>
    <w:basedOn w:val="1"/>
    <w:qFormat/>
    <w:uiPriority w:val="0"/>
    <w:pPr>
      <w:spacing w:line="540" w:lineRule="exact"/>
      <w:ind w:firstLine="627"/>
    </w:pPr>
    <w:rPr>
      <w:rFonts w:eastAsia="方正仿宋简体"/>
      <w:sz w:val="28"/>
    </w:rPr>
  </w:style>
  <w:style w:type="paragraph" w:styleId="24">
    <w:name w:val="endnote text"/>
    <w:basedOn w:val="1"/>
    <w:qFormat/>
    <w:uiPriority w:val="0"/>
    <w:pPr>
      <w:jc w:val="left"/>
    </w:pPr>
    <w:rPr>
      <w:color w:val="262626" w:themeColor="text1" w:themeTint="D9"/>
      <w14:textFill>
        <w14:solidFill>
          <w14:schemeClr w14:val="tx1">
            <w14:lumMod w14:val="85000"/>
            <w14:lumOff w14:val="15000"/>
          </w14:schemeClr>
        </w14:solidFill>
      </w14:textFill>
    </w:rPr>
  </w:style>
  <w:style w:type="paragraph" w:styleId="25">
    <w:name w:val="Balloon Text"/>
    <w:basedOn w:val="1"/>
    <w:qFormat/>
    <w:uiPriority w:val="0"/>
    <w:rPr>
      <w:sz w:val="18"/>
      <w:szCs w:val="18"/>
    </w:rPr>
  </w:style>
  <w:style w:type="paragraph" w:styleId="26">
    <w:name w:val="footer"/>
    <w:basedOn w:val="1"/>
    <w:qFormat/>
    <w:uiPriority w:val="0"/>
    <w:pPr>
      <w:tabs>
        <w:tab w:val="center" w:pos="4153"/>
        <w:tab w:val="right" w:pos="8306"/>
      </w:tabs>
      <w:ind w:firstLine="0" w:firstLineChars="0"/>
      <w:jc w:val="left"/>
    </w:pPr>
    <w:rPr>
      <w:sz w:val="18"/>
      <w:szCs w:val="18"/>
    </w:rPr>
  </w:style>
  <w:style w:type="paragraph" w:styleId="2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ind w:firstLine="0" w:firstLineChars="0"/>
    </w:pPr>
    <w:rPr>
      <w:sz w:val="18"/>
      <w:szCs w:val="18"/>
    </w:rPr>
  </w:style>
  <w:style w:type="paragraph" w:styleId="28">
    <w:name w:val="Signature"/>
    <w:basedOn w:val="1"/>
    <w:qFormat/>
    <w:uiPriority w:val="0"/>
    <w:pPr>
      <w:ind w:firstLine="0" w:firstLineChars="0"/>
      <w:jc w:val="right"/>
    </w:pPr>
    <w:rPr>
      <w:color w:val="262626" w:themeColor="text1" w:themeTint="D9"/>
      <w14:textFill>
        <w14:solidFill>
          <w14:schemeClr w14:val="tx1">
            <w14:lumMod w14:val="85000"/>
            <w14:lumOff w14:val="15000"/>
          </w14:schemeClr>
        </w14:solidFill>
      </w14:textFill>
    </w:rPr>
  </w:style>
  <w:style w:type="paragraph" w:styleId="29">
    <w:name w:val="Subtitle"/>
    <w:basedOn w:val="1"/>
    <w:next w:val="3"/>
    <w:qFormat/>
    <w:uiPriority w:val="0"/>
    <w:pPr>
      <w:adjustRightInd w:val="0"/>
      <w:snapToGrid w:val="0"/>
      <w:spacing w:beforeLines="0" w:beforeAutospacing="0" w:after="100" w:afterLines="100" w:afterAutospacing="0" w:line="288" w:lineRule="auto"/>
      <w:jc w:val="center"/>
      <w:outlineLvl w:val="9"/>
    </w:pPr>
    <w:rPr>
      <w:b/>
      <w:kern w:val="28"/>
      <w:sz w:val="32"/>
      <w:szCs w:val="32"/>
    </w:rPr>
  </w:style>
  <w:style w:type="paragraph" w:styleId="30">
    <w:name w:val="List Number 5"/>
    <w:basedOn w:val="1"/>
    <w:qFormat/>
    <w:uiPriority w:val="0"/>
    <w:pPr>
      <w:numPr>
        <w:ilvl w:val="0"/>
        <w:numId w:val="3"/>
      </w:numPr>
    </w:pPr>
  </w:style>
  <w:style w:type="paragraph" w:styleId="31">
    <w:name w:val="List"/>
    <w:basedOn w:val="1"/>
    <w:next w:val="1"/>
    <w:qFormat/>
    <w:uiPriority w:val="0"/>
    <w:pPr>
      <w:ind w:left="200" w:hanging="200" w:hangingChars="200"/>
    </w:pPr>
  </w:style>
  <w:style w:type="paragraph" w:styleId="32">
    <w:name w:val="footnote text"/>
    <w:basedOn w:val="1"/>
    <w:qFormat/>
    <w:uiPriority w:val="0"/>
    <w:pPr>
      <w:jc w:val="left"/>
    </w:pPr>
    <w:rPr>
      <w:rFonts w:ascii="黑体" w:hAnsi="黑体" w:eastAsia="黑体"/>
      <w:sz w:val="24"/>
      <w:szCs w:val="24"/>
    </w:rPr>
  </w:style>
  <w:style w:type="paragraph" w:styleId="33">
    <w:name w:val="Body Text 2"/>
    <w:basedOn w:val="1"/>
    <w:unhideWhenUsed/>
    <w:qFormat/>
    <w:uiPriority w:val="99"/>
    <w:pPr>
      <w:spacing w:line="360" w:lineRule="auto"/>
      <w:ind w:firstLine="602" w:firstLineChars="200"/>
      <w:jc w:val="left"/>
    </w:pPr>
    <w:rPr>
      <w:sz w:val="24"/>
    </w:rPr>
  </w:style>
  <w:style w:type="paragraph" w:styleId="34">
    <w:name w:val="Normal (Web)"/>
    <w:basedOn w:val="1"/>
    <w:qFormat/>
    <w:uiPriority w:val="0"/>
    <w:rPr>
      <w:sz w:val="24"/>
      <w:szCs w:val="24"/>
    </w:rPr>
  </w:style>
  <w:style w:type="paragraph" w:styleId="35">
    <w:name w:val="Title"/>
    <w:basedOn w:val="1"/>
    <w:next w:val="3"/>
    <w:qFormat/>
    <w:uiPriority w:val="10"/>
    <w:pPr>
      <w:adjustRightInd w:val="0"/>
      <w:snapToGrid w:val="0"/>
      <w:spacing w:after="80" w:afterLines="80" w:line="288" w:lineRule="auto"/>
      <w:ind w:firstLine="0" w:firstLineChars="0"/>
      <w:jc w:val="center"/>
      <w:outlineLvl w:val="9"/>
    </w:pPr>
    <w:rPr>
      <w:b/>
      <w:sz w:val="48"/>
      <w:szCs w:val="48"/>
    </w:rPr>
  </w:style>
  <w:style w:type="paragraph" w:styleId="36">
    <w:name w:val="annotation subject"/>
    <w:basedOn w:val="15"/>
    <w:next w:val="15"/>
    <w:qFormat/>
    <w:uiPriority w:val="0"/>
    <w:rPr>
      <w:b/>
      <w:bCs/>
    </w:rPr>
  </w:style>
  <w:style w:type="paragraph" w:styleId="37">
    <w:name w:val="Body Text First Indent"/>
    <w:basedOn w:val="3"/>
    <w:next w:val="1"/>
    <w:qFormat/>
    <w:uiPriority w:val="0"/>
    <w:pPr>
      <w:spacing w:line="360" w:lineRule="auto"/>
      <w:ind w:firstLine="420" w:firstLineChars="100"/>
    </w:pPr>
  </w:style>
  <w:style w:type="table" w:styleId="39">
    <w:name w:val="Table Grid"/>
    <w:basedOn w:val="38"/>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basedOn w:val="40"/>
    <w:qFormat/>
    <w:uiPriority w:val="22"/>
    <w:rPr>
      <w:rFonts w:ascii="黑体" w:hAnsi="黑体" w:eastAsia="黑体"/>
      <w:b/>
      <w:bCs/>
      <w:color w:val="4874CB" w:themeColor="accent1"/>
      <w:u w:val="single"/>
      <w14:textFill>
        <w14:solidFill>
          <w14:schemeClr w14:val="accent1"/>
        </w14:solidFill>
      </w14:textFill>
    </w:rPr>
  </w:style>
  <w:style w:type="character" w:styleId="42">
    <w:name w:val="endnote reference"/>
    <w:basedOn w:val="40"/>
    <w:qFormat/>
    <w:uiPriority w:val="0"/>
    <w:rPr>
      <w:rFonts w:ascii="黑体" w:hAnsi="黑体" w:eastAsia="黑体"/>
      <w:color w:val="262626" w:themeColor="text1" w:themeTint="D9"/>
      <w:vertAlign w:val="superscript"/>
      <w14:textFill>
        <w14:solidFill>
          <w14:schemeClr w14:val="tx1">
            <w14:lumMod w14:val="85000"/>
            <w14:lumOff w14:val="15000"/>
          </w14:schemeClr>
        </w14:solidFill>
      </w14:textFill>
    </w:rPr>
  </w:style>
  <w:style w:type="character" w:styleId="43">
    <w:name w:val="page number"/>
    <w:qFormat/>
    <w:uiPriority w:val="0"/>
    <w:rPr>
      <w:rFonts w:ascii="黑体" w:hAnsi="黑体" w:eastAsia="黑体" w:cs="Times New Roman"/>
      <w:color w:val="262626" w:themeColor="text1" w:themeTint="D9"/>
      <w:spacing w:val="-6"/>
      <w:kern w:val="2"/>
      <w:sz w:val="28"/>
      <w:szCs w:val="28"/>
      <w:lang w:val="en-US" w:eastAsia="zh-CN" w:bidi="ar-SA"/>
      <w14:textFill>
        <w14:solidFill>
          <w14:schemeClr w14:val="tx1">
            <w14:lumMod w14:val="85000"/>
            <w14:lumOff w14:val="15000"/>
          </w14:schemeClr>
        </w14:solidFill>
      </w14:textFill>
    </w:rPr>
  </w:style>
  <w:style w:type="character" w:styleId="44">
    <w:name w:val="FollowedHyperlink"/>
    <w:basedOn w:val="40"/>
    <w:qFormat/>
    <w:uiPriority w:val="0"/>
    <w:rPr>
      <w:rFonts w:ascii="黑体" w:hAnsi="黑体" w:eastAsia="黑体" w:cs="Times New Roman"/>
      <w:color w:val="800080"/>
      <w:spacing w:val="-6"/>
      <w:kern w:val="2"/>
      <w:sz w:val="24"/>
      <w:szCs w:val="24"/>
      <w:u w:val="single"/>
      <w:lang w:val="en-US" w:eastAsia="zh-CN" w:bidi="ar-SA"/>
    </w:rPr>
  </w:style>
  <w:style w:type="character" w:styleId="45">
    <w:name w:val="Emphasis"/>
    <w:basedOn w:val="40"/>
    <w:qFormat/>
    <w:uiPriority w:val="20"/>
    <w:rPr>
      <w:rFonts w:ascii="Arial" w:hAnsi="Arial" w:eastAsia="黑体"/>
      <w:b/>
      <w:bCs/>
      <w:i/>
      <w:color w:val="C00000"/>
      <w:sz w:val="24"/>
      <w:szCs w:val="22"/>
    </w:rPr>
  </w:style>
  <w:style w:type="character" w:styleId="46">
    <w:name w:val="Hyperlink"/>
    <w:basedOn w:val="40"/>
    <w:qFormat/>
    <w:uiPriority w:val="0"/>
    <w:rPr>
      <w:rFonts w:ascii="黑体" w:hAnsi="黑体" w:eastAsia="黑体" w:cs="Times New Roman"/>
      <w:caps/>
      <w:color w:val="0000FF"/>
      <w:spacing w:val="-6"/>
      <w:kern w:val="2"/>
      <w:sz w:val="24"/>
      <w:szCs w:val="24"/>
      <w:u w:val="single"/>
      <w:lang w:val="en-US" w:eastAsia="zh-CN" w:bidi="ar-SA"/>
    </w:rPr>
  </w:style>
  <w:style w:type="character" w:styleId="47">
    <w:name w:val="annotation reference"/>
    <w:basedOn w:val="40"/>
    <w:qFormat/>
    <w:uiPriority w:val="0"/>
    <w:rPr>
      <w:rFonts w:ascii="黑体" w:hAnsi="黑体" w:eastAsia="黑体"/>
      <w:color w:val="262626" w:themeColor="text1" w:themeTint="D9"/>
      <w:sz w:val="21"/>
      <w:szCs w:val="21"/>
      <w14:textFill>
        <w14:solidFill>
          <w14:schemeClr w14:val="tx1">
            <w14:lumMod w14:val="85000"/>
            <w14:lumOff w14:val="15000"/>
          </w14:schemeClr>
        </w14:solidFill>
      </w14:textFill>
    </w:rPr>
  </w:style>
  <w:style w:type="character" w:styleId="48">
    <w:name w:val="footnote reference"/>
    <w:basedOn w:val="40"/>
    <w:qFormat/>
    <w:uiPriority w:val="0"/>
    <w:rPr>
      <w:rFonts w:ascii="黑体" w:hAnsi="黑体" w:eastAsia="黑体"/>
      <w:color w:val="262626" w:themeColor="text1" w:themeTint="D9"/>
      <w:vertAlign w:val="superscript"/>
      <w14:textFill>
        <w14:solidFill>
          <w14:schemeClr w14:val="tx1">
            <w14:lumMod w14:val="85000"/>
            <w14:lumOff w14:val="15000"/>
          </w14:schemeClr>
        </w14:solidFill>
      </w14:textFill>
    </w:rPr>
  </w:style>
  <w:style w:type="paragraph" w:customStyle="1" w:styleId="49">
    <w:name w:val="Default"/>
    <w:basedOn w:val="50"/>
    <w:next w:val="1"/>
    <w:unhideWhenUsed/>
    <w:qFormat/>
    <w:uiPriority w:val="99"/>
    <w:pPr>
      <w:tabs>
        <w:tab w:val="left" w:pos="1845"/>
      </w:tabs>
      <w:autoSpaceDE w:val="0"/>
      <w:autoSpaceDN w:val="0"/>
      <w:spacing w:line="240" w:lineRule="exact"/>
      <w:jc w:val="center"/>
    </w:pPr>
    <w:rPr>
      <w:rFonts w:hint="eastAsia" w:ascii="宋体" w:hAnsi="宋体"/>
      <w:color w:val="000000"/>
      <w:sz w:val="24"/>
    </w:rPr>
  </w:style>
  <w:style w:type="paragraph" w:customStyle="1" w:styleId="50">
    <w:name w:val="纯文本1"/>
    <w:basedOn w:val="1"/>
    <w:qFormat/>
    <w:uiPriority w:val="0"/>
    <w:pPr>
      <w:adjustRightInd w:val="0"/>
      <w:textAlignment w:val="baseline"/>
    </w:pPr>
    <w:rPr>
      <w:rFonts w:ascii="宋体" w:hAnsi="Courier New"/>
      <w:szCs w:val="20"/>
    </w:rPr>
  </w:style>
  <w:style w:type="paragraph" w:customStyle="1" w:styleId="51">
    <w:name w:val="正文(首行缩进)"/>
    <w:basedOn w:val="1"/>
    <w:next w:val="1"/>
    <w:semiHidden/>
    <w:qFormat/>
    <w:uiPriority w:val="0"/>
    <w:pPr>
      <w:spacing w:line="360" w:lineRule="auto"/>
      <w:ind w:firstLine="540" w:firstLineChars="225"/>
    </w:pPr>
    <w:rPr>
      <w:snapToGrid w:val="0"/>
      <w:color w:val="000000"/>
      <w:kern w:val="0"/>
      <w:sz w:val="24"/>
    </w:rPr>
  </w:style>
  <w:style w:type="paragraph" w:customStyle="1" w:styleId="52">
    <w:name w:val="表头"/>
    <w:basedOn w:val="12"/>
    <w:qFormat/>
    <w:uiPriority w:val="0"/>
    <w:pPr>
      <w:jc w:val="center"/>
    </w:pPr>
    <w:rPr>
      <w:rFonts w:hint="eastAsia" w:ascii="Times New Roman" w:hAnsi="Times New Roman" w:eastAsia="宋体"/>
      <w:b/>
      <w:bCs/>
      <w:szCs w:val="21"/>
    </w:rPr>
  </w:style>
  <w:style w:type="paragraph" w:customStyle="1" w:styleId="53">
    <w:name w:val="表格内容"/>
    <w:basedOn w:val="1"/>
    <w:next w:val="54"/>
    <w:qFormat/>
    <w:uiPriority w:val="0"/>
    <w:pPr>
      <w:spacing w:line="240" w:lineRule="auto"/>
      <w:jc w:val="center"/>
    </w:pPr>
    <w:rPr>
      <w:sz w:val="21"/>
    </w:rPr>
  </w:style>
  <w:style w:type="paragraph" w:customStyle="1" w:styleId="54">
    <w:name w:val="文本正文"/>
    <w:basedOn w:val="1"/>
    <w:qFormat/>
    <w:uiPriority w:val="0"/>
    <w:pPr>
      <w:ind w:firstLine="480"/>
    </w:pPr>
  </w:style>
  <w:style w:type="paragraph" w:customStyle="1" w:styleId="55">
    <w:name w:val="表格内容1"/>
    <w:basedOn w:val="1"/>
    <w:qFormat/>
    <w:uiPriority w:val="0"/>
    <w:pPr>
      <w:widowControl/>
      <w:spacing w:line="300" w:lineRule="exact"/>
      <w:jc w:val="center"/>
    </w:pPr>
    <w:rPr>
      <w:kern w:val="0"/>
      <w:sz w:val="21"/>
      <w:szCs w:val="21"/>
      <w:lang w:eastAsia="en-US" w:bidi="en-US"/>
    </w:rPr>
  </w:style>
  <w:style w:type="paragraph" w:customStyle="1" w:styleId="56">
    <w:name w:val="Body Text 21"/>
    <w:basedOn w:val="1"/>
    <w:qFormat/>
    <w:uiPriority w:val="0"/>
    <w:pPr>
      <w:spacing w:after="120" w:line="480" w:lineRule="auto"/>
    </w:pPr>
  </w:style>
  <w:style w:type="paragraph" w:customStyle="1" w:styleId="57">
    <w:name w:val="Table Paragraph"/>
    <w:basedOn w:val="1"/>
    <w:qFormat/>
    <w:uiPriority w:val="1"/>
    <w:pPr>
      <w:jc w:val="center"/>
    </w:pPr>
    <w:rPr>
      <w:rFonts w:ascii="Times New Roman" w:hAnsi="Times New Roman" w:eastAsia="Times New Roman" w:cs="Times New Roman"/>
      <w:lang w:val="zh-CN" w:eastAsia="zh-CN" w:bidi="zh-CN"/>
    </w:rPr>
  </w:style>
  <w:style w:type="character" w:customStyle="1" w:styleId="58">
    <w:name w:val="font21"/>
    <w:basedOn w:val="40"/>
    <w:qFormat/>
    <w:uiPriority w:val="0"/>
    <w:rPr>
      <w:rFonts w:hint="eastAsia" w:ascii="仿宋" w:hAnsi="仿宋" w:eastAsia="仿宋" w:cs="仿宋"/>
      <w:color w:val="000000"/>
      <w:sz w:val="21"/>
      <w:szCs w:val="21"/>
      <w:u w:val="none"/>
    </w:rPr>
  </w:style>
  <w:style w:type="paragraph" w:customStyle="1" w:styleId="59">
    <w:name w:val="正文首行缩进 21"/>
    <w:basedOn w:val="60"/>
    <w:next w:val="3"/>
    <w:qFormat/>
    <w:uiPriority w:val="0"/>
    <w:pPr>
      <w:spacing w:after="120"/>
      <w:ind w:left="420" w:leftChars="200" w:firstLine="420" w:firstLineChars="200"/>
    </w:pPr>
    <w:rPr>
      <w:sz w:val="21"/>
    </w:rPr>
  </w:style>
  <w:style w:type="paragraph" w:customStyle="1" w:styleId="60">
    <w:name w:val="正文文本缩进1"/>
    <w:basedOn w:val="1"/>
    <w:qFormat/>
    <w:uiPriority w:val="0"/>
    <w:pPr>
      <w:ind w:firstLine="538" w:firstLineChars="192"/>
    </w:pPr>
    <w:rPr>
      <w:kern w:val="0"/>
      <w:sz w:val="28"/>
    </w:rPr>
  </w:style>
  <w:style w:type="character" w:customStyle="1" w:styleId="61">
    <w:name w:val="图表题 Char"/>
    <w:link w:val="62"/>
    <w:qFormat/>
    <w:uiPriority w:val="0"/>
    <w:rPr>
      <w:rFonts w:ascii="黑体" w:eastAsia="黑体"/>
      <w:b/>
    </w:rPr>
  </w:style>
  <w:style w:type="paragraph" w:customStyle="1" w:styleId="62">
    <w:name w:val="图表题"/>
    <w:basedOn w:val="63"/>
    <w:next w:val="63"/>
    <w:link w:val="61"/>
    <w:qFormat/>
    <w:uiPriority w:val="0"/>
    <w:pPr>
      <w:ind w:firstLine="0"/>
      <w:jc w:val="center"/>
    </w:pPr>
    <w:rPr>
      <w:rFonts w:ascii="黑体" w:eastAsia="黑体"/>
      <w:b/>
    </w:rPr>
  </w:style>
  <w:style w:type="paragraph" w:customStyle="1" w:styleId="63">
    <w:name w:val="正文格式"/>
    <w:basedOn w:val="37"/>
    <w:qFormat/>
    <w:uiPriority w:val="0"/>
    <w:pPr>
      <w:spacing w:line="360" w:lineRule="auto"/>
      <w:ind w:firstLine="482"/>
    </w:pPr>
    <w:rPr>
      <w:rFonts w:ascii="宋体" w:hAnsi="宋体"/>
      <w:sz w:val="24"/>
    </w:rPr>
  </w:style>
  <w:style w:type="paragraph" w:customStyle="1" w:styleId="64">
    <w:name w:val="表内容"/>
    <w:basedOn w:val="1"/>
    <w:next w:val="1"/>
    <w:qFormat/>
    <w:uiPriority w:val="0"/>
    <w:pPr>
      <w:spacing w:line="320" w:lineRule="exact"/>
      <w:jc w:val="center"/>
    </w:pPr>
  </w:style>
  <w:style w:type="paragraph" w:customStyle="1" w:styleId="65">
    <w:name w:val="表格字体"/>
    <w:basedOn w:val="1"/>
    <w:autoRedefine/>
    <w:qFormat/>
    <w:uiPriority w:val="0"/>
    <w:pPr>
      <w:jc w:val="center"/>
    </w:pPr>
  </w:style>
  <w:style w:type="paragraph" w:customStyle="1" w:styleId="66">
    <w:name w:val="样式 正文缩进正文缩进2正文缩进 Char Char正文缩进 Char Char Char Char正文缩进 Char ..."/>
    <w:basedOn w:val="12"/>
    <w:qFormat/>
    <w:uiPriority w:val="0"/>
    <w:pPr>
      <w:spacing w:line="360" w:lineRule="auto"/>
      <w:ind w:firstLine="200"/>
    </w:pPr>
    <w:rPr>
      <w:rFonts w:cs="宋体"/>
      <w:sz w:val="24"/>
    </w:rPr>
  </w:style>
  <w:style w:type="paragraph" w:customStyle="1" w:styleId="67">
    <w:name w:val="Table Text"/>
    <w:basedOn w:val="1"/>
    <w:semiHidden/>
    <w:qFormat/>
    <w:uiPriority w:val="0"/>
    <w:rPr>
      <w:rFonts w:ascii="宋体" w:hAnsi="宋体" w:eastAsia="宋体" w:cs="宋体"/>
      <w:sz w:val="24"/>
      <w:szCs w:val="24"/>
      <w:lang w:val="en-US" w:eastAsia="en-US" w:bidi="ar-SA"/>
    </w:rPr>
  </w:style>
  <w:style w:type="table" w:customStyle="1" w:styleId="68">
    <w:name w:val="Table Normal"/>
    <w:semiHidden/>
    <w:unhideWhenUsed/>
    <w:qFormat/>
    <w:uiPriority w:val="0"/>
    <w:tblPr>
      <w:tblCellMar>
        <w:top w:w="0" w:type="dxa"/>
        <w:left w:w="0" w:type="dxa"/>
        <w:bottom w:w="0" w:type="dxa"/>
        <w:right w:w="0" w:type="dxa"/>
      </w:tblCellMar>
    </w:tblPr>
  </w:style>
  <w:style w:type="paragraph" w:customStyle="1" w:styleId="69">
    <w:name w:val=" Char"/>
    <w:basedOn w:val="1"/>
    <w:qFormat/>
    <w:uiPriority w:val="0"/>
    <w:pPr>
      <w:spacing w:line="240" w:lineRule="auto"/>
      <w:ind w:firstLine="0" w:firstLineChars="0"/>
      <w:jc w:val="both"/>
    </w:pPr>
    <w:rPr>
      <w:rFonts w:cs="Times New Roman"/>
      <w:sz w:val="21"/>
    </w:rPr>
  </w:style>
  <w:style w:type="paragraph" w:customStyle="1" w:styleId="70">
    <w:name w:val="表格"/>
    <w:basedOn w:val="20"/>
    <w:next w:val="1"/>
    <w:autoRedefine/>
    <w:qFormat/>
    <w:uiPriority w:val="0"/>
    <w:pPr>
      <w:spacing w:line="240" w:lineRule="auto"/>
      <w:ind w:left="0" w:firstLine="0" w:firstLineChars="0"/>
      <w:jc w:val="center"/>
    </w:pPr>
    <w:rPr>
      <w:rFonts w:ascii="Times New Roman" w:hAnsi="Times New Roman" w:eastAsia="宋体"/>
      <w:sz w:val="21"/>
      <w:szCs w:val="21"/>
    </w:rPr>
  </w:style>
  <w:style w:type="paragraph" w:customStyle="1" w:styleId="71">
    <w:name w:val="环评正文"/>
    <w:qFormat/>
    <w:uiPriority w:val="0"/>
    <w:rPr>
      <w:rFonts w:ascii="Times New Roman" w:hAnsi="Times New Roman" w:eastAsia="宋体" w:cs="Times New Roman"/>
      <w:sz w:val="24"/>
      <w:lang w:val="en-US" w:eastAsia="zh-CN" w:bidi="ar-SA"/>
    </w:rPr>
  </w:style>
  <w:style w:type="paragraph" w:customStyle="1" w:styleId="72">
    <w:name w:val="正文（居中）"/>
    <w:basedOn w:val="1"/>
    <w:autoRedefine/>
    <w:qFormat/>
    <w:uiPriority w:val="0"/>
    <w:pPr>
      <w:spacing w:line="240" w:lineRule="auto"/>
      <w:ind w:firstLine="0" w:firstLineChars="0"/>
      <w:jc w:val="center"/>
    </w:pPr>
    <w:rPr>
      <w:rFonts w:ascii="Times New Roman" w:hAnsi="Times New Roman"/>
    </w:rPr>
  </w:style>
  <w:style w:type="paragraph" w:customStyle="1" w:styleId="73">
    <w:name w:val="文本"/>
    <w:basedOn w:val="1"/>
    <w:autoRedefine/>
    <w:qFormat/>
    <w:uiPriority w:val="0"/>
    <w:pPr>
      <w:adjustRightInd w:val="0"/>
      <w:snapToGrid w:val="0"/>
      <w:spacing w:line="360" w:lineRule="auto"/>
      <w:ind w:firstLine="480" w:firstLineChars="200"/>
      <w:jc w:val="left"/>
    </w:pPr>
    <w:rPr>
      <w:sz w:val="24"/>
      <w:szCs w:val="24"/>
    </w:rPr>
  </w:style>
  <w:style w:type="paragraph" w:customStyle="1" w:styleId="74">
    <w:name w:val="段落1"/>
    <w:basedOn w:val="1"/>
    <w:autoRedefine/>
    <w:qFormat/>
    <w:uiPriority w:val="0"/>
    <w:pPr>
      <w:spacing w:line="480" w:lineRule="exact"/>
      <w:ind w:firstLine="584" w:firstLineChars="200"/>
    </w:pPr>
    <w:rPr>
      <w:spacing w:val="6"/>
      <w:sz w:val="28"/>
    </w:rPr>
  </w:style>
  <w:style w:type="paragraph" w:customStyle="1" w:styleId="75">
    <w:name w:val="表格标题"/>
    <w:basedOn w:val="52"/>
    <w:next w:val="1"/>
    <w:autoRedefine/>
    <w:qFormat/>
    <w:uiPriority w:val="0"/>
    <w:pPr>
      <w:autoSpaceDE w:val="0"/>
      <w:autoSpaceDN w:val="0"/>
      <w:adjustRightInd w:val="0"/>
      <w:snapToGrid w:val="0"/>
      <w:spacing w:line="324" w:lineRule="auto"/>
      <w:ind w:firstLine="422" w:firstLineChars="200"/>
      <w:jc w:val="center"/>
    </w:pPr>
    <w:rPr>
      <w:rFonts w:ascii="宋体" w:hAnsi="宋体"/>
      <w:szCs w:val="24"/>
      <w:lang w:val="zh-CN"/>
    </w:rPr>
  </w:style>
  <w:style w:type="paragraph" w:customStyle="1" w:styleId="76">
    <w:name w:val="表头字体"/>
    <w:basedOn w:val="1"/>
    <w:autoRedefine/>
    <w:qFormat/>
    <w:uiPriority w:val="0"/>
    <w:pPr>
      <w:spacing w:line="360" w:lineRule="auto"/>
      <w:jc w:val="center"/>
    </w:pPr>
  </w:style>
  <w:style w:type="paragraph" w:customStyle="1" w:styleId="77">
    <w:name w:val="表格正文"/>
    <w:basedOn w:val="75"/>
    <w:autoRedefine/>
    <w:qFormat/>
    <w:uiPriority w:val="0"/>
    <w:pPr>
      <w:ind w:firstLine="0"/>
    </w:pPr>
    <w:rPr>
      <w:b w:val="0"/>
    </w:rPr>
  </w:style>
  <w:style w:type="paragraph" w:customStyle="1" w:styleId="78">
    <w:name w:val="表格内"/>
    <w:basedOn w:val="1"/>
    <w:qFormat/>
    <w:uiPriority w:val="0"/>
    <w:pPr>
      <w:spacing w:line="360" w:lineRule="exact"/>
      <w:jc w:val="center"/>
    </w:pPr>
    <w:rPr>
      <w:rFonts w:ascii="Calibri" w:hAnsi="Calibri"/>
      <w:snapToGrid w:val="0"/>
      <w:szCs w:val="21"/>
    </w:rPr>
  </w:style>
  <w:style w:type="paragraph" w:customStyle="1" w:styleId="79">
    <w:name w:val="00表格"/>
    <w:basedOn w:val="1"/>
    <w:autoRedefine/>
    <w:qFormat/>
    <w:uiPriority w:val="0"/>
    <w:pPr>
      <w:spacing w:line="240" w:lineRule="auto"/>
      <w:ind w:firstLine="0" w:firstLineChars="0"/>
      <w:jc w:val="center"/>
    </w:pPr>
    <w:rPr>
      <w:sz w:val="21"/>
    </w:rPr>
  </w:style>
  <w:style w:type="paragraph" w:customStyle="1" w:styleId="80">
    <w:name w:val="段落"/>
    <w:basedOn w:val="1"/>
    <w:autoRedefine/>
    <w:qFormat/>
    <w:uiPriority w:val="0"/>
    <w:pPr>
      <w:tabs>
        <w:tab w:val="left" w:pos="1021"/>
      </w:tabs>
      <w:adjustRightInd w:val="0"/>
      <w:spacing w:line="360" w:lineRule="auto"/>
      <w:ind w:firstLine="500" w:firstLineChars="200"/>
    </w:pPr>
    <w:rPr>
      <w:kern w:val="24"/>
      <w:sz w:val="24"/>
    </w:rPr>
  </w:style>
  <w:style w:type="paragraph" w:customStyle="1" w:styleId="81">
    <w:name w:val="章标题"/>
    <w:next w:val="1"/>
    <w:qFormat/>
    <w:uiPriority w:val="0"/>
    <w:pPr>
      <w:tabs>
        <w:tab w:val="left" w:pos="0"/>
      </w:tabs>
      <w:adjustRightInd w:val="0"/>
      <w:snapToGrid w:val="0"/>
      <w:spacing w:before="50" w:beforeLines="50" w:after="100" w:afterLines="100" w:line="288" w:lineRule="auto"/>
      <w:jc w:val="center"/>
      <w:outlineLvl w:val="0"/>
    </w:pPr>
    <w:rPr>
      <w:rFonts w:ascii="黑体" w:hAnsi="黑体" w:eastAsia="黑体" w:cstheme="minorBidi"/>
      <w:b/>
      <w:bCs/>
      <w:sz w:val="36"/>
      <w:szCs w:val="36"/>
    </w:rPr>
  </w:style>
  <w:style w:type="paragraph" w:customStyle="1" w:styleId="82">
    <w:name w:val="节标题"/>
    <w:basedOn w:val="1"/>
    <w:next w:val="1"/>
    <w:qFormat/>
    <w:uiPriority w:val="0"/>
    <w:pPr>
      <w:adjustRightInd w:val="0"/>
      <w:snapToGrid w:val="0"/>
      <w:spacing w:before="50" w:beforeLines="50" w:after="100" w:afterLines="100" w:line="288" w:lineRule="auto"/>
      <w:jc w:val="center"/>
      <w:outlineLvl w:val="0"/>
    </w:pPr>
    <w:rPr>
      <w:rFonts w:hint="eastAsia" w:ascii="黑体" w:hAnsi="黑体"/>
      <w:b/>
      <w:bCs/>
      <w:kern w:val="28"/>
      <w:sz w:val="32"/>
      <w:szCs w:val="32"/>
    </w:rPr>
  </w:style>
  <w:style w:type="paragraph" w:customStyle="1" w:styleId="83">
    <w:name w:val="附录标题"/>
    <w:basedOn w:val="1"/>
    <w:next w:val="3"/>
    <w:qFormat/>
    <w:uiPriority w:val="0"/>
    <w:pPr>
      <w:adjustRightInd w:val="0"/>
      <w:snapToGrid w:val="0"/>
      <w:spacing w:before="50" w:beforeLines="50" w:after="100" w:afterLines="100" w:line="288" w:lineRule="auto"/>
      <w:jc w:val="center"/>
      <w:outlineLvl w:val="0"/>
    </w:pPr>
    <w:rPr>
      <w:rFonts w:hint="eastAsia" w:ascii="黑体" w:hAnsi="黑体"/>
      <w:b/>
      <w:bCs/>
      <w:kern w:val="28"/>
      <w:sz w:val="32"/>
      <w:szCs w:val="32"/>
    </w:rPr>
  </w:style>
  <w:style w:type="paragraph" w:customStyle="1" w:styleId="84">
    <w:name w:val="题注1"/>
    <w:basedOn w:val="1"/>
    <w:qFormat/>
    <w:uiPriority w:val="0"/>
    <w:pPr>
      <w:jc w:val="center"/>
    </w:pPr>
  </w:style>
  <w:style w:type="character" w:customStyle="1" w:styleId="85">
    <w:name w:val="摘要"/>
    <w:basedOn w:val="40"/>
    <w:qFormat/>
    <w:uiPriority w:val="0"/>
    <w:rPr>
      <w:rFonts w:hint="eastAsia" w:ascii="Arial" w:hAnsi="Arial"/>
      <w:b/>
      <w:lang w:val="en-US" w:eastAsia="zh-CN"/>
    </w:rPr>
  </w:style>
  <w:style w:type="character" w:customStyle="1" w:styleId="86">
    <w:name w:val="关键词"/>
    <w:basedOn w:val="40"/>
    <w:qFormat/>
    <w:uiPriority w:val="0"/>
    <w:rPr>
      <w:rFonts w:hint="eastAsia" w:ascii="Arial" w:hAnsi="Arial"/>
      <w:b/>
      <w:lang w:val="en-US" w:eastAsia="zh-CN"/>
    </w:rPr>
  </w:style>
  <w:style w:type="paragraph" w:customStyle="1" w:styleId="87">
    <w:name w:val="文档说明标题"/>
    <w:basedOn w:val="1"/>
    <w:next w:val="1"/>
    <w:qFormat/>
    <w:uiPriority w:val="0"/>
    <w:pPr>
      <w:adjustRightInd w:val="0"/>
      <w:snapToGrid w:val="0"/>
      <w:spacing w:after="100" w:afterLines="100"/>
      <w:jc w:val="center"/>
      <w:outlineLvl w:val="9"/>
    </w:pPr>
    <w:rPr>
      <w:b/>
      <w:sz w:val="36"/>
      <w:szCs w:val="36"/>
    </w:rPr>
  </w:style>
  <w:style w:type="paragraph" w:customStyle="1" w:styleId="88">
    <w:name w:val="主送对象"/>
    <w:next w:val="3"/>
    <w:qFormat/>
    <w:uiPriority w:val="0"/>
    <w:pPr>
      <w:adjustRightInd w:val="0"/>
      <w:snapToGrid w:val="0"/>
      <w:spacing w:line="576" w:lineRule="exact"/>
    </w:pPr>
    <w:rPr>
      <w:rFonts w:hint="default" w:ascii="黑体" w:hAnsi="黑体" w:eastAsia="黑体" w:cs="Times New Roman"/>
      <w:color w:val="262626" w:themeColor="text1" w:themeTint="D9"/>
      <w:sz w:val="24"/>
      <w:szCs w:val="24"/>
      <w:lang w:val="en-US" w:eastAsia="zh-CN" w:bidi="ar-SA"/>
      <w14:textFill>
        <w14:solidFill>
          <w14:schemeClr w14:val="tx1">
            <w14:lumMod w14:val="85000"/>
            <w14:lumOff w14:val="15000"/>
          </w14:schemeClr>
        </w14:solidFill>
      </w14:textFill>
    </w:rPr>
  </w:style>
  <w:style w:type="paragraph" w:customStyle="1" w:styleId="89">
    <w:name w:val="目录标题"/>
    <w:basedOn w:val="1"/>
    <w:qFormat/>
    <w:uiPriority w:val="0"/>
    <w:pPr>
      <w:spacing w:before="0" w:beforeLines="0" w:afterLines="0" w:line="240" w:lineRule="auto"/>
      <w:ind w:firstLine="0" w:firstLineChars="0"/>
      <w:jc w:val="center"/>
    </w:pPr>
    <w:rPr>
      <w:rFonts w:ascii="黑体" w:hAnsi="黑体" w:eastAsia="黑体"/>
      <w:b/>
      <w:sz w:val="28"/>
      <w:szCs w:val="28"/>
    </w:rPr>
  </w:style>
  <w:style w:type="paragraph" w:customStyle="1" w:styleId="90">
    <w:name w:val="致谢标题"/>
    <w:qFormat/>
    <w:uiPriority w:val="0"/>
    <w:pPr>
      <w:adjustRightInd w:val="0"/>
      <w:snapToGrid w:val="0"/>
      <w:spacing w:before="50" w:beforeLines="50" w:after="100" w:afterLines="100"/>
      <w:jc w:val="center"/>
      <w:outlineLvl w:val="0"/>
    </w:pPr>
    <w:rPr>
      <w:rFonts w:ascii="黑体" w:hAnsi="黑体" w:eastAsia="黑体" w:cstheme="minorBidi"/>
      <w:b/>
      <w:bCs/>
      <w:kern w:val="0"/>
      <w:sz w:val="36"/>
      <w:szCs w:val="36"/>
    </w:rPr>
  </w:style>
  <w:style w:type="paragraph" w:customStyle="1" w:styleId="91">
    <w:name w:val="参考文献标题"/>
    <w:qFormat/>
    <w:uiPriority w:val="0"/>
    <w:pPr>
      <w:tabs>
        <w:tab w:val="left" w:pos="0"/>
      </w:tabs>
      <w:adjustRightInd w:val="0"/>
      <w:snapToGrid w:val="0"/>
      <w:spacing w:before="50" w:beforeLines="50" w:after="100" w:afterLines="100"/>
      <w:jc w:val="center"/>
      <w:outlineLvl w:val="0"/>
    </w:pPr>
    <w:rPr>
      <w:rFonts w:hint="eastAsia" w:ascii="黑体" w:hAnsi="黑体" w:eastAsia="黑体" w:cstheme="minorBidi"/>
      <w:b/>
      <w:bCs/>
      <w:sz w:val="36"/>
      <w:szCs w:val="36"/>
    </w:rPr>
  </w:style>
  <w:style w:type="paragraph" w:customStyle="1" w:styleId="92">
    <w:name w:val="声明标题"/>
    <w:qFormat/>
    <w:uiPriority w:val="0"/>
    <w:pPr>
      <w:tabs>
        <w:tab w:val="left" w:pos="0"/>
      </w:tabs>
      <w:adjustRightInd w:val="0"/>
      <w:snapToGrid w:val="0"/>
      <w:spacing w:before="50" w:beforeLines="50" w:after="100" w:afterLines="100"/>
      <w:jc w:val="center"/>
      <w:outlineLvl w:val="0"/>
    </w:pPr>
    <w:rPr>
      <w:rFonts w:hint="eastAsia" w:ascii="黑体" w:hAnsi="黑体" w:eastAsia="黑体" w:cstheme="minorBidi"/>
      <w:b/>
      <w:bCs/>
      <w:sz w:val="36"/>
      <w:szCs w:val="36"/>
    </w:rPr>
  </w:style>
  <w:style w:type="paragraph" w:customStyle="1" w:styleId="93">
    <w:name w:val="方案正文"/>
    <w:basedOn w:val="94"/>
    <w:qFormat/>
    <w:uiPriority w:val="0"/>
    <w:pPr>
      <w:widowControl/>
    </w:pPr>
    <w:rPr>
      <w:snapToGrid w:val="0"/>
      <w:kern w:val="24"/>
    </w:rPr>
  </w:style>
  <w:style w:type="paragraph" w:customStyle="1" w:styleId="94">
    <w:name w:val="正文1"/>
    <w:basedOn w:val="1"/>
    <w:qFormat/>
    <w:uiPriority w:val="0"/>
    <w:pPr>
      <w:ind w:firstLine="480"/>
    </w:p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3.wmf"/><Relationship Id="rId22" Type="http://schemas.openxmlformats.org/officeDocument/2006/relationships/oleObject" Target="embeddings/oleObject2.bin"/><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wmf"/><Relationship Id="rId14" Type="http://schemas.openxmlformats.org/officeDocument/2006/relationships/oleObject" Target="embeddings/oleObject1.bin"/><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extobjs>
    <extobj name="ECB019B1-382A-4266-B25C-5B523AA43C14-1">
      <extobjdata type="ECB019B1-382A-4266-B25C-5B523AA43C14" data="ewoJIkZpbGVJZCIgOiAiMzE5MDkxMTQxMDk0IiwKCSJHcm91cElkIiA6ICIzOTA4NTIzNTUiLAoJIkltYWdlIiA6ICIiLAoJIlRoZW1lIiA6ICIiLAoJIlR5cGUiIDogImZsb3ciLAoJIlVzZXJJZCIgOiAiIiwKCSJWZXJzaW9uIiA6ICI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113</Pages>
  <Words>102</Words>
  <Characters>102</Characters>
  <Lines>0</Lines>
  <Paragraphs>0</Paragraphs>
  <TotalTime>94</TotalTime>
  <ScaleCrop>false</ScaleCrop>
  <LinksUpToDate>false</LinksUpToDate>
  <CharactersWithSpaces>154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2026-06-10T02:59:00Z</dcterms:created>
  <dc:creator>Blame.</dc:creator>
  <cp:lastModifiedBy>小麦啾</cp:lastModifiedBy>
  <cp:lastPrinted>2026-06-26T06:33:00Z</cp:lastPrinted>
  <dcterms:modified xsi:type="dcterms:W3CDTF">2026-09-10T04:52:10Z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A3CCED1EACCA497CA733713143D422FD_13</vt:lpwstr>
  </property>
  <property fmtid="{D5CDD505-2E9C-101B-9397-08002B2CF9AE}" pid="4" name="KSOTemplateDocerSaveRecord">
    <vt:lpwstr>eyJoZGlkIjoiZGZmMjg3MDQ2MzExNDk0OWY5M2UwNzBmOWViMDBkMGMiLCJ1c2VySWQiOiIzMjQ5NjUzODcifQ==</vt:lpwstr>
  </property>
</Properties>
</file>