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60E5C">
      <w:pPr>
        <w:ind w:left="0" w:leftChars="0" w:firstLine="0" w:firstLineChars="0"/>
        <w:rPr>
          <w:rFonts w:hint="default" w:ascii="Times New Roman" w:hAnsi="Times New Roman" w:eastAsia="宋体" w:cs="Times New Roman"/>
          <w:color w:val="000000"/>
        </w:rPr>
      </w:pPr>
      <w:r>
        <w:drawing>
          <wp:inline distT="0" distB="0" distL="114300" distR="114300">
            <wp:extent cx="5611495" cy="7246620"/>
            <wp:effectExtent l="0" t="0" r="8255" b="1143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7"/>
                    <a:stretch>
                      <a:fillRect/>
                    </a:stretch>
                  </pic:blipFill>
                  <pic:spPr>
                    <a:xfrm>
                      <a:off x="0" y="0"/>
                      <a:ext cx="5611495" cy="7246620"/>
                    </a:xfrm>
                    <a:prstGeom prst="rect">
                      <a:avLst/>
                    </a:prstGeom>
                    <a:noFill/>
                    <a:ln>
                      <a:noFill/>
                    </a:ln>
                  </pic:spPr>
                </pic:pic>
              </a:graphicData>
            </a:graphic>
          </wp:inline>
        </w:drawing>
      </w:r>
      <w:r>
        <w:rPr>
          <w:rFonts w:hint="default" w:ascii="Times New Roman" w:hAnsi="Times New Roman" w:eastAsia="宋体" w:cs="Times New Roman"/>
          <w:color w:val="000000"/>
        </w:rPr>
        <w:br w:type="page"/>
      </w:r>
      <w:r>
        <w:rPr>
          <w:rFonts w:hint="default" w:ascii="Times New Roman" w:hAnsi="Times New Roman" w:eastAsia="宋体" w:cs="Times New Roman"/>
          <w:color w:val="000000"/>
        </w:rPr>
        <w:br w:type="page"/>
      </w:r>
    </w:p>
    <w:p w14:paraId="5ECA94C3">
      <w:pPr>
        <w:ind w:left="0" w:leftChars="0" w:firstLine="0" w:firstLineChars="0"/>
        <w:rPr>
          <w:rFonts w:hint="default" w:ascii="Times New Roman" w:hAnsi="Times New Roman" w:eastAsia="宋体" w:cs="Times New Roman"/>
          <w:color w:val="000000"/>
        </w:rPr>
      </w:pPr>
      <w:r>
        <w:drawing>
          <wp:inline distT="0" distB="0" distL="114300" distR="114300">
            <wp:extent cx="5614035" cy="6985635"/>
            <wp:effectExtent l="0" t="0" r="5715" b="571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8"/>
                    <a:stretch>
                      <a:fillRect/>
                    </a:stretch>
                  </pic:blipFill>
                  <pic:spPr>
                    <a:xfrm>
                      <a:off x="0" y="0"/>
                      <a:ext cx="5614035" cy="6985635"/>
                    </a:xfrm>
                    <a:prstGeom prst="rect">
                      <a:avLst/>
                    </a:prstGeom>
                    <a:noFill/>
                    <a:ln>
                      <a:noFill/>
                    </a:ln>
                  </pic:spPr>
                </pic:pic>
              </a:graphicData>
            </a:graphic>
          </wp:inline>
        </w:drawing>
      </w:r>
      <w:r>
        <w:rPr>
          <w:rFonts w:hint="default" w:ascii="Times New Roman" w:hAnsi="Times New Roman" w:eastAsia="宋体" w:cs="Times New Roman"/>
          <w:color w:val="000000"/>
        </w:rPr>
        <w:br w:type="page"/>
      </w:r>
      <w:r>
        <w:rPr>
          <w:rFonts w:hint="default" w:ascii="Times New Roman" w:hAnsi="Times New Roman" w:eastAsia="宋体" w:cs="Times New Roman"/>
          <w:color w:val="000000"/>
        </w:rPr>
        <w:br w:type="page"/>
      </w:r>
    </w:p>
    <w:p w14:paraId="2CAA699B">
      <w:pPr>
        <w:keepNext w:val="0"/>
        <w:keepLines w:val="0"/>
        <w:pageBreakBefore w:val="0"/>
        <w:widowControl w:val="0"/>
        <w:kinsoku/>
        <w:wordWrap/>
        <w:overflowPunct/>
        <w:topLinePunct w:val="0"/>
        <w:autoSpaceDE/>
        <w:autoSpaceDN/>
        <w:bidi w:val="0"/>
        <w:adjustRightInd/>
        <w:snapToGrid w:val="0"/>
        <w:spacing w:line="520" w:lineRule="exact"/>
        <w:ind w:firstLine="0" w:firstLineChars="0"/>
        <w:jc w:val="center"/>
        <w:textAlignment w:val="auto"/>
        <w:rPr>
          <w:rFonts w:hint="default" w:ascii="Times New Roman" w:hAnsi="Times New Roman" w:eastAsia="宋体" w:cs="Times New Roman"/>
          <w:b/>
          <w:bCs/>
          <w:color w:val="000000"/>
          <w:sz w:val="30"/>
          <w:szCs w:val="30"/>
          <w:highlight w:val="none"/>
        </w:rPr>
      </w:pPr>
      <w:r>
        <w:rPr>
          <w:rFonts w:hint="default" w:ascii="Times New Roman" w:hAnsi="Times New Roman" w:eastAsia="宋体" w:cs="Times New Roman"/>
          <w:b/>
          <w:bCs/>
          <w:color w:val="000000"/>
          <w:sz w:val="30"/>
          <w:szCs w:val="30"/>
          <w:highlight w:val="none"/>
        </w:rPr>
        <w:t>目录</w:t>
      </w:r>
    </w:p>
    <w:p w14:paraId="2A69BFE7">
      <w:pPr>
        <w:pStyle w:val="23"/>
        <w:keepNext w:val="0"/>
        <w:keepLines w:val="0"/>
        <w:pageBreakBefore w:val="0"/>
        <w:widowControl w:val="0"/>
        <w:tabs>
          <w:tab w:val="right" w:leader="dot" w:pos="8844"/>
        </w:tabs>
        <w:kinsoku/>
        <w:wordWrap/>
        <w:overflowPunct/>
        <w:topLinePunct w:val="0"/>
        <w:autoSpaceDE/>
        <w:autoSpaceDN/>
        <w:bidi w:val="0"/>
        <w:adjustRightInd/>
        <w:snapToGrid w:val="0"/>
        <w:spacing w:line="520" w:lineRule="exact"/>
        <w:textAlignment w:val="auto"/>
        <w:rPr>
          <w:rFonts w:hint="default" w:ascii="Times New Roman" w:hAnsi="Times New Roman" w:eastAsia="宋体" w:cs="Times New Roman"/>
          <w:color w:val="000000"/>
        </w:rPr>
      </w:pPr>
      <w:r>
        <w:rPr>
          <w:rFonts w:hint="default" w:ascii="Times New Roman" w:hAnsi="Times New Roman" w:eastAsia="宋体" w:cs="Times New Roman"/>
          <w:b/>
          <w:bCs/>
          <w:color w:val="000000"/>
          <w:szCs w:val="32"/>
          <w:highlight w:val="none"/>
        </w:rPr>
        <w:fldChar w:fldCharType="begin"/>
      </w:r>
      <w:r>
        <w:rPr>
          <w:rFonts w:hint="default" w:ascii="Times New Roman" w:hAnsi="Times New Roman" w:eastAsia="宋体" w:cs="Times New Roman"/>
          <w:b/>
          <w:bCs/>
          <w:color w:val="000000"/>
          <w:szCs w:val="32"/>
          <w:highlight w:val="none"/>
        </w:rPr>
        <w:instrText xml:space="preserve">TOC \o "1-2" \h \u </w:instrText>
      </w:r>
      <w:r>
        <w:rPr>
          <w:rFonts w:hint="default" w:ascii="Times New Roman" w:hAnsi="Times New Roman" w:eastAsia="宋体" w:cs="Times New Roman"/>
          <w:b/>
          <w:bCs/>
          <w:color w:val="000000"/>
          <w:szCs w:val="32"/>
          <w:highlight w:val="none"/>
        </w:rPr>
        <w:fldChar w:fldCharType="separate"/>
      </w:r>
      <w:r>
        <w:rPr>
          <w:rFonts w:hint="default" w:ascii="Times New Roman" w:hAnsi="Times New Roman" w:eastAsia="宋体" w:cs="Times New Roman"/>
          <w:bCs/>
          <w:color w:val="000000"/>
          <w:szCs w:val="32"/>
          <w:highlight w:val="none"/>
        </w:rPr>
        <w:fldChar w:fldCharType="begin"/>
      </w:r>
      <w:r>
        <w:rPr>
          <w:rFonts w:hint="default" w:ascii="Times New Roman" w:hAnsi="Times New Roman" w:eastAsia="宋体" w:cs="Times New Roman"/>
          <w:bCs/>
          <w:color w:val="000000"/>
          <w:szCs w:val="32"/>
          <w:highlight w:val="none"/>
        </w:rPr>
        <w:instrText xml:space="preserve"> HYPERLINK \l _Toc19062 </w:instrText>
      </w:r>
      <w:r>
        <w:rPr>
          <w:rFonts w:hint="default" w:ascii="Times New Roman" w:hAnsi="Times New Roman" w:eastAsia="宋体" w:cs="Times New Roman"/>
          <w:bCs/>
          <w:color w:val="000000"/>
          <w:szCs w:val="32"/>
          <w:highlight w:val="none"/>
        </w:rPr>
        <w:fldChar w:fldCharType="separate"/>
      </w:r>
      <w:r>
        <w:rPr>
          <w:rFonts w:hint="default" w:ascii="Times New Roman" w:hAnsi="Times New Roman" w:eastAsia="宋体" w:cs="Times New Roman"/>
          <w:bCs w:val="0"/>
          <w:snapToGrid w:val="0"/>
          <w:color w:val="000000"/>
          <w:szCs w:val="30"/>
          <w:highlight w:val="none"/>
        </w:rPr>
        <w:t>一、建设项目基本情况</w:t>
      </w:r>
      <w:r>
        <w:rPr>
          <w:rFonts w:hint="default" w:ascii="Times New Roman" w:hAnsi="Times New Roman" w:eastAsia="宋体" w:cs="Times New Roman"/>
          <w:color w:val="000000"/>
        </w:rPr>
        <w:tab/>
      </w:r>
      <w:r>
        <w:rPr>
          <w:rFonts w:hint="default" w:ascii="Times New Roman" w:hAnsi="Times New Roman" w:eastAsia="宋体" w:cs="Times New Roman"/>
          <w:color w:val="000000"/>
        </w:rPr>
        <w:fldChar w:fldCharType="begin"/>
      </w:r>
      <w:r>
        <w:rPr>
          <w:rFonts w:hint="default" w:ascii="Times New Roman" w:hAnsi="Times New Roman" w:eastAsia="宋体" w:cs="Times New Roman"/>
          <w:color w:val="000000"/>
        </w:rPr>
        <w:instrText xml:space="preserve"> PAGEREF _Toc19062 \h </w:instrText>
      </w:r>
      <w:r>
        <w:rPr>
          <w:rFonts w:hint="default" w:ascii="Times New Roman" w:hAnsi="Times New Roman" w:eastAsia="宋体" w:cs="Times New Roman"/>
          <w:color w:val="000000"/>
        </w:rPr>
        <w:fldChar w:fldCharType="separate"/>
      </w:r>
      <w:r>
        <w:rPr>
          <w:rFonts w:hint="default" w:ascii="Times New Roman" w:hAnsi="Times New Roman" w:eastAsia="宋体" w:cs="Times New Roman"/>
          <w:color w:val="000000"/>
        </w:rPr>
        <w:t>1</w:t>
      </w:r>
      <w:r>
        <w:rPr>
          <w:rFonts w:hint="default" w:ascii="Times New Roman" w:hAnsi="Times New Roman" w:eastAsia="宋体" w:cs="Times New Roman"/>
          <w:color w:val="000000"/>
        </w:rPr>
        <w:fldChar w:fldCharType="end"/>
      </w:r>
      <w:r>
        <w:rPr>
          <w:rFonts w:hint="default" w:ascii="Times New Roman" w:hAnsi="Times New Roman" w:eastAsia="宋体" w:cs="Times New Roman"/>
          <w:bCs/>
          <w:color w:val="000000"/>
          <w:szCs w:val="32"/>
          <w:highlight w:val="none"/>
        </w:rPr>
        <w:fldChar w:fldCharType="end"/>
      </w:r>
    </w:p>
    <w:p w14:paraId="3A04C104">
      <w:pPr>
        <w:pStyle w:val="23"/>
        <w:keepNext w:val="0"/>
        <w:keepLines w:val="0"/>
        <w:pageBreakBefore w:val="0"/>
        <w:widowControl w:val="0"/>
        <w:tabs>
          <w:tab w:val="right" w:leader="dot" w:pos="8844"/>
        </w:tabs>
        <w:kinsoku/>
        <w:wordWrap/>
        <w:overflowPunct/>
        <w:topLinePunct w:val="0"/>
        <w:autoSpaceDE/>
        <w:autoSpaceDN/>
        <w:bidi w:val="0"/>
        <w:adjustRightInd/>
        <w:snapToGrid w:val="0"/>
        <w:spacing w:line="520" w:lineRule="exact"/>
        <w:textAlignment w:val="auto"/>
        <w:rPr>
          <w:rFonts w:hint="default" w:ascii="Times New Roman" w:hAnsi="Times New Roman" w:eastAsia="宋体" w:cs="Times New Roman"/>
          <w:color w:val="000000"/>
        </w:rPr>
      </w:pPr>
      <w:r>
        <w:rPr>
          <w:rFonts w:hint="default" w:ascii="Times New Roman" w:hAnsi="Times New Roman" w:eastAsia="宋体" w:cs="Times New Roman"/>
          <w:bCs/>
          <w:color w:val="000000"/>
          <w:szCs w:val="32"/>
          <w:highlight w:val="none"/>
        </w:rPr>
        <w:fldChar w:fldCharType="begin"/>
      </w:r>
      <w:r>
        <w:rPr>
          <w:rFonts w:hint="default" w:ascii="Times New Roman" w:hAnsi="Times New Roman" w:eastAsia="宋体" w:cs="Times New Roman"/>
          <w:bCs/>
          <w:color w:val="000000"/>
          <w:szCs w:val="32"/>
          <w:highlight w:val="none"/>
        </w:rPr>
        <w:instrText xml:space="preserve"> HYPERLINK \l _Toc23075 </w:instrText>
      </w:r>
      <w:r>
        <w:rPr>
          <w:rFonts w:hint="default" w:ascii="Times New Roman" w:hAnsi="Times New Roman" w:eastAsia="宋体" w:cs="Times New Roman"/>
          <w:bCs/>
          <w:color w:val="000000"/>
          <w:szCs w:val="32"/>
          <w:highlight w:val="none"/>
        </w:rPr>
        <w:fldChar w:fldCharType="separate"/>
      </w:r>
      <w:r>
        <w:rPr>
          <w:rFonts w:hint="default" w:ascii="Times New Roman" w:hAnsi="Times New Roman" w:eastAsia="宋体" w:cs="Times New Roman"/>
          <w:bCs w:val="0"/>
          <w:snapToGrid w:val="0"/>
          <w:color w:val="000000"/>
          <w:szCs w:val="30"/>
          <w:highlight w:val="none"/>
        </w:rPr>
        <w:t>二、建设内容</w:t>
      </w:r>
      <w:r>
        <w:rPr>
          <w:rFonts w:hint="default" w:ascii="Times New Roman" w:hAnsi="Times New Roman" w:eastAsia="宋体" w:cs="Times New Roman"/>
          <w:color w:val="000000"/>
        </w:rPr>
        <w:tab/>
      </w:r>
      <w:r>
        <w:rPr>
          <w:rFonts w:hint="default" w:ascii="Times New Roman" w:hAnsi="Times New Roman" w:eastAsia="宋体" w:cs="Times New Roman"/>
          <w:color w:val="000000"/>
        </w:rPr>
        <w:fldChar w:fldCharType="begin"/>
      </w:r>
      <w:r>
        <w:rPr>
          <w:rFonts w:hint="default" w:ascii="Times New Roman" w:hAnsi="Times New Roman" w:eastAsia="宋体" w:cs="Times New Roman"/>
          <w:color w:val="000000"/>
        </w:rPr>
        <w:instrText xml:space="preserve"> PAGEREF _Toc23075 \h </w:instrText>
      </w:r>
      <w:r>
        <w:rPr>
          <w:rFonts w:hint="default" w:ascii="Times New Roman" w:hAnsi="Times New Roman" w:eastAsia="宋体" w:cs="Times New Roman"/>
          <w:color w:val="000000"/>
        </w:rPr>
        <w:fldChar w:fldCharType="separate"/>
      </w:r>
      <w:r>
        <w:rPr>
          <w:rFonts w:hint="default" w:ascii="Times New Roman" w:hAnsi="Times New Roman" w:eastAsia="宋体" w:cs="Times New Roman"/>
          <w:color w:val="000000"/>
        </w:rPr>
        <w:t>18</w:t>
      </w:r>
      <w:r>
        <w:rPr>
          <w:rFonts w:hint="default" w:ascii="Times New Roman" w:hAnsi="Times New Roman" w:eastAsia="宋体" w:cs="Times New Roman"/>
          <w:color w:val="000000"/>
        </w:rPr>
        <w:fldChar w:fldCharType="end"/>
      </w:r>
      <w:r>
        <w:rPr>
          <w:rFonts w:hint="default" w:ascii="Times New Roman" w:hAnsi="Times New Roman" w:eastAsia="宋体" w:cs="Times New Roman"/>
          <w:bCs/>
          <w:color w:val="000000"/>
          <w:szCs w:val="32"/>
          <w:highlight w:val="none"/>
        </w:rPr>
        <w:fldChar w:fldCharType="end"/>
      </w:r>
    </w:p>
    <w:p w14:paraId="7C63877A">
      <w:pPr>
        <w:pStyle w:val="23"/>
        <w:keepNext w:val="0"/>
        <w:keepLines w:val="0"/>
        <w:pageBreakBefore w:val="0"/>
        <w:widowControl w:val="0"/>
        <w:tabs>
          <w:tab w:val="right" w:leader="dot" w:pos="8844"/>
        </w:tabs>
        <w:kinsoku/>
        <w:wordWrap/>
        <w:overflowPunct/>
        <w:topLinePunct w:val="0"/>
        <w:autoSpaceDE/>
        <w:autoSpaceDN/>
        <w:bidi w:val="0"/>
        <w:adjustRightInd/>
        <w:snapToGrid w:val="0"/>
        <w:spacing w:line="520" w:lineRule="exact"/>
        <w:textAlignment w:val="auto"/>
        <w:rPr>
          <w:rFonts w:hint="default" w:ascii="Times New Roman" w:hAnsi="Times New Roman" w:eastAsia="宋体" w:cs="Times New Roman"/>
          <w:color w:val="000000"/>
        </w:rPr>
      </w:pPr>
      <w:r>
        <w:rPr>
          <w:rFonts w:hint="default" w:ascii="Times New Roman" w:hAnsi="Times New Roman" w:eastAsia="宋体" w:cs="Times New Roman"/>
          <w:bCs/>
          <w:color w:val="000000"/>
          <w:szCs w:val="32"/>
          <w:highlight w:val="none"/>
        </w:rPr>
        <w:fldChar w:fldCharType="begin"/>
      </w:r>
      <w:r>
        <w:rPr>
          <w:rFonts w:hint="default" w:ascii="Times New Roman" w:hAnsi="Times New Roman" w:eastAsia="宋体" w:cs="Times New Roman"/>
          <w:bCs/>
          <w:color w:val="000000"/>
          <w:szCs w:val="32"/>
          <w:highlight w:val="none"/>
        </w:rPr>
        <w:instrText xml:space="preserve"> HYPERLINK \l _Toc879 </w:instrText>
      </w:r>
      <w:r>
        <w:rPr>
          <w:rFonts w:hint="default" w:ascii="Times New Roman" w:hAnsi="Times New Roman" w:eastAsia="宋体" w:cs="Times New Roman"/>
          <w:bCs/>
          <w:color w:val="000000"/>
          <w:szCs w:val="32"/>
          <w:highlight w:val="none"/>
        </w:rPr>
        <w:fldChar w:fldCharType="separate"/>
      </w:r>
      <w:r>
        <w:rPr>
          <w:rFonts w:hint="default" w:ascii="Times New Roman" w:hAnsi="Times New Roman" w:eastAsia="宋体" w:cs="Times New Roman"/>
          <w:snapToGrid w:val="0"/>
          <w:color w:val="000000"/>
          <w:szCs w:val="30"/>
          <w:highlight w:val="none"/>
        </w:rPr>
        <w:t>三、生态环境现状、保护目标及评价标准</w:t>
      </w:r>
      <w:r>
        <w:rPr>
          <w:rFonts w:hint="default" w:ascii="Times New Roman" w:hAnsi="Times New Roman" w:eastAsia="宋体" w:cs="Times New Roman"/>
          <w:color w:val="000000"/>
        </w:rPr>
        <w:tab/>
      </w:r>
      <w:r>
        <w:rPr>
          <w:rFonts w:hint="default" w:ascii="Times New Roman" w:hAnsi="Times New Roman" w:eastAsia="宋体" w:cs="Times New Roman"/>
          <w:color w:val="000000"/>
        </w:rPr>
        <w:fldChar w:fldCharType="begin"/>
      </w:r>
      <w:r>
        <w:rPr>
          <w:rFonts w:hint="default" w:ascii="Times New Roman" w:hAnsi="Times New Roman" w:eastAsia="宋体" w:cs="Times New Roman"/>
          <w:color w:val="000000"/>
        </w:rPr>
        <w:instrText xml:space="preserve"> PAGEREF _Toc879 \h </w:instrText>
      </w:r>
      <w:r>
        <w:rPr>
          <w:rFonts w:hint="default" w:ascii="Times New Roman" w:hAnsi="Times New Roman" w:eastAsia="宋体" w:cs="Times New Roman"/>
          <w:color w:val="000000"/>
        </w:rPr>
        <w:fldChar w:fldCharType="separate"/>
      </w:r>
      <w:r>
        <w:rPr>
          <w:rFonts w:hint="default" w:ascii="Times New Roman" w:hAnsi="Times New Roman" w:eastAsia="宋体" w:cs="Times New Roman"/>
          <w:color w:val="000000"/>
        </w:rPr>
        <w:t>29</w:t>
      </w:r>
      <w:r>
        <w:rPr>
          <w:rFonts w:hint="default" w:ascii="Times New Roman" w:hAnsi="Times New Roman" w:eastAsia="宋体" w:cs="Times New Roman"/>
          <w:color w:val="000000"/>
        </w:rPr>
        <w:fldChar w:fldCharType="end"/>
      </w:r>
      <w:r>
        <w:rPr>
          <w:rFonts w:hint="default" w:ascii="Times New Roman" w:hAnsi="Times New Roman" w:eastAsia="宋体" w:cs="Times New Roman"/>
          <w:bCs/>
          <w:color w:val="000000"/>
          <w:szCs w:val="32"/>
          <w:highlight w:val="none"/>
        </w:rPr>
        <w:fldChar w:fldCharType="end"/>
      </w:r>
    </w:p>
    <w:p w14:paraId="0FAB7EA5">
      <w:pPr>
        <w:pStyle w:val="23"/>
        <w:keepNext w:val="0"/>
        <w:keepLines w:val="0"/>
        <w:pageBreakBefore w:val="0"/>
        <w:widowControl w:val="0"/>
        <w:tabs>
          <w:tab w:val="right" w:leader="dot" w:pos="8844"/>
        </w:tabs>
        <w:kinsoku/>
        <w:wordWrap/>
        <w:overflowPunct/>
        <w:topLinePunct w:val="0"/>
        <w:autoSpaceDE/>
        <w:autoSpaceDN/>
        <w:bidi w:val="0"/>
        <w:adjustRightInd/>
        <w:snapToGrid w:val="0"/>
        <w:spacing w:line="520" w:lineRule="exact"/>
        <w:textAlignment w:val="auto"/>
        <w:rPr>
          <w:rFonts w:hint="default" w:ascii="Times New Roman" w:hAnsi="Times New Roman" w:eastAsia="宋体" w:cs="Times New Roman"/>
          <w:color w:val="000000"/>
        </w:rPr>
      </w:pPr>
      <w:r>
        <w:rPr>
          <w:rFonts w:hint="default" w:ascii="Times New Roman" w:hAnsi="Times New Roman" w:eastAsia="宋体" w:cs="Times New Roman"/>
          <w:bCs/>
          <w:color w:val="000000"/>
          <w:szCs w:val="32"/>
          <w:highlight w:val="none"/>
        </w:rPr>
        <w:fldChar w:fldCharType="begin"/>
      </w:r>
      <w:r>
        <w:rPr>
          <w:rFonts w:hint="default" w:ascii="Times New Roman" w:hAnsi="Times New Roman" w:eastAsia="宋体" w:cs="Times New Roman"/>
          <w:bCs/>
          <w:color w:val="000000"/>
          <w:szCs w:val="32"/>
          <w:highlight w:val="none"/>
        </w:rPr>
        <w:instrText xml:space="preserve"> HYPERLINK \l _Toc27458 </w:instrText>
      </w:r>
      <w:r>
        <w:rPr>
          <w:rFonts w:hint="default" w:ascii="Times New Roman" w:hAnsi="Times New Roman" w:eastAsia="宋体" w:cs="Times New Roman"/>
          <w:bCs/>
          <w:color w:val="000000"/>
          <w:szCs w:val="32"/>
          <w:highlight w:val="none"/>
        </w:rPr>
        <w:fldChar w:fldCharType="separate"/>
      </w:r>
      <w:r>
        <w:rPr>
          <w:rFonts w:hint="default" w:ascii="Times New Roman" w:hAnsi="Times New Roman" w:eastAsia="宋体" w:cs="Times New Roman"/>
          <w:snapToGrid w:val="0"/>
          <w:color w:val="000000"/>
          <w:spacing w:val="0"/>
          <w:kern w:val="0"/>
          <w:szCs w:val="30"/>
          <w:highlight w:val="none"/>
          <w:lang w:val="en-US" w:eastAsia="zh-CN" w:bidi="ar-SA"/>
        </w:rPr>
        <w:t>四、生态环境影响分析</w:t>
      </w:r>
      <w:r>
        <w:rPr>
          <w:rFonts w:hint="default" w:ascii="Times New Roman" w:hAnsi="Times New Roman" w:eastAsia="宋体" w:cs="Times New Roman"/>
          <w:color w:val="000000"/>
        </w:rPr>
        <w:tab/>
      </w:r>
      <w:r>
        <w:rPr>
          <w:rFonts w:hint="default" w:ascii="Times New Roman" w:hAnsi="Times New Roman" w:eastAsia="宋体" w:cs="Times New Roman"/>
          <w:color w:val="000000"/>
        </w:rPr>
        <w:fldChar w:fldCharType="begin"/>
      </w:r>
      <w:r>
        <w:rPr>
          <w:rFonts w:hint="default" w:ascii="Times New Roman" w:hAnsi="Times New Roman" w:eastAsia="宋体" w:cs="Times New Roman"/>
          <w:color w:val="000000"/>
        </w:rPr>
        <w:instrText xml:space="preserve"> PAGEREF _Toc27458 \h </w:instrText>
      </w:r>
      <w:r>
        <w:rPr>
          <w:rFonts w:hint="default" w:ascii="Times New Roman" w:hAnsi="Times New Roman" w:eastAsia="宋体" w:cs="Times New Roman"/>
          <w:color w:val="000000"/>
        </w:rPr>
        <w:fldChar w:fldCharType="separate"/>
      </w:r>
      <w:r>
        <w:rPr>
          <w:rFonts w:hint="default" w:ascii="Times New Roman" w:hAnsi="Times New Roman" w:eastAsia="宋体" w:cs="Times New Roman"/>
          <w:color w:val="000000"/>
        </w:rPr>
        <w:t>39</w:t>
      </w:r>
      <w:r>
        <w:rPr>
          <w:rFonts w:hint="default" w:ascii="Times New Roman" w:hAnsi="Times New Roman" w:eastAsia="宋体" w:cs="Times New Roman"/>
          <w:color w:val="000000"/>
        </w:rPr>
        <w:fldChar w:fldCharType="end"/>
      </w:r>
      <w:r>
        <w:rPr>
          <w:rFonts w:hint="default" w:ascii="Times New Roman" w:hAnsi="Times New Roman" w:eastAsia="宋体" w:cs="Times New Roman"/>
          <w:bCs/>
          <w:color w:val="000000"/>
          <w:szCs w:val="32"/>
          <w:highlight w:val="none"/>
        </w:rPr>
        <w:fldChar w:fldCharType="end"/>
      </w:r>
    </w:p>
    <w:p w14:paraId="2688DCD8">
      <w:pPr>
        <w:pStyle w:val="23"/>
        <w:keepNext w:val="0"/>
        <w:keepLines w:val="0"/>
        <w:pageBreakBefore w:val="0"/>
        <w:widowControl w:val="0"/>
        <w:tabs>
          <w:tab w:val="right" w:leader="dot" w:pos="8844"/>
        </w:tabs>
        <w:kinsoku/>
        <w:wordWrap/>
        <w:overflowPunct/>
        <w:topLinePunct w:val="0"/>
        <w:autoSpaceDE/>
        <w:autoSpaceDN/>
        <w:bidi w:val="0"/>
        <w:adjustRightInd/>
        <w:snapToGrid w:val="0"/>
        <w:spacing w:line="520" w:lineRule="exact"/>
        <w:textAlignment w:val="auto"/>
        <w:rPr>
          <w:rFonts w:hint="default" w:ascii="Times New Roman" w:hAnsi="Times New Roman" w:eastAsia="宋体" w:cs="Times New Roman"/>
          <w:color w:val="000000"/>
        </w:rPr>
      </w:pPr>
      <w:r>
        <w:rPr>
          <w:rFonts w:hint="default" w:ascii="Times New Roman" w:hAnsi="Times New Roman" w:eastAsia="宋体" w:cs="Times New Roman"/>
          <w:bCs/>
          <w:color w:val="000000"/>
          <w:szCs w:val="32"/>
          <w:highlight w:val="none"/>
        </w:rPr>
        <w:fldChar w:fldCharType="begin"/>
      </w:r>
      <w:r>
        <w:rPr>
          <w:rFonts w:hint="default" w:ascii="Times New Roman" w:hAnsi="Times New Roman" w:eastAsia="宋体" w:cs="Times New Roman"/>
          <w:bCs/>
          <w:color w:val="000000"/>
          <w:szCs w:val="32"/>
          <w:highlight w:val="none"/>
        </w:rPr>
        <w:instrText xml:space="preserve"> HYPERLINK \l _Toc664 </w:instrText>
      </w:r>
      <w:r>
        <w:rPr>
          <w:rFonts w:hint="default" w:ascii="Times New Roman" w:hAnsi="Times New Roman" w:eastAsia="宋体" w:cs="Times New Roman"/>
          <w:bCs/>
          <w:color w:val="000000"/>
          <w:szCs w:val="32"/>
          <w:highlight w:val="none"/>
        </w:rPr>
        <w:fldChar w:fldCharType="separate"/>
      </w:r>
      <w:r>
        <w:rPr>
          <w:rFonts w:hint="default" w:ascii="Times New Roman" w:hAnsi="Times New Roman" w:eastAsia="宋体" w:cs="Times New Roman"/>
          <w:snapToGrid w:val="0"/>
          <w:color w:val="000000"/>
          <w:szCs w:val="30"/>
          <w:highlight w:val="none"/>
        </w:rPr>
        <w:t>五、主要生态环境保护措施</w:t>
      </w:r>
      <w:r>
        <w:rPr>
          <w:rFonts w:hint="default" w:ascii="Times New Roman" w:hAnsi="Times New Roman" w:eastAsia="宋体" w:cs="Times New Roman"/>
          <w:color w:val="000000"/>
        </w:rPr>
        <w:tab/>
      </w:r>
      <w:r>
        <w:rPr>
          <w:rFonts w:hint="default" w:ascii="Times New Roman" w:hAnsi="Times New Roman" w:eastAsia="宋体" w:cs="Times New Roman"/>
          <w:color w:val="000000"/>
        </w:rPr>
        <w:fldChar w:fldCharType="begin"/>
      </w:r>
      <w:r>
        <w:rPr>
          <w:rFonts w:hint="default" w:ascii="Times New Roman" w:hAnsi="Times New Roman" w:eastAsia="宋体" w:cs="Times New Roman"/>
          <w:color w:val="000000"/>
        </w:rPr>
        <w:instrText xml:space="preserve"> PAGEREF _Toc664 \h </w:instrText>
      </w:r>
      <w:r>
        <w:rPr>
          <w:rFonts w:hint="default" w:ascii="Times New Roman" w:hAnsi="Times New Roman" w:eastAsia="宋体" w:cs="Times New Roman"/>
          <w:color w:val="000000"/>
        </w:rPr>
        <w:fldChar w:fldCharType="separate"/>
      </w:r>
      <w:r>
        <w:rPr>
          <w:rFonts w:hint="default" w:ascii="Times New Roman" w:hAnsi="Times New Roman" w:eastAsia="宋体" w:cs="Times New Roman"/>
          <w:color w:val="000000"/>
        </w:rPr>
        <w:t>64</w:t>
      </w:r>
      <w:r>
        <w:rPr>
          <w:rFonts w:hint="default" w:ascii="Times New Roman" w:hAnsi="Times New Roman" w:eastAsia="宋体" w:cs="Times New Roman"/>
          <w:color w:val="000000"/>
        </w:rPr>
        <w:fldChar w:fldCharType="end"/>
      </w:r>
      <w:r>
        <w:rPr>
          <w:rFonts w:hint="default" w:ascii="Times New Roman" w:hAnsi="Times New Roman" w:eastAsia="宋体" w:cs="Times New Roman"/>
          <w:bCs/>
          <w:color w:val="000000"/>
          <w:szCs w:val="32"/>
          <w:highlight w:val="none"/>
        </w:rPr>
        <w:fldChar w:fldCharType="end"/>
      </w:r>
    </w:p>
    <w:p w14:paraId="6645A51B">
      <w:pPr>
        <w:pStyle w:val="23"/>
        <w:keepNext w:val="0"/>
        <w:keepLines w:val="0"/>
        <w:pageBreakBefore w:val="0"/>
        <w:widowControl w:val="0"/>
        <w:tabs>
          <w:tab w:val="right" w:leader="dot" w:pos="8844"/>
        </w:tabs>
        <w:kinsoku/>
        <w:wordWrap/>
        <w:overflowPunct/>
        <w:topLinePunct w:val="0"/>
        <w:autoSpaceDE/>
        <w:autoSpaceDN/>
        <w:bidi w:val="0"/>
        <w:adjustRightInd/>
        <w:snapToGrid w:val="0"/>
        <w:spacing w:line="520" w:lineRule="exact"/>
        <w:textAlignment w:val="auto"/>
        <w:rPr>
          <w:rFonts w:hint="default" w:ascii="Times New Roman" w:hAnsi="Times New Roman" w:eastAsia="宋体" w:cs="Times New Roman"/>
          <w:color w:val="000000"/>
        </w:rPr>
      </w:pPr>
      <w:r>
        <w:rPr>
          <w:rFonts w:hint="default" w:ascii="Times New Roman" w:hAnsi="Times New Roman" w:eastAsia="宋体" w:cs="Times New Roman"/>
          <w:bCs/>
          <w:color w:val="000000"/>
          <w:szCs w:val="32"/>
          <w:highlight w:val="none"/>
        </w:rPr>
        <w:fldChar w:fldCharType="begin"/>
      </w:r>
      <w:r>
        <w:rPr>
          <w:rFonts w:hint="default" w:ascii="Times New Roman" w:hAnsi="Times New Roman" w:eastAsia="宋体" w:cs="Times New Roman"/>
          <w:bCs/>
          <w:color w:val="000000"/>
          <w:szCs w:val="32"/>
          <w:highlight w:val="none"/>
        </w:rPr>
        <w:instrText xml:space="preserve"> HYPERLINK \l _Toc8793 </w:instrText>
      </w:r>
      <w:r>
        <w:rPr>
          <w:rFonts w:hint="default" w:ascii="Times New Roman" w:hAnsi="Times New Roman" w:eastAsia="宋体" w:cs="Times New Roman"/>
          <w:bCs/>
          <w:color w:val="000000"/>
          <w:szCs w:val="32"/>
          <w:highlight w:val="none"/>
        </w:rPr>
        <w:fldChar w:fldCharType="separate"/>
      </w:r>
      <w:r>
        <w:rPr>
          <w:rFonts w:hint="default" w:ascii="Times New Roman" w:hAnsi="Times New Roman" w:eastAsia="宋体" w:cs="Times New Roman"/>
          <w:snapToGrid w:val="0"/>
          <w:color w:val="000000"/>
          <w:szCs w:val="30"/>
          <w:highlight w:val="none"/>
        </w:rPr>
        <w:t>六、生态环境保护措施监督检查清单</w:t>
      </w:r>
      <w:r>
        <w:rPr>
          <w:rFonts w:hint="default" w:ascii="Times New Roman" w:hAnsi="Times New Roman" w:eastAsia="宋体" w:cs="Times New Roman"/>
          <w:color w:val="000000"/>
        </w:rPr>
        <w:tab/>
      </w:r>
      <w:r>
        <w:rPr>
          <w:rFonts w:hint="default" w:ascii="Times New Roman" w:hAnsi="Times New Roman" w:eastAsia="宋体" w:cs="Times New Roman"/>
          <w:color w:val="000000"/>
        </w:rPr>
        <w:fldChar w:fldCharType="begin"/>
      </w:r>
      <w:r>
        <w:rPr>
          <w:rFonts w:hint="default" w:ascii="Times New Roman" w:hAnsi="Times New Roman" w:eastAsia="宋体" w:cs="Times New Roman"/>
          <w:color w:val="000000"/>
        </w:rPr>
        <w:instrText xml:space="preserve"> PAGEREF _Toc8793 \h </w:instrText>
      </w:r>
      <w:r>
        <w:rPr>
          <w:rFonts w:hint="default" w:ascii="Times New Roman" w:hAnsi="Times New Roman" w:eastAsia="宋体" w:cs="Times New Roman"/>
          <w:color w:val="000000"/>
        </w:rPr>
        <w:fldChar w:fldCharType="separate"/>
      </w:r>
      <w:r>
        <w:rPr>
          <w:rFonts w:hint="default" w:ascii="Times New Roman" w:hAnsi="Times New Roman" w:eastAsia="宋体" w:cs="Times New Roman"/>
          <w:color w:val="000000"/>
        </w:rPr>
        <w:t>83</w:t>
      </w:r>
      <w:r>
        <w:rPr>
          <w:rFonts w:hint="default" w:ascii="Times New Roman" w:hAnsi="Times New Roman" w:eastAsia="宋体" w:cs="Times New Roman"/>
          <w:color w:val="000000"/>
        </w:rPr>
        <w:fldChar w:fldCharType="end"/>
      </w:r>
      <w:r>
        <w:rPr>
          <w:rFonts w:hint="default" w:ascii="Times New Roman" w:hAnsi="Times New Roman" w:eastAsia="宋体" w:cs="Times New Roman"/>
          <w:bCs/>
          <w:color w:val="000000"/>
          <w:szCs w:val="32"/>
          <w:highlight w:val="none"/>
        </w:rPr>
        <w:fldChar w:fldCharType="end"/>
      </w:r>
    </w:p>
    <w:p w14:paraId="69B45187">
      <w:pPr>
        <w:pStyle w:val="23"/>
        <w:keepNext w:val="0"/>
        <w:keepLines w:val="0"/>
        <w:pageBreakBefore w:val="0"/>
        <w:widowControl w:val="0"/>
        <w:tabs>
          <w:tab w:val="right" w:leader="dot" w:pos="8844"/>
        </w:tabs>
        <w:kinsoku/>
        <w:wordWrap/>
        <w:overflowPunct/>
        <w:topLinePunct w:val="0"/>
        <w:autoSpaceDE/>
        <w:autoSpaceDN/>
        <w:bidi w:val="0"/>
        <w:adjustRightInd/>
        <w:snapToGrid w:val="0"/>
        <w:spacing w:line="520" w:lineRule="exact"/>
        <w:textAlignment w:val="auto"/>
        <w:rPr>
          <w:rFonts w:hint="default" w:ascii="Times New Roman" w:hAnsi="Times New Roman" w:eastAsia="宋体" w:cs="Times New Roman"/>
          <w:color w:val="000000"/>
        </w:rPr>
      </w:pPr>
      <w:r>
        <w:rPr>
          <w:rFonts w:hint="default" w:ascii="Times New Roman" w:hAnsi="Times New Roman" w:eastAsia="宋体" w:cs="Times New Roman"/>
          <w:bCs/>
          <w:color w:val="000000"/>
          <w:szCs w:val="32"/>
          <w:highlight w:val="none"/>
        </w:rPr>
        <w:fldChar w:fldCharType="begin"/>
      </w:r>
      <w:r>
        <w:rPr>
          <w:rFonts w:hint="default" w:ascii="Times New Roman" w:hAnsi="Times New Roman" w:eastAsia="宋体" w:cs="Times New Roman"/>
          <w:bCs/>
          <w:color w:val="000000"/>
          <w:szCs w:val="32"/>
          <w:highlight w:val="none"/>
        </w:rPr>
        <w:instrText xml:space="preserve"> HYPERLINK \l _Toc19417 </w:instrText>
      </w:r>
      <w:r>
        <w:rPr>
          <w:rFonts w:hint="default" w:ascii="Times New Roman" w:hAnsi="Times New Roman" w:eastAsia="宋体" w:cs="Times New Roman"/>
          <w:bCs/>
          <w:color w:val="000000"/>
          <w:szCs w:val="32"/>
          <w:highlight w:val="none"/>
        </w:rPr>
        <w:fldChar w:fldCharType="separate"/>
      </w:r>
      <w:r>
        <w:rPr>
          <w:rFonts w:hint="default" w:ascii="Times New Roman" w:hAnsi="Times New Roman" w:eastAsia="宋体" w:cs="Times New Roman"/>
          <w:snapToGrid w:val="0"/>
          <w:color w:val="000000"/>
          <w:szCs w:val="30"/>
          <w:highlight w:val="none"/>
        </w:rPr>
        <w:t>七、结论</w:t>
      </w:r>
      <w:r>
        <w:rPr>
          <w:rFonts w:hint="default" w:ascii="Times New Roman" w:hAnsi="Times New Roman" w:eastAsia="宋体" w:cs="Times New Roman"/>
          <w:color w:val="000000"/>
        </w:rPr>
        <w:tab/>
      </w:r>
      <w:r>
        <w:rPr>
          <w:rFonts w:hint="default" w:ascii="Times New Roman" w:hAnsi="Times New Roman" w:eastAsia="宋体" w:cs="Times New Roman"/>
          <w:color w:val="000000"/>
        </w:rPr>
        <w:fldChar w:fldCharType="begin"/>
      </w:r>
      <w:r>
        <w:rPr>
          <w:rFonts w:hint="default" w:ascii="Times New Roman" w:hAnsi="Times New Roman" w:eastAsia="宋体" w:cs="Times New Roman"/>
          <w:color w:val="000000"/>
        </w:rPr>
        <w:instrText xml:space="preserve"> PAGEREF _Toc19417 \h </w:instrText>
      </w:r>
      <w:r>
        <w:rPr>
          <w:rFonts w:hint="default" w:ascii="Times New Roman" w:hAnsi="Times New Roman" w:eastAsia="宋体" w:cs="Times New Roman"/>
          <w:color w:val="000000"/>
        </w:rPr>
        <w:fldChar w:fldCharType="separate"/>
      </w:r>
      <w:r>
        <w:rPr>
          <w:rFonts w:hint="default" w:ascii="Times New Roman" w:hAnsi="Times New Roman" w:eastAsia="宋体" w:cs="Times New Roman"/>
          <w:color w:val="000000"/>
        </w:rPr>
        <w:t>85</w:t>
      </w:r>
      <w:r>
        <w:rPr>
          <w:rFonts w:hint="default" w:ascii="Times New Roman" w:hAnsi="Times New Roman" w:eastAsia="宋体" w:cs="Times New Roman"/>
          <w:color w:val="000000"/>
        </w:rPr>
        <w:fldChar w:fldCharType="end"/>
      </w:r>
      <w:r>
        <w:rPr>
          <w:rFonts w:hint="default" w:ascii="Times New Roman" w:hAnsi="Times New Roman" w:eastAsia="宋体" w:cs="Times New Roman"/>
          <w:bCs/>
          <w:color w:val="000000"/>
          <w:szCs w:val="32"/>
          <w:highlight w:val="none"/>
        </w:rPr>
        <w:fldChar w:fldCharType="end"/>
      </w:r>
    </w:p>
    <w:p w14:paraId="372F989E">
      <w:pPr>
        <w:keepNext w:val="0"/>
        <w:keepLines w:val="0"/>
        <w:pageBreakBefore w:val="0"/>
        <w:widowControl w:val="0"/>
        <w:kinsoku/>
        <w:wordWrap/>
        <w:overflowPunct/>
        <w:topLinePunct w:val="0"/>
        <w:autoSpaceDE/>
        <w:autoSpaceDN/>
        <w:bidi w:val="0"/>
        <w:adjustRightInd/>
        <w:snapToGrid w:val="0"/>
        <w:spacing w:line="520" w:lineRule="exact"/>
        <w:ind w:firstLine="0" w:firstLineChars="0"/>
        <w:jc w:val="center"/>
        <w:textAlignment w:val="auto"/>
        <w:rPr>
          <w:rFonts w:hint="default" w:ascii="Times New Roman" w:hAnsi="Times New Roman" w:eastAsia="宋体" w:cs="Times New Roman"/>
          <w:bCs/>
          <w:color w:val="000000"/>
          <w:szCs w:val="32"/>
          <w:highlight w:val="none"/>
        </w:rPr>
      </w:pPr>
      <w:r>
        <w:rPr>
          <w:rFonts w:hint="default" w:ascii="Times New Roman" w:hAnsi="Times New Roman" w:eastAsia="宋体" w:cs="Times New Roman"/>
          <w:bCs/>
          <w:color w:val="000000"/>
          <w:szCs w:val="32"/>
          <w:highlight w:val="none"/>
        </w:rPr>
        <w:fldChar w:fldCharType="end"/>
      </w:r>
    </w:p>
    <w:p w14:paraId="7A1B56D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附件1：委托书</w:t>
      </w:r>
    </w:p>
    <w:p w14:paraId="5919B29F">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附件2：备案证</w:t>
      </w:r>
    </w:p>
    <w:p w14:paraId="59DA02A9">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附件3：国土资源部办公厅关于同意《新疆天山天池国家地质公园规划（2012-2020）》的函</w:t>
      </w:r>
    </w:p>
    <w:p w14:paraId="4C416437">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附件</w:t>
      </w:r>
      <w:r>
        <w:rPr>
          <w:rFonts w:hint="eastAsia" w:cs="Times New Roman"/>
          <w:color w:val="000000"/>
          <w:lang w:val="en-US" w:eastAsia="zh-CN"/>
        </w:rPr>
        <w:t>4</w:t>
      </w:r>
      <w:r>
        <w:rPr>
          <w:rFonts w:hint="eastAsia" w:ascii="Times New Roman" w:hAnsi="Times New Roman" w:eastAsia="宋体" w:cs="Times New Roman"/>
          <w:color w:val="000000"/>
          <w:lang w:val="en-US" w:eastAsia="zh-CN"/>
        </w:rPr>
        <w:t>：草原补偿安置协议书</w:t>
      </w:r>
    </w:p>
    <w:p w14:paraId="0CDD1C10">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附件</w:t>
      </w:r>
      <w:r>
        <w:rPr>
          <w:rFonts w:hint="eastAsia" w:cs="Times New Roman"/>
          <w:color w:val="000000"/>
          <w:lang w:val="en-US" w:eastAsia="zh-CN"/>
        </w:rPr>
        <w:t>5</w:t>
      </w:r>
      <w:r>
        <w:rPr>
          <w:rFonts w:hint="eastAsia" w:ascii="Times New Roman" w:hAnsi="Times New Roman" w:eastAsia="宋体" w:cs="Times New Roman"/>
          <w:color w:val="000000"/>
          <w:lang w:val="en-US" w:eastAsia="zh-CN"/>
        </w:rPr>
        <w:t>：林地补偿协议</w:t>
      </w:r>
    </w:p>
    <w:p w14:paraId="66FBD05E">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附件</w:t>
      </w:r>
      <w:r>
        <w:rPr>
          <w:rFonts w:hint="eastAsia" w:cs="Times New Roman"/>
          <w:color w:val="000000"/>
          <w:lang w:val="en-US" w:eastAsia="zh-CN"/>
        </w:rPr>
        <w:t>6</w:t>
      </w:r>
      <w:r>
        <w:rPr>
          <w:rFonts w:hint="eastAsia" w:ascii="Times New Roman" w:hAnsi="Times New Roman" w:eastAsia="宋体" w:cs="Times New Roman"/>
          <w:color w:val="000000"/>
          <w:lang w:val="en-US" w:eastAsia="zh-CN"/>
        </w:rPr>
        <w:t>：花儿沟村村民院落及宅基地租赁合同</w:t>
      </w:r>
    </w:p>
    <w:p w14:paraId="512ECF0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附件</w:t>
      </w:r>
      <w:r>
        <w:rPr>
          <w:rFonts w:hint="eastAsia" w:cs="Times New Roman"/>
          <w:color w:val="000000"/>
          <w:lang w:val="en-US" w:eastAsia="zh-CN"/>
        </w:rPr>
        <w:t>7</w:t>
      </w:r>
      <w:r>
        <w:rPr>
          <w:rFonts w:hint="eastAsia" w:ascii="Times New Roman" w:hAnsi="Times New Roman" w:eastAsia="宋体" w:cs="Times New Roman"/>
          <w:color w:val="000000"/>
          <w:lang w:val="en-US" w:eastAsia="zh-CN"/>
        </w:rPr>
        <w:t>：噪声监测报告</w:t>
      </w:r>
    </w:p>
    <w:p w14:paraId="00BA62C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cs="Times New Roman"/>
          <w:color w:val="000000"/>
          <w:lang w:val="en-US" w:eastAsia="zh-CN"/>
        </w:rPr>
      </w:pPr>
      <w:r>
        <w:rPr>
          <w:rFonts w:hint="eastAsia" w:cs="Times New Roman"/>
          <w:color w:val="000000"/>
          <w:lang w:val="en-US" w:eastAsia="zh-CN"/>
        </w:rPr>
        <w:t>附件8：新疆天池管理委员会《关于确认阜康市花儿沟村整村运营示范项目用地的复函》</w:t>
      </w:r>
    </w:p>
    <w:p w14:paraId="24AEA8E7">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cs="Times New Roman"/>
          <w:color w:val="000000"/>
          <w:lang w:val="en-US" w:eastAsia="zh-CN"/>
        </w:rPr>
        <w:t>附件9：</w:t>
      </w:r>
      <w:r>
        <w:rPr>
          <w:rFonts w:hint="default" w:ascii="Times New Roman" w:hAnsi="Times New Roman" w:eastAsia="宋体" w:cs="Times New Roman"/>
          <w:color w:val="000000"/>
          <w:kern w:val="0"/>
          <w:sz w:val="24"/>
          <w:szCs w:val="24"/>
          <w:lang w:val="en-US" w:eastAsia="zh-CN" w:bidi="ar"/>
        </w:rPr>
        <w:t>阜康市三工河哈萨克族乡人民政府关于征求《阜康市花儿沟村整村运营示范项目意见的函》的复函</w:t>
      </w:r>
    </w:p>
    <w:p w14:paraId="3ECB3489">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color w:val="000000"/>
          <w:kern w:val="0"/>
          <w:sz w:val="24"/>
          <w:szCs w:val="24"/>
          <w:lang w:val="en-US" w:eastAsia="zh-CN" w:bidi="ar"/>
        </w:rPr>
        <w:t>附件10：阜康市文化体育广播电视和旅游局关于征求《阜康市花儿沟村整村运营示范项目意见的函》的复函</w:t>
      </w:r>
    </w:p>
    <w:p w14:paraId="71F0D24B">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color w:val="000000"/>
          <w:kern w:val="0"/>
          <w:sz w:val="24"/>
          <w:szCs w:val="24"/>
          <w:lang w:val="en-US" w:eastAsia="zh-CN" w:bidi="ar"/>
        </w:rPr>
        <w:t>附件11：阜康市林业和草原局关于征求阜康市花儿沟村整村运营示范项目意见的复函</w:t>
      </w:r>
    </w:p>
    <w:p w14:paraId="466AF8A9">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附件12：新疆维吾尔自治区林业和草原局使用林地审核同意书</w:t>
      </w:r>
    </w:p>
    <w:p w14:paraId="2357ABFD">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附件13：新疆维</w:t>
      </w:r>
      <w:r>
        <w:rPr>
          <w:rFonts w:hint="eastAsia" w:ascii="宋体" w:hAnsi="宋体" w:eastAsia="宋体" w:cs="宋体"/>
          <w:color w:val="000000"/>
          <w:kern w:val="0"/>
          <w:sz w:val="24"/>
          <w:szCs w:val="24"/>
          <w:lang w:val="en-US" w:eastAsia="zh-CN" w:bidi="ar"/>
        </w:rPr>
        <w:t>吾尔自治区林业和草原局征收使用草原审核同意书</w:t>
      </w:r>
    </w:p>
    <w:p w14:paraId="25DCC4A9">
      <w:pPr>
        <w:keepNext w:val="0"/>
        <w:keepLines w:val="0"/>
        <w:widowControl/>
        <w:suppressLineNumbers w:val="0"/>
        <w:jc w:val="left"/>
        <w:rPr>
          <w:rFonts w:hint="default" w:ascii="宋体" w:hAnsi="宋体" w:eastAsia="宋体" w:cs="宋体"/>
          <w:color w:val="000000"/>
          <w:kern w:val="0"/>
          <w:sz w:val="24"/>
          <w:szCs w:val="24"/>
          <w:lang w:val="en-US" w:eastAsia="zh-CN" w:bidi="ar"/>
        </w:rPr>
        <w:sectPr>
          <w:headerReference r:id="rId5" w:type="default"/>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2206D3BE">
      <w:pPr>
        <w:spacing w:line="240" w:lineRule="auto"/>
        <w:ind w:firstLine="0" w:firstLineChars="0"/>
        <w:jc w:val="center"/>
        <w:rPr>
          <w:rFonts w:hint="default" w:ascii="Times New Roman" w:hAnsi="Times New Roman" w:eastAsia="宋体" w:cs="Times New Roman"/>
          <w:color w:val="000000"/>
          <w:highlight w:val="none"/>
          <w:lang w:val="en-US" w:eastAsia="zh-CN"/>
        </w:rPr>
      </w:pPr>
    </w:p>
    <w:p w14:paraId="4758C82B">
      <w:pPr>
        <w:rPr>
          <w:rFonts w:hint="default" w:ascii="Times New Roman" w:hAnsi="Times New Roman" w:eastAsia="宋体" w:cs="Times New Roman"/>
          <w:color w:val="000000"/>
          <w:lang w:val="en-US" w:eastAsia="zh-CN"/>
        </w:rPr>
        <w:sectPr>
          <w:headerReference r:id="rId7" w:type="default"/>
          <w:footerReference r:id="rId8"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5CD8A93A">
      <w:pPr>
        <w:pStyle w:val="28"/>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outlineLvl w:val="0"/>
        <w:rPr>
          <w:rFonts w:hint="default" w:ascii="Times New Roman" w:hAnsi="Times New Roman" w:eastAsia="宋体" w:cs="Times New Roman"/>
          <w:b w:val="0"/>
          <w:bCs w:val="0"/>
          <w:snapToGrid w:val="0"/>
          <w:color w:val="000000"/>
          <w:sz w:val="30"/>
          <w:szCs w:val="30"/>
          <w:highlight w:val="none"/>
        </w:rPr>
      </w:pPr>
      <w:bookmarkStart w:id="0" w:name="_Toc4802"/>
      <w:bookmarkStart w:id="1" w:name="_Toc19062"/>
      <w:bookmarkStart w:id="2" w:name="_Toc21361"/>
      <w:bookmarkStart w:id="3" w:name="_Toc3525"/>
      <w:r>
        <w:rPr>
          <w:rFonts w:hint="default" w:ascii="Times New Roman" w:hAnsi="Times New Roman" w:eastAsia="宋体" w:cs="Times New Roman"/>
          <w:b w:val="0"/>
          <w:bCs w:val="0"/>
          <w:snapToGrid w:val="0"/>
          <w:color w:val="000000"/>
          <w:sz w:val="30"/>
          <w:szCs w:val="30"/>
          <w:highlight w:val="none"/>
        </w:rPr>
        <w:t>一、建设项目基本情况</w:t>
      </w:r>
      <w:bookmarkEnd w:id="0"/>
      <w:bookmarkEnd w:id="1"/>
      <w:bookmarkEnd w:id="2"/>
      <w:bookmarkEnd w:id="3"/>
    </w:p>
    <w:tbl>
      <w:tblPr>
        <w:tblStyle w:val="32"/>
        <w:tblW w:w="4999"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613"/>
        <w:gridCol w:w="2394"/>
        <w:gridCol w:w="1440"/>
        <w:gridCol w:w="2877"/>
      </w:tblGrid>
      <w:tr w14:paraId="15A556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089" w:type="pct"/>
            <w:noWrap w:val="0"/>
            <w:tcMar>
              <w:top w:w="16" w:type="dxa"/>
              <w:left w:w="16" w:type="dxa"/>
              <w:right w:w="16" w:type="dxa"/>
            </w:tcMar>
            <w:vAlign w:val="center"/>
          </w:tcPr>
          <w:p w14:paraId="2DC2A85D">
            <w:pPr>
              <w:adjustRightInd w:val="0"/>
              <w:snapToGrid w:val="0"/>
              <w:spacing w:line="240" w:lineRule="auto"/>
              <w:ind w:firstLine="0" w:firstLineChars="0"/>
              <w:jc w:val="center"/>
              <w:rPr>
                <w:rFonts w:hint="default" w:ascii="Times New Roman" w:hAnsi="Times New Roman" w:eastAsia="宋体" w:cs="Times New Roman"/>
                <w:snapToGrid w:val="0"/>
                <w:color w:val="000000"/>
                <w:kern w:val="0"/>
                <w:highlight w:val="none"/>
              </w:rPr>
            </w:pPr>
            <w:r>
              <w:rPr>
                <w:rFonts w:hint="default" w:ascii="Times New Roman" w:hAnsi="Times New Roman" w:eastAsia="宋体" w:cs="Times New Roman"/>
                <w:snapToGrid w:val="0"/>
                <w:color w:val="000000"/>
                <w:kern w:val="0"/>
                <w:highlight w:val="none"/>
              </w:rPr>
              <w:t>建设项目名称</w:t>
            </w:r>
          </w:p>
        </w:tc>
        <w:tc>
          <w:tcPr>
            <w:tcW w:w="3910" w:type="pct"/>
            <w:gridSpan w:val="3"/>
            <w:noWrap w:val="0"/>
            <w:vAlign w:val="center"/>
          </w:tcPr>
          <w:p w14:paraId="5DD6DC98">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lang w:val="en-US"/>
              </w:rPr>
            </w:pPr>
            <w:r>
              <w:rPr>
                <w:rFonts w:hint="eastAsia" w:cs="Times New Roman"/>
                <w:color w:val="000000"/>
                <w:szCs w:val="21"/>
                <w:highlight w:val="none"/>
                <w:lang w:val="en-US" w:eastAsia="zh-CN"/>
              </w:rPr>
              <w:t>新疆天山天池文化旅游投资有限公司实施阜康市花儿沟村整村运营示范项目</w:t>
            </w:r>
          </w:p>
        </w:tc>
      </w:tr>
      <w:tr w14:paraId="1D2442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6" w:hRule="atLeast"/>
        </w:trPr>
        <w:tc>
          <w:tcPr>
            <w:tcW w:w="1089" w:type="pct"/>
            <w:noWrap w:val="0"/>
            <w:tcMar>
              <w:top w:w="16" w:type="dxa"/>
              <w:left w:w="16" w:type="dxa"/>
              <w:right w:w="16" w:type="dxa"/>
            </w:tcMar>
            <w:vAlign w:val="center"/>
          </w:tcPr>
          <w:p w14:paraId="776407A2">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项目代码</w:t>
            </w:r>
          </w:p>
        </w:tc>
        <w:tc>
          <w:tcPr>
            <w:tcW w:w="3910" w:type="pct"/>
            <w:gridSpan w:val="3"/>
            <w:noWrap w:val="0"/>
            <w:vAlign w:val="center"/>
          </w:tcPr>
          <w:p w14:paraId="2AE1C34F">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lang w:val="en-US"/>
              </w:rPr>
            </w:pPr>
            <w:r>
              <w:rPr>
                <w:rFonts w:hint="default" w:ascii="Times New Roman" w:hAnsi="Times New Roman" w:eastAsia="宋体" w:cs="Times New Roman"/>
                <w:color w:val="000000"/>
                <w:szCs w:val="21"/>
                <w:highlight w:val="none"/>
                <w:lang w:val="en-US" w:eastAsia="zh-CN"/>
              </w:rPr>
              <w:t>2606-652302-04-03-402533</w:t>
            </w:r>
          </w:p>
        </w:tc>
      </w:tr>
      <w:tr w14:paraId="7EF89D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089" w:type="pct"/>
            <w:noWrap w:val="0"/>
            <w:tcMar>
              <w:top w:w="16" w:type="dxa"/>
              <w:left w:w="16" w:type="dxa"/>
              <w:right w:w="16" w:type="dxa"/>
            </w:tcMar>
            <w:vAlign w:val="center"/>
          </w:tcPr>
          <w:p w14:paraId="33DD7F8E">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建设单位联系人</w:t>
            </w:r>
          </w:p>
        </w:tc>
        <w:tc>
          <w:tcPr>
            <w:tcW w:w="1395" w:type="pct"/>
            <w:noWrap w:val="0"/>
            <w:vAlign w:val="center"/>
          </w:tcPr>
          <w:p w14:paraId="76635851">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狄慧媛</w:t>
            </w:r>
          </w:p>
        </w:tc>
        <w:tc>
          <w:tcPr>
            <w:tcW w:w="839" w:type="pct"/>
            <w:noWrap w:val="0"/>
            <w:vAlign w:val="center"/>
          </w:tcPr>
          <w:p w14:paraId="17E14D72">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联系方式</w:t>
            </w:r>
          </w:p>
        </w:tc>
        <w:tc>
          <w:tcPr>
            <w:tcW w:w="1675" w:type="pct"/>
            <w:noWrap w:val="0"/>
            <w:vAlign w:val="center"/>
          </w:tcPr>
          <w:p w14:paraId="04BDF097">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15001691123</w:t>
            </w:r>
          </w:p>
        </w:tc>
      </w:tr>
      <w:tr w14:paraId="4162FF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089" w:type="pct"/>
            <w:noWrap w:val="0"/>
            <w:tcMar>
              <w:top w:w="16" w:type="dxa"/>
              <w:left w:w="16" w:type="dxa"/>
              <w:right w:w="16" w:type="dxa"/>
            </w:tcMar>
            <w:vAlign w:val="center"/>
          </w:tcPr>
          <w:p w14:paraId="2A5C0448">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建设地点</w:t>
            </w:r>
          </w:p>
        </w:tc>
        <w:tc>
          <w:tcPr>
            <w:tcW w:w="3910" w:type="pct"/>
            <w:gridSpan w:val="3"/>
            <w:noWrap w:val="0"/>
            <w:vAlign w:val="center"/>
          </w:tcPr>
          <w:p w14:paraId="58ED3373">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新疆维吾尔自治区昌吉回族自治州阜康市三工河哈萨克乡花儿沟村</w:t>
            </w:r>
          </w:p>
        </w:tc>
      </w:tr>
      <w:tr w14:paraId="74FB55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089" w:type="pct"/>
            <w:noWrap w:val="0"/>
            <w:tcMar>
              <w:top w:w="16" w:type="dxa"/>
              <w:left w:w="16" w:type="dxa"/>
              <w:right w:w="16" w:type="dxa"/>
            </w:tcMar>
            <w:vAlign w:val="center"/>
          </w:tcPr>
          <w:p w14:paraId="5595958E">
            <w:pPr>
              <w:adjustRightInd w:val="0"/>
              <w:snapToGrid w:val="0"/>
              <w:spacing w:line="240" w:lineRule="auto"/>
              <w:ind w:firstLine="0" w:firstLineChars="0"/>
              <w:jc w:val="center"/>
              <w:rPr>
                <w:rFonts w:hint="default" w:ascii="Times New Roman" w:hAnsi="Times New Roman" w:eastAsia="宋体" w:cs="Times New Roman"/>
                <w:snapToGrid w:val="0"/>
                <w:color w:val="000000"/>
                <w:kern w:val="0"/>
                <w:highlight w:val="none"/>
              </w:rPr>
            </w:pPr>
            <w:r>
              <w:rPr>
                <w:rFonts w:hint="default" w:ascii="Times New Roman" w:hAnsi="Times New Roman" w:eastAsia="宋体" w:cs="Times New Roman"/>
                <w:snapToGrid w:val="0"/>
                <w:color w:val="000000"/>
                <w:kern w:val="0"/>
                <w:highlight w:val="none"/>
              </w:rPr>
              <w:t>地理坐标</w:t>
            </w:r>
          </w:p>
        </w:tc>
        <w:tc>
          <w:tcPr>
            <w:tcW w:w="3910" w:type="pct"/>
            <w:gridSpan w:val="3"/>
            <w:noWrap w:val="0"/>
            <w:vAlign w:val="center"/>
          </w:tcPr>
          <w:p w14:paraId="26DCEA28">
            <w:pPr>
              <w:adjustRightInd w:val="0"/>
              <w:snapToGrid w:val="0"/>
              <w:spacing w:line="240" w:lineRule="auto"/>
              <w:ind w:firstLine="0" w:firstLineChars="0"/>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东经88°2′14.874″，北纬44°1′31.787″</w:t>
            </w:r>
          </w:p>
        </w:tc>
      </w:tr>
      <w:tr w14:paraId="6794FF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6" w:hRule="atLeast"/>
        </w:trPr>
        <w:tc>
          <w:tcPr>
            <w:tcW w:w="1089" w:type="pct"/>
            <w:noWrap w:val="0"/>
            <w:tcMar>
              <w:top w:w="16" w:type="dxa"/>
              <w:left w:w="16" w:type="dxa"/>
              <w:right w:w="16" w:type="dxa"/>
            </w:tcMar>
            <w:vAlign w:val="center"/>
          </w:tcPr>
          <w:p w14:paraId="6369CE7F">
            <w:pPr>
              <w:adjustRightInd w:val="0"/>
              <w:snapToGrid w:val="0"/>
              <w:spacing w:line="240" w:lineRule="auto"/>
              <w:ind w:firstLine="0" w:firstLineChars="0"/>
              <w:jc w:val="center"/>
              <w:rPr>
                <w:rFonts w:hint="default" w:ascii="Times New Roman" w:hAnsi="Times New Roman" w:eastAsia="宋体" w:cs="Times New Roman"/>
                <w:snapToGrid w:val="0"/>
                <w:color w:val="000000"/>
                <w:kern w:val="0"/>
                <w:highlight w:val="none"/>
              </w:rPr>
            </w:pPr>
            <w:r>
              <w:rPr>
                <w:rFonts w:hint="default" w:ascii="Times New Roman" w:hAnsi="Times New Roman" w:eastAsia="宋体" w:cs="Times New Roman"/>
                <w:snapToGrid w:val="0"/>
                <w:color w:val="000000"/>
                <w:kern w:val="0"/>
                <w:highlight w:val="none"/>
              </w:rPr>
              <w:t>建设项目</w:t>
            </w:r>
          </w:p>
          <w:p w14:paraId="09BDEED4">
            <w:pPr>
              <w:adjustRightInd w:val="0"/>
              <w:snapToGrid w:val="0"/>
              <w:spacing w:line="240" w:lineRule="auto"/>
              <w:ind w:firstLine="0" w:firstLineChars="0"/>
              <w:jc w:val="center"/>
              <w:rPr>
                <w:rFonts w:hint="default" w:ascii="Times New Roman" w:hAnsi="Times New Roman" w:eastAsia="宋体" w:cs="Times New Roman"/>
                <w:snapToGrid w:val="0"/>
                <w:color w:val="000000"/>
                <w:kern w:val="0"/>
                <w:highlight w:val="none"/>
              </w:rPr>
            </w:pPr>
            <w:r>
              <w:rPr>
                <w:rFonts w:hint="default" w:ascii="Times New Roman" w:hAnsi="Times New Roman" w:eastAsia="宋体" w:cs="Times New Roman"/>
                <w:snapToGrid w:val="0"/>
                <w:color w:val="000000"/>
                <w:kern w:val="0"/>
                <w:highlight w:val="none"/>
              </w:rPr>
              <w:t>行业类别</w:t>
            </w:r>
          </w:p>
        </w:tc>
        <w:tc>
          <w:tcPr>
            <w:tcW w:w="1395" w:type="pct"/>
            <w:noWrap w:val="0"/>
            <w:vAlign w:val="center"/>
          </w:tcPr>
          <w:p w14:paraId="3B6AE9C2">
            <w:pPr>
              <w:adjustRightInd w:val="0"/>
              <w:snapToGrid w:val="0"/>
              <w:spacing w:line="240" w:lineRule="auto"/>
              <w:ind w:firstLine="0" w:firstLineChars="0"/>
              <w:jc w:val="center"/>
              <w:rPr>
                <w:rFonts w:hint="default" w:ascii="Times New Roman" w:hAnsi="Times New Roman" w:eastAsia="宋体" w:cs="Times New Roman"/>
                <w:snapToGrid w:val="0"/>
                <w:color w:val="000000"/>
                <w:kern w:val="0"/>
                <w:highlight w:val="none"/>
                <w:lang w:val="en-US"/>
              </w:rPr>
            </w:pPr>
            <w:r>
              <w:rPr>
                <w:rFonts w:hint="default" w:ascii="Times New Roman" w:hAnsi="Times New Roman" w:eastAsia="宋体" w:cs="Times New Roman"/>
                <w:snapToGrid w:val="0"/>
                <w:color w:val="000000"/>
                <w:kern w:val="0"/>
                <w:highlight w:val="none"/>
                <w:lang w:val="en-US" w:eastAsia="zh-CN"/>
              </w:rPr>
              <w:t>四十四、房地产业97.房地产开发、商业综合体、宾馆、酒店、办公用房、标准厂房等</w:t>
            </w:r>
          </w:p>
        </w:tc>
        <w:tc>
          <w:tcPr>
            <w:tcW w:w="839" w:type="pct"/>
            <w:noWrap w:val="0"/>
            <w:vAlign w:val="center"/>
          </w:tcPr>
          <w:p w14:paraId="46982B08">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用地（用海）面积（</w:t>
            </w:r>
            <w:r>
              <w:rPr>
                <w:rFonts w:hint="default" w:ascii="Times New Roman" w:hAnsi="Times New Roman" w:eastAsia="宋体" w:cs="Times New Roman"/>
                <w:color w:val="000000"/>
                <w:szCs w:val="21"/>
                <w:highlight w:val="none"/>
                <w:lang w:eastAsia="zh-CN"/>
              </w:rPr>
              <w:t>m</w:t>
            </w:r>
            <w:r>
              <w:rPr>
                <w:rFonts w:hint="default" w:ascii="Times New Roman" w:hAnsi="Times New Roman" w:eastAsia="宋体" w:cs="Times New Roman"/>
                <w:color w:val="000000"/>
                <w:szCs w:val="21"/>
                <w:highlight w:val="none"/>
                <w:vertAlign w:val="superscript"/>
                <w:lang w:eastAsia="zh-CN"/>
              </w:rPr>
              <w:t>2</w:t>
            </w:r>
            <w:r>
              <w:rPr>
                <w:rFonts w:hint="default" w:ascii="Times New Roman" w:hAnsi="Times New Roman" w:eastAsia="宋体" w:cs="Times New Roman"/>
                <w:color w:val="000000"/>
                <w:szCs w:val="21"/>
                <w:highlight w:val="none"/>
              </w:rPr>
              <w:t>）/长度（km）</w:t>
            </w:r>
          </w:p>
        </w:tc>
        <w:tc>
          <w:tcPr>
            <w:tcW w:w="1675" w:type="pct"/>
            <w:noWrap w:val="0"/>
            <w:vAlign w:val="center"/>
          </w:tcPr>
          <w:p w14:paraId="0DDAC814">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vertAlign w:val="superscript"/>
                <w:lang w:val="en-US" w:eastAsia="zh-CN"/>
              </w:rPr>
            </w:pPr>
            <w:r>
              <w:rPr>
                <w:rFonts w:hint="eastAsia" w:ascii="Times New Roman" w:hAnsi="Times New Roman" w:eastAsia="宋体" w:cs="Times New Roman"/>
                <w:color w:val="000000"/>
                <w:szCs w:val="21"/>
                <w:highlight w:val="none"/>
                <w:lang w:val="en-US" w:eastAsia="zh-CN"/>
              </w:rPr>
              <w:t>24858</w:t>
            </w:r>
            <w:r>
              <w:rPr>
                <w:rFonts w:hint="default" w:ascii="Times New Roman" w:hAnsi="Times New Roman" w:eastAsia="宋体" w:cs="Times New Roman"/>
                <w:color w:val="000000"/>
                <w:szCs w:val="21"/>
                <w:highlight w:val="none"/>
                <w:lang w:val="en-US" w:eastAsia="zh-CN"/>
              </w:rPr>
              <w:t>m</w:t>
            </w:r>
            <w:r>
              <w:rPr>
                <w:rFonts w:hint="default" w:ascii="Times New Roman" w:hAnsi="Times New Roman" w:eastAsia="宋体" w:cs="Times New Roman"/>
                <w:color w:val="000000"/>
                <w:szCs w:val="21"/>
                <w:highlight w:val="none"/>
                <w:vertAlign w:val="superscript"/>
                <w:lang w:val="en-US" w:eastAsia="zh-CN"/>
              </w:rPr>
              <w:t>2</w:t>
            </w:r>
          </w:p>
        </w:tc>
      </w:tr>
      <w:tr w14:paraId="70F558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089" w:type="pct"/>
            <w:noWrap w:val="0"/>
            <w:tcMar>
              <w:top w:w="16" w:type="dxa"/>
              <w:left w:w="16" w:type="dxa"/>
              <w:right w:w="16" w:type="dxa"/>
            </w:tcMar>
            <w:vAlign w:val="center"/>
          </w:tcPr>
          <w:p w14:paraId="4361554D">
            <w:pPr>
              <w:adjustRightInd w:val="0"/>
              <w:snapToGrid w:val="0"/>
              <w:spacing w:line="240" w:lineRule="auto"/>
              <w:ind w:firstLine="0" w:firstLineChars="0"/>
              <w:jc w:val="center"/>
              <w:rPr>
                <w:rFonts w:hint="default" w:ascii="Times New Roman" w:hAnsi="Times New Roman" w:eastAsia="宋体" w:cs="Times New Roman"/>
                <w:snapToGrid w:val="0"/>
                <w:color w:val="000000"/>
                <w:kern w:val="0"/>
                <w:highlight w:val="none"/>
              </w:rPr>
            </w:pPr>
            <w:r>
              <w:rPr>
                <w:rFonts w:hint="default" w:ascii="Times New Roman" w:hAnsi="Times New Roman" w:eastAsia="宋体" w:cs="Times New Roman"/>
                <w:snapToGrid w:val="0"/>
                <w:color w:val="000000"/>
                <w:kern w:val="0"/>
                <w:highlight w:val="none"/>
              </w:rPr>
              <w:t>建设性质</w:t>
            </w:r>
          </w:p>
        </w:tc>
        <w:tc>
          <w:tcPr>
            <w:tcW w:w="1395" w:type="pct"/>
            <w:noWrap w:val="0"/>
            <w:vAlign w:val="center"/>
          </w:tcPr>
          <w:p w14:paraId="1203C7EF">
            <w:pPr>
              <w:adjustRightInd w:val="0"/>
              <w:snapToGrid w:val="0"/>
              <w:spacing w:line="240" w:lineRule="auto"/>
              <w:ind w:firstLine="0" w:firstLineChars="0"/>
              <w:jc w:val="both"/>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highlight w:val="none"/>
              </w:rPr>
              <w:sym w:font="Wingdings 2" w:char="0052"/>
            </w:r>
            <w:r>
              <w:rPr>
                <w:rFonts w:hint="default" w:ascii="Times New Roman" w:hAnsi="Times New Roman" w:eastAsia="宋体" w:cs="Times New Roman"/>
                <w:color w:val="000000"/>
                <w:szCs w:val="21"/>
                <w:highlight w:val="none"/>
              </w:rPr>
              <w:t>新建（迁建）</w:t>
            </w:r>
          </w:p>
          <w:p w14:paraId="5EC85A42">
            <w:pPr>
              <w:adjustRightInd w:val="0"/>
              <w:snapToGrid w:val="0"/>
              <w:spacing w:line="240" w:lineRule="auto"/>
              <w:ind w:left="0" w:leftChars="0" w:firstLine="0" w:firstLineChars="0"/>
              <w:rPr>
                <w:rFonts w:hint="default" w:ascii="Times New Roman" w:hAnsi="Times New Roman" w:eastAsia="宋体" w:cs="Times New Roman"/>
                <w:color w:val="000000"/>
                <w:szCs w:val="21"/>
                <w:highlight w:val="none"/>
                <w:lang w:eastAsia="zh-CN"/>
              </w:rPr>
            </w:pPr>
            <w:r>
              <w:rPr>
                <w:rFonts w:hint="default" w:ascii="Times New Roman" w:hAnsi="Times New Roman" w:eastAsia="宋体" w:cs="Times New Roman"/>
                <w:color w:val="000000"/>
                <w:szCs w:val="21"/>
                <w:highlight w:val="none"/>
              </w:rPr>
              <w:t>□改建</w:t>
            </w:r>
          </w:p>
          <w:p w14:paraId="62E2BD2E">
            <w:pPr>
              <w:adjustRightInd w:val="0"/>
              <w:snapToGrid w:val="0"/>
              <w:spacing w:line="240" w:lineRule="auto"/>
              <w:ind w:left="0" w:leftChars="0" w:firstLine="0" w:firstLineChars="0"/>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□扩建</w:t>
            </w:r>
          </w:p>
          <w:p w14:paraId="216D76F5">
            <w:pPr>
              <w:adjustRightInd w:val="0"/>
              <w:snapToGrid w:val="0"/>
              <w:spacing w:line="240" w:lineRule="auto"/>
              <w:ind w:left="0" w:leftChars="0" w:firstLine="0" w:firstLineChars="0"/>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□技术改造</w:t>
            </w:r>
          </w:p>
        </w:tc>
        <w:tc>
          <w:tcPr>
            <w:tcW w:w="839" w:type="pct"/>
            <w:noWrap w:val="0"/>
            <w:vAlign w:val="center"/>
          </w:tcPr>
          <w:p w14:paraId="08659FEC">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建设项目</w:t>
            </w:r>
          </w:p>
          <w:p w14:paraId="53BCE541">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申报情形</w:t>
            </w:r>
          </w:p>
        </w:tc>
        <w:tc>
          <w:tcPr>
            <w:tcW w:w="1675" w:type="pct"/>
            <w:noWrap w:val="0"/>
            <w:vAlign w:val="center"/>
          </w:tcPr>
          <w:p w14:paraId="137EB9B5">
            <w:pPr>
              <w:adjustRightInd w:val="0"/>
              <w:snapToGrid w:val="0"/>
              <w:spacing w:line="240" w:lineRule="auto"/>
              <w:ind w:firstLine="0" w:firstLineChars="0"/>
              <w:jc w:val="left"/>
              <w:rPr>
                <w:rFonts w:hint="default" w:ascii="Times New Roman" w:hAnsi="Times New Roman" w:eastAsia="宋体" w:cs="Times New Roman"/>
                <w:snapToGrid w:val="0"/>
                <w:color w:val="000000"/>
                <w:kern w:val="0"/>
                <w:highlight w:val="none"/>
              </w:rPr>
            </w:pPr>
            <w:r>
              <w:rPr>
                <w:rFonts w:hint="default" w:ascii="Times New Roman" w:hAnsi="Times New Roman" w:eastAsia="宋体" w:cs="Times New Roman"/>
                <w:snapToGrid w:val="0"/>
                <w:color w:val="000000"/>
                <w:kern w:val="0"/>
                <w:highlight w:val="none"/>
              </w:rPr>
              <w:sym w:font="Wingdings 2" w:char="0052"/>
            </w:r>
            <w:r>
              <w:rPr>
                <w:rFonts w:hint="default" w:ascii="Times New Roman" w:hAnsi="Times New Roman" w:eastAsia="宋体" w:cs="Times New Roman"/>
                <w:snapToGrid w:val="0"/>
                <w:color w:val="000000"/>
                <w:kern w:val="0"/>
                <w:highlight w:val="none"/>
              </w:rPr>
              <w:t>首次申报项目</w:t>
            </w:r>
          </w:p>
          <w:p w14:paraId="6A5BBD47">
            <w:pPr>
              <w:adjustRightInd w:val="0"/>
              <w:snapToGrid w:val="0"/>
              <w:spacing w:line="240" w:lineRule="auto"/>
              <w:ind w:firstLine="0" w:firstLineChars="0"/>
              <w:jc w:val="left"/>
              <w:rPr>
                <w:rFonts w:hint="default" w:ascii="Times New Roman" w:hAnsi="Times New Roman" w:eastAsia="宋体" w:cs="Times New Roman"/>
                <w:snapToGrid w:val="0"/>
                <w:color w:val="000000"/>
                <w:kern w:val="0"/>
                <w:highlight w:val="none"/>
              </w:rPr>
            </w:pPr>
            <w:r>
              <w:rPr>
                <w:rFonts w:hint="default" w:ascii="Times New Roman" w:hAnsi="Times New Roman" w:eastAsia="宋体" w:cs="Times New Roman"/>
                <w:snapToGrid w:val="0"/>
                <w:color w:val="000000"/>
                <w:kern w:val="0"/>
                <w:highlight w:val="none"/>
              </w:rPr>
              <w:t>□不予批准后再次申报项目</w:t>
            </w:r>
          </w:p>
          <w:p w14:paraId="2E42BCF4">
            <w:pPr>
              <w:adjustRightInd w:val="0"/>
              <w:snapToGrid w:val="0"/>
              <w:spacing w:line="240" w:lineRule="auto"/>
              <w:ind w:firstLine="0" w:firstLineChars="0"/>
              <w:jc w:val="left"/>
              <w:rPr>
                <w:rFonts w:hint="default" w:ascii="Times New Roman" w:hAnsi="Times New Roman" w:eastAsia="宋体" w:cs="Times New Roman"/>
                <w:snapToGrid w:val="0"/>
                <w:color w:val="000000"/>
                <w:kern w:val="0"/>
                <w:highlight w:val="none"/>
              </w:rPr>
            </w:pPr>
            <w:r>
              <w:rPr>
                <w:rFonts w:hint="default" w:ascii="Times New Roman" w:hAnsi="Times New Roman" w:eastAsia="宋体" w:cs="Times New Roman"/>
                <w:snapToGrid w:val="0"/>
                <w:color w:val="000000"/>
                <w:kern w:val="0"/>
                <w:highlight w:val="none"/>
              </w:rPr>
              <w:t>□超五年重新审核项目</w:t>
            </w:r>
          </w:p>
          <w:p w14:paraId="4F8402CF">
            <w:pPr>
              <w:adjustRightInd w:val="0"/>
              <w:snapToGrid w:val="0"/>
              <w:spacing w:line="240" w:lineRule="auto"/>
              <w:ind w:firstLine="0" w:firstLineChars="0"/>
              <w:jc w:val="left"/>
              <w:rPr>
                <w:rFonts w:hint="default" w:ascii="Times New Roman" w:hAnsi="Times New Roman" w:eastAsia="宋体" w:cs="Times New Roman"/>
                <w:color w:val="000000"/>
                <w:szCs w:val="21"/>
                <w:highlight w:val="none"/>
              </w:rPr>
            </w:pPr>
            <w:r>
              <w:rPr>
                <w:rFonts w:hint="default" w:ascii="Times New Roman" w:hAnsi="Times New Roman" w:eastAsia="宋体" w:cs="Times New Roman"/>
                <w:snapToGrid w:val="0"/>
                <w:color w:val="000000"/>
                <w:kern w:val="0"/>
                <w:highlight w:val="none"/>
              </w:rPr>
              <w:t>□重大变动重新报批项目</w:t>
            </w:r>
          </w:p>
        </w:tc>
      </w:tr>
      <w:tr w14:paraId="298B03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1089" w:type="pct"/>
            <w:noWrap w:val="0"/>
            <w:tcMar>
              <w:top w:w="16" w:type="dxa"/>
              <w:left w:w="16" w:type="dxa"/>
              <w:right w:w="16" w:type="dxa"/>
            </w:tcMar>
            <w:vAlign w:val="center"/>
          </w:tcPr>
          <w:p w14:paraId="4ACB5848">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项目审批（核准/</w:t>
            </w:r>
          </w:p>
          <w:p w14:paraId="3850DA77">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备案）部门（选填）</w:t>
            </w:r>
          </w:p>
        </w:tc>
        <w:tc>
          <w:tcPr>
            <w:tcW w:w="1395" w:type="pct"/>
            <w:noWrap w:val="0"/>
            <w:vAlign w:val="center"/>
          </w:tcPr>
          <w:p w14:paraId="2C6A9A56">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阜康市发展和改革委员会</w:t>
            </w:r>
          </w:p>
        </w:tc>
        <w:tc>
          <w:tcPr>
            <w:tcW w:w="839" w:type="pct"/>
            <w:noWrap w:val="0"/>
            <w:vAlign w:val="center"/>
          </w:tcPr>
          <w:p w14:paraId="61CAD860">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项目审批（核准/备案）文号（选填）</w:t>
            </w:r>
          </w:p>
        </w:tc>
        <w:tc>
          <w:tcPr>
            <w:tcW w:w="1675" w:type="pct"/>
            <w:noWrap w:val="0"/>
            <w:vAlign w:val="center"/>
          </w:tcPr>
          <w:p w14:paraId="24425BFA">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lang w:eastAsia="zh-CN"/>
              </w:rPr>
            </w:pPr>
            <w:r>
              <w:rPr>
                <w:rFonts w:hint="default" w:ascii="Times New Roman" w:hAnsi="Times New Roman" w:eastAsia="宋体" w:cs="Times New Roman"/>
                <w:color w:val="000000"/>
                <w:szCs w:val="21"/>
                <w:highlight w:val="none"/>
                <w:lang w:eastAsia="zh-CN"/>
              </w:rPr>
              <w:t>2606101944652302000159</w:t>
            </w:r>
          </w:p>
        </w:tc>
      </w:tr>
      <w:tr w14:paraId="22641D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1089" w:type="pct"/>
            <w:noWrap w:val="0"/>
            <w:tcMar>
              <w:top w:w="16" w:type="dxa"/>
              <w:left w:w="16" w:type="dxa"/>
              <w:right w:w="16" w:type="dxa"/>
            </w:tcMar>
            <w:vAlign w:val="center"/>
          </w:tcPr>
          <w:p w14:paraId="69F52B2A">
            <w:pPr>
              <w:adjustRightInd w:val="0"/>
              <w:snapToGrid w:val="0"/>
              <w:ind w:firstLine="0" w:firstLineChars="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总投资（万元）</w:t>
            </w:r>
          </w:p>
        </w:tc>
        <w:tc>
          <w:tcPr>
            <w:tcW w:w="1395" w:type="pct"/>
            <w:noWrap w:val="0"/>
            <w:vAlign w:val="center"/>
          </w:tcPr>
          <w:p w14:paraId="1BEE9D7C">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lang w:eastAsia="zh-CN"/>
              </w:rPr>
            </w:pPr>
            <w:r>
              <w:rPr>
                <w:rFonts w:hint="eastAsia" w:ascii="Times New Roman" w:hAnsi="Times New Roman" w:eastAsia="宋体" w:cs="Times New Roman"/>
                <w:color w:val="000000"/>
                <w:szCs w:val="21"/>
                <w:highlight w:val="none"/>
                <w:lang w:val="en-US" w:eastAsia="zh-CN"/>
              </w:rPr>
              <w:t>5</w:t>
            </w:r>
            <w:r>
              <w:rPr>
                <w:rFonts w:hint="default" w:ascii="Times New Roman" w:hAnsi="Times New Roman" w:eastAsia="宋体" w:cs="Times New Roman"/>
                <w:color w:val="000000"/>
                <w:szCs w:val="21"/>
                <w:highlight w:val="none"/>
                <w:lang w:eastAsia="zh-CN"/>
              </w:rPr>
              <w:t>000</w:t>
            </w:r>
          </w:p>
        </w:tc>
        <w:tc>
          <w:tcPr>
            <w:tcW w:w="839" w:type="pct"/>
            <w:noWrap w:val="0"/>
            <w:tcMar>
              <w:top w:w="16" w:type="dxa"/>
              <w:left w:w="16" w:type="dxa"/>
              <w:right w:w="16" w:type="dxa"/>
            </w:tcMar>
            <w:vAlign w:val="center"/>
          </w:tcPr>
          <w:p w14:paraId="7B8110FF">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环保投资（万元）</w:t>
            </w:r>
          </w:p>
        </w:tc>
        <w:tc>
          <w:tcPr>
            <w:tcW w:w="1675" w:type="pct"/>
            <w:noWrap w:val="0"/>
            <w:vAlign w:val="center"/>
          </w:tcPr>
          <w:p w14:paraId="7EFF958F">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157</w:t>
            </w:r>
          </w:p>
        </w:tc>
      </w:tr>
      <w:tr w14:paraId="2F66C4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1089" w:type="pct"/>
            <w:noWrap w:val="0"/>
            <w:tcMar>
              <w:top w:w="16" w:type="dxa"/>
              <w:left w:w="16" w:type="dxa"/>
              <w:right w:w="16" w:type="dxa"/>
            </w:tcMar>
            <w:vAlign w:val="center"/>
          </w:tcPr>
          <w:p w14:paraId="63085BE1">
            <w:pPr>
              <w:adjustRightInd w:val="0"/>
              <w:snapToGrid w:val="0"/>
              <w:ind w:firstLine="0" w:firstLineChars="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环保投资占比（%）</w:t>
            </w:r>
          </w:p>
        </w:tc>
        <w:tc>
          <w:tcPr>
            <w:tcW w:w="1395" w:type="pct"/>
            <w:noWrap w:val="0"/>
            <w:vAlign w:val="center"/>
          </w:tcPr>
          <w:p w14:paraId="1B630699">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3.14</w:t>
            </w:r>
          </w:p>
        </w:tc>
        <w:tc>
          <w:tcPr>
            <w:tcW w:w="839" w:type="pct"/>
            <w:noWrap w:val="0"/>
            <w:tcMar>
              <w:top w:w="16" w:type="dxa"/>
              <w:left w:w="16" w:type="dxa"/>
              <w:right w:w="16" w:type="dxa"/>
            </w:tcMar>
            <w:vAlign w:val="center"/>
          </w:tcPr>
          <w:p w14:paraId="7F16D1DB">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施工工期</w:t>
            </w:r>
          </w:p>
        </w:tc>
        <w:tc>
          <w:tcPr>
            <w:tcW w:w="1675" w:type="pct"/>
            <w:noWrap w:val="0"/>
            <w:vAlign w:val="center"/>
          </w:tcPr>
          <w:p w14:paraId="585CCC6A">
            <w:pPr>
              <w:adjustRightInd w:val="0"/>
              <w:snapToGrid w:val="0"/>
              <w:spacing w:line="240" w:lineRule="auto"/>
              <w:ind w:firstLine="0" w:firstLineChars="0"/>
              <w:jc w:val="center"/>
              <w:rPr>
                <w:rFonts w:hint="default" w:ascii="Times New Roman" w:hAnsi="Times New Roman" w:eastAsia="宋体" w:cs="Times New Roman"/>
                <w:color w:val="000000"/>
                <w:szCs w:val="21"/>
                <w:highlight w:val="none"/>
                <w:lang w:eastAsia="zh-CN"/>
              </w:rPr>
            </w:pPr>
            <w:r>
              <w:rPr>
                <w:rFonts w:hint="eastAsia" w:ascii="Times New Roman" w:hAnsi="Times New Roman" w:eastAsia="宋体" w:cs="Times New Roman"/>
                <w:color w:val="000000"/>
                <w:szCs w:val="21"/>
                <w:highlight w:val="none"/>
                <w:lang w:val="en-US" w:eastAsia="zh-CN"/>
              </w:rPr>
              <w:t>12</w:t>
            </w:r>
            <w:r>
              <w:rPr>
                <w:rFonts w:hint="default" w:ascii="Times New Roman" w:hAnsi="Times New Roman" w:eastAsia="宋体" w:cs="Times New Roman"/>
                <w:color w:val="000000"/>
                <w:szCs w:val="21"/>
                <w:highlight w:val="none"/>
                <w:lang w:eastAsia="zh-CN"/>
              </w:rPr>
              <w:t>个月</w:t>
            </w:r>
          </w:p>
        </w:tc>
      </w:tr>
      <w:tr w14:paraId="299D26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64" w:hRule="atLeast"/>
        </w:trPr>
        <w:tc>
          <w:tcPr>
            <w:tcW w:w="1089" w:type="pct"/>
            <w:noWrap w:val="0"/>
            <w:tcMar>
              <w:top w:w="16" w:type="dxa"/>
              <w:left w:w="16" w:type="dxa"/>
              <w:right w:w="16" w:type="dxa"/>
            </w:tcMar>
            <w:vAlign w:val="center"/>
          </w:tcPr>
          <w:p w14:paraId="2D79CC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是否开工建设</w:t>
            </w:r>
          </w:p>
        </w:tc>
        <w:tc>
          <w:tcPr>
            <w:tcW w:w="3910" w:type="pct"/>
            <w:gridSpan w:val="3"/>
            <w:noWrap w:val="0"/>
            <w:vAlign w:val="center"/>
          </w:tcPr>
          <w:p w14:paraId="7966023C">
            <w:pPr>
              <w:adjustRightInd w:val="0"/>
              <w:snapToGrid w:val="0"/>
              <w:spacing w:line="240" w:lineRule="auto"/>
              <w:ind w:firstLine="480"/>
              <w:jc w:val="both"/>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highlight w:val="none"/>
              </w:rPr>
              <w:sym w:font="Wingdings 2" w:char="0052"/>
            </w:r>
            <w:r>
              <w:rPr>
                <w:rFonts w:hint="default" w:ascii="Times New Roman" w:hAnsi="Times New Roman" w:eastAsia="宋体" w:cs="Times New Roman"/>
                <w:color w:val="000000"/>
                <w:szCs w:val="21"/>
                <w:highlight w:val="none"/>
              </w:rPr>
              <w:t>否</w:t>
            </w:r>
          </w:p>
          <w:p w14:paraId="1CF3DDE4">
            <w:pPr>
              <w:adjustRightInd w:val="0"/>
              <w:snapToGrid w:val="0"/>
              <w:spacing w:line="240" w:lineRule="auto"/>
              <w:ind w:firstLine="480"/>
              <w:jc w:val="both"/>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eastAsia="zh-CN"/>
              </w:rPr>
              <w:t>□</w:t>
            </w:r>
            <w:r>
              <w:rPr>
                <w:rFonts w:hint="default" w:ascii="Times New Roman" w:hAnsi="Times New Roman" w:eastAsia="宋体" w:cs="Times New Roman"/>
                <w:color w:val="000000"/>
                <w:szCs w:val="21"/>
                <w:highlight w:val="none"/>
              </w:rPr>
              <w:t>是：</w:t>
            </w:r>
          </w:p>
        </w:tc>
      </w:tr>
      <w:tr w14:paraId="6A2C49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98" w:hRule="atLeast"/>
        </w:trPr>
        <w:tc>
          <w:tcPr>
            <w:tcW w:w="1089" w:type="pct"/>
            <w:noWrap w:val="0"/>
            <w:tcMar>
              <w:top w:w="16" w:type="dxa"/>
              <w:left w:w="16" w:type="dxa"/>
              <w:right w:w="16" w:type="dxa"/>
            </w:tcMar>
            <w:vAlign w:val="center"/>
          </w:tcPr>
          <w:p w14:paraId="2930EDF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Cs w:val="21"/>
                <w:highlight w:val="none"/>
              </w:rPr>
            </w:pPr>
            <w:r>
              <w:rPr>
                <w:rFonts w:hint="default" w:ascii="Times New Roman" w:hAnsi="Times New Roman" w:eastAsia="宋体" w:cs="Times New Roman"/>
                <w:color w:val="000000"/>
                <w:kern w:val="0"/>
                <w:szCs w:val="21"/>
                <w:highlight w:val="none"/>
              </w:rPr>
              <w:t>专项评价设置情况</w:t>
            </w:r>
          </w:p>
        </w:tc>
        <w:tc>
          <w:tcPr>
            <w:tcW w:w="3910" w:type="pct"/>
            <w:gridSpan w:val="3"/>
            <w:noWrap w:val="0"/>
            <w:tcMar>
              <w:top w:w="16" w:type="dxa"/>
              <w:left w:w="16" w:type="dxa"/>
              <w:right w:w="16" w:type="dxa"/>
            </w:tcMar>
            <w:vAlign w:val="center"/>
          </w:tcPr>
          <w:p w14:paraId="6EF2C6FE">
            <w:pPr>
              <w:pStyle w:val="97"/>
              <w:ind w:firstLine="480"/>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根据《建设项目环境影响报告表编制技术指南</w:t>
            </w:r>
            <w:r>
              <w:rPr>
                <w:rFonts w:hint="eastAsia" w:eastAsia="宋体" w:cs="Times New Roman"/>
                <w:color w:val="000000"/>
                <w:lang w:val="en-US" w:eastAsia="zh-CN"/>
              </w:rPr>
              <w:t>－</w:t>
            </w:r>
            <w:r>
              <w:rPr>
                <w:rFonts w:hint="default" w:ascii="Times New Roman" w:hAnsi="Times New Roman" w:eastAsia="宋体" w:cs="Times New Roman"/>
                <w:color w:val="000000"/>
                <w:lang w:val="en-US" w:eastAsia="zh-CN"/>
              </w:rPr>
              <w:t>（生态影响类）（试行）》，专项评价设置原则如表1-1。本项目设置</w:t>
            </w:r>
            <w:r>
              <w:rPr>
                <w:rFonts w:hint="eastAsia" w:eastAsia="宋体" w:cs="Times New Roman"/>
                <w:color w:val="000000"/>
                <w:lang w:val="en-US" w:eastAsia="zh-CN"/>
              </w:rPr>
              <w:t>生态</w:t>
            </w:r>
            <w:r>
              <w:rPr>
                <w:rFonts w:hint="default" w:ascii="Times New Roman" w:hAnsi="Times New Roman" w:eastAsia="宋体" w:cs="Times New Roman"/>
                <w:color w:val="000000"/>
                <w:lang w:val="en-US" w:eastAsia="zh-CN"/>
              </w:rPr>
              <w:t>环境专项评价。</w:t>
            </w:r>
          </w:p>
          <w:p w14:paraId="39BEE395">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color w:val="000000"/>
                <w:kern w:val="0"/>
                <w:sz w:val="21"/>
                <w:szCs w:val="21"/>
              </w:rPr>
            </w:pPr>
            <w:r>
              <w:rPr>
                <w:rFonts w:hint="default" w:ascii="Times New Roman" w:hAnsi="Times New Roman" w:eastAsia="宋体" w:cs="Times New Roman"/>
                <w:b/>
                <w:bCs/>
                <w:color w:val="000000"/>
                <w:kern w:val="0"/>
                <w:sz w:val="21"/>
                <w:szCs w:val="21"/>
              </w:rPr>
              <w:t xml:space="preserve">表1-1 </w:t>
            </w:r>
            <w:r>
              <w:rPr>
                <w:rFonts w:hint="default" w:ascii="Times New Roman" w:hAnsi="Times New Roman" w:eastAsia="宋体" w:cs="Times New Roman"/>
                <w:b/>
                <w:bCs/>
                <w:color w:val="000000"/>
                <w:kern w:val="0"/>
                <w:sz w:val="21"/>
                <w:szCs w:val="21"/>
                <w:lang w:val="en-US" w:eastAsia="zh-CN"/>
              </w:rPr>
              <w:t xml:space="preserve">  </w:t>
            </w:r>
            <w:r>
              <w:rPr>
                <w:rFonts w:hint="default" w:ascii="Times New Roman" w:hAnsi="Times New Roman" w:eastAsia="宋体" w:cs="Times New Roman"/>
                <w:b/>
                <w:bCs/>
                <w:color w:val="000000"/>
                <w:kern w:val="0"/>
                <w:sz w:val="21"/>
                <w:szCs w:val="21"/>
              </w:rPr>
              <w:t xml:space="preserve"> 专项评价设置原则表</w:t>
            </w:r>
          </w:p>
          <w:tbl>
            <w:tblPr>
              <w:tblStyle w:val="32"/>
              <w:tblW w:w="66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80"/>
              <w:gridCol w:w="3534"/>
              <w:gridCol w:w="1403"/>
              <w:gridCol w:w="662"/>
            </w:tblGrid>
            <w:tr w14:paraId="438C5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single" w:color="000000" w:sz="12" w:space="0"/>
                    <w:left w:val="nil"/>
                    <w:bottom w:val="single" w:color="auto" w:sz="2" w:space="0"/>
                    <w:right w:val="single" w:color="auto" w:sz="2" w:space="0"/>
                    <w:tl2br w:val="nil"/>
                  </w:tcBorders>
                  <w:shd w:val="clear" w:color="auto" w:fill="FFFFFF"/>
                  <w:noWrap w:val="0"/>
                  <w:vAlign w:val="center"/>
                </w:tcPr>
                <w:p w14:paraId="6C5AC5C8">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bookmarkStart w:id="4" w:name="_Toc19467"/>
                  <w:bookmarkStart w:id="5" w:name="_Toc30145"/>
                  <w:bookmarkStart w:id="6" w:name="_Toc30588"/>
                  <w:bookmarkStart w:id="7" w:name="_Toc32759"/>
                  <w:r>
                    <w:rPr>
                      <w:rFonts w:hint="default" w:ascii="Times New Roman" w:hAnsi="Times New Roman" w:eastAsia="宋体" w:cs="Times New Roman"/>
                      <w:b w:val="0"/>
                      <w:color w:val="000000"/>
                      <w:sz w:val="21"/>
                      <w:szCs w:val="21"/>
                      <w:lang w:val="en-US" w:eastAsia="zh-CN"/>
                    </w:rPr>
                    <w:t>专项评价的类别</w:t>
                  </w:r>
                </w:p>
              </w:tc>
              <w:tc>
                <w:tcPr>
                  <w:tcW w:w="3534" w:type="dxa"/>
                  <w:tcBorders>
                    <w:top w:val="single" w:color="000000" w:sz="12" w:space="0"/>
                    <w:left w:val="single" w:color="auto" w:sz="2" w:space="0"/>
                    <w:bottom w:val="single" w:color="auto" w:sz="2" w:space="0"/>
                    <w:right w:val="single" w:color="auto" w:sz="2" w:space="0"/>
                  </w:tcBorders>
                  <w:shd w:val="clear" w:color="auto" w:fill="FFFFFF"/>
                  <w:noWrap w:val="0"/>
                  <w:vAlign w:val="center"/>
                </w:tcPr>
                <w:p w14:paraId="687F5868">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涉及项目类别</w:t>
                  </w:r>
                </w:p>
              </w:tc>
              <w:tc>
                <w:tcPr>
                  <w:tcW w:w="1403" w:type="dxa"/>
                  <w:tcBorders>
                    <w:top w:val="single" w:color="000000" w:sz="12" w:space="0"/>
                    <w:left w:val="single" w:color="auto" w:sz="2" w:space="0"/>
                    <w:bottom w:val="single" w:color="auto" w:sz="2" w:space="0"/>
                    <w:right w:val="single" w:color="auto" w:sz="2" w:space="0"/>
                  </w:tcBorders>
                  <w:shd w:val="clear" w:color="auto" w:fill="FFFFFF"/>
                  <w:noWrap w:val="0"/>
                  <w:vAlign w:val="center"/>
                </w:tcPr>
                <w:p w14:paraId="31C21B74">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项目情况</w:t>
                  </w:r>
                </w:p>
              </w:tc>
              <w:tc>
                <w:tcPr>
                  <w:tcW w:w="662" w:type="dxa"/>
                  <w:tcBorders>
                    <w:top w:val="single" w:color="000000" w:sz="12" w:space="0"/>
                    <w:left w:val="single" w:color="auto" w:sz="2" w:space="0"/>
                    <w:bottom w:val="single" w:color="auto" w:sz="2" w:space="0"/>
                    <w:right w:val="nil"/>
                  </w:tcBorders>
                  <w:shd w:val="clear" w:color="auto" w:fill="FFFFFF"/>
                  <w:noWrap/>
                  <w:vAlign w:val="center"/>
                </w:tcPr>
                <w:p w14:paraId="5290BD9E">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设置与否</w:t>
                  </w:r>
                </w:p>
              </w:tc>
            </w:tr>
            <w:tr w14:paraId="0017F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080" w:type="dxa"/>
                  <w:tcBorders>
                    <w:top w:val="single" w:color="auto" w:sz="2" w:space="0"/>
                    <w:left w:val="nil"/>
                    <w:bottom w:val="single" w:color="auto" w:sz="2" w:space="0"/>
                    <w:right w:val="single" w:color="auto" w:sz="2" w:space="0"/>
                  </w:tcBorders>
                  <w:shd w:val="clear" w:color="auto" w:fill="FFFFFF"/>
                  <w:noWrap w:val="0"/>
                  <w:vAlign w:val="center"/>
                </w:tcPr>
                <w:p w14:paraId="002BC4D8">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地表水</w:t>
                  </w:r>
                </w:p>
              </w:tc>
              <w:tc>
                <w:tcPr>
                  <w:tcW w:w="3534" w:type="dxa"/>
                  <w:tcBorders>
                    <w:top w:val="single" w:color="auto" w:sz="2" w:space="0"/>
                    <w:left w:val="single" w:color="auto" w:sz="2" w:space="0"/>
                    <w:bottom w:val="single" w:color="auto" w:sz="2" w:space="0"/>
                    <w:right w:val="single" w:color="auto" w:sz="2" w:space="0"/>
                  </w:tcBorders>
                  <w:shd w:val="clear" w:color="auto" w:fill="FFFFFF"/>
                  <w:noWrap w:val="0"/>
                  <w:vAlign w:val="top"/>
                </w:tcPr>
                <w:p w14:paraId="262F4997">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水力发电：引水式发电、涉及调峰发电的项目；人工湖、人工湿地：全部；水库：全部；引水工程：全部（配套的管线工程等除外）；防洪除涝工程：包含水库的项目；河湖整治：涉及清淤且底泥存在重金属污染的项目</w:t>
                  </w:r>
                </w:p>
              </w:tc>
              <w:tc>
                <w:tcPr>
                  <w:tcW w:w="1403"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E4B7767">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不涉及</w:t>
                  </w:r>
                </w:p>
              </w:tc>
              <w:tc>
                <w:tcPr>
                  <w:tcW w:w="662" w:type="dxa"/>
                  <w:tcBorders>
                    <w:top w:val="single" w:color="auto" w:sz="2" w:space="0"/>
                    <w:left w:val="single" w:color="auto" w:sz="2" w:space="0"/>
                    <w:bottom w:val="single" w:color="auto" w:sz="2" w:space="0"/>
                    <w:right w:val="nil"/>
                  </w:tcBorders>
                  <w:shd w:val="clear" w:color="auto" w:fill="FFFFFF"/>
                  <w:noWrap/>
                  <w:vAlign w:val="center"/>
                </w:tcPr>
                <w:p w14:paraId="20999897">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否</w:t>
                  </w:r>
                </w:p>
              </w:tc>
            </w:tr>
            <w:tr w14:paraId="4ECEB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80" w:type="dxa"/>
                  <w:tcBorders>
                    <w:top w:val="single" w:color="auto" w:sz="2" w:space="0"/>
                    <w:left w:val="nil"/>
                    <w:bottom w:val="single" w:color="auto" w:sz="2" w:space="0"/>
                    <w:right w:val="single" w:color="auto" w:sz="2" w:space="0"/>
                  </w:tcBorders>
                  <w:shd w:val="clear" w:color="auto" w:fill="FFFFFF"/>
                  <w:noWrap w:val="0"/>
                  <w:vAlign w:val="center"/>
                </w:tcPr>
                <w:p w14:paraId="28CFDC62">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地下水</w:t>
                  </w:r>
                </w:p>
              </w:tc>
              <w:tc>
                <w:tcPr>
                  <w:tcW w:w="3534" w:type="dxa"/>
                  <w:tcBorders>
                    <w:top w:val="single" w:color="auto" w:sz="2" w:space="0"/>
                    <w:left w:val="single" w:color="auto" w:sz="2" w:space="0"/>
                    <w:bottom w:val="single" w:color="auto" w:sz="2" w:space="0"/>
                    <w:right w:val="single" w:color="auto" w:sz="2" w:space="0"/>
                  </w:tcBorders>
                  <w:shd w:val="clear" w:color="auto" w:fill="FFFFFF"/>
                  <w:noWrap w:val="0"/>
                  <w:vAlign w:val="top"/>
                </w:tcPr>
                <w:p w14:paraId="607CDD9A">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陆地石油和天然气开采：全部；地下水（含矿泉水）开采：全部；水利、水电、交通等：含穿越可溶岩地层隧道的项目</w:t>
                  </w:r>
                </w:p>
              </w:tc>
              <w:tc>
                <w:tcPr>
                  <w:tcW w:w="1403"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481200B5">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不涉及</w:t>
                  </w:r>
                </w:p>
              </w:tc>
              <w:tc>
                <w:tcPr>
                  <w:tcW w:w="662" w:type="dxa"/>
                  <w:tcBorders>
                    <w:top w:val="single" w:color="auto" w:sz="2" w:space="0"/>
                    <w:left w:val="single" w:color="auto" w:sz="2" w:space="0"/>
                    <w:bottom w:val="single" w:color="auto" w:sz="2" w:space="0"/>
                    <w:right w:val="nil"/>
                  </w:tcBorders>
                  <w:shd w:val="clear" w:color="auto" w:fill="FFFFFF"/>
                  <w:noWrap/>
                  <w:vAlign w:val="center"/>
                </w:tcPr>
                <w:p w14:paraId="5FD38B45">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否</w:t>
                  </w:r>
                </w:p>
              </w:tc>
            </w:tr>
            <w:tr w14:paraId="3DC5C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80" w:type="dxa"/>
                  <w:tcBorders>
                    <w:top w:val="single" w:color="auto" w:sz="2" w:space="0"/>
                    <w:left w:val="nil"/>
                    <w:bottom w:val="single" w:color="auto" w:sz="2" w:space="0"/>
                    <w:right w:val="single" w:color="auto" w:sz="2" w:space="0"/>
                  </w:tcBorders>
                  <w:shd w:val="clear" w:color="auto" w:fill="FFFFFF"/>
                  <w:noWrap w:val="0"/>
                  <w:vAlign w:val="center"/>
                </w:tcPr>
                <w:p w14:paraId="2444E68E">
                  <w:pPr>
                    <w:pStyle w:val="101"/>
                    <w:keepNext w:val="0"/>
                    <w:keepLines w:val="0"/>
                    <w:pageBreakBefore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sz w:val="21"/>
                      <w:szCs w:val="21"/>
                      <w:highlight w:val="none"/>
                    </w:rPr>
                  </w:pPr>
                  <w:r>
                    <w:rPr>
                      <w:rFonts w:hint="default" w:ascii="Times New Roman" w:hAnsi="Times New Roman" w:eastAsia="宋体" w:cs="Times New Roman"/>
                      <w:b w:val="0"/>
                      <w:color w:val="000000"/>
                      <w:sz w:val="21"/>
                      <w:szCs w:val="21"/>
                      <w:highlight w:val="none"/>
                      <w:lang w:val="en-US" w:eastAsia="zh-CN"/>
                    </w:rPr>
                    <w:t>生态</w:t>
                  </w:r>
                </w:p>
              </w:tc>
              <w:tc>
                <w:tcPr>
                  <w:tcW w:w="3534" w:type="dxa"/>
                  <w:tcBorders>
                    <w:top w:val="single" w:color="auto" w:sz="2" w:space="0"/>
                    <w:left w:val="single" w:color="auto" w:sz="2" w:space="0"/>
                    <w:bottom w:val="single" w:color="auto" w:sz="2" w:space="0"/>
                    <w:right w:val="single" w:color="auto" w:sz="2" w:space="0"/>
                  </w:tcBorders>
                  <w:shd w:val="clear" w:color="auto" w:fill="FFFFFF"/>
                  <w:noWrap w:val="0"/>
                  <w:vAlign w:val="top"/>
                </w:tcPr>
                <w:p w14:paraId="25DEE472">
                  <w:pPr>
                    <w:pStyle w:val="101"/>
                    <w:keepNext w:val="0"/>
                    <w:keepLines w:val="0"/>
                    <w:pageBreakBefore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sz w:val="21"/>
                      <w:szCs w:val="21"/>
                      <w:highlight w:val="none"/>
                    </w:rPr>
                  </w:pPr>
                  <w:r>
                    <w:rPr>
                      <w:rFonts w:hint="default" w:ascii="Times New Roman" w:hAnsi="Times New Roman" w:eastAsia="宋体" w:cs="Times New Roman"/>
                      <w:b w:val="0"/>
                      <w:color w:val="000000"/>
                      <w:sz w:val="21"/>
                      <w:szCs w:val="21"/>
                      <w:highlight w:val="none"/>
                      <w:lang w:val="en-US" w:eastAsia="zh-CN"/>
                    </w:rPr>
                    <w:t>涉及环境敏感区（不包括饮用水水源保护区，以居住、医疗卫生、文化教育、科研、行政办公为主要功能的区域，以及文物保护单位）的项目</w:t>
                  </w:r>
                </w:p>
              </w:tc>
              <w:tc>
                <w:tcPr>
                  <w:tcW w:w="1403"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014B045D">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eastAsia="宋体" w:cs="Times New Roman"/>
                      <w:b w:val="0"/>
                      <w:color w:val="000000"/>
                      <w:sz w:val="21"/>
                      <w:szCs w:val="21"/>
                      <w:highlight w:val="none"/>
                      <w:lang w:val="en-US" w:eastAsia="zh-CN"/>
                    </w:rPr>
                    <w:t>本项目涉及环境敏感区</w:t>
                  </w:r>
                  <w:r>
                    <w:rPr>
                      <w:rFonts w:hint="eastAsia" w:ascii="Times New Roman" w:hAnsi="Times New Roman" w:eastAsia="宋体" w:cs="Times New Roman"/>
                      <w:b w:val="0"/>
                      <w:color w:val="000000"/>
                      <w:sz w:val="21"/>
                      <w:szCs w:val="21"/>
                      <w:highlight w:val="none"/>
                      <w:lang w:val="en-US" w:eastAsia="zh-CN"/>
                    </w:rPr>
                    <w:t>新疆天山天池国家地质公园</w:t>
                  </w:r>
                </w:p>
              </w:tc>
              <w:tc>
                <w:tcPr>
                  <w:tcW w:w="662" w:type="dxa"/>
                  <w:tcBorders>
                    <w:top w:val="single" w:color="auto" w:sz="2" w:space="0"/>
                    <w:left w:val="single" w:color="auto" w:sz="2" w:space="0"/>
                    <w:bottom w:val="single" w:color="auto" w:sz="2" w:space="0"/>
                    <w:right w:val="nil"/>
                  </w:tcBorders>
                  <w:shd w:val="clear" w:color="auto" w:fill="FFFFFF"/>
                  <w:noWrap/>
                  <w:vAlign w:val="center"/>
                </w:tcPr>
                <w:p w14:paraId="146F5F28">
                  <w:pPr>
                    <w:pStyle w:val="101"/>
                    <w:keepNext w:val="0"/>
                    <w:keepLines w:val="0"/>
                    <w:pageBreakBefore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sz w:val="21"/>
                      <w:szCs w:val="21"/>
                      <w:highlight w:val="none"/>
                    </w:rPr>
                  </w:pPr>
                  <w:r>
                    <w:rPr>
                      <w:rFonts w:hint="default" w:ascii="Times New Roman" w:hAnsi="Times New Roman" w:eastAsia="宋体" w:cs="Times New Roman"/>
                      <w:b w:val="0"/>
                      <w:color w:val="000000"/>
                      <w:sz w:val="21"/>
                      <w:szCs w:val="21"/>
                      <w:highlight w:val="none"/>
                      <w:lang w:val="en-US" w:eastAsia="zh-CN"/>
                    </w:rPr>
                    <w:t>是</w:t>
                  </w:r>
                </w:p>
              </w:tc>
            </w:tr>
            <w:tr w14:paraId="0D32C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80" w:type="dxa"/>
                  <w:tcBorders>
                    <w:top w:val="single" w:color="auto" w:sz="2" w:space="0"/>
                    <w:left w:val="nil"/>
                    <w:bottom w:val="single" w:color="auto" w:sz="2" w:space="0"/>
                    <w:right w:val="single" w:color="auto" w:sz="2" w:space="0"/>
                  </w:tcBorders>
                  <w:shd w:val="clear" w:color="auto" w:fill="FFFFFF"/>
                  <w:noWrap w:val="0"/>
                  <w:vAlign w:val="center"/>
                </w:tcPr>
                <w:p w14:paraId="241E42AD">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大气</w:t>
                  </w:r>
                </w:p>
              </w:tc>
              <w:tc>
                <w:tcPr>
                  <w:tcW w:w="3534" w:type="dxa"/>
                  <w:tcBorders>
                    <w:top w:val="single" w:color="auto" w:sz="2" w:space="0"/>
                    <w:left w:val="single" w:color="auto" w:sz="2" w:space="0"/>
                    <w:bottom w:val="single" w:color="auto" w:sz="2" w:space="0"/>
                    <w:right w:val="single" w:color="auto" w:sz="2" w:space="0"/>
                  </w:tcBorders>
                  <w:shd w:val="clear" w:color="auto" w:fill="FFFFFF"/>
                  <w:noWrap w:val="0"/>
                  <w:vAlign w:val="top"/>
                </w:tcPr>
                <w:p w14:paraId="422677E5">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油气、液体化工码头：全部；干散货（含煤炭、矿石）、件杂、多用途、通用码头：涉及粉尘、挥发性有机物排放的项目</w:t>
                  </w:r>
                </w:p>
              </w:tc>
              <w:tc>
                <w:tcPr>
                  <w:tcW w:w="1403"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176491DB">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不涉及</w:t>
                  </w:r>
                </w:p>
              </w:tc>
              <w:tc>
                <w:tcPr>
                  <w:tcW w:w="662" w:type="dxa"/>
                  <w:tcBorders>
                    <w:top w:val="single" w:color="auto" w:sz="2" w:space="0"/>
                    <w:left w:val="single" w:color="auto" w:sz="2" w:space="0"/>
                    <w:bottom w:val="single" w:color="auto" w:sz="2" w:space="0"/>
                    <w:right w:val="nil"/>
                  </w:tcBorders>
                  <w:shd w:val="clear" w:color="auto" w:fill="FFFFFF"/>
                  <w:noWrap/>
                  <w:vAlign w:val="center"/>
                </w:tcPr>
                <w:p w14:paraId="3F9F29CD">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否</w:t>
                  </w:r>
                </w:p>
              </w:tc>
            </w:tr>
            <w:tr w14:paraId="7D83D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80" w:type="dxa"/>
                  <w:tcBorders>
                    <w:top w:val="single" w:color="auto" w:sz="2" w:space="0"/>
                    <w:left w:val="nil"/>
                    <w:bottom w:val="single" w:color="auto" w:sz="2" w:space="0"/>
                    <w:right w:val="single" w:color="auto" w:sz="2" w:space="0"/>
                  </w:tcBorders>
                  <w:shd w:val="clear" w:color="auto" w:fill="FFFFFF"/>
                  <w:noWrap w:val="0"/>
                  <w:vAlign w:val="center"/>
                </w:tcPr>
                <w:p w14:paraId="5C5EA86E">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噪声</w:t>
                  </w:r>
                </w:p>
              </w:tc>
              <w:tc>
                <w:tcPr>
                  <w:tcW w:w="3534" w:type="dxa"/>
                  <w:tcBorders>
                    <w:top w:val="single" w:color="auto" w:sz="2" w:space="0"/>
                    <w:left w:val="single" w:color="auto" w:sz="2" w:space="0"/>
                    <w:bottom w:val="single" w:color="auto" w:sz="2" w:space="0"/>
                    <w:right w:val="single" w:color="auto" w:sz="2" w:space="0"/>
                  </w:tcBorders>
                  <w:shd w:val="clear" w:color="auto" w:fill="FFFFFF"/>
                  <w:noWrap w:val="0"/>
                  <w:vAlign w:val="top"/>
                </w:tcPr>
                <w:p w14:paraId="2FE078CD">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公路、铁路、机场等交通运输业涉及环境敏感区（以居住、医疗卫生、文化教育、科研、行政办公为主要功能的区域）的项目；城市道路（不含维护，不含支路、人行天桥、人行地道）：全部</w:t>
                  </w:r>
                </w:p>
              </w:tc>
              <w:tc>
                <w:tcPr>
                  <w:tcW w:w="1403"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0CEA39F2">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不涉及</w:t>
                  </w:r>
                </w:p>
              </w:tc>
              <w:tc>
                <w:tcPr>
                  <w:tcW w:w="662" w:type="dxa"/>
                  <w:tcBorders>
                    <w:top w:val="single" w:color="auto" w:sz="2" w:space="0"/>
                    <w:left w:val="single" w:color="auto" w:sz="2" w:space="0"/>
                    <w:bottom w:val="single" w:color="auto" w:sz="2" w:space="0"/>
                    <w:right w:val="nil"/>
                  </w:tcBorders>
                  <w:shd w:val="clear" w:color="auto" w:fill="FFFFFF"/>
                  <w:noWrap/>
                  <w:vAlign w:val="center"/>
                </w:tcPr>
                <w:p w14:paraId="3CB74BB9">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否</w:t>
                  </w:r>
                </w:p>
              </w:tc>
            </w:tr>
            <w:tr w14:paraId="49F39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80" w:type="dxa"/>
                  <w:tcBorders>
                    <w:top w:val="single" w:color="auto" w:sz="2" w:space="0"/>
                    <w:left w:val="nil"/>
                    <w:bottom w:val="single" w:color="000000" w:sz="12" w:space="0"/>
                    <w:right w:val="single" w:color="auto" w:sz="2" w:space="0"/>
                  </w:tcBorders>
                  <w:shd w:val="clear" w:color="auto" w:fill="FFFFFF"/>
                  <w:noWrap w:val="0"/>
                  <w:vAlign w:val="center"/>
                </w:tcPr>
                <w:p w14:paraId="2B39EADF">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环境风险</w:t>
                  </w:r>
                </w:p>
              </w:tc>
              <w:tc>
                <w:tcPr>
                  <w:tcW w:w="3534" w:type="dxa"/>
                  <w:tcBorders>
                    <w:top w:val="single" w:color="auto" w:sz="2" w:space="0"/>
                    <w:left w:val="single" w:color="auto" w:sz="2" w:space="0"/>
                    <w:bottom w:val="single" w:color="000000" w:sz="12" w:space="0"/>
                    <w:right w:val="single" w:color="auto" w:sz="2" w:space="0"/>
                  </w:tcBorders>
                  <w:shd w:val="clear" w:color="auto" w:fill="FFFFFF"/>
                  <w:noWrap w:val="0"/>
                  <w:vAlign w:val="center"/>
                </w:tcPr>
                <w:p w14:paraId="35607551">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石油和天然气开采：全部；石油、液体化工码头：全部；原油，成品油、天然气管线（不含城镇天然气管线、企业厂区内管线），危险化学品输送管线（不含企业厂区内管线）；全部</w:t>
                  </w:r>
                </w:p>
              </w:tc>
              <w:tc>
                <w:tcPr>
                  <w:tcW w:w="1403" w:type="dxa"/>
                  <w:tcBorders>
                    <w:top w:val="single" w:color="auto" w:sz="2" w:space="0"/>
                    <w:left w:val="single" w:color="auto" w:sz="2" w:space="0"/>
                    <w:bottom w:val="single" w:color="000000" w:sz="12" w:space="0"/>
                    <w:right w:val="single" w:color="auto" w:sz="2" w:space="0"/>
                  </w:tcBorders>
                  <w:shd w:val="clear" w:color="auto" w:fill="FFFFFF"/>
                  <w:noWrap w:val="0"/>
                  <w:vAlign w:val="center"/>
                </w:tcPr>
                <w:p w14:paraId="00EF4C22">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不涉及</w:t>
                  </w:r>
                </w:p>
              </w:tc>
              <w:tc>
                <w:tcPr>
                  <w:tcW w:w="662" w:type="dxa"/>
                  <w:tcBorders>
                    <w:top w:val="single" w:color="auto" w:sz="2" w:space="0"/>
                    <w:left w:val="single" w:color="auto" w:sz="2" w:space="0"/>
                    <w:bottom w:val="single" w:color="000000" w:sz="12" w:space="0"/>
                    <w:right w:val="nil"/>
                  </w:tcBorders>
                  <w:shd w:val="clear" w:color="auto" w:fill="FFFFFF"/>
                  <w:noWrap/>
                  <w:vAlign w:val="center"/>
                </w:tcPr>
                <w:p w14:paraId="11C38264">
                  <w:pPr>
                    <w:pStyle w:val="101"/>
                    <w:keepNext w:val="0"/>
                    <w:keepLines w:val="0"/>
                    <w:pageBreakBefore w:val="0"/>
                    <w:kinsoku/>
                    <w:wordWrap/>
                    <w:overflowPunct/>
                    <w:topLinePunct w:val="0"/>
                    <w:autoSpaceDE/>
                    <w:autoSpaceDN/>
                    <w:bidi w:val="0"/>
                    <w:snapToGrid w:val="0"/>
                    <w:spacing w:line="240" w:lineRule="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否</w:t>
                  </w:r>
                </w:p>
              </w:tc>
            </w:tr>
          </w:tbl>
          <w:p w14:paraId="4C45BDD3">
            <w:pPr>
              <w:keepNext w:val="0"/>
              <w:keepLines w:val="0"/>
              <w:pageBreakBefore w:val="0"/>
              <w:widowControl w:val="0"/>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4"/>
                <w:szCs w:val="21"/>
                <w:highlight w:val="none"/>
                <w:lang w:val="en-US" w:eastAsia="zh-CN" w:bidi="ar"/>
              </w:rPr>
            </w:pPr>
            <w:r>
              <w:rPr>
                <w:rFonts w:hint="default" w:ascii="Times New Roman" w:hAnsi="Times New Roman" w:eastAsia="宋体" w:cs="Times New Roman"/>
                <w:b w:val="0"/>
                <w:bCs w:val="0"/>
                <w:color w:val="000000"/>
                <w:sz w:val="21"/>
                <w:szCs w:val="21"/>
              </w:rPr>
              <w:t>注</w:t>
            </w:r>
            <w:r>
              <w:rPr>
                <w:rFonts w:hint="default" w:ascii="Times New Roman" w:hAnsi="Times New Roman" w:eastAsia="宋体" w:cs="Times New Roman"/>
                <w:b w:val="0"/>
                <w:bCs w:val="0"/>
                <w:color w:val="000000"/>
                <w:sz w:val="21"/>
                <w:szCs w:val="21"/>
                <w:lang w:eastAsia="zh-CN"/>
              </w:rPr>
              <w:t>：“</w:t>
            </w:r>
            <w:r>
              <w:rPr>
                <w:rFonts w:hint="default" w:ascii="Times New Roman" w:hAnsi="Times New Roman" w:eastAsia="宋体" w:cs="Times New Roman"/>
                <w:b w:val="0"/>
                <w:bCs w:val="0"/>
                <w:color w:val="000000"/>
                <w:sz w:val="21"/>
                <w:szCs w:val="21"/>
              </w:rPr>
              <w:t>涉及环境敏感区</w:t>
            </w:r>
            <w:r>
              <w:rPr>
                <w:rFonts w:hint="default" w:ascii="Times New Roman" w:hAnsi="Times New Roman" w:eastAsia="宋体" w:cs="Times New Roman"/>
                <w:b w:val="0"/>
                <w:bCs w:val="0"/>
                <w:color w:val="000000"/>
                <w:sz w:val="21"/>
                <w:szCs w:val="21"/>
                <w:lang w:eastAsia="zh-CN"/>
              </w:rPr>
              <w:t>”</w:t>
            </w:r>
            <w:r>
              <w:rPr>
                <w:rFonts w:hint="default" w:ascii="Times New Roman" w:hAnsi="Times New Roman" w:eastAsia="宋体" w:cs="Times New Roman"/>
                <w:b w:val="0"/>
                <w:bCs w:val="0"/>
                <w:color w:val="000000"/>
                <w:sz w:val="21"/>
                <w:szCs w:val="21"/>
              </w:rPr>
              <w:t>是指建设项目位于、穿（跨）越（无害化通过的除外）环境敏感区</w:t>
            </w:r>
            <w:r>
              <w:rPr>
                <w:rFonts w:hint="default" w:ascii="Times New Roman" w:hAnsi="Times New Roman" w:eastAsia="宋体" w:cs="Times New Roman"/>
                <w:b w:val="0"/>
                <w:bCs w:val="0"/>
                <w:color w:val="000000"/>
                <w:sz w:val="21"/>
                <w:szCs w:val="21"/>
                <w:lang w:eastAsia="zh-CN"/>
              </w:rPr>
              <w:t>，</w:t>
            </w:r>
            <w:r>
              <w:rPr>
                <w:rFonts w:hint="default" w:ascii="Times New Roman" w:hAnsi="Times New Roman" w:eastAsia="宋体" w:cs="Times New Roman"/>
                <w:b w:val="0"/>
                <w:bCs w:val="0"/>
                <w:color w:val="000000"/>
                <w:sz w:val="21"/>
                <w:szCs w:val="21"/>
              </w:rPr>
              <w:t>或环境影响范围涵盖环境敏感区。环境敏感区是指《建设项目环境影响评价分类管理名录》中针对该类项目所列的敏感区。</w:t>
            </w:r>
            <w:bookmarkEnd w:id="4"/>
            <w:bookmarkEnd w:id="5"/>
            <w:bookmarkEnd w:id="6"/>
            <w:bookmarkEnd w:id="7"/>
          </w:p>
        </w:tc>
      </w:tr>
      <w:tr w14:paraId="4038F8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089" w:type="pct"/>
            <w:noWrap w:val="0"/>
            <w:tcMar>
              <w:top w:w="16" w:type="dxa"/>
              <w:left w:w="16" w:type="dxa"/>
              <w:right w:w="16" w:type="dxa"/>
            </w:tcMar>
            <w:vAlign w:val="center"/>
          </w:tcPr>
          <w:p w14:paraId="3C5E522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Cs w:val="21"/>
                <w:highlight w:val="none"/>
              </w:rPr>
            </w:pPr>
            <w:r>
              <w:rPr>
                <w:rFonts w:hint="default" w:ascii="Times New Roman" w:hAnsi="Times New Roman" w:eastAsia="宋体" w:cs="Times New Roman"/>
                <w:color w:val="000000"/>
                <w:szCs w:val="21"/>
                <w:highlight w:val="none"/>
              </w:rPr>
              <w:t>规划情况</w:t>
            </w:r>
          </w:p>
        </w:tc>
        <w:tc>
          <w:tcPr>
            <w:tcW w:w="3910" w:type="pct"/>
            <w:gridSpan w:val="3"/>
            <w:noWrap w:val="0"/>
            <w:tcMar>
              <w:top w:w="16" w:type="dxa"/>
              <w:left w:w="16" w:type="dxa"/>
              <w:right w:w="16" w:type="dxa"/>
            </w:tcMar>
            <w:vAlign w:val="center"/>
          </w:tcPr>
          <w:p w14:paraId="430F711B">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default"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文件名称：</w:t>
            </w:r>
            <w:r>
              <w:rPr>
                <w:rFonts w:hint="default" w:ascii="Times New Roman" w:hAnsi="Times New Roman" w:eastAsia="宋体"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新疆天山天池国家地质公园</w:t>
            </w:r>
            <w:r>
              <w:rPr>
                <w:rFonts w:hint="default" w:ascii="Times New Roman" w:hAnsi="Times New Roman" w:eastAsia="宋体" w:cs="Times New Roman"/>
                <w:color w:val="000000"/>
                <w:kern w:val="0"/>
                <w:sz w:val="24"/>
                <w:lang w:val="en-US" w:eastAsia="zh-CN"/>
              </w:rPr>
              <w:t>总体规划（2012</w:t>
            </w:r>
            <w:r>
              <w:rPr>
                <w:rFonts w:hint="eastAsia" w:cs="Times New Roman"/>
                <w:color w:val="000000"/>
                <w:kern w:val="0"/>
                <w:sz w:val="24"/>
                <w:lang w:val="en-US" w:eastAsia="zh-CN"/>
              </w:rPr>
              <w:t>—</w:t>
            </w:r>
            <w:r>
              <w:rPr>
                <w:rFonts w:hint="default" w:ascii="Times New Roman" w:hAnsi="Times New Roman" w:eastAsia="宋体" w:cs="Times New Roman"/>
                <w:color w:val="000000"/>
                <w:kern w:val="0"/>
                <w:sz w:val="24"/>
                <w:lang w:val="en-US" w:eastAsia="zh-CN"/>
              </w:rPr>
              <w:t>2020年）》</w:t>
            </w:r>
          </w:p>
          <w:p w14:paraId="4B5BD9CA">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default"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审批文件名称：国土资源部办公厅关于同意《新疆天山天池国家地质公园规划（2012-2020）》和《新疆库车大峡谷国家地质公园规划（2012-2020）》的函</w:t>
            </w:r>
          </w:p>
          <w:p w14:paraId="76CA25F5">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审批文号：国土资厅函〔2012〕1191号</w:t>
            </w:r>
          </w:p>
          <w:p w14:paraId="7FE6E57F">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default"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审批部门：国土资源部办公厅</w:t>
            </w:r>
          </w:p>
        </w:tc>
      </w:tr>
      <w:tr w14:paraId="77C90C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089" w:type="pct"/>
            <w:noWrap w:val="0"/>
            <w:tcMar>
              <w:top w:w="16" w:type="dxa"/>
              <w:left w:w="16" w:type="dxa"/>
              <w:right w:w="16" w:type="dxa"/>
            </w:tcMar>
            <w:vAlign w:val="center"/>
          </w:tcPr>
          <w:p w14:paraId="4DB775F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规划环境影响</w:t>
            </w:r>
          </w:p>
          <w:p w14:paraId="43901B2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Cs w:val="21"/>
                <w:highlight w:val="none"/>
              </w:rPr>
            </w:pPr>
            <w:r>
              <w:rPr>
                <w:rFonts w:hint="default" w:ascii="Times New Roman" w:hAnsi="Times New Roman" w:eastAsia="宋体" w:cs="Times New Roman"/>
                <w:color w:val="000000"/>
                <w:szCs w:val="21"/>
                <w:highlight w:val="none"/>
              </w:rPr>
              <w:t>评价情况</w:t>
            </w:r>
          </w:p>
        </w:tc>
        <w:tc>
          <w:tcPr>
            <w:tcW w:w="3910" w:type="pct"/>
            <w:gridSpan w:val="3"/>
            <w:noWrap w:val="0"/>
            <w:tcMar>
              <w:top w:w="16" w:type="dxa"/>
              <w:left w:w="16" w:type="dxa"/>
              <w:right w:w="16" w:type="dxa"/>
            </w:tcMar>
            <w:vAlign w:val="center"/>
          </w:tcPr>
          <w:p w14:paraId="470975B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Cs w:val="21"/>
                <w:highlight w:val="none"/>
                <w:lang w:val="en-US" w:eastAsia="zh-CN"/>
              </w:rPr>
            </w:pPr>
            <w:r>
              <w:rPr>
                <w:rFonts w:hint="eastAsia" w:ascii="Times New Roman" w:hAnsi="Times New Roman" w:eastAsia="宋体" w:cs="Times New Roman"/>
                <w:b w:val="0"/>
                <w:bCs w:val="0"/>
                <w:color w:val="000000"/>
                <w:kern w:val="0"/>
                <w:szCs w:val="21"/>
                <w:highlight w:val="none"/>
                <w:lang w:val="en-US" w:eastAsia="zh-CN"/>
              </w:rPr>
              <w:t>无</w:t>
            </w:r>
          </w:p>
        </w:tc>
      </w:tr>
      <w:tr w14:paraId="1534AE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089" w:type="pct"/>
            <w:noWrap w:val="0"/>
            <w:tcMar>
              <w:top w:w="16" w:type="dxa"/>
              <w:left w:w="16" w:type="dxa"/>
              <w:right w:w="16" w:type="dxa"/>
            </w:tcMar>
            <w:vAlign w:val="center"/>
          </w:tcPr>
          <w:p w14:paraId="3F8004C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Cs w:val="21"/>
                <w:highlight w:val="none"/>
              </w:rPr>
            </w:pPr>
            <w:r>
              <w:rPr>
                <w:rFonts w:hint="default" w:ascii="Times New Roman" w:hAnsi="Times New Roman" w:eastAsia="宋体" w:cs="Times New Roman"/>
                <w:color w:val="000000"/>
                <w:kern w:val="0"/>
                <w:szCs w:val="21"/>
                <w:highlight w:val="none"/>
              </w:rPr>
              <w:t>规划及</w:t>
            </w:r>
            <w:r>
              <w:rPr>
                <w:rFonts w:hint="default" w:ascii="Times New Roman" w:hAnsi="Times New Roman" w:eastAsia="宋体" w:cs="Times New Roman"/>
                <w:color w:val="000000"/>
                <w:szCs w:val="21"/>
                <w:highlight w:val="none"/>
              </w:rPr>
              <w:t>规划环境影响评价</w:t>
            </w:r>
            <w:r>
              <w:rPr>
                <w:rFonts w:hint="default" w:ascii="Times New Roman" w:hAnsi="Times New Roman" w:eastAsia="宋体" w:cs="Times New Roman"/>
                <w:color w:val="000000"/>
                <w:kern w:val="0"/>
                <w:szCs w:val="21"/>
                <w:highlight w:val="none"/>
              </w:rPr>
              <w:t>符合性分析</w:t>
            </w:r>
          </w:p>
        </w:tc>
        <w:tc>
          <w:tcPr>
            <w:tcW w:w="3910" w:type="pct"/>
            <w:gridSpan w:val="3"/>
            <w:noWrap w:val="0"/>
            <w:tcMar>
              <w:top w:w="16" w:type="dxa"/>
              <w:left w:w="16" w:type="dxa"/>
              <w:right w:w="16" w:type="dxa"/>
            </w:tcMar>
            <w:vAlign w:val="center"/>
          </w:tcPr>
          <w:p w14:paraId="179E886E">
            <w:pPr>
              <w:pStyle w:val="6"/>
              <w:keepNext/>
              <w:keepLines/>
              <w:pageBreakBefore w:val="0"/>
              <w:widowControl w:val="0"/>
              <w:numPr>
                <w:ilvl w:val="3"/>
                <w:numId w:val="0"/>
              </w:numPr>
              <w:kinsoku/>
              <w:wordWrap/>
              <w:overflowPunct/>
              <w:topLinePunct w:val="0"/>
              <w:autoSpaceDE/>
              <w:autoSpaceDN/>
              <w:bidi w:val="0"/>
              <w:adjustRightInd/>
              <w:snapToGrid w:val="0"/>
              <w:spacing w:before="0" w:beforeLines="0" w:after="0" w:afterLines="0" w:line="360" w:lineRule="auto"/>
              <w:ind w:firstLine="480" w:firstLineChars="200"/>
              <w:textAlignment w:val="auto"/>
              <w:rPr>
                <w:rFonts w:hint="default" w:ascii="Times New Roman" w:hAnsi="Times New Roman" w:eastAsia="宋体" w:cs="Times New Roman"/>
                <w:b w:val="0"/>
                <w:bCs/>
                <w:color w:val="000000"/>
                <w:sz w:val="24"/>
                <w:szCs w:val="24"/>
                <w:lang w:val="en-US" w:eastAsia="zh-CN"/>
              </w:rPr>
            </w:pPr>
            <w:r>
              <w:rPr>
                <w:rFonts w:hint="default" w:ascii="Times New Roman" w:hAnsi="Times New Roman" w:eastAsia="宋体" w:cs="Times New Roman"/>
                <w:b w:val="0"/>
                <w:bCs/>
                <w:color w:val="000000"/>
                <w:sz w:val="24"/>
                <w:szCs w:val="24"/>
                <w:lang w:val="en-US" w:eastAsia="zh-CN"/>
              </w:rPr>
              <w:t>《</w:t>
            </w:r>
            <w:r>
              <w:rPr>
                <w:rFonts w:hint="eastAsia" w:ascii="Times New Roman" w:hAnsi="Times New Roman" w:eastAsia="宋体" w:cs="Times New Roman"/>
                <w:b w:val="0"/>
                <w:bCs/>
                <w:color w:val="000000"/>
                <w:sz w:val="24"/>
                <w:szCs w:val="24"/>
                <w:lang w:val="en-US" w:eastAsia="zh-CN"/>
              </w:rPr>
              <w:t>新疆天山天池国家地质公园</w:t>
            </w:r>
            <w:r>
              <w:rPr>
                <w:rFonts w:hint="default" w:ascii="Times New Roman" w:hAnsi="Times New Roman" w:eastAsia="宋体" w:cs="Times New Roman"/>
                <w:b w:val="0"/>
                <w:bCs/>
                <w:color w:val="000000"/>
                <w:sz w:val="24"/>
                <w:szCs w:val="24"/>
                <w:lang w:val="en-US" w:eastAsia="zh-CN"/>
              </w:rPr>
              <w:t>总体规划（2012</w:t>
            </w:r>
            <w:r>
              <w:rPr>
                <w:rFonts w:hint="eastAsia" w:ascii="Times New Roman" w:hAnsi="Times New Roman" w:eastAsia="宋体" w:cs="Times New Roman"/>
                <w:b w:val="0"/>
                <w:bCs/>
                <w:color w:val="000000"/>
                <w:sz w:val="24"/>
                <w:szCs w:val="24"/>
                <w:lang w:val="en-US" w:eastAsia="zh-CN"/>
              </w:rPr>
              <w:t>—</w:t>
            </w:r>
            <w:r>
              <w:rPr>
                <w:rFonts w:hint="default" w:ascii="Times New Roman" w:hAnsi="Times New Roman" w:eastAsia="宋体" w:cs="Times New Roman"/>
                <w:b w:val="0"/>
                <w:bCs/>
                <w:color w:val="000000"/>
                <w:sz w:val="24"/>
                <w:szCs w:val="24"/>
                <w:lang w:val="en-US" w:eastAsia="zh-CN"/>
              </w:rPr>
              <w:t>2020年）》</w:t>
            </w:r>
            <w:r>
              <w:rPr>
                <w:rFonts w:hint="eastAsia" w:ascii="Times New Roman" w:hAnsi="Times New Roman" w:eastAsia="宋体" w:cs="Times New Roman"/>
                <w:b w:val="0"/>
                <w:bCs/>
                <w:color w:val="000000"/>
                <w:sz w:val="24"/>
                <w:szCs w:val="24"/>
                <w:lang w:val="en-US" w:eastAsia="zh-CN"/>
              </w:rPr>
              <w:t>中指出：</w:t>
            </w:r>
            <w:r>
              <w:rPr>
                <w:rFonts w:hint="default" w:ascii="Times New Roman" w:hAnsi="Times New Roman" w:eastAsia="宋体" w:cs="Times New Roman"/>
                <w:b w:val="0"/>
                <w:bCs/>
                <w:color w:val="000000"/>
                <w:sz w:val="24"/>
                <w:szCs w:val="24"/>
                <w:lang w:val="en-US" w:eastAsia="zh-CN"/>
              </w:rPr>
              <w:t>整个公园为1个独立园区，园区下分为4个景区，分别为天池景区</w:t>
            </w:r>
            <w:r>
              <w:rPr>
                <w:rFonts w:hint="eastAsia" w:ascii="Times New Roman" w:hAnsi="Times New Roman" w:eastAsia="宋体" w:cs="Times New Roman"/>
                <w:b w:val="0"/>
                <w:bCs/>
                <w:color w:val="000000"/>
                <w:sz w:val="24"/>
                <w:szCs w:val="24"/>
                <w:lang w:val="en-US" w:eastAsia="zh-CN"/>
              </w:rPr>
              <w:t>、</w:t>
            </w:r>
            <w:r>
              <w:rPr>
                <w:rFonts w:hint="default" w:ascii="Times New Roman" w:hAnsi="Times New Roman" w:eastAsia="宋体" w:cs="Times New Roman"/>
                <w:b w:val="0"/>
                <w:bCs/>
                <w:color w:val="000000"/>
                <w:sz w:val="24"/>
                <w:szCs w:val="24"/>
                <w:lang w:val="en-US" w:eastAsia="zh-CN"/>
              </w:rPr>
              <w:t>三工河景区、四工河景区、水磨河景区</w:t>
            </w:r>
            <w:r>
              <w:rPr>
                <w:rFonts w:hint="eastAsia" w:ascii="Times New Roman" w:hAnsi="Times New Roman" w:eastAsia="宋体" w:cs="Times New Roman"/>
                <w:b w:val="0"/>
                <w:bCs/>
                <w:color w:val="000000"/>
                <w:sz w:val="24"/>
                <w:szCs w:val="24"/>
                <w:lang w:val="en-US" w:eastAsia="zh-CN"/>
              </w:rPr>
              <w:t>。其中</w:t>
            </w:r>
            <w:r>
              <w:rPr>
                <w:rFonts w:hint="default" w:ascii="Times New Roman" w:hAnsi="Times New Roman" w:eastAsia="宋体" w:cs="Times New Roman"/>
                <w:b w:val="0"/>
                <w:bCs/>
                <w:color w:val="000000"/>
                <w:sz w:val="24"/>
                <w:szCs w:val="24"/>
                <w:lang w:val="en-US" w:eastAsia="zh-CN"/>
              </w:rPr>
              <w:t>三工河景区面积74km</w:t>
            </w:r>
            <w:r>
              <w:rPr>
                <w:rFonts w:hint="eastAsia" w:ascii="Times New Roman" w:hAnsi="Times New Roman" w:eastAsia="宋体" w:cs="Times New Roman"/>
                <w:b w:val="0"/>
                <w:bCs/>
                <w:color w:val="000000"/>
                <w:sz w:val="24"/>
                <w:szCs w:val="24"/>
                <w:vertAlign w:val="superscript"/>
                <w:lang w:val="en-US" w:eastAsia="zh-CN"/>
              </w:rPr>
              <w:t>2</w:t>
            </w:r>
            <w:r>
              <w:rPr>
                <w:rFonts w:hint="default" w:ascii="Times New Roman" w:hAnsi="Times New Roman" w:eastAsia="宋体" w:cs="Times New Roman"/>
                <w:b w:val="0"/>
                <w:bCs/>
                <w:color w:val="000000"/>
                <w:sz w:val="24"/>
                <w:szCs w:val="24"/>
                <w:lang w:val="en-US" w:eastAsia="zh-CN"/>
              </w:rPr>
              <w:t>。计有1个景群、5个景点。景观类型有河流地貌、古冰</w:t>
            </w:r>
            <w:r>
              <w:rPr>
                <w:rFonts w:hint="default" w:ascii="Times New Roman" w:hAnsi="Times New Roman" w:eastAsia="宋体" w:cs="Times New Roman"/>
                <w:b w:val="0"/>
                <w:bCs/>
                <w:color w:val="000000"/>
                <w:sz w:val="24"/>
                <w:szCs w:val="24"/>
                <w:highlight w:val="none"/>
                <w:lang w:val="en-US" w:eastAsia="zh-CN"/>
              </w:rPr>
              <w:t>川地貌、地质剖面、草原等，宜于开展科考、体验民族风情和科普观</w:t>
            </w:r>
            <w:r>
              <w:rPr>
                <w:rFonts w:hint="eastAsia" w:ascii="Times New Roman" w:hAnsi="Times New Roman" w:eastAsia="宋体" w:cs="Times New Roman"/>
                <w:b w:val="0"/>
                <w:bCs/>
                <w:color w:val="000000"/>
                <w:sz w:val="24"/>
                <w:szCs w:val="24"/>
                <w:highlight w:val="none"/>
                <w:lang w:val="en-US" w:eastAsia="zh-CN"/>
              </w:rPr>
              <w:t>光</w:t>
            </w:r>
            <w:r>
              <w:rPr>
                <w:rFonts w:hint="default" w:ascii="Times New Roman" w:hAnsi="Times New Roman" w:eastAsia="宋体" w:cs="Times New Roman"/>
                <w:b w:val="0"/>
                <w:bCs/>
                <w:color w:val="000000"/>
                <w:sz w:val="24"/>
                <w:szCs w:val="24"/>
                <w:lang w:val="en-US" w:eastAsia="zh-CN"/>
              </w:rPr>
              <w:t>等游赏项</w:t>
            </w:r>
            <w:r>
              <w:rPr>
                <w:rFonts w:hint="eastAsia" w:ascii="Times New Roman" w:hAnsi="Times New Roman" w:eastAsia="宋体" w:cs="Times New Roman"/>
                <w:b w:val="0"/>
                <w:bCs/>
                <w:color w:val="000000"/>
                <w:sz w:val="24"/>
                <w:szCs w:val="24"/>
                <w:lang w:val="en-US" w:eastAsia="zh-CN"/>
              </w:rPr>
              <w:t>目。</w:t>
            </w:r>
          </w:p>
          <w:p w14:paraId="4771B67D">
            <w:pPr>
              <w:rPr>
                <w:rFonts w:hint="eastAsia" w:ascii="Times New Roman" w:hAnsi="Times New Roman" w:eastAsia="宋体" w:cs="Times New Roman"/>
                <w:color w:val="000000"/>
                <w:kern w:val="0"/>
                <w:sz w:val="24"/>
                <w:szCs w:val="24"/>
                <w:lang w:val="en-US" w:eastAsia="zh-CN" w:bidi="ar"/>
              </w:rPr>
            </w:pPr>
            <w:r>
              <w:rPr>
                <w:rFonts w:hint="eastAsia"/>
                <w:lang w:val="en-US" w:eastAsia="zh-CN"/>
              </w:rPr>
              <w:t>本项目</w:t>
            </w:r>
            <w:r>
              <w:rPr>
                <w:rFonts w:hint="default" w:ascii="Times New Roman" w:hAnsi="Times New Roman" w:eastAsia="宋体" w:cs="Times New Roman"/>
                <w:color w:val="000000"/>
                <w:kern w:val="0"/>
                <w:sz w:val="24"/>
                <w:szCs w:val="24"/>
                <w:lang w:val="en-US" w:eastAsia="zh-CN" w:bidi="ar"/>
              </w:rPr>
              <w:t>位于</w:t>
            </w:r>
            <w:r>
              <w:rPr>
                <w:rFonts w:hint="default" w:ascii="Times New Roman" w:hAnsi="Times New Roman" w:eastAsia="宋体" w:cs="Times New Roman"/>
                <w:color w:val="000000"/>
                <w:szCs w:val="21"/>
                <w:highlight w:val="none"/>
                <w:lang w:val="en-US" w:eastAsia="zh-CN"/>
              </w:rPr>
              <w:t>新疆维吾尔自治区昌吉回族自治州阜康市三工河哈萨克乡花儿沟村</w:t>
            </w:r>
            <w:r>
              <w:rPr>
                <w:rFonts w:hint="default" w:ascii="Times New Roman" w:hAnsi="Times New Roman" w:eastAsia="宋体" w:cs="Times New Roman"/>
                <w:color w:val="000000"/>
                <w:kern w:val="0"/>
                <w:sz w:val="24"/>
                <w:szCs w:val="24"/>
                <w:lang w:val="en-US" w:eastAsia="zh-CN" w:bidi="ar"/>
              </w:rPr>
              <w:t>，属于</w:t>
            </w:r>
            <w:r>
              <w:rPr>
                <w:rFonts w:hint="default" w:ascii="Times New Roman" w:hAnsi="Times New Roman" w:eastAsia="宋体" w:cs="Times New Roman"/>
                <w:sz w:val="24"/>
                <w:szCs w:val="24"/>
              </w:rPr>
              <w:t>旅游基础设施建设，包括民宿、</w:t>
            </w:r>
            <w:r>
              <w:rPr>
                <w:rFonts w:hint="default" w:ascii="Times New Roman" w:hAnsi="Times New Roman" w:eastAsia="宋体" w:cs="Times New Roman"/>
                <w:sz w:val="24"/>
                <w:szCs w:val="24"/>
                <w:lang w:val="en-US" w:eastAsia="zh-CN"/>
              </w:rPr>
              <w:t>游牧风情院、观景平台</w:t>
            </w:r>
            <w:r>
              <w:rPr>
                <w:rFonts w:hint="default" w:ascii="Times New Roman" w:hAnsi="Times New Roman" w:eastAsia="宋体" w:cs="Times New Roman"/>
                <w:color w:val="000000"/>
                <w:kern w:val="0"/>
                <w:sz w:val="24"/>
                <w:szCs w:val="24"/>
                <w:lang w:val="en-US" w:eastAsia="zh-CN" w:bidi="ar"/>
              </w:rPr>
              <w:t>及其配套附属设施等，</w:t>
            </w:r>
            <w:r>
              <w:rPr>
                <w:rFonts w:hint="eastAsia" w:ascii="Times New Roman" w:hAnsi="Times New Roman" w:eastAsia="宋体" w:cs="Times New Roman"/>
                <w:color w:val="000000"/>
                <w:kern w:val="0"/>
                <w:sz w:val="24"/>
                <w:szCs w:val="24"/>
                <w:lang w:val="en-US" w:eastAsia="zh-CN" w:bidi="ar"/>
              </w:rPr>
              <w:t>位于《新疆天山天池国家地质公园总体规划》中的三工河景区，</w:t>
            </w:r>
            <w:r>
              <w:rPr>
                <w:rFonts w:hint="eastAsia" w:cs="Times New Roman"/>
                <w:color w:val="000000"/>
                <w:kern w:val="0"/>
                <w:sz w:val="24"/>
                <w:szCs w:val="24"/>
                <w:lang w:val="en-US" w:eastAsia="zh-CN" w:bidi="ar"/>
              </w:rPr>
              <w:t>本项目建成后</w:t>
            </w:r>
            <w:r>
              <w:rPr>
                <w:rFonts w:hint="eastAsia" w:cs="Times New Roman"/>
                <w:b w:val="0"/>
                <w:bCs/>
                <w:color w:val="000000"/>
                <w:sz w:val="24"/>
                <w:szCs w:val="24"/>
                <w:highlight w:val="none"/>
                <w:lang w:val="en-US" w:eastAsia="zh-CN"/>
              </w:rPr>
              <w:t>游客可以</w:t>
            </w:r>
            <w:r>
              <w:rPr>
                <w:rFonts w:hint="default" w:ascii="Times New Roman" w:hAnsi="Times New Roman" w:eastAsia="宋体" w:cs="Times New Roman"/>
                <w:b w:val="0"/>
                <w:bCs/>
                <w:color w:val="000000"/>
                <w:sz w:val="24"/>
                <w:szCs w:val="24"/>
                <w:highlight w:val="none"/>
                <w:lang w:val="en-US" w:eastAsia="zh-CN"/>
              </w:rPr>
              <w:t>体验民族风情和科普观</w:t>
            </w:r>
            <w:r>
              <w:rPr>
                <w:rFonts w:hint="eastAsia" w:ascii="Times New Roman" w:hAnsi="Times New Roman" w:eastAsia="宋体" w:cs="Times New Roman"/>
                <w:b w:val="0"/>
                <w:bCs/>
                <w:color w:val="000000"/>
                <w:sz w:val="24"/>
                <w:szCs w:val="24"/>
                <w:highlight w:val="none"/>
                <w:lang w:val="en-US" w:eastAsia="zh-CN"/>
              </w:rPr>
              <w:t>光</w:t>
            </w:r>
            <w:r>
              <w:rPr>
                <w:rFonts w:hint="eastAsia" w:cs="Times New Roman"/>
                <w:b w:val="0"/>
                <w:bCs/>
                <w:color w:val="000000"/>
                <w:sz w:val="24"/>
                <w:szCs w:val="24"/>
                <w:lang w:val="en-US" w:eastAsia="zh-CN"/>
              </w:rPr>
              <w:t>。</w:t>
            </w:r>
            <w:r>
              <w:rPr>
                <w:rFonts w:hint="eastAsia" w:ascii="Times New Roman" w:hAnsi="Times New Roman" w:eastAsia="宋体" w:cs="Times New Roman"/>
                <w:color w:val="000000"/>
                <w:kern w:val="0"/>
                <w:sz w:val="24"/>
                <w:szCs w:val="24"/>
                <w:lang w:val="en-US" w:eastAsia="zh-CN" w:bidi="ar"/>
              </w:rPr>
              <w:t>符合《新疆天山天池国家地质公园总体规划</w:t>
            </w:r>
            <w:r>
              <w:rPr>
                <w:rFonts w:hint="default" w:ascii="Times New Roman" w:hAnsi="Times New Roman" w:eastAsia="宋体" w:cs="Times New Roman"/>
                <w:b w:val="0"/>
                <w:bCs/>
                <w:color w:val="000000"/>
                <w:sz w:val="24"/>
                <w:szCs w:val="24"/>
                <w:lang w:val="en-US" w:eastAsia="zh-CN"/>
              </w:rPr>
              <w:t>（2012</w:t>
            </w:r>
            <w:r>
              <w:rPr>
                <w:rFonts w:hint="eastAsia" w:ascii="Times New Roman" w:hAnsi="Times New Roman" w:eastAsia="宋体" w:cs="Times New Roman"/>
                <w:b w:val="0"/>
                <w:bCs/>
                <w:color w:val="000000"/>
                <w:sz w:val="24"/>
                <w:szCs w:val="24"/>
                <w:lang w:val="en-US" w:eastAsia="zh-CN"/>
              </w:rPr>
              <w:t>—</w:t>
            </w:r>
            <w:r>
              <w:rPr>
                <w:rFonts w:hint="default" w:ascii="Times New Roman" w:hAnsi="Times New Roman" w:eastAsia="宋体" w:cs="Times New Roman"/>
                <w:b w:val="0"/>
                <w:bCs/>
                <w:color w:val="000000"/>
                <w:sz w:val="24"/>
                <w:szCs w:val="24"/>
                <w:lang w:val="en-US" w:eastAsia="zh-CN"/>
              </w:rPr>
              <w:t>2020年）</w:t>
            </w:r>
            <w:r>
              <w:rPr>
                <w:rFonts w:hint="eastAsia"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的要求</w:t>
            </w:r>
            <w:r>
              <w:rPr>
                <w:rFonts w:hint="eastAsia" w:ascii="Times New Roman" w:hAnsi="Times New Roman" w:eastAsia="宋体" w:cs="Times New Roman"/>
                <w:color w:val="000000"/>
                <w:kern w:val="0"/>
                <w:sz w:val="24"/>
                <w:szCs w:val="24"/>
                <w:lang w:val="en-US" w:eastAsia="zh-CN" w:bidi="ar"/>
              </w:rPr>
              <w:t>。</w:t>
            </w:r>
          </w:p>
          <w:p w14:paraId="53ED0B41">
            <w:pPr>
              <w:rPr>
                <w:rFonts w:hint="eastAsia" w:ascii="Times New Roman" w:hAnsi="Times New Roman" w:eastAsia="宋体" w:cs="Times New Roman"/>
                <w:color w:val="000000"/>
                <w:kern w:val="0"/>
                <w:sz w:val="24"/>
                <w:szCs w:val="24"/>
                <w:lang w:val="en-US" w:eastAsia="zh-CN" w:bidi="ar"/>
              </w:rPr>
            </w:pPr>
          </w:p>
          <w:p w14:paraId="212AC779">
            <w:pPr>
              <w:rPr>
                <w:rFonts w:hint="eastAsia" w:ascii="Times New Roman" w:hAnsi="Times New Roman" w:eastAsia="宋体" w:cs="Times New Roman"/>
                <w:color w:val="000000"/>
                <w:kern w:val="0"/>
                <w:sz w:val="24"/>
                <w:szCs w:val="24"/>
                <w:lang w:val="en-US" w:eastAsia="zh-CN" w:bidi="ar"/>
              </w:rPr>
            </w:pPr>
          </w:p>
          <w:p w14:paraId="29B3288C">
            <w:pPr>
              <w:rPr>
                <w:rFonts w:hint="eastAsia" w:ascii="Times New Roman" w:hAnsi="Times New Roman" w:eastAsia="宋体" w:cs="Times New Roman"/>
                <w:color w:val="000000"/>
                <w:kern w:val="0"/>
                <w:sz w:val="24"/>
                <w:szCs w:val="24"/>
                <w:lang w:val="en-US" w:eastAsia="zh-CN" w:bidi="ar"/>
              </w:rPr>
            </w:pPr>
          </w:p>
          <w:p w14:paraId="5AFD2FD0">
            <w:pPr>
              <w:rPr>
                <w:rFonts w:hint="eastAsia" w:ascii="Times New Roman" w:hAnsi="Times New Roman" w:eastAsia="宋体" w:cs="Times New Roman"/>
                <w:color w:val="000000"/>
                <w:kern w:val="0"/>
                <w:sz w:val="24"/>
                <w:szCs w:val="24"/>
                <w:lang w:val="en-US" w:eastAsia="zh-CN" w:bidi="ar"/>
              </w:rPr>
            </w:pPr>
          </w:p>
          <w:p w14:paraId="2BCD0F0B">
            <w:pPr>
              <w:rPr>
                <w:rFonts w:hint="eastAsia" w:ascii="Times New Roman" w:hAnsi="Times New Roman" w:eastAsia="宋体" w:cs="Times New Roman"/>
                <w:color w:val="000000"/>
                <w:kern w:val="0"/>
                <w:sz w:val="24"/>
                <w:szCs w:val="24"/>
                <w:lang w:val="en-US" w:eastAsia="zh-CN" w:bidi="ar"/>
              </w:rPr>
            </w:pPr>
          </w:p>
          <w:p w14:paraId="49B12623">
            <w:pPr>
              <w:rPr>
                <w:rFonts w:hint="eastAsia" w:ascii="Times New Roman" w:hAnsi="Times New Roman" w:eastAsia="宋体" w:cs="Times New Roman"/>
                <w:color w:val="000000"/>
                <w:kern w:val="0"/>
                <w:sz w:val="24"/>
                <w:szCs w:val="24"/>
                <w:lang w:val="en-US" w:eastAsia="zh-CN" w:bidi="ar"/>
              </w:rPr>
            </w:pPr>
          </w:p>
          <w:p w14:paraId="39749905">
            <w:pPr>
              <w:rPr>
                <w:rFonts w:hint="eastAsia" w:ascii="Times New Roman" w:hAnsi="Times New Roman" w:eastAsia="宋体" w:cs="Times New Roman"/>
                <w:color w:val="000000"/>
                <w:kern w:val="0"/>
                <w:sz w:val="24"/>
                <w:szCs w:val="24"/>
                <w:lang w:val="en-US" w:eastAsia="zh-CN" w:bidi="ar"/>
              </w:rPr>
            </w:pPr>
          </w:p>
          <w:p w14:paraId="663C7EAF">
            <w:pPr>
              <w:rPr>
                <w:rFonts w:hint="eastAsia" w:ascii="Times New Roman" w:hAnsi="Times New Roman" w:eastAsia="宋体" w:cs="Times New Roman"/>
                <w:color w:val="000000"/>
                <w:kern w:val="0"/>
                <w:sz w:val="24"/>
                <w:szCs w:val="24"/>
                <w:lang w:val="en-US" w:eastAsia="zh-CN" w:bidi="ar"/>
              </w:rPr>
            </w:pPr>
          </w:p>
          <w:p w14:paraId="4B172B19">
            <w:pPr>
              <w:rPr>
                <w:rFonts w:hint="eastAsia" w:ascii="Times New Roman" w:hAnsi="Times New Roman" w:eastAsia="宋体" w:cs="Times New Roman"/>
                <w:color w:val="000000"/>
                <w:kern w:val="0"/>
                <w:sz w:val="24"/>
                <w:szCs w:val="24"/>
                <w:lang w:val="en-US" w:eastAsia="zh-CN" w:bidi="ar"/>
              </w:rPr>
            </w:pPr>
          </w:p>
          <w:p w14:paraId="663A9F13">
            <w:pPr>
              <w:rPr>
                <w:rFonts w:hint="eastAsia" w:ascii="Times New Roman" w:hAnsi="Times New Roman" w:eastAsia="宋体" w:cs="Times New Roman"/>
                <w:color w:val="000000"/>
                <w:kern w:val="0"/>
                <w:sz w:val="24"/>
                <w:szCs w:val="24"/>
                <w:lang w:val="en-US" w:eastAsia="zh-CN" w:bidi="ar"/>
              </w:rPr>
            </w:pPr>
          </w:p>
          <w:p w14:paraId="716A8BF2">
            <w:pPr>
              <w:rPr>
                <w:rFonts w:hint="eastAsia" w:ascii="Times New Roman" w:hAnsi="Times New Roman" w:eastAsia="宋体" w:cs="Times New Roman"/>
                <w:color w:val="000000"/>
                <w:kern w:val="0"/>
                <w:sz w:val="24"/>
                <w:szCs w:val="24"/>
                <w:lang w:val="en-US" w:eastAsia="zh-CN" w:bidi="ar"/>
              </w:rPr>
            </w:pPr>
          </w:p>
          <w:p w14:paraId="030AD559">
            <w:pPr>
              <w:rPr>
                <w:rFonts w:hint="eastAsia" w:ascii="Times New Roman" w:hAnsi="Times New Roman" w:eastAsia="宋体" w:cs="Times New Roman"/>
                <w:color w:val="000000"/>
                <w:kern w:val="0"/>
                <w:sz w:val="24"/>
                <w:szCs w:val="24"/>
                <w:lang w:val="en-US" w:eastAsia="zh-CN" w:bidi="ar"/>
              </w:rPr>
            </w:pPr>
          </w:p>
          <w:p w14:paraId="70E5D174">
            <w:pPr>
              <w:rPr>
                <w:rFonts w:hint="eastAsia" w:ascii="Times New Roman" w:hAnsi="Times New Roman" w:eastAsia="宋体" w:cs="Times New Roman"/>
                <w:color w:val="000000"/>
                <w:kern w:val="0"/>
                <w:sz w:val="24"/>
                <w:szCs w:val="24"/>
                <w:lang w:val="en-US" w:eastAsia="zh-CN" w:bidi="ar"/>
              </w:rPr>
            </w:pPr>
          </w:p>
          <w:p w14:paraId="79A1C01E">
            <w:pPr>
              <w:rPr>
                <w:rFonts w:hint="eastAsia" w:ascii="Times New Roman" w:hAnsi="Times New Roman" w:eastAsia="宋体" w:cs="Times New Roman"/>
                <w:color w:val="000000"/>
                <w:kern w:val="0"/>
                <w:sz w:val="24"/>
                <w:szCs w:val="24"/>
                <w:lang w:val="en-US" w:eastAsia="zh-CN" w:bidi="ar"/>
              </w:rPr>
            </w:pPr>
          </w:p>
          <w:p w14:paraId="1CD8F5FB">
            <w:pPr>
              <w:rPr>
                <w:rFonts w:hint="eastAsia" w:ascii="Times New Roman" w:hAnsi="Times New Roman" w:eastAsia="宋体" w:cs="Times New Roman"/>
                <w:color w:val="000000"/>
                <w:kern w:val="0"/>
                <w:sz w:val="24"/>
                <w:szCs w:val="24"/>
                <w:lang w:val="en-US" w:eastAsia="zh-CN" w:bidi="ar"/>
              </w:rPr>
            </w:pPr>
          </w:p>
          <w:p w14:paraId="54FE09ED">
            <w:pPr>
              <w:rPr>
                <w:rFonts w:hint="eastAsia" w:ascii="Times New Roman" w:hAnsi="Times New Roman" w:eastAsia="宋体" w:cs="Times New Roman"/>
                <w:color w:val="000000"/>
                <w:kern w:val="0"/>
                <w:sz w:val="24"/>
                <w:szCs w:val="24"/>
                <w:lang w:val="en-US" w:eastAsia="zh-CN" w:bidi="ar"/>
              </w:rPr>
            </w:pPr>
          </w:p>
          <w:p w14:paraId="3117C4F9">
            <w:pPr>
              <w:rPr>
                <w:rFonts w:hint="eastAsia" w:ascii="Times New Roman" w:hAnsi="Times New Roman" w:eastAsia="宋体" w:cs="Times New Roman"/>
                <w:color w:val="000000"/>
                <w:kern w:val="0"/>
                <w:sz w:val="24"/>
                <w:szCs w:val="24"/>
                <w:lang w:val="en-US" w:eastAsia="zh-CN" w:bidi="ar"/>
              </w:rPr>
            </w:pPr>
          </w:p>
          <w:p w14:paraId="19C555D8">
            <w:pPr>
              <w:rPr>
                <w:rFonts w:hint="eastAsia" w:ascii="Times New Roman" w:hAnsi="Times New Roman" w:eastAsia="宋体" w:cs="Times New Roman"/>
                <w:color w:val="000000"/>
                <w:kern w:val="0"/>
                <w:sz w:val="24"/>
                <w:szCs w:val="24"/>
                <w:lang w:val="en-US" w:eastAsia="zh-CN" w:bidi="ar"/>
              </w:rPr>
            </w:pPr>
          </w:p>
          <w:p w14:paraId="6299D6E2">
            <w:pPr>
              <w:rPr>
                <w:rFonts w:hint="eastAsia" w:ascii="Times New Roman" w:hAnsi="Times New Roman" w:eastAsia="宋体" w:cs="Times New Roman"/>
                <w:color w:val="000000"/>
                <w:kern w:val="0"/>
                <w:sz w:val="24"/>
                <w:szCs w:val="24"/>
                <w:lang w:val="en-US" w:eastAsia="zh-CN" w:bidi="ar"/>
              </w:rPr>
            </w:pPr>
          </w:p>
          <w:p w14:paraId="4AA639C6">
            <w:pPr>
              <w:rPr>
                <w:rFonts w:hint="eastAsia" w:ascii="Times New Roman" w:hAnsi="Times New Roman" w:eastAsia="宋体" w:cs="Times New Roman"/>
                <w:color w:val="000000"/>
                <w:kern w:val="0"/>
                <w:sz w:val="24"/>
                <w:szCs w:val="24"/>
                <w:lang w:val="en-US" w:eastAsia="zh-CN" w:bidi="ar"/>
              </w:rPr>
            </w:pPr>
          </w:p>
          <w:p w14:paraId="1732C43C">
            <w:pPr>
              <w:rPr>
                <w:rFonts w:hint="eastAsia" w:ascii="Times New Roman" w:hAnsi="Times New Roman" w:eastAsia="宋体" w:cs="Times New Roman"/>
                <w:color w:val="000000"/>
                <w:kern w:val="0"/>
                <w:sz w:val="24"/>
                <w:szCs w:val="24"/>
                <w:lang w:val="en-US" w:eastAsia="zh-CN" w:bidi="ar"/>
              </w:rPr>
            </w:pPr>
          </w:p>
          <w:p w14:paraId="1E8346E4">
            <w:pPr>
              <w:rPr>
                <w:rFonts w:hint="default" w:ascii="Times New Roman" w:hAnsi="Times New Roman" w:eastAsia="宋体" w:cs="Times New Roman"/>
                <w:color w:val="000000"/>
                <w:kern w:val="0"/>
                <w:sz w:val="24"/>
                <w:szCs w:val="24"/>
                <w:lang w:val="en-US" w:eastAsia="zh-CN" w:bidi="ar"/>
              </w:rPr>
            </w:pPr>
          </w:p>
        </w:tc>
      </w:tr>
      <w:tr w14:paraId="38ABCE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470" w:hRule="atLeast"/>
        </w:trPr>
        <w:tc>
          <w:tcPr>
            <w:tcW w:w="1089" w:type="pct"/>
            <w:noWrap w:val="0"/>
            <w:tcMar>
              <w:top w:w="16" w:type="dxa"/>
              <w:left w:w="16" w:type="dxa"/>
              <w:right w:w="16" w:type="dxa"/>
            </w:tcMar>
            <w:vAlign w:val="center"/>
          </w:tcPr>
          <w:p w14:paraId="782C32D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Cs w:val="21"/>
                <w:highlight w:val="none"/>
              </w:rPr>
            </w:pPr>
            <w:bookmarkStart w:id="8" w:name="_Hlk56690880"/>
            <w:r>
              <w:rPr>
                <w:rFonts w:hint="default" w:ascii="Times New Roman" w:hAnsi="Times New Roman" w:eastAsia="宋体" w:cs="Times New Roman"/>
                <w:color w:val="000000"/>
                <w:kern w:val="0"/>
                <w:szCs w:val="21"/>
                <w:highlight w:val="none"/>
              </w:rPr>
              <w:t>其他符合性分析</w:t>
            </w:r>
            <w:bookmarkEnd w:id="8"/>
          </w:p>
        </w:tc>
        <w:tc>
          <w:tcPr>
            <w:tcW w:w="3910" w:type="pct"/>
            <w:gridSpan w:val="3"/>
            <w:noWrap w:val="0"/>
            <w:tcMar>
              <w:top w:w="16" w:type="dxa"/>
              <w:left w:w="16" w:type="dxa"/>
              <w:right w:w="16" w:type="dxa"/>
            </w:tcMar>
            <w:vAlign w:val="center"/>
          </w:tcPr>
          <w:p w14:paraId="1F01083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kern w:val="0"/>
                <w:sz w:val="24"/>
                <w:szCs w:val="24"/>
                <w:highlight w:val="none"/>
                <w:lang w:val="en-US" w:eastAsia="zh-CN"/>
              </w:rPr>
            </w:pPr>
            <w:r>
              <w:rPr>
                <w:rFonts w:hint="eastAsia" w:cs="Times New Roman"/>
                <w:b/>
                <w:bCs/>
                <w:color w:val="000000"/>
                <w:kern w:val="0"/>
                <w:sz w:val="24"/>
                <w:szCs w:val="24"/>
                <w:highlight w:val="none"/>
                <w:lang w:val="en-US" w:eastAsia="zh-CN"/>
              </w:rPr>
              <w:t>1.</w:t>
            </w:r>
            <w:r>
              <w:rPr>
                <w:rFonts w:hint="default" w:ascii="Times New Roman" w:hAnsi="Times New Roman" w:eastAsia="宋体" w:cs="Times New Roman"/>
                <w:b/>
                <w:bCs/>
                <w:color w:val="000000"/>
                <w:kern w:val="0"/>
                <w:sz w:val="24"/>
                <w:szCs w:val="24"/>
                <w:highlight w:val="none"/>
                <w:lang w:val="en-US" w:eastAsia="zh-CN"/>
              </w:rPr>
              <w:t>产业政策符合性分析</w:t>
            </w:r>
          </w:p>
          <w:p w14:paraId="0BEFA7B5">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本项目属于《国民经济行业分类》</w:t>
            </w:r>
            <w:r>
              <w:rPr>
                <w:rFonts w:hint="eastAsia" w:cs="Times New Roman"/>
                <w:color w:val="000000"/>
                <w:kern w:val="0"/>
                <w:sz w:val="24"/>
                <w:szCs w:val="24"/>
                <w:lang w:val="en-US" w:eastAsia="zh-CN" w:bidi="ar"/>
              </w:rPr>
              <w:t>（GB/T</w:t>
            </w:r>
            <w:r>
              <w:rPr>
                <w:rFonts w:hint="default" w:ascii="Times New Roman" w:hAnsi="Times New Roman" w:eastAsia="宋体" w:cs="Times New Roman"/>
                <w:color w:val="000000"/>
                <w:kern w:val="0"/>
                <w:sz w:val="24"/>
                <w:szCs w:val="24"/>
                <w:lang w:val="en-US" w:eastAsia="zh-CN" w:bidi="ar"/>
              </w:rPr>
              <w:t xml:space="preserve"> 4754-2017</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2019年修改</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中：H6130</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民宿服务；根据《产业结构调整指导目录</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2024年本</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》，项目不属于“鼓励类、限制类、淘汰类”项目。根据</w:t>
            </w:r>
            <w:r>
              <w:rPr>
                <w:rFonts w:ascii="宋体" w:hAnsi="宋体" w:eastAsia="宋体" w:cs="宋体"/>
                <w:sz w:val="24"/>
                <w:szCs w:val="24"/>
              </w:rPr>
              <w:t>国务院关于发布实施《促进产业结构调整暂行规定》的决定</w:t>
            </w:r>
            <w:r>
              <w:rPr>
                <w:rFonts w:hint="eastAsia" w:ascii="宋体" w:hAnsi="宋体" w:cs="宋体"/>
                <w:sz w:val="24"/>
                <w:szCs w:val="24"/>
                <w:lang w:eastAsia="zh-CN"/>
              </w:rPr>
              <w:t>（</w:t>
            </w:r>
            <w:r>
              <w:rPr>
                <w:rFonts w:hint="default" w:ascii="Times New Roman" w:hAnsi="Times New Roman" w:eastAsia="宋体" w:cs="Times New Roman"/>
                <w:color w:val="000000"/>
                <w:kern w:val="0"/>
                <w:sz w:val="24"/>
                <w:szCs w:val="24"/>
                <w:lang w:val="en-US" w:eastAsia="zh-CN" w:bidi="ar"/>
              </w:rPr>
              <w:t>国</w:t>
            </w:r>
            <w:r>
              <w:rPr>
                <w:rFonts w:hint="eastAsia" w:ascii="Times New Roman" w:hAnsi="Times New Roman" w:eastAsia="宋体" w:cs="Times New Roman"/>
                <w:color w:val="000000"/>
                <w:kern w:val="0"/>
                <w:sz w:val="24"/>
                <w:szCs w:val="24"/>
                <w:lang w:val="en-US" w:eastAsia="zh-CN" w:bidi="ar"/>
              </w:rPr>
              <w:t>发</w:t>
            </w:r>
            <w:r>
              <w:rPr>
                <w:rFonts w:hint="default" w:ascii="Times New Roman" w:hAnsi="Times New Roman" w:eastAsia="宋体" w:cs="Times New Roman"/>
                <w:sz w:val="24"/>
                <w:szCs w:val="24"/>
              </w:rPr>
              <w:t>〔</w:t>
            </w:r>
            <w:r>
              <w:rPr>
                <w:rFonts w:hint="default" w:ascii="Times New Roman" w:hAnsi="Times New Roman" w:eastAsia="宋体" w:cs="Times New Roman"/>
                <w:color w:val="000000"/>
                <w:kern w:val="0"/>
                <w:sz w:val="24"/>
                <w:szCs w:val="24"/>
                <w:highlight w:val="none"/>
                <w:lang w:val="en-US" w:eastAsia="zh-CN" w:bidi="ar"/>
              </w:rPr>
              <w:t>2005</w:t>
            </w:r>
            <w:r>
              <w:rPr>
                <w:rFonts w:hint="default" w:ascii="Times New Roman" w:hAnsi="Times New Roman" w:eastAsia="宋体" w:cs="Times New Roman"/>
                <w:sz w:val="24"/>
                <w:szCs w:val="24"/>
              </w:rPr>
              <w:t>〕</w:t>
            </w:r>
            <w:r>
              <w:rPr>
                <w:rFonts w:hint="default" w:ascii="Times New Roman" w:hAnsi="Times New Roman" w:eastAsia="宋体" w:cs="Times New Roman"/>
                <w:color w:val="000000"/>
                <w:kern w:val="0"/>
                <w:sz w:val="24"/>
                <w:szCs w:val="24"/>
                <w:highlight w:val="none"/>
                <w:lang w:val="en-US" w:eastAsia="zh-CN" w:bidi="ar"/>
              </w:rPr>
              <w:t>40号</w:t>
            </w:r>
            <w:r>
              <w:rPr>
                <w:rFonts w:hint="eastAsia" w:cs="Times New Roman"/>
                <w:color w:val="000000"/>
                <w:kern w:val="0"/>
                <w:sz w:val="24"/>
                <w:szCs w:val="24"/>
                <w:highlight w:val="none"/>
                <w:lang w:val="en-US" w:eastAsia="zh-CN" w:bidi="ar"/>
              </w:rPr>
              <w:t>）</w:t>
            </w:r>
            <w:r>
              <w:rPr>
                <w:rFonts w:hint="eastAsia" w:ascii="Times New Roman" w:hAnsi="Times New Roman" w:eastAsia="宋体"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lang w:val="en-US" w:eastAsia="zh-CN" w:bidi="ar"/>
              </w:rPr>
              <w:t>“不属于鼓励类、限制类和淘汰类，且符合国家有关</w:t>
            </w:r>
            <w:r>
              <w:rPr>
                <w:rFonts w:hint="eastAsia" w:cs="Times New Roman"/>
                <w:color w:val="000000"/>
                <w:kern w:val="0"/>
                <w:sz w:val="24"/>
                <w:szCs w:val="24"/>
                <w:lang w:val="en-US" w:eastAsia="zh-CN" w:bidi="ar"/>
              </w:rPr>
              <w:t>法律法规</w:t>
            </w:r>
            <w:r>
              <w:rPr>
                <w:rFonts w:hint="default" w:ascii="Times New Roman" w:hAnsi="Times New Roman" w:eastAsia="宋体" w:cs="Times New Roman"/>
                <w:color w:val="000000"/>
                <w:kern w:val="0"/>
                <w:sz w:val="24"/>
                <w:szCs w:val="24"/>
                <w:lang w:val="en-US" w:eastAsia="zh-CN" w:bidi="ar"/>
              </w:rPr>
              <w:t>和政策规定的，为允许类。允许类不列入《产业结构调整指导目录</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2024年本</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》”。因此，本项目属于“允许类”。</w:t>
            </w:r>
          </w:p>
          <w:p w14:paraId="6D4528EE">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rPr>
              <w:t>根据《市场准入负面清单（202</w:t>
            </w:r>
            <w:r>
              <w:rPr>
                <w:rFonts w:hint="default" w:ascii="Times New Roman" w:hAnsi="Times New Roman" w:eastAsia="宋体" w:cs="Times New Roman"/>
                <w:color w:val="000000"/>
                <w:lang w:val="en-US" w:eastAsia="zh-CN"/>
              </w:rPr>
              <w:t>5</w:t>
            </w:r>
            <w:r>
              <w:rPr>
                <w:rFonts w:hint="default" w:ascii="Times New Roman" w:hAnsi="Times New Roman" w:eastAsia="宋体" w:cs="Times New Roman"/>
                <w:color w:val="000000"/>
              </w:rPr>
              <w:t>年版）</w:t>
            </w:r>
            <w:r>
              <w:rPr>
                <w:rFonts w:hint="default" w:ascii="Times New Roman" w:hAnsi="Times New Roman" w:eastAsia="宋体" w:cs="Times New Roman"/>
                <w:color w:val="000000"/>
                <w:lang w:eastAsia="zh-CN"/>
              </w:rPr>
              <w:t>》</w:t>
            </w:r>
            <w:r>
              <w:rPr>
                <w:rFonts w:hint="default" w:ascii="Times New Roman" w:hAnsi="Times New Roman" w:eastAsia="宋体" w:cs="Times New Roman"/>
                <w:color w:val="000000"/>
              </w:rPr>
              <w:t>，本项目不属于禁止准入的</w:t>
            </w:r>
            <w:r>
              <w:rPr>
                <w:rFonts w:hint="default" w:ascii="Times New Roman" w:hAnsi="Times New Roman" w:eastAsia="宋体" w:cs="Times New Roman"/>
                <w:color w:val="000000"/>
                <w:lang w:eastAsia="zh-CN"/>
              </w:rPr>
              <w:t>行业类别</w:t>
            </w:r>
            <w:r>
              <w:rPr>
                <w:rFonts w:hint="default" w:ascii="Times New Roman" w:hAnsi="Times New Roman" w:eastAsia="宋体" w:cs="Times New Roman"/>
                <w:color w:val="000000"/>
              </w:rPr>
              <w:t>，也不在需要许可</w:t>
            </w:r>
            <w:r>
              <w:rPr>
                <w:rFonts w:hint="default" w:ascii="Times New Roman" w:hAnsi="Times New Roman" w:eastAsia="宋体" w:cs="Times New Roman"/>
                <w:color w:val="000000"/>
                <w:lang w:eastAsia="zh-CN"/>
              </w:rPr>
              <w:t>方可</w:t>
            </w:r>
            <w:r>
              <w:rPr>
                <w:rFonts w:hint="default" w:ascii="Times New Roman" w:hAnsi="Times New Roman" w:eastAsia="宋体" w:cs="Times New Roman"/>
                <w:color w:val="000000"/>
              </w:rPr>
              <w:t>准入的行业类别</w:t>
            </w:r>
            <w:r>
              <w:rPr>
                <w:rFonts w:hint="default" w:ascii="Times New Roman" w:hAnsi="Times New Roman" w:eastAsia="宋体" w:cs="Times New Roman"/>
                <w:color w:val="000000"/>
                <w:lang w:eastAsia="zh-CN"/>
              </w:rPr>
              <w:t>中，</w:t>
            </w:r>
            <w:r>
              <w:rPr>
                <w:rFonts w:hint="default" w:ascii="Times New Roman" w:hAnsi="Times New Roman" w:eastAsia="宋体" w:cs="Times New Roman"/>
                <w:color w:val="000000"/>
              </w:rPr>
              <w:t>建设单位可以依法进入。因此，本项目符合国家产业政策发展规划要求。</w:t>
            </w:r>
          </w:p>
          <w:p w14:paraId="0CB91ED9">
            <w:pPr>
              <w:keepNext w:val="0"/>
              <w:keepLines w:val="0"/>
              <w:pageBreakBefore w:val="0"/>
              <w:widowControl/>
              <w:suppressLineNumbers w:val="0"/>
              <w:kinsoku/>
              <w:wordWrap/>
              <w:overflowPunct/>
              <w:topLinePunct w:val="0"/>
              <w:autoSpaceDE/>
              <w:autoSpaceDN/>
              <w:bidi w:val="0"/>
              <w:snapToGrid w:val="0"/>
              <w:jc w:val="both"/>
              <w:textAlignment w:val="auto"/>
              <w:rPr>
                <w:rFonts w:hint="default" w:ascii="Times New Roman" w:hAnsi="Times New Roman" w:eastAsia="宋体" w:cs="Times New Roman"/>
                <w:color w:val="000000"/>
              </w:rPr>
            </w:pPr>
            <w:r>
              <w:rPr>
                <w:rFonts w:hint="eastAsia" w:cs="Times New Roman"/>
                <w:b/>
                <w:bCs/>
                <w:color w:val="000000"/>
                <w:kern w:val="0"/>
                <w:sz w:val="24"/>
                <w:szCs w:val="24"/>
                <w:lang w:val="en-US" w:eastAsia="zh-CN" w:bidi="ar"/>
              </w:rPr>
              <w:t>2.</w:t>
            </w:r>
            <w:r>
              <w:rPr>
                <w:rFonts w:hint="default" w:ascii="Times New Roman" w:hAnsi="Times New Roman" w:eastAsia="宋体" w:cs="Times New Roman"/>
                <w:b/>
                <w:bCs/>
                <w:color w:val="000000"/>
                <w:kern w:val="0"/>
                <w:sz w:val="24"/>
                <w:szCs w:val="24"/>
                <w:lang w:val="en-US" w:eastAsia="zh-CN" w:bidi="ar"/>
              </w:rPr>
              <w:t xml:space="preserve">《新疆维吾尔自治区国民经济和社会发展第十五个五年规划纲要》符合性分析 </w:t>
            </w:r>
          </w:p>
          <w:p w14:paraId="3584DD52">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《新疆维吾尔自治区国民经济和社会发展第十</w:t>
            </w:r>
            <w:r>
              <w:rPr>
                <w:rFonts w:hint="eastAsia" w:cs="Times New Roman"/>
                <w:color w:val="000000"/>
                <w:kern w:val="0"/>
                <w:sz w:val="24"/>
                <w:szCs w:val="24"/>
                <w:lang w:val="en-US" w:eastAsia="zh-CN" w:bidi="ar"/>
              </w:rPr>
              <w:t>五</w:t>
            </w:r>
            <w:r>
              <w:rPr>
                <w:rFonts w:hint="default" w:ascii="Times New Roman" w:hAnsi="Times New Roman" w:eastAsia="宋体" w:cs="Times New Roman"/>
                <w:color w:val="000000"/>
                <w:kern w:val="0"/>
                <w:sz w:val="24"/>
                <w:szCs w:val="24"/>
                <w:lang w:val="en-US" w:eastAsia="zh-CN" w:bidi="ar"/>
              </w:rPr>
              <w:t>个五年规划纲要》第</w:t>
            </w:r>
            <w:r>
              <w:rPr>
                <w:rFonts w:hint="eastAsia" w:cs="Times New Roman"/>
                <w:color w:val="000000"/>
                <w:kern w:val="0"/>
                <w:sz w:val="24"/>
                <w:szCs w:val="24"/>
                <w:lang w:val="en-US" w:eastAsia="zh-CN" w:bidi="ar"/>
              </w:rPr>
              <w:t>九</w:t>
            </w:r>
            <w:r>
              <w:rPr>
                <w:rFonts w:hint="default" w:ascii="Times New Roman" w:hAnsi="Times New Roman" w:eastAsia="宋体" w:cs="Times New Roman"/>
                <w:color w:val="000000"/>
                <w:kern w:val="0"/>
                <w:sz w:val="24"/>
                <w:szCs w:val="24"/>
                <w:lang w:val="en-US" w:eastAsia="zh-CN" w:bidi="ar"/>
              </w:rPr>
              <w:t>篇第</w:t>
            </w:r>
            <w:r>
              <w:rPr>
                <w:rFonts w:hint="eastAsia" w:cs="Times New Roman"/>
                <w:color w:val="000000"/>
                <w:kern w:val="0"/>
                <w:sz w:val="24"/>
                <w:szCs w:val="24"/>
                <w:lang w:val="en-US" w:eastAsia="zh-CN" w:bidi="ar"/>
              </w:rPr>
              <w:t>四</w:t>
            </w:r>
            <w:r>
              <w:rPr>
                <w:rFonts w:hint="default" w:ascii="Times New Roman" w:hAnsi="Times New Roman" w:eastAsia="宋体" w:cs="Times New Roman"/>
                <w:color w:val="000000"/>
                <w:kern w:val="0"/>
                <w:sz w:val="24"/>
                <w:szCs w:val="24"/>
                <w:lang w:val="en-US" w:eastAsia="zh-CN" w:bidi="ar"/>
              </w:rPr>
              <w:t>章“</w:t>
            </w:r>
            <w:r>
              <w:rPr>
                <w:rFonts w:hint="default" w:ascii="Times New Roman" w:hAnsi="Times New Roman" w:eastAsia="宋体" w:cs="Times New Roman"/>
                <w:sz w:val="24"/>
                <w:szCs w:val="24"/>
              </w:rPr>
              <w:t>壮大优势旅游产业链。做强做优观光度假旅游品牌，打造喀纳斯、赛里木湖、喀拉峻、喀什古城、江布拉克、天山天池、交河故城、天山托木尔等知名旅游景区，持续提升那拉提、葡萄沟、温泉县圣泉、吉克普林等旅游度假区服务品质。丰富高品质旅游产品供给，推动智慧旅游创新发展，加快发展冰雪旅游、沙漠旅游、自驾旅游、铁路旅游、低空旅游、研学旅游、红色旅游、入境旅游和边境旅游等。提升旅游基础设施和配套服务水平，持续推动交通干线和重要旅游景区衔接、经营主体引培、数智赋能、宣传推广等支撑能力建设，优化旅游服务品质，加强旅游市场综合监管和安全管理，健全应急救援体系，改善旅游消费体验。</w:t>
            </w:r>
            <w:r>
              <w:rPr>
                <w:rFonts w:hint="default" w:ascii="Times New Roman" w:hAnsi="Times New Roman" w:eastAsia="宋体" w:cs="Times New Roman"/>
                <w:color w:val="000000"/>
                <w:kern w:val="0"/>
                <w:sz w:val="24"/>
                <w:szCs w:val="24"/>
                <w:lang w:val="en-US" w:eastAsia="zh-CN" w:bidi="ar"/>
              </w:rPr>
              <w:t>”</w:t>
            </w:r>
          </w:p>
          <w:p w14:paraId="17E9FE29">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本项目位于</w:t>
            </w:r>
            <w:r>
              <w:rPr>
                <w:rFonts w:hint="default" w:ascii="Times New Roman" w:hAnsi="Times New Roman" w:eastAsia="宋体" w:cs="Times New Roman"/>
                <w:color w:val="000000"/>
                <w:szCs w:val="21"/>
                <w:highlight w:val="none"/>
                <w:lang w:val="en-US" w:eastAsia="zh-CN"/>
              </w:rPr>
              <w:t>新疆维吾尔自治区昌吉回族自治州阜康市三工河哈萨克乡花儿沟村</w:t>
            </w:r>
            <w:r>
              <w:rPr>
                <w:rFonts w:hint="default" w:ascii="Times New Roman" w:hAnsi="Times New Roman" w:eastAsia="宋体" w:cs="Times New Roman"/>
                <w:color w:val="000000"/>
                <w:kern w:val="0"/>
                <w:sz w:val="24"/>
                <w:szCs w:val="24"/>
                <w:lang w:val="en-US" w:eastAsia="zh-CN" w:bidi="ar"/>
              </w:rPr>
              <w:t>，属于</w:t>
            </w:r>
            <w:r>
              <w:rPr>
                <w:rFonts w:hint="default" w:ascii="Times New Roman" w:hAnsi="Times New Roman" w:eastAsia="宋体" w:cs="Times New Roman"/>
                <w:sz w:val="24"/>
                <w:szCs w:val="24"/>
              </w:rPr>
              <w:t>旅游基础设施建设，包括民宿、</w:t>
            </w:r>
            <w:r>
              <w:rPr>
                <w:rFonts w:hint="default" w:ascii="Times New Roman" w:hAnsi="Times New Roman" w:eastAsia="宋体" w:cs="Times New Roman"/>
                <w:sz w:val="24"/>
                <w:szCs w:val="24"/>
                <w:lang w:val="en-US" w:eastAsia="zh-CN"/>
              </w:rPr>
              <w:t>游牧风情院、观景平台</w:t>
            </w:r>
            <w:r>
              <w:rPr>
                <w:rFonts w:hint="default" w:ascii="Times New Roman" w:hAnsi="Times New Roman" w:eastAsia="宋体" w:cs="Times New Roman"/>
                <w:color w:val="000000"/>
                <w:kern w:val="0"/>
                <w:sz w:val="24"/>
                <w:szCs w:val="24"/>
                <w:lang w:val="en-US" w:eastAsia="zh-CN" w:bidi="ar"/>
              </w:rPr>
              <w:t>及其配套附属设施等，符合《新疆维吾尔自治区国民经济和社会发展第十五个五年规划纲要》。</w:t>
            </w:r>
          </w:p>
          <w:p w14:paraId="39FCD77B">
            <w:pPr>
              <w:keepNext w:val="0"/>
              <w:keepLines w:val="0"/>
              <w:pageBreakBefore w:val="0"/>
              <w:widowControl/>
              <w:suppressLineNumbers w:val="0"/>
              <w:kinsoku/>
              <w:wordWrap/>
              <w:overflowPunct/>
              <w:topLinePunct w:val="0"/>
              <w:autoSpaceDE/>
              <w:autoSpaceDN/>
              <w:bidi w:val="0"/>
              <w:snapToGrid w:val="0"/>
              <w:jc w:val="both"/>
              <w:textAlignment w:val="auto"/>
              <w:rPr>
                <w:rFonts w:hint="default" w:ascii="Times New Roman" w:hAnsi="Times New Roman" w:eastAsia="宋体" w:cs="Times New Roman"/>
                <w:b/>
                <w:bCs/>
                <w:color w:val="000000"/>
                <w:kern w:val="0"/>
                <w:sz w:val="24"/>
                <w:szCs w:val="24"/>
                <w:lang w:val="en-US" w:eastAsia="zh-CN" w:bidi="ar"/>
              </w:rPr>
            </w:pPr>
            <w:r>
              <w:rPr>
                <w:rFonts w:hint="eastAsia" w:cs="Times New Roman"/>
                <w:b/>
                <w:bCs/>
                <w:color w:val="000000"/>
                <w:kern w:val="0"/>
                <w:sz w:val="24"/>
                <w:szCs w:val="24"/>
                <w:lang w:val="en-US" w:eastAsia="zh-CN" w:bidi="ar"/>
              </w:rPr>
              <w:t>3.</w:t>
            </w:r>
            <w:r>
              <w:rPr>
                <w:rFonts w:hint="default" w:ascii="Times New Roman" w:hAnsi="Times New Roman" w:eastAsia="宋体" w:cs="Times New Roman"/>
                <w:b/>
                <w:bCs/>
                <w:color w:val="000000"/>
                <w:kern w:val="0"/>
                <w:sz w:val="24"/>
                <w:szCs w:val="24"/>
                <w:lang w:val="en-US" w:eastAsia="zh-CN" w:bidi="ar"/>
              </w:rPr>
              <w:t>《昌吉回族自治州国民经济和社会发展第十</w:t>
            </w:r>
            <w:r>
              <w:rPr>
                <w:rFonts w:hint="eastAsia" w:cs="Times New Roman"/>
                <w:b/>
                <w:bCs/>
                <w:color w:val="000000"/>
                <w:kern w:val="0"/>
                <w:sz w:val="24"/>
                <w:szCs w:val="24"/>
                <w:lang w:val="en-US" w:eastAsia="zh-CN" w:bidi="ar"/>
              </w:rPr>
              <w:t>五</w:t>
            </w:r>
            <w:r>
              <w:rPr>
                <w:rFonts w:hint="default" w:ascii="Times New Roman" w:hAnsi="Times New Roman" w:eastAsia="宋体" w:cs="Times New Roman"/>
                <w:b/>
                <w:bCs/>
                <w:color w:val="000000"/>
                <w:kern w:val="0"/>
                <w:sz w:val="24"/>
                <w:szCs w:val="24"/>
                <w:lang w:val="en-US" w:eastAsia="zh-CN" w:bidi="ar"/>
              </w:rPr>
              <w:t>个五年规划纲要》符合性分析</w:t>
            </w:r>
          </w:p>
          <w:p w14:paraId="5AEF8DA8">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《昌吉回族自治州国民经济和社会发展第十</w:t>
            </w:r>
            <w:r>
              <w:rPr>
                <w:rFonts w:hint="eastAsia" w:cs="Times New Roman"/>
                <w:color w:val="000000"/>
                <w:kern w:val="0"/>
                <w:sz w:val="24"/>
                <w:szCs w:val="24"/>
                <w:highlight w:val="none"/>
                <w:lang w:val="en-US" w:eastAsia="zh-CN" w:bidi="ar"/>
              </w:rPr>
              <w:t>五</w:t>
            </w:r>
            <w:r>
              <w:rPr>
                <w:rFonts w:hint="default" w:ascii="Times New Roman" w:hAnsi="Times New Roman" w:eastAsia="宋体" w:cs="Times New Roman"/>
                <w:color w:val="000000"/>
                <w:kern w:val="0"/>
                <w:sz w:val="24"/>
                <w:szCs w:val="24"/>
                <w:highlight w:val="none"/>
                <w:lang w:val="en-US" w:eastAsia="zh-CN" w:bidi="ar"/>
              </w:rPr>
              <w:t>个五年规划纲要》第十一篇</w:t>
            </w:r>
            <w:r>
              <w:rPr>
                <w:rFonts w:hint="eastAsia" w:cs="Times New Roman"/>
                <w:color w:val="000000"/>
                <w:kern w:val="0"/>
                <w:sz w:val="24"/>
                <w:szCs w:val="24"/>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推进文化旅游深度融合，打造现代服务业集聚区</w:t>
            </w:r>
            <w:r>
              <w:rPr>
                <w:rFonts w:hint="eastAsia" w:cs="Times New Roman"/>
                <w:color w:val="000000"/>
                <w:kern w:val="0"/>
                <w:sz w:val="24"/>
                <w:szCs w:val="24"/>
                <w:highlight w:val="none"/>
                <w:lang w:val="en-US" w:eastAsia="zh-CN" w:bidi="ar"/>
              </w:rPr>
              <w:t xml:space="preserve"> 第一章 推进文旅产业更具活力</w:t>
            </w:r>
            <w:r>
              <w:rPr>
                <w:rFonts w:hint="default" w:ascii="Times New Roman" w:hAnsi="Times New Roman" w:eastAsia="宋体" w:cs="Times New Roman"/>
                <w:color w:val="000000"/>
                <w:kern w:val="0"/>
                <w:sz w:val="24"/>
                <w:szCs w:val="24"/>
                <w:highlight w:val="none"/>
                <w:lang w:val="en-US" w:eastAsia="zh-CN" w:bidi="ar"/>
              </w:rPr>
              <w:t>提到：构建多层次文旅住宿服务。聚焦“住在昌吉”，着力构建结构合理、功能完善、特色鲜明的高标准酒店集群体系。积极引进高端品牌，规划建设连锁高端酒店及品牌酒店。推动现有饭店升级，提升核心竞争力。丰富乡村民宿产品，创新乡村旅游业态，推动乡村旅游提质升级，带动群众就业增收。统筹发展和安全，加强质量监管，持续提升乡村民宿安全保障能力。</w:t>
            </w:r>
          </w:p>
          <w:p w14:paraId="66DE0924">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本项目位于</w:t>
            </w:r>
            <w:r>
              <w:rPr>
                <w:rFonts w:hint="default" w:ascii="Times New Roman" w:hAnsi="Times New Roman" w:eastAsia="宋体" w:cs="Times New Roman"/>
                <w:color w:val="000000"/>
                <w:szCs w:val="21"/>
                <w:highlight w:val="none"/>
                <w:lang w:val="en-US" w:eastAsia="zh-CN"/>
              </w:rPr>
              <w:t>新疆维吾尔自治区昌吉回族自治州阜康市三工河哈萨克乡花儿沟村</w:t>
            </w:r>
            <w:r>
              <w:rPr>
                <w:rFonts w:hint="default" w:ascii="Times New Roman" w:hAnsi="Times New Roman" w:eastAsia="宋体" w:cs="Times New Roman"/>
                <w:color w:val="000000"/>
                <w:kern w:val="0"/>
                <w:sz w:val="24"/>
                <w:szCs w:val="24"/>
                <w:highlight w:val="none"/>
                <w:lang w:val="en-US" w:eastAsia="zh-CN" w:bidi="ar"/>
              </w:rPr>
              <w:t>，属于</w:t>
            </w:r>
            <w:r>
              <w:rPr>
                <w:rFonts w:hint="default" w:ascii="Times New Roman" w:hAnsi="Times New Roman" w:eastAsia="宋体" w:cs="Times New Roman"/>
                <w:sz w:val="24"/>
                <w:szCs w:val="24"/>
                <w:highlight w:val="none"/>
              </w:rPr>
              <w:t>旅游基础设施建设，包括民宿、</w:t>
            </w:r>
            <w:r>
              <w:rPr>
                <w:rFonts w:hint="default" w:ascii="Times New Roman" w:hAnsi="Times New Roman" w:eastAsia="宋体" w:cs="Times New Roman"/>
                <w:sz w:val="24"/>
                <w:szCs w:val="24"/>
                <w:highlight w:val="none"/>
                <w:lang w:val="en-US" w:eastAsia="zh-CN"/>
              </w:rPr>
              <w:t>游牧风情院、观景平台</w:t>
            </w:r>
            <w:r>
              <w:rPr>
                <w:rFonts w:hint="default" w:ascii="Times New Roman" w:hAnsi="Times New Roman" w:eastAsia="宋体" w:cs="Times New Roman"/>
                <w:color w:val="000000"/>
                <w:kern w:val="0"/>
                <w:sz w:val="24"/>
                <w:szCs w:val="24"/>
                <w:highlight w:val="none"/>
                <w:lang w:val="en-US" w:eastAsia="zh-CN" w:bidi="ar"/>
              </w:rPr>
              <w:t>及其配套附属设施等，符合《昌吉回族自治州国民经济和社会发展第十</w:t>
            </w:r>
            <w:r>
              <w:rPr>
                <w:rFonts w:hint="eastAsia" w:cs="Times New Roman"/>
                <w:color w:val="000000"/>
                <w:kern w:val="0"/>
                <w:sz w:val="24"/>
                <w:szCs w:val="24"/>
                <w:highlight w:val="none"/>
                <w:lang w:val="en-US" w:eastAsia="zh-CN" w:bidi="ar"/>
              </w:rPr>
              <w:t>五</w:t>
            </w:r>
            <w:r>
              <w:rPr>
                <w:rFonts w:hint="default" w:ascii="Times New Roman" w:hAnsi="Times New Roman" w:eastAsia="宋体" w:cs="Times New Roman"/>
                <w:color w:val="000000"/>
                <w:kern w:val="0"/>
                <w:sz w:val="24"/>
                <w:szCs w:val="24"/>
                <w:highlight w:val="none"/>
                <w:lang w:val="en-US" w:eastAsia="zh-CN" w:bidi="ar"/>
              </w:rPr>
              <w:t>个五年规划纲要》。</w:t>
            </w:r>
          </w:p>
          <w:p w14:paraId="31D11384">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lang w:val="en-US"/>
              </w:rPr>
            </w:pPr>
            <w:r>
              <w:rPr>
                <w:rFonts w:hint="eastAsia" w:cs="Times New Roman"/>
                <w:b/>
                <w:bCs/>
                <w:color w:val="000000"/>
                <w:kern w:val="0"/>
                <w:sz w:val="24"/>
                <w:szCs w:val="24"/>
                <w:lang w:val="en-US" w:eastAsia="zh-CN" w:bidi="ar"/>
              </w:rPr>
              <w:t>4.</w:t>
            </w:r>
            <w:r>
              <w:rPr>
                <w:rFonts w:hint="default" w:ascii="Times New Roman" w:hAnsi="Times New Roman" w:eastAsia="宋体" w:cs="Times New Roman"/>
                <w:b/>
                <w:bCs/>
                <w:color w:val="000000"/>
                <w:kern w:val="0"/>
                <w:sz w:val="24"/>
                <w:szCs w:val="24"/>
                <w:lang w:val="en-US" w:eastAsia="zh-CN" w:bidi="ar"/>
              </w:rPr>
              <w:t>《新疆生态环境保护“十四五”规划》符合性分析</w:t>
            </w:r>
          </w:p>
          <w:p w14:paraId="4F135DB6">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新疆生态环境保护“十四五”规划》第四章第四节“践行绿色低碳生活”中提到“鼓励宾馆、饭店、景区推出绿色旅游、绿色消费措施，严格限制一次性用品使用，发展旅游区绿色建筑，配置低碳环保设施”；第八章第三节“推进农业绿色生产，改善农村生态环境”中提到“优先治理乡镇政府驻地、中心村、</w:t>
            </w:r>
            <w:r>
              <w:rPr>
                <w:rFonts w:hint="default" w:ascii="Times New Roman" w:hAnsi="Times New Roman" w:eastAsia="宋体" w:cs="Times New Roman"/>
                <w:color w:val="000000"/>
                <w:kern w:val="0"/>
                <w:sz w:val="24"/>
                <w:szCs w:val="24"/>
                <w:highlight w:val="none"/>
                <w:lang w:val="en-US" w:eastAsia="zh-CN" w:bidi="ar"/>
              </w:rPr>
              <w:t>城乡</w:t>
            </w:r>
            <w:r>
              <w:rPr>
                <w:rFonts w:hint="eastAsia" w:ascii="Times New Roman" w:hAnsi="Times New Roman" w:eastAsia="宋体" w:cs="Times New Roman"/>
                <w:color w:val="000000"/>
                <w:kern w:val="0"/>
                <w:sz w:val="24"/>
                <w:szCs w:val="24"/>
                <w:highlight w:val="none"/>
                <w:lang w:val="en-US" w:eastAsia="zh-CN" w:bidi="ar"/>
              </w:rPr>
              <w:t>接</w:t>
            </w:r>
            <w:r>
              <w:rPr>
                <w:rFonts w:hint="default" w:ascii="Times New Roman" w:hAnsi="Times New Roman" w:eastAsia="宋体" w:cs="Times New Roman"/>
                <w:color w:val="000000"/>
                <w:kern w:val="0"/>
                <w:sz w:val="24"/>
                <w:szCs w:val="24"/>
                <w:highlight w:val="none"/>
                <w:lang w:val="en-US" w:eastAsia="zh-CN" w:bidi="ar"/>
              </w:rPr>
              <w:t>合部</w:t>
            </w:r>
            <w:r>
              <w:rPr>
                <w:rFonts w:hint="default" w:ascii="Times New Roman" w:hAnsi="Times New Roman" w:eastAsia="宋体" w:cs="Times New Roman"/>
                <w:color w:val="000000"/>
                <w:kern w:val="0"/>
                <w:sz w:val="24"/>
                <w:szCs w:val="24"/>
                <w:lang w:val="en-US" w:eastAsia="zh-CN" w:bidi="ar"/>
              </w:rPr>
              <w:t>、旅游风景区、饮用水水源保护区等村庄生活污水”。</w:t>
            </w:r>
          </w:p>
          <w:p w14:paraId="65010F8F">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kern w:val="0"/>
                <w:sz w:val="24"/>
                <w:szCs w:val="24"/>
                <w:lang w:val="en-US" w:eastAsia="zh-CN" w:bidi="ar"/>
              </w:rPr>
              <w:t>本项目鼓励游客绿色消费，采用电采暖，生活污水经化粪池</w:t>
            </w:r>
            <w:r>
              <w:rPr>
                <w:rFonts w:hint="eastAsia" w:ascii="Times New Roman" w:hAnsi="Times New Roman" w:eastAsia="宋体" w:cs="Times New Roman"/>
                <w:color w:val="000000"/>
                <w:kern w:val="0"/>
                <w:sz w:val="24"/>
                <w:szCs w:val="24"/>
                <w:lang w:val="en-US" w:eastAsia="zh-CN" w:bidi="ar"/>
              </w:rPr>
              <w:t>处理后，定期由吸污车抽出运至阜康市污水处理厂处理</w:t>
            </w:r>
            <w:r>
              <w:rPr>
                <w:rFonts w:hint="default" w:ascii="Times New Roman" w:hAnsi="Times New Roman" w:eastAsia="宋体" w:cs="Times New Roman"/>
                <w:color w:val="000000"/>
                <w:kern w:val="0"/>
                <w:sz w:val="24"/>
                <w:szCs w:val="24"/>
                <w:lang w:val="en-US" w:eastAsia="zh-CN" w:bidi="ar"/>
              </w:rPr>
              <w:t>，符合《新疆生态环境保护“十四五”规划》。</w:t>
            </w:r>
          </w:p>
          <w:p w14:paraId="556837F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sz w:val="24"/>
              </w:rPr>
            </w:pPr>
            <w:r>
              <w:rPr>
                <w:rFonts w:hint="eastAsia" w:cs="Times New Roman"/>
                <w:b/>
                <w:bCs/>
                <w:color w:val="000000"/>
                <w:sz w:val="24"/>
                <w:highlight w:val="none"/>
                <w:lang w:val="en-US" w:eastAsia="zh-CN"/>
              </w:rPr>
              <w:t>5.</w:t>
            </w:r>
            <w:r>
              <w:rPr>
                <w:rFonts w:hint="default" w:ascii="Times New Roman" w:hAnsi="Times New Roman" w:eastAsia="宋体" w:cs="Times New Roman"/>
                <w:b/>
                <w:bCs/>
                <w:color w:val="000000"/>
                <w:sz w:val="24"/>
                <w:lang w:val="en-US" w:eastAsia="zh-CN"/>
              </w:rPr>
              <w:t>与《关于印发新疆维吾尔自治区生态环境分区管控动态更新成果的通知》（新环环评发〔2024〕157号）的</w:t>
            </w:r>
            <w:r>
              <w:rPr>
                <w:rFonts w:hint="default" w:ascii="Times New Roman" w:hAnsi="Times New Roman" w:eastAsia="宋体" w:cs="Times New Roman"/>
                <w:b/>
                <w:bCs/>
                <w:color w:val="000000"/>
                <w:sz w:val="24"/>
              </w:rPr>
              <w:t>符合性分析</w:t>
            </w:r>
          </w:p>
          <w:p w14:paraId="0BFCFA1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根据《新疆维吾尔自治区生态环境分区管控动态更新成果》新环环评发〔2024〕157号：自治区共划定1777个环境管控单元，分为925优先保护单元、713个重点管控单元和139个一般管控单元三类，实施分类管控。</w:t>
            </w:r>
          </w:p>
          <w:p w14:paraId="43007B0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sz w:val="24"/>
                <w:lang w:val="en-US" w:eastAsia="zh-CN"/>
              </w:rPr>
            </w:pPr>
            <w:r>
              <w:rPr>
                <w:rFonts w:hint="default"/>
                <w:color w:val="000000" w:themeColor="text1"/>
                <w14:textFill>
                  <w14:solidFill>
                    <w14:schemeClr w14:val="tx1"/>
                  </w14:solidFill>
                </w14:textFill>
              </w:rPr>
              <w:t>本项目位于</w:t>
            </w:r>
            <w:r>
              <w:rPr>
                <w:rFonts w:hint="default" w:ascii="Times New Roman" w:hAnsi="Times New Roman" w:eastAsia="宋体" w:cs="Times New Roman"/>
                <w:color w:val="000000"/>
                <w:szCs w:val="21"/>
                <w:highlight w:val="none"/>
                <w:lang w:val="en-US" w:eastAsia="zh-CN"/>
              </w:rPr>
              <w:t>新疆维吾尔自治区昌吉回族自治州阜康市三工河哈萨克乡花儿沟村</w:t>
            </w:r>
            <w:r>
              <w:rPr>
                <w:rFonts w:hint="default"/>
                <w:color w:val="000000" w:themeColor="text1"/>
                <w14:textFill>
                  <w14:solidFill>
                    <w14:schemeClr w14:val="tx1"/>
                  </w14:solidFill>
                </w14:textFill>
              </w:rPr>
              <w:t>，属于《新疆维吾尔自治区生态环境分区管控动态更新成果》环境管控单元中的重点管控单元。重点管控单元要着力优化空间布局，不断提升资源利用效率，有针对性地加强污染物排放管控和环境风险防控，解决生态环境质量不达标、生态环境风险高等问题。</w:t>
            </w:r>
            <w:r>
              <w:rPr>
                <w:rFonts w:hint="default" w:ascii="Times New Roman" w:hAnsi="Times New Roman" w:eastAsia="宋体" w:cs="Times New Roman"/>
                <w:b w:val="0"/>
                <w:bCs w:val="0"/>
                <w:color w:val="000000"/>
                <w:kern w:val="0"/>
                <w:sz w:val="24"/>
                <w:szCs w:val="24"/>
                <w:lang w:val="en-US" w:eastAsia="zh-CN"/>
              </w:rPr>
              <w:t>管控单元位置图见</w:t>
            </w:r>
            <w:r>
              <w:rPr>
                <w:rFonts w:hint="default" w:ascii="Times New Roman" w:hAnsi="Times New Roman" w:eastAsia="宋体" w:cs="Times New Roman"/>
                <w:b/>
                <w:bCs/>
                <w:color w:val="000000"/>
                <w:kern w:val="0"/>
                <w:sz w:val="24"/>
                <w:szCs w:val="24"/>
                <w:lang w:val="en-US" w:eastAsia="zh-CN"/>
              </w:rPr>
              <w:t>附图1-1</w:t>
            </w:r>
            <w:r>
              <w:rPr>
                <w:rFonts w:hint="default" w:ascii="Times New Roman" w:hAnsi="Times New Roman" w:eastAsia="宋体" w:cs="Times New Roman"/>
                <w:b w:val="0"/>
                <w:bCs w:val="0"/>
                <w:color w:val="000000"/>
                <w:kern w:val="0"/>
                <w:sz w:val="24"/>
                <w:szCs w:val="24"/>
                <w:lang w:val="en-US" w:eastAsia="zh-CN"/>
              </w:rPr>
              <w:t>。</w:t>
            </w:r>
          </w:p>
          <w:p w14:paraId="7FE61F58">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lang w:val="en-US" w:eastAsia="zh-CN"/>
              </w:rPr>
            </w:pPr>
            <w:r>
              <w:rPr>
                <w:rFonts w:hint="default" w:ascii="Times New Roman" w:hAnsi="Times New Roman" w:eastAsia="宋体" w:cs="Times New Roman"/>
                <w:b w:val="0"/>
                <w:bCs w:val="0"/>
                <w:color w:val="000000"/>
                <w:kern w:val="0"/>
                <w:sz w:val="24"/>
                <w:szCs w:val="24"/>
                <w:lang w:val="en-US" w:eastAsia="zh-CN"/>
              </w:rPr>
              <w:t>本项目与《新疆维吾尔自治区生态环境分区管控动态更新成果》（新环环评发〔2024〕157号）的符合性详见表1-</w:t>
            </w:r>
            <w:r>
              <w:rPr>
                <w:rFonts w:hint="eastAsia" w:cs="Times New Roman"/>
                <w:b w:val="0"/>
                <w:bCs w:val="0"/>
                <w:color w:val="000000"/>
                <w:kern w:val="0"/>
                <w:sz w:val="24"/>
                <w:szCs w:val="24"/>
                <w:lang w:val="en-US" w:eastAsia="zh-CN"/>
              </w:rPr>
              <w:t>2</w:t>
            </w:r>
            <w:r>
              <w:rPr>
                <w:rFonts w:hint="default" w:ascii="Times New Roman" w:hAnsi="Times New Roman" w:eastAsia="宋体" w:cs="Times New Roman"/>
                <w:b w:val="0"/>
                <w:bCs w:val="0"/>
                <w:color w:val="000000"/>
                <w:kern w:val="0"/>
                <w:sz w:val="24"/>
                <w:szCs w:val="24"/>
                <w:lang w:val="en-US" w:eastAsia="zh-CN"/>
              </w:rPr>
              <w:t>。</w:t>
            </w:r>
          </w:p>
          <w:p w14:paraId="6592B1F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val="0"/>
                <w:bCs w:val="0"/>
                <w:color w:val="000000"/>
                <w:kern w:val="0"/>
                <w:sz w:val="24"/>
                <w:szCs w:val="24"/>
                <w:lang w:val="en-US" w:eastAsia="zh-CN"/>
              </w:rPr>
            </w:pPr>
            <w:r>
              <w:rPr>
                <w:rFonts w:hint="default" w:ascii="Times New Roman" w:hAnsi="Times New Roman" w:eastAsia="宋体" w:cs="Times New Roman"/>
                <w:b/>
                <w:bCs/>
                <w:color w:val="000000"/>
                <w:kern w:val="0"/>
                <w:sz w:val="21"/>
                <w:szCs w:val="21"/>
                <w:lang w:val="en-US" w:eastAsia="zh-CN"/>
              </w:rPr>
              <w:t>表1-</w:t>
            </w:r>
            <w:r>
              <w:rPr>
                <w:rFonts w:hint="eastAsia" w:cs="Times New Roman"/>
                <w:b/>
                <w:bCs/>
                <w:color w:val="000000"/>
                <w:kern w:val="0"/>
                <w:sz w:val="21"/>
                <w:szCs w:val="21"/>
                <w:lang w:val="en-US" w:eastAsia="zh-CN"/>
              </w:rPr>
              <w:t>2</w:t>
            </w:r>
            <w:r>
              <w:rPr>
                <w:rFonts w:hint="default" w:ascii="Times New Roman" w:hAnsi="Times New Roman" w:eastAsia="宋体" w:cs="Times New Roman"/>
                <w:b/>
                <w:bCs/>
                <w:color w:val="000000"/>
                <w:kern w:val="0"/>
                <w:sz w:val="21"/>
                <w:szCs w:val="21"/>
                <w:lang w:val="en-US" w:eastAsia="zh-CN"/>
              </w:rPr>
              <w:t xml:space="preserve"> 与新环环评发〔2024〕157号符合性分析一览表</w:t>
            </w:r>
          </w:p>
          <w:tbl>
            <w:tblPr>
              <w:tblStyle w:val="33"/>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73"/>
              <w:gridCol w:w="631"/>
              <w:gridCol w:w="3378"/>
              <w:gridCol w:w="1768"/>
              <w:gridCol w:w="428"/>
            </w:tblGrid>
            <w:tr w14:paraId="59B0A1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6" w:type="pct"/>
                  <w:gridSpan w:val="2"/>
                  <w:tcBorders>
                    <w:tl2br w:val="nil"/>
                    <w:tr2bl w:val="nil"/>
                  </w:tcBorders>
                  <w:noWrap w:val="0"/>
                  <w:vAlign w:val="center"/>
                </w:tcPr>
                <w:p w14:paraId="176E746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vertAlign w:val="baseline"/>
                      <w:lang w:val="en-US" w:eastAsia="zh-CN"/>
                    </w:rPr>
                  </w:pPr>
                  <w:r>
                    <w:rPr>
                      <w:rFonts w:hint="default" w:ascii="Times New Roman" w:hAnsi="Times New Roman" w:eastAsia="宋体" w:cs="Times New Roman"/>
                      <w:b/>
                      <w:bCs/>
                      <w:color w:val="000000"/>
                      <w:kern w:val="0"/>
                      <w:sz w:val="21"/>
                      <w:szCs w:val="21"/>
                      <w:vertAlign w:val="baseline"/>
                      <w:lang w:val="en-US" w:eastAsia="zh-CN"/>
                    </w:rPr>
                    <w:t>管控维度</w:t>
                  </w:r>
                </w:p>
              </w:tc>
              <w:tc>
                <w:tcPr>
                  <w:tcW w:w="2529" w:type="pct"/>
                  <w:tcBorders>
                    <w:tl2br w:val="nil"/>
                    <w:tr2bl w:val="nil"/>
                  </w:tcBorders>
                  <w:noWrap w:val="0"/>
                  <w:vAlign w:val="center"/>
                </w:tcPr>
                <w:p w14:paraId="2607261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vertAlign w:val="baseline"/>
                      <w:lang w:val="en-US" w:eastAsia="zh-CN"/>
                    </w:rPr>
                  </w:pPr>
                  <w:r>
                    <w:rPr>
                      <w:rFonts w:hint="default" w:ascii="Times New Roman" w:hAnsi="Times New Roman" w:eastAsia="宋体" w:cs="Times New Roman"/>
                      <w:b/>
                      <w:bCs/>
                      <w:color w:val="000000"/>
                      <w:kern w:val="0"/>
                      <w:sz w:val="21"/>
                      <w:szCs w:val="21"/>
                      <w:vertAlign w:val="baseline"/>
                      <w:lang w:val="en-US" w:eastAsia="zh-CN"/>
                    </w:rPr>
                    <w:t>管控要求</w:t>
                  </w:r>
                </w:p>
              </w:tc>
              <w:tc>
                <w:tcPr>
                  <w:tcW w:w="1323" w:type="pct"/>
                  <w:tcBorders>
                    <w:tl2br w:val="nil"/>
                    <w:tr2bl w:val="nil"/>
                  </w:tcBorders>
                  <w:noWrap w:val="0"/>
                  <w:vAlign w:val="center"/>
                </w:tcPr>
                <w:p w14:paraId="1170A71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vertAlign w:val="baseline"/>
                      <w:lang w:val="en-US" w:eastAsia="zh-CN"/>
                    </w:rPr>
                  </w:pPr>
                  <w:r>
                    <w:rPr>
                      <w:rFonts w:hint="default" w:ascii="Times New Roman" w:hAnsi="Times New Roman" w:eastAsia="宋体" w:cs="Times New Roman"/>
                      <w:b/>
                      <w:bCs/>
                      <w:color w:val="000000"/>
                      <w:kern w:val="0"/>
                      <w:sz w:val="21"/>
                      <w:szCs w:val="21"/>
                      <w:vertAlign w:val="baseline"/>
                      <w:lang w:val="en-US" w:eastAsia="zh-CN"/>
                    </w:rPr>
                    <w:t>项目情况</w:t>
                  </w:r>
                </w:p>
              </w:tc>
              <w:tc>
                <w:tcPr>
                  <w:tcW w:w="320" w:type="pct"/>
                  <w:tcBorders>
                    <w:tl2br w:val="nil"/>
                    <w:tr2bl w:val="nil"/>
                  </w:tcBorders>
                  <w:noWrap w:val="0"/>
                  <w:vAlign w:val="center"/>
                </w:tcPr>
                <w:p w14:paraId="1612158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vertAlign w:val="baseline"/>
                      <w:lang w:val="en-US" w:eastAsia="zh-CN"/>
                    </w:rPr>
                  </w:pPr>
                  <w:r>
                    <w:rPr>
                      <w:rFonts w:hint="default" w:ascii="Times New Roman" w:hAnsi="Times New Roman" w:eastAsia="宋体" w:cs="Times New Roman"/>
                      <w:b/>
                      <w:bCs/>
                      <w:color w:val="000000"/>
                      <w:kern w:val="0"/>
                      <w:sz w:val="21"/>
                      <w:szCs w:val="21"/>
                      <w:vertAlign w:val="baseline"/>
                      <w:lang w:val="en-US" w:eastAsia="zh-CN"/>
                    </w:rPr>
                    <w:t>符合性</w:t>
                  </w:r>
                </w:p>
              </w:tc>
            </w:tr>
            <w:tr w14:paraId="2E2B36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4" w:type="pct"/>
                  <w:vMerge w:val="restart"/>
                  <w:tcBorders>
                    <w:tl2br w:val="nil"/>
                    <w:tr2bl w:val="nil"/>
                  </w:tcBorders>
                  <w:noWrap w:val="0"/>
                  <w:vAlign w:val="center"/>
                </w:tcPr>
                <w:p w14:paraId="3A4AD26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A1空间布局约束</w:t>
                  </w:r>
                </w:p>
              </w:tc>
              <w:tc>
                <w:tcPr>
                  <w:tcW w:w="472" w:type="pct"/>
                  <w:tcBorders>
                    <w:tl2br w:val="nil"/>
                    <w:tr2bl w:val="nil"/>
                  </w:tcBorders>
                  <w:noWrap w:val="0"/>
                  <w:vAlign w:val="center"/>
                </w:tcPr>
                <w:p w14:paraId="65A2DC9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A1.1禁止开发建设的活动</w:t>
                  </w:r>
                </w:p>
              </w:tc>
              <w:tc>
                <w:tcPr>
                  <w:tcW w:w="2529" w:type="pct"/>
                  <w:tcBorders>
                    <w:tl2br w:val="nil"/>
                    <w:tr2bl w:val="nil"/>
                  </w:tcBorders>
                  <w:noWrap w:val="0"/>
                  <w:vAlign w:val="center"/>
                </w:tcPr>
                <w:p w14:paraId="045F156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〔A1.1-1〕禁止新建、扩建《产业结构调整指导目录</w:t>
                  </w:r>
                  <w:r>
                    <w:rPr>
                      <w:rFonts w:hint="eastAsia" w:cs="Times New Roman"/>
                      <w:b w:val="0"/>
                      <w:bCs w:val="0"/>
                      <w:color w:val="000000"/>
                      <w:kern w:val="0"/>
                      <w:sz w:val="21"/>
                      <w:szCs w:val="21"/>
                      <w:vertAlign w:val="baseline"/>
                      <w:lang w:val="en-US" w:eastAsia="zh-CN"/>
                    </w:rPr>
                    <w:t>（</w:t>
                  </w:r>
                  <w:r>
                    <w:rPr>
                      <w:rFonts w:hint="default" w:ascii="Times New Roman" w:hAnsi="Times New Roman" w:eastAsia="宋体" w:cs="Times New Roman"/>
                      <w:b w:val="0"/>
                      <w:bCs w:val="0"/>
                      <w:color w:val="000000"/>
                      <w:kern w:val="0"/>
                      <w:sz w:val="21"/>
                      <w:szCs w:val="21"/>
                      <w:vertAlign w:val="baseline"/>
                      <w:lang w:val="en-US" w:eastAsia="zh-CN"/>
                    </w:rPr>
                    <w:t>2024年本</w:t>
                  </w:r>
                  <w:r>
                    <w:rPr>
                      <w:rFonts w:hint="eastAsia" w:cs="Times New Roman"/>
                      <w:b w:val="0"/>
                      <w:bCs w:val="0"/>
                      <w:color w:val="000000"/>
                      <w:kern w:val="0"/>
                      <w:sz w:val="21"/>
                      <w:szCs w:val="21"/>
                      <w:vertAlign w:val="baseline"/>
                      <w:lang w:val="en-US" w:eastAsia="zh-CN"/>
                    </w:rPr>
                    <w:t>）</w:t>
                  </w:r>
                  <w:r>
                    <w:rPr>
                      <w:rFonts w:hint="default" w:ascii="Times New Roman" w:hAnsi="Times New Roman" w:eastAsia="宋体" w:cs="Times New Roman"/>
                      <w:b w:val="0"/>
                      <w:bCs w:val="0"/>
                      <w:color w:val="000000"/>
                      <w:kern w:val="0"/>
                      <w:sz w:val="21"/>
                      <w:szCs w:val="21"/>
                      <w:vertAlign w:val="baseline"/>
                      <w:lang w:val="en-US" w:eastAsia="zh-CN"/>
                    </w:rPr>
                    <w:t>》中淘汰类项目。禁止引入《市场准入负面清单</w:t>
                  </w:r>
                  <w:r>
                    <w:rPr>
                      <w:rFonts w:hint="eastAsia" w:cs="Times New Roman"/>
                      <w:b w:val="0"/>
                      <w:bCs w:val="0"/>
                      <w:color w:val="000000"/>
                      <w:kern w:val="0"/>
                      <w:sz w:val="21"/>
                      <w:szCs w:val="21"/>
                      <w:vertAlign w:val="baseline"/>
                      <w:lang w:val="en-US" w:eastAsia="zh-CN"/>
                    </w:rPr>
                    <w:t>（</w:t>
                  </w:r>
                  <w:r>
                    <w:rPr>
                      <w:rFonts w:hint="default" w:ascii="Times New Roman" w:hAnsi="Times New Roman" w:eastAsia="宋体" w:cs="Times New Roman"/>
                      <w:b w:val="0"/>
                      <w:bCs w:val="0"/>
                      <w:color w:val="000000"/>
                      <w:kern w:val="0"/>
                      <w:sz w:val="21"/>
                      <w:szCs w:val="21"/>
                      <w:vertAlign w:val="baseline"/>
                      <w:lang w:val="en-US" w:eastAsia="zh-CN"/>
                    </w:rPr>
                    <w:t>2022年版</w:t>
                  </w:r>
                  <w:r>
                    <w:rPr>
                      <w:rFonts w:hint="eastAsia" w:cs="Times New Roman"/>
                      <w:b w:val="0"/>
                      <w:bCs w:val="0"/>
                      <w:color w:val="000000"/>
                      <w:kern w:val="0"/>
                      <w:sz w:val="21"/>
                      <w:szCs w:val="21"/>
                      <w:vertAlign w:val="baseline"/>
                      <w:lang w:val="en-US" w:eastAsia="zh-CN"/>
                    </w:rPr>
                    <w:t>）</w:t>
                  </w:r>
                  <w:r>
                    <w:rPr>
                      <w:rFonts w:hint="default" w:ascii="Times New Roman" w:hAnsi="Times New Roman" w:eastAsia="宋体" w:cs="Times New Roman"/>
                      <w:b w:val="0"/>
                      <w:bCs w:val="0"/>
                      <w:color w:val="000000"/>
                      <w:kern w:val="0"/>
                      <w:sz w:val="21"/>
                      <w:szCs w:val="21"/>
                      <w:vertAlign w:val="baseline"/>
                      <w:lang w:val="en-US" w:eastAsia="zh-CN"/>
                    </w:rPr>
                    <w:t>》禁止准入类事项。</w:t>
                  </w:r>
                </w:p>
              </w:tc>
              <w:tc>
                <w:tcPr>
                  <w:tcW w:w="1323" w:type="pct"/>
                  <w:tcBorders>
                    <w:tl2br w:val="nil"/>
                    <w:tr2bl w:val="nil"/>
                  </w:tcBorders>
                  <w:noWrap w:val="0"/>
                  <w:vAlign w:val="center"/>
                </w:tcPr>
                <w:p w14:paraId="6D33740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本项目不属于《产业结构调整指导目录</w:t>
                  </w:r>
                  <w:r>
                    <w:rPr>
                      <w:rFonts w:hint="eastAsia" w:cs="Times New Roman"/>
                      <w:b w:val="0"/>
                      <w:bCs w:val="0"/>
                      <w:color w:val="000000"/>
                      <w:kern w:val="0"/>
                      <w:sz w:val="21"/>
                      <w:szCs w:val="21"/>
                      <w:vertAlign w:val="baseline"/>
                      <w:lang w:val="en-US" w:eastAsia="zh-CN"/>
                    </w:rPr>
                    <w:t>（</w:t>
                  </w:r>
                  <w:r>
                    <w:rPr>
                      <w:rFonts w:hint="default" w:ascii="Times New Roman" w:hAnsi="Times New Roman" w:eastAsia="宋体" w:cs="Times New Roman"/>
                      <w:b w:val="0"/>
                      <w:bCs w:val="0"/>
                      <w:color w:val="000000"/>
                      <w:kern w:val="0"/>
                      <w:sz w:val="21"/>
                      <w:szCs w:val="21"/>
                      <w:vertAlign w:val="baseline"/>
                      <w:lang w:val="en-US" w:eastAsia="zh-CN"/>
                    </w:rPr>
                    <w:t>2024年本</w:t>
                  </w:r>
                  <w:r>
                    <w:rPr>
                      <w:rFonts w:hint="eastAsia" w:cs="Times New Roman"/>
                      <w:b w:val="0"/>
                      <w:bCs w:val="0"/>
                      <w:color w:val="000000"/>
                      <w:kern w:val="0"/>
                      <w:sz w:val="21"/>
                      <w:szCs w:val="21"/>
                      <w:vertAlign w:val="baseline"/>
                      <w:lang w:val="en-US" w:eastAsia="zh-CN"/>
                    </w:rPr>
                    <w:t>）</w:t>
                  </w:r>
                  <w:r>
                    <w:rPr>
                      <w:rFonts w:hint="default" w:ascii="Times New Roman" w:hAnsi="Times New Roman" w:eastAsia="宋体" w:cs="Times New Roman"/>
                      <w:b w:val="0"/>
                      <w:bCs w:val="0"/>
                      <w:color w:val="000000"/>
                      <w:kern w:val="0"/>
                      <w:sz w:val="21"/>
                      <w:szCs w:val="21"/>
                      <w:vertAlign w:val="baseline"/>
                      <w:lang w:val="en-US" w:eastAsia="zh-CN"/>
                    </w:rPr>
                    <w:t>》中淘汰类项目，不属于《市场准入负面清单</w:t>
                  </w:r>
                  <w:r>
                    <w:rPr>
                      <w:rFonts w:hint="eastAsia" w:cs="Times New Roman"/>
                      <w:b w:val="0"/>
                      <w:bCs w:val="0"/>
                      <w:color w:val="000000"/>
                      <w:kern w:val="0"/>
                      <w:sz w:val="21"/>
                      <w:szCs w:val="21"/>
                      <w:vertAlign w:val="baseline"/>
                      <w:lang w:val="en-US" w:eastAsia="zh-CN"/>
                    </w:rPr>
                    <w:t>（</w:t>
                  </w:r>
                  <w:r>
                    <w:rPr>
                      <w:rFonts w:hint="default" w:ascii="Times New Roman" w:hAnsi="Times New Roman" w:eastAsia="宋体" w:cs="Times New Roman"/>
                      <w:b w:val="0"/>
                      <w:bCs w:val="0"/>
                      <w:color w:val="000000"/>
                      <w:kern w:val="0"/>
                      <w:sz w:val="21"/>
                      <w:szCs w:val="21"/>
                      <w:vertAlign w:val="baseline"/>
                      <w:lang w:val="en-US" w:eastAsia="zh-CN"/>
                    </w:rPr>
                    <w:t>2025年版</w:t>
                  </w:r>
                  <w:r>
                    <w:rPr>
                      <w:rFonts w:hint="eastAsia" w:cs="Times New Roman"/>
                      <w:b w:val="0"/>
                      <w:bCs w:val="0"/>
                      <w:color w:val="000000"/>
                      <w:kern w:val="0"/>
                      <w:sz w:val="21"/>
                      <w:szCs w:val="21"/>
                      <w:vertAlign w:val="baseline"/>
                      <w:lang w:val="en-US" w:eastAsia="zh-CN"/>
                    </w:rPr>
                    <w:t>）</w:t>
                  </w:r>
                  <w:r>
                    <w:rPr>
                      <w:rFonts w:hint="default" w:ascii="Times New Roman" w:hAnsi="Times New Roman" w:eastAsia="宋体" w:cs="Times New Roman"/>
                      <w:b w:val="0"/>
                      <w:bCs w:val="0"/>
                      <w:color w:val="000000"/>
                      <w:kern w:val="0"/>
                      <w:sz w:val="21"/>
                      <w:szCs w:val="21"/>
                      <w:vertAlign w:val="baseline"/>
                      <w:lang w:val="en-US" w:eastAsia="zh-CN"/>
                    </w:rPr>
                    <w:t>》禁止准入类事项</w:t>
                  </w:r>
                </w:p>
              </w:tc>
              <w:tc>
                <w:tcPr>
                  <w:tcW w:w="320" w:type="pct"/>
                  <w:tcBorders>
                    <w:tl2br w:val="nil"/>
                    <w:tr2bl w:val="nil"/>
                  </w:tcBorders>
                  <w:noWrap w:val="0"/>
                  <w:vAlign w:val="center"/>
                </w:tcPr>
                <w:p w14:paraId="1681625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符合</w:t>
                  </w:r>
                </w:p>
              </w:tc>
            </w:tr>
            <w:tr w14:paraId="600E0F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4" w:type="pct"/>
                  <w:vMerge w:val="continue"/>
                  <w:tcBorders>
                    <w:tl2br w:val="nil"/>
                    <w:tr2bl w:val="nil"/>
                  </w:tcBorders>
                  <w:noWrap w:val="0"/>
                  <w:vAlign w:val="center"/>
                </w:tcPr>
                <w:p w14:paraId="30F81D9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p>
              </w:tc>
              <w:tc>
                <w:tcPr>
                  <w:tcW w:w="472" w:type="pct"/>
                  <w:vMerge w:val="restart"/>
                  <w:tcBorders>
                    <w:tl2br w:val="nil"/>
                    <w:tr2bl w:val="nil"/>
                  </w:tcBorders>
                  <w:noWrap w:val="0"/>
                  <w:vAlign w:val="center"/>
                </w:tcPr>
                <w:p w14:paraId="69CA9FF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A1.2限制开发建设的活动</w:t>
                  </w:r>
                </w:p>
              </w:tc>
              <w:tc>
                <w:tcPr>
                  <w:tcW w:w="2529" w:type="pct"/>
                  <w:tcBorders>
                    <w:tl2br w:val="nil"/>
                    <w:tr2bl w:val="nil"/>
                  </w:tcBorders>
                  <w:noWrap w:val="0"/>
                  <w:vAlign w:val="center"/>
                </w:tcPr>
                <w:p w14:paraId="348FF4D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〔A1.2-1〕严格控制缺水地区、水污染严重区域和敏感区域高耗水、高污染行业发展。</w:t>
                  </w:r>
                </w:p>
              </w:tc>
              <w:tc>
                <w:tcPr>
                  <w:tcW w:w="1323" w:type="pct"/>
                  <w:tcBorders>
                    <w:tl2br w:val="nil"/>
                    <w:tr2bl w:val="nil"/>
                  </w:tcBorders>
                  <w:noWrap w:val="0"/>
                  <w:vAlign w:val="center"/>
                </w:tcPr>
                <w:p w14:paraId="696CE7E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本项目不属于高耗水、高污染项目。</w:t>
                  </w:r>
                </w:p>
              </w:tc>
              <w:tc>
                <w:tcPr>
                  <w:tcW w:w="320" w:type="pct"/>
                  <w:tcBorders>
                    <w:tl2br w:val="nil"/>
                    <w:tr2bl w:val="nil"/>
                  </w:tcBorders>
                  <w:noWrap w:val="0"/>
                  <w:vAlign w:val="center"/>
                </w:tcPr>
                <w:p w14:paraId="0AD67C4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符合</w:t>
                  </w:r>
                </w:p>
              </w:tc>
            </w:tr>
            <w:tr w14:paraId="58EE4F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4" w:type="pct"/>
                  <w:vMerge w:val="continue"/>
                  <w:tcBorders>
                    <w:tl2br w:val="nil"/>
                    <w:tr2bl w:val="nil"/>
                  </w:tcBorders>
                  <w:noWrap w:val="0"/>
                  <w:vAlign w:val="center"/>
                </w:tcPr>
                <w:p w14:paraId="1C1749F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p>
              </w:tc>
              <w:tc>
                <w:tcPr>
                  <w:tcW w:w="472" w:type="pct"/>
                  <w:vMerge w:val="continue"/>
                  <w:tcBorders>
                    <w:tl2br w:val="nil"/>
                    <w:tr2bl w:val="nil"/>
                  </w:tcBorders>
                  <w:noWrap w:val="0"/>
                  <w:vAlign w:val="center"/>
                </w:tcPr>
                <w:p w14:paraId="4456116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p>
              </w:tc>
              <w:tc>
                <w:tcPr>
                  <w:tcW w:w="2529" w:type="pct"/>
                  <w:tcBorders>
                    <w:tl2br w:val="nil"/>
                    <w:tr2bl w:val="nil"/>
                  </w:tcBorders>
                  <w:noWrap w:val="0"/>
                  <w:vAlign w:val="center"/>
                </w:tcPr>
                <w:p w14:paraId="5627951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A1.2-2〕建设项目用地原则上不得占用永久基本农田，确需占用永久基本农田的建设项目须符合《中华人民共和国基本农田保护条例》中相关要求，占用耕地、林地或草地的建设项目须按照国家、自治区相关补偿要求进行补偿。</w:t>
                  </w:r>
                </w:p>
              </w:tc>
              <w:tc>
                <w:tcPr>
                  <w:tcW w:w="1323" w:type="pct"/>
                  <w:tcBorders>
                    <w:tl2br w:val="nil"/>
                    <w:tr2bl w:val="nil"/>
                  </w:tcBorders>
                  <w:noWrap w:val="0"/>
                  <w:vAlign w:val="center"/>
                </w:tcPr>
                <w:p w14:paraId="440BC64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本项目属于旅游基础设施建设项目，占地类型为林草地，林草地补偿协议详见附件。</w:t>
                  </w:r>
                </w:p>
              </w:tc>
              <w:tc>
                <w:tcPr>
                  <w:tcW w:w="320" w:type="pct"/>
                  <w:tcBorders>
                    <w:tl2br w:val="nil"/>
                    <w:tr2bl w:val="nil"/>
                  </w:tcBorders>
                  <w:noWrap w:val="0"/>
                  <w:vAlign w:val="center"/>
                </w:tcPr>
                <w:p w14:paraId="29621F3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符合</w:t>
                  </w:r>
                </w:p>
              </w:tc>
            </w:tr>
            <w:tr w14:paraId="6A9FF7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4" w:type="pct"/>
                  <w:vMerge w:val="continue"/>
                  <w:tcBorders>
                    <w:tl2br w:val="nil"/>
                    <w:tr2bl w:val="nil"/>
                  </w:tcBorders>
                  <w:noWrap w:val="0"/>
                  <w:vAlign w:val="center"/>
                </w:tcPr>
                <w:p w14:paraId="7E31B3D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p>
              </w:tc>
              <w:tc>
                <w:tcPr>
                  <w:tcW w:w="472" w:type="pct"/>
                  <w:vMerge w:val="restart"/>
                  <w:tcBorders>
                    <w:tl2br w:val="nil"/>
                    <w:tr2bl w:val="nil"/>
                  </w:tcBorders>
                  <w:noWrap w:val="0"/>
                  <w:vAlign w:val="center"/>
                </w:tcPr>
                <w:p w14:paraId="576F0F0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A1.4其他布局要求</w:t>
                  </w:r>
                </w:p>
              </w:tc>
              <w:tc>
                <w:tcPr>
                  <w:tcW w:w="2529" w:type="pct"/>
                  <w:tcBorders>
                    <w:tl2br w:val="nil"/>
                    <w:tr2bl w:val="nil"/>
                  </w:tcBorders>
                  <w:noWrap w:val="0"/>
                  <w:vAlign w:val="center"/>
                </w:tcPr>
                <w:p w14:paraId="32311F4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A1.4-1〕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r>
                    <w:rPr>
                      <w:rFonts w:hint="eastAsia" w:cs="Times New Roman"/>
                      <w:b w:val="0"/>
                      <w:bCs w:val="0"/>
                      <w:color w:val="000000"/>
                      <w:kern w:val="0"/>
                      <w:sz w:val="21"/>
                      <w:szCs w:val="21"/>
                      <w:vertAlign w:val="baseline"/>
                      <w:lang w:val="en-US" w:eastAsia="zh-CN"/>
                    </w:rPr>
                    <w:t>。</w:t>
                  </w:r>
                </w:p>
              </w:tc>
              <w:tc>
                <w:tcPr>
                  <w:tcW w:w="1323" w:type="pct"/>
                  <w:vMerge w:val="restart"/>
                  <w:tcBorders>
                    <w:tl2br w:val="nil"/>
                    <w:tr2bl w:val="nil"/>
                  </w:tcBorders>
                  <w:noWrap w:val="0"/>
                  <w:vAlign w:val="center"/>
                </w:tcPr>
                <w:p w14:paraId="3325BEA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本项目属于旅游基础设施建设项目，项目的建设符合国家、自治区主体功能区规划、自治区和各地颁布实施的生态环境功能区划、国民经济发展规划、产业发展规划、国土空间规划等相关规划及重点生态功能区负面清单要求。</w:t>
                  </w:r>
                </w:p>
              </w:tc>
              <w:tc>
                <w:tcPr>
                  <w:tcW w:w="320" w:type="pct"/>
                  <w:tcBorders>
                    <w:tl2br w:val="nil"/>
                    <w:tr2bl w:val="nil"/>
                  </w:tcBorders>
                  <w:noWrap w:val="0"/>
                  <w:vAlign w:val="center"/>
                </w:tcPr>
                <w:p w14:paraId="6436050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符合</w:t>
                  </w:r>
                </w:p>
              </w:tc>
            </w:tr>
            <w:tr w14:paraId="02D389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4" w:type="pct"/>
                  <w:vMerge w:val="continue"/>
                  <w:tcBorders>
                    <w:tl2br w:val="nil"/>
                    <w:tr2bl w:val="nil"/>
                  </w:tcBorders>
                  <w:noWrap w:val="0"/>
                  <w:vAlign w:val="center"/>
                </w:tcPr>
                <w:p w14:paraId="046524E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p>
              </w:tc>
              <w:tc>
                <w:tcPr>
                  <w:tcW w:w="472" w:type="pct"/>
                  <w:vMerge w:val="continue"/>
                  <w:tcBorders>
                    <w:tl2br w:val="nil"/>
                    <w:tr2bl w:val="nil"/>
                  </w:tcBorders>
                  <w:noWrap w:val="0"/>
                  <w:vAlign w:val="center"/>
                </w:tcPr>
                <w:p w14:paraId="3F91CDC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p>
              </w:tc>
              <w:tc>
                <w:tcPr>
                  <w:tcW w:w="2529" w:type="pct"/>
                  <w:tcBorders>
                    <w:tl2br w:val="nil"/>
                    <w:tr2bl w:val="nil"/>
                  </w:tcBorders>
                  <w:noWrap w:val="0"/>
                  <w:vAlign w:val="center"/>
                </w:tcPr>
                <w:p w14:paraId="12A910C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〔A1.4-2〕新建、扩建石化、化工、焦化、有色金属冶炼、平板玻璃项目应布设在依法合规设立并经规划环评的产业园区。</w:t>
                  </w:r>
                </w:p>
              </w:tc>
              <w:tc>
                <w:tcPr>
                  <w:tcW w:w="1323" w:type="pct"/>
                  <w:vMerge w:val="continue"/>
                  <w:tcBorders>
                    <w:tl2br w:val="nil"/>
                    <w:tr2bl w:val="nil"/>
                  </w:tcBorders>
                  <w:noWrap w:val="0"/>
                  <w:vAlign w:val="center"/>
                </w:tcPr>
                <w:p w14:paraId="6AE0B73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p>
              </w:tc>
              <w:tc>
                <w:tcPr>
                  <w:tcW w:w="320" w:type="pct"/>
                  <w:tcBorders>
                    <w:tl2br w:val="nil"/>
                    <w:tr2bl w:val="nil"/>
                  </w:tcBorders>
                  <w:noWrap w:val="0"/>
                  <w:vAlign w:val="center"/>
                </w:tcPr>
                <w:p w14:paraId="4273110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符合</w:t>
                  </w:r>
                </w:p>
              </w:tc>
            </w:tr>
            <w:tr w14:paraId="1ABF27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4" w:type="pct"/>
                  <w:tcBorders>
                    <w:tl2br w:val="nil"/>
                    <w:tr2bl w:val="nil"/>
                  </w:tcBorders>
                  <w:noWrap w:val="0"/>
                  <w:vAlign w:val="center"/>
                </w:tcPr>
                <w:p w14:paraId="5A2CCF7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A2污染物排放管控</w:t>
                  </w:r>
                </w:p>
                <w:p w14:paraId="5DD7D48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p>
              </w:tc>
              <w:tc>
                <w:tcPr>
                  <w:tcW w:w="472" w:type="pct"/>
                  <w:tcBorders>
                    <w:tl2br w:val="nil"/>
                    <w:tr2bl w:val="nil"/>
                  </w:tcBorders>
                  <w:noWrap w:val="0"/>
                  <w:vAlign w:val="center"/>
                </w:tcPr>
                <w:p w14:paraId="2F3FD21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A2.1污染物削减/替代要求</w:t>
                  </w:r>
                </w:p>
              </w:tc>
              <w:tc>
                <w:tcPr>
                  <w:tcW w:w="2529" w:type="pct"/>
                  <w:tcBorders>
                    <w:tl2br w:val="nil"/>
                    <w:tr2bl w:val="nil"/>
                  </w:tcBorders>
                  <w:noWrap w:val="0"/>
                  <w:vAlign w:val="center"/>
                </w:tcPr>
                <w:p w14:paraId="44737E2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A2.1-1〕新、改、扩建重点行业建设项目应符合“三线一单”、产业政策、区域环评、规划环评和行业环境准入管控要求。重点区域的新、改、扩建重点行业建设项目应遵循重点重金属污染物排放“减量替代”原则。</w:t>
                  </w:r>
                </w:p>
                <w:p w14:paraId="19D88F8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〔A2.1-2〕以石化、化工、涂装、医药、包装印刷、油品储运销等行业领域为重点，安全高效推进挥发性有机物综合治理，实施原辅材料和产品源头替代工程。</w:t>
                  </w:r>
                </w:p>
                <w:p w14:paraId="6351BA0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A2.1-3〕促进大气污染物与温室气体协同控制。实施污染物和温室气体协同控制，实现减污降碳协同效应。开展工业、农业温室气体和污染减排协同控制研究，减少温室气体和污染物排放。强化污水、垃圾等集中处置设施环境管理，协同控制氢氟碳化物、甲烷、氧化亚氮等温室气体。加强节约能源与大气污染防治协同有效衔接，促进大气污染防治协同增效。</w:t>
                  </w:r>
                </w:p>
                <w:p w14:paraId="533873E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color w:val="auto"/>
                      <w:sz w:val="21"/>
                      <w:szCs w:val="21"/>
                      <w:highlight w:val="none"/>
                    </w:rPr>
                    <w:t>〔A2.1-4〕严控建材、铸造、冶炼等行业无组织排放，推进石化、化工、涂装、医药、包装印刷、油品储运销等行业项目挥发性有机物（VOCs）防治。严格有色金属冶炼、石油加工、化工、焦化等行业项目的土壤、地下水污染防治措施要求。推进工业园区和企业集群建设涉VOCs“绿岛”项目，统筹规划建设一批集中涂装中心、活性炭集中处理中心、溶剂回收中心等，实现VOCs集中高效处理。</w:t>
                  </w:r>
                </w:p>
              </w:tc>
              <w:tc>
                <w:tcPr>
                  <w:tcW w:w="1323" w:type="pct"/>
                  <w:tcBorders>
                    <w:tl2br w:val="nil"/>
                    <w:tr2bl w:val="nil"/>
                  </w:tcBorders>
                  <w:noWrap w:val="0"/>
                  <w:vAlign w:val="center"/>
                </w:tcPr>
                <w:p w14:paraId="5A230B0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color w:val="auto"/>
                      <w:kern w:val="0"/>
                      <w:sz w:val="21"/>
                      <w:szCs w:val="18"/>
                      <w:highlight w:val="none"/>
                      <w:lang w:val="en-US" w:eastAsia="zh-CN" w:bidi="ar"/>
                    </w:rPr>
                    <w:t>本项目建设符合区域</w:t>
                  </w:r>
                  <w:r>
                    <w:rPr>
                      <w:rFonts w:hint="eastAsia" w:ascii="Times New Roman" w:hAnsi="Times New Roman" w:eastAsia="宋体" w:cs="Times New Roman"/>
                      <w:b w:val="0"/>
                      <w:bCs/>
                      <w:color w:val="auto"/>
                      <w:kern w:val="0"/>
                      <w:sz w:val="21"/>
                      <w:szCs w:val="18"/>
                      <w:highlight w:val="none"/>
                      <w:lang w:val="en-US" w:eastAsia="zh-CN" w:bidi="ar"/>
                    </w:rPr>
                    <w:t>生态环境分区</w:t>
                  </w:r>
                  <w:r>
                    <w:rPr>
                      <w:rFonts w:hint="default" w:ascii="Times New Roman" w:hAnsi="Times New Roman" w:eastAsia="宋体" w:cs="Times New Roman"/>
                      <w:b w:val="0"/>
                      <w:bCs/>
                      <w:color w:val="auto"/>
                      <w:kern w:val="0"/>
                      <w:sz w:val="21"/>
                      <w:szCs w:val="18"/>
                      <w:highlight w:val="none"/>
                      <w:lang w:val="en-US" w:eastAsia="zh-CN" w:bidi="ar"/>
                    </w:rPr>
                    <w:t>管控要求，符合园区规划要求；项目产生的废气</w:t>
                  </w:r>
                  <w:r>
                    <w:rPr>
                      <w:rFonts w:hint="eastAsia" w:ascii="Times New Roman" w:hAnsi="Times New Roman" w:eastAsia="宋体" w:cs="Times New Roman"/>
                      <w:b w:val="0"/>
                      <w:bCs/>
                      <w:color w:val="auto"/>
                      <w:kern w:val="0"/>
                      <w:sz w:val="21"/>
                      <w:szCs w:val="18"/>
                      <w:highlight w:val="none"/>
                      <w:lang w:val="en-US" w:eastAsia="zh-CN" w:bidi="ar"/>
                    </w:rPr>
                    <w:t>只为餐饮油烟</w:t>
                  </w:r>
                  <w:r>
                    <w:rPr>
                      <w:rFonts w:hint="default" w:ascii="Times New Roman" w:hAnsi="Times New Roman" w:eastAsia="宋体" w:cs="Times New Roman"/>
                      <w:b w:val="0"/>
                      <w:bCs/>
                      <w:color w:val="auto"/>
                      <w:kern w:val="0"/>
                      <w:sz w:val="21"/>
                      <w:szCs w:val="18"/>
                      <w:highlight w:val="none"/>
                      <w:lang w:val="en-US" w:eastAsia="zh-CN" w:bidi="ar"/>
                    </w:rPr>
                    <w:t>，</w:t>
                  </w:r>
                  <w:r>
                    <w:rPr>
                      <w:rFonts w:hint="eastAsia" w:ascii="Times New Roman" w:hAnsi="Times New Roman" w:eastAsia="宋体" w:cs="Times New Roman"/>
                      <w:b w:val="0"/>
                      <w:bCs/>
                      <w:color w:val="auto"/>
                      <w:kern w:val="0"/>
                      <w:sz w:val="21"/>
                      <w:szCs w:val="18"/>
                      <w:highlight w:val="none"/>
                      <w:lang w:val="en-US" w:eastAsia="zh-CN" w:bidi="ar"/>
                    </w:rPr>
                    <w:t>经过油烟净化设备处理后达标排放，</w:t>
                  </w:r>
                  <w:r>
                    <w:rPr>
                      <w:rFonts w:hint="default" w:ascii="Times New Roman" w:hAnsi="Times New Roman" w:eastAsia="宋体" w:cs="Times New Roman"/>
                      <w:b w:val="0"/>
                      <w:bCs/>
                      <w:color w:val="auto"/>
                      <w:kern w:val="0"/>
                      <w:sz w:val="21"/>
                      <w:szCs w:val="18"/>
                      <w:highlight w:val="none"/>
                      <w:lang w:val="en-US" w:eastAsia="zh-CN" w:bidi="ar"/>
                    </w:rPr>
                    <w:t>项目不涉及挥发性有机物排放。</w:t>
                  </w:r>
                </w:p>
              </w:tc>
              <w:tc>
                <w:tcPr>
                  <w:tcW w:w="320" w:type="pct"/>
                  <w:tcBorders>
                    <w:tl2br w:val="nil"/>
                    <w:tr2bl w:val="nil"/>
                  </w:tcBorders>
                  <w:noWrap w:val="0"/>
                  <w:vAlign w:val="center"/>
                </w:tcPr>
                <w:p w14:paraId="1F210F3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eastAsia" w:cs="Times New Roman"/>
                      <w:b w:val="0"/>
                      <w:bCs w:val="0"/>
                      <w:color w:val="000000"/>
                      <w:kern w:val="0"/>
                      <w:sz w:val="21"/>
                      <w:szCs w:val="21"/>
                      <w:vertAlign w:val="baseline"/>
                      <w:lang w:val="en-US" w:eastAsia="zh-CN"/>
                    </w:rPr>
                    <w:t>符合</w:t>
                  </w:r>
                </w:p>
              </w:tc>
            </w:tr>
            <w:tr w14:paraId="7C4C36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4" w:type="pct"/>
                  <w:tcBorders>
                    <w:tl2br w:val="nil"/>
                    <w:tr2bl w:val="nil"/>
                  </w:tcBorders>
                  <w:noWrap w:val="0"/>
                  <w:vAlign w:val="center"/>
                </w:tcPr>
                <w:p w14:paraId="189EB33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A3环境风险防控</w:t>
                  </w:r>
                </w:p>
              </w:tc>
              <w:tc>
                <w:tcPr>
                  <w:tcW w:w="472" w:type="pct"/>
                  <w:tcBorders>
                    <w:tl2br w:val="nil"/>
                    <w:tr2bl w:val="nil"/>
                  </w:tcBorders>
                  <w:noWrap w:val="0"/>
                  <w:vAlign w:val="center"/>
                </w:tcPr>
                <w:p w14:paraId="0B95F44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A3.1人居环境要求</w:t>
                  </w:r>
                </w:p>
              </w:tc>
              <w:tc>
                <w:tcPr>
                  <w:tcW w:w="2529" w:type="pct"/>
                  <w:tcBorders>
                    <w:tl2br w:val="nil"/>
                    <w:tr2bl w:val="nil"/>
                  </w:tcBorders>
                  <w:noWrap w:val="0"/>
                  <w:vAlign w:val="center"/>
                </w:tcPr>
                <w:p w14:paraId="58DFCFCD">
                  <w:pPr>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b w:val="0"/>
                      <w:bCs/>
                      <w:color w:val="auto"/>
                      <w:kern w:val="0"/>
                      <w:sz w:val="21"/>
                      <w:szCs w:val="18"/>
                      <w:highlight w:val="none"/>
                    </w:rPr>
                  </w:pPr>
                  <w:r>
                    <w:rPr>
                      <w:rFonts w:hint="default" w:ascii="Times New Roman" w:hAnsi="Times New Roman" w:eastAsia="宋体" w:cs="Times New Roman"/>
                      <w:b w:val="0"/>
                      <w:bCs/>
                      <w:color w:val="auto"/>
                      <w:kern w:val="0"/>
                      <w:sz w:val="21"/>
                      <w:szCs w:val="18"/>
                      <w:highlight w:val="none"/>
                    </w:rPr>
                    <w:t>〔A3.1-1〕建立和完善重污染天气兵地联合应急预案、预报预警应急机制和会商联动机制。“乌—昌—石”区域内可能影响相邻行政区域大气环境的项目，兵地间、城市间必须相互征求意见。</w:t>
                  </w:r>
                </w:p>
                <w:p w14:paraId="1709CFE2">
                  <w:pPr>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b w:val="0"/>
                      <w:bCs/>
                      <w:color w:val="auto"/>
                      <w:kern w:val="0"/>
                      <w:sz w:val="21"/>
                      <w:szCs w:val="18"/>
                      <w:highlight w:val="none"/>
                    </w:rPr>
                  </w:pPr>
                  <w:r>
                    <w:rPr>
                      <w:rFonts w:hint="default" w:ascii="Times New Roman" w:hAnsi="Times New Roman" w:eastAsia="宋体" w:cs="Times New Roman"/>
                      <w:b w:val="0"/>
                      <w:bCs/>
                      <w:color w:val="auto"/>
                      <w:kern w:val="0"/>
                      <w:sz w:val="21"/>
                      <w:szCs w:val="18"/>
                      <w:highlight w:val="none"/>
                    </w:rPr>
                    <w:t>〔A3.1-2〕对跨国境河流、涉及县级及以上集中式饮用水水源地的河流、其他重要环境敏感目标的河流，建立健全流域上下游突发水污染事件联防联动机制，建立流域环境应急基础信息动态更新长效机制，绘制全流域“一河一策一图”。建立健全跨部门、跨区域的环境应急协调联动处置机制，强化流域上下游、兵地各部门协调，实施联合监测、联合执法、应急联动、信息共享，形成“政府引导、多元联动、社会参与、专业救援”的环境应急处置机制，持续开展应急综合演练，实现从被动应对到主动防控的重大转变。加强流域突发水环境事件应急能力建设，提升应急响应水平，加强监测预警、拦污控污、信息通报、协同处置、基础保障等工作，防范重大生态环境风险，坚决守住生态环境安全底线。</w:t>
                  </w:r>
                </w:p>
                <w:p w14:paraId="5BAB7B3B">
                  <w:pPr>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b w:val="0"/>
                      <w:bCs/>
                      <w:color w:val="auto"/>
                      <w:kern w:val="0"/>
                      <w:sz w:val="21"/>
                      <w:szCs w:val="18"/>
                      <w:highlight w:val="none"/>
                    </w:rPr>
                  </w:pPr>
                  <w:r>
                    <w:rPr>
                      <w:rFonts w:hint="default" w:ascii="Times New Roman" w:hAnsi="Times New Roman" w:eastAsia="宋体" w:cs="Times New Roman"/>
                      <w:b w:val="0"/>
                      <w:bCs/>
                      <w:color w:val="auto"/>
                      <w:kern w:val="0"/>
                      <w:sz w:val="21"/>
                      <w:szCs w:val="18"/>
                      <w:highlight w:val="none"/>
                    </w:rPr>
                    <w:t>〔A3.1-3〕强化重污染天气监测预报预警能力，建立和完善重污染天气兵地联合应急预案、预警应急机制和会商联动机制，加强轻、中度污染天气管控。</w:t>
                  </w:r>
                </w:p>
                <w:p w14:paraId="7DFBA8E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18"/>
                      <w:highlight w:val="none"/>
                    </w:rPr>
                    <w:t>〔A3.2-4〕加强环境风险预警防控。加强涉危险废物企业、涉重金属企业、化工园区、集中式饮用水水源地及重点流域环境风险调查评估，实施分类分级风险管控，协同推进重点区域、流域生态环境污染综合防治、风险防控与生态修复。</w:t>
                  </w:r>
                </w:p>
              </w:tc>
              <w:tc>
                <w:tcPr>
                  <w:tcW w:w="1323" w:type="pct"/>
                  <w:tcBorders>
                    <w:tl2br w:val="nil"/>
                    <w:tr2bl w:val="nil"/>
                  </w:tcBorders>
                  <w:noWrap w:val="0"/>
                  <w:vAlign w:val="center"/>
                </w:tcPr>
                <w:p w14:paraId="450F4F8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0"/>
                      <w:sz w:val="21"/>
                      <w:szCs w:val="18"/>
                      <w:highlight w:val="none"/>
                      <w:lang w:val="en-US" w:eastAsia="zh-CN" w:bidi="ar"/>
                    </w:rPr>
                  </w:pPr>
                  <w:r>
                    <w:rPr>
                      <w:rFonts w:hint="default" w:ascii="Times New Roman" w:hAnsi="Times New Roman" w:eastAsia="宋体" w:cs="Times New Roman"/>
                      <w:b w:val="0"/>
                      <w:bCs/>
                      <w:color w:val="auto"/>
                      <w:kern w:val="0"/>
                      <w:sz w:val="21"/>
                      <w:szCs w:val="18"/>
                      <w:highlight w:val="none"/>
                      <w:lang w:val="en-US" w:eastAsia="zh-CN"/>
                    </w:rPr>
                    <w:t>项目建设后，建设单位将根据项目内容修订突发环境事件应急预案，并按照要求组织演练及培训，提升企业环境风险防控机制。</w:t>
                  </w:r>
                </w:p>
              </w:tc>
              <w:tc>
                <w:tcPr>
                  <w:tcW w:w="320" w:type="pct"/>
                  <w:tcBorders>
                    <w:tl2br w:val="nil"/>
                    <w:tr2bl w:val="nil"/>
                  </w:tcBorders>
                  <w:noWrap w:val="0"/>
                  <w:vAlign w:val="center"/>
                </w:tcPr>
                <w:p w14:paraId="2C87BBC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b w:val="0"/>
                      <w:bCs w:val="0"/>
                      <w:color w:val="000000"/>
                      <w:kern w:val="0"/>
                      <w:sz w:val="21"/>
                      <w:szCs w:val="21"/>
                      <w:vertAlign w:val="baseline"/>
                      <w:lang w:val="en-US" w:eastAsia="zh-CN"/>
                    </w:rPr>
                  </w:pPr>
                  <w:r>
                    <w:rPr>
                      <w:rFonts w:hint="eastAsia" w:cs="Times New Roman"/>
                      <w:b w:val="0"/>
                      <w:bCs w:val="0"/>
                      <w:color w:val="000000"/>
                      <w:kern w:val="0"/>
                      <w:sz w:val="21"/>
                      <w:szCs w:val="21"/>
                      <w:vertAlign w:val="baseline"/>
                      <w:lang w:val="en-US" w:eastAsia="zh-CN"/>
                    </w:rPr>
                    <w:t>符合</w:t>
                  </w:r>
                </w:p>
              </w:tc>
            </w:tr>
            <w:tr w14:paraId="3482CD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4" w:type="pct"/>
                  <w:tcBorders>
                    <w:tl2br w:val="nil"/>
                    <w:tr2bl w:val="nil"/>
                  </w:tcBorders>
                  <w:noWrap w:val="0"/>
                  <w:vAlign w:val="center"/>
                </w:tcPr>
                <w:p w14:paraId="15AAFC7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rPr>
                  </w:pPr>
                  <w:r>
                    <w:rPr>
                      <w:rFonts w:hint="default" w:ascii="Times New Roman" w:hAnsi="Times New Roman" w:eastAsia="宋体" w:cs="Times New Roman"/>
                      <w:b w:val="0"/>
                      <w:bCs w:val="0"/>
                      <w:color w:val="000000"/>
                      <w:kern w:val="0"/>
                      <w:sz w:val="21"/>
                      <w:szCs w:val="21"/>
                      <w:vertAlign w:val="baseline"/>
                      <w:lang w:val="en-US" w:eastAsia="zh-CN"/>
                    </w:rPr>
                    <w:t>A4资源利用要求</w:t>
                  </w:r>
                </w:p>
              </w:tc>
              <w:tc>
                <w:tcPr>
                  <w:tcW w:w="472" w:type="pct"/>
                  <w:tcBorders>
                    <w:tl2br w:val="nil"/>
                    <w:tr2bl w:val="nil"/>
                  </w:tcBorders>
                  <w:noWrap w:val="0"/>
                  <w:vAlign w:val="center"/>
                </w:tcPr>
                <w:p w14:paraId="2F4545D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SA"/>
                    </w:rPr>
                  </w:pPr>
                  <w:r>
                    <w:rPr>
                      <w:rFonts w:hint="default" w:ascii="Times New Roman" w:hAnsi="Times New Roman" w:eastAsia="宋体" w:cs="Times New Roman"/>
                      <w:b w:val="0"/>
                      <w:bCs w:val="0"/>
                      <w:color w:val="000000"/>
                      <w:kern w:val="0"/>
                      <w:sz w:val="21"/>
                      <w:szCs w:val="21"/>
                      <w:vertAlign w:val="baseline"/>
                      <w:lang w:val="en-US" w:eastAsia="zh-CN"/>
                    </w:rPr>
                    <w:t>A4.5资源综合利用</w:t>
                  </w:r>
                </w:p>
              </w:tc>
              <w:tc>
                <w:tcPr>
                  <w:tcW w:w="2529" w:type="pct"/>
                  <w:tcBorders>
                    <w:tl2br w:val="nil"/>
                    <w:tr2bl w:val="nil"/>
                  </w:tcBorders>
                  <w:noWrap w:val="0"/>
                  <w:vAlign w:val="center"/>
                </w:tcPr>
                <w:p w14:paraId="679C39A0">
                  <w:pPr>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b w:val="0"/>
                      <w:bCs/>
                      <w:color w:val="auto"/>
                      <w:kern w:val="0"/>
                      <w:sz w:val="21"/>
                      <w:szCs w:val="18"/>
                      <w:highlight w:val="none"/>
                    </w:rPr>
                  </w:pPr>
                  <w:r>
                    <w:rPr>
                      <w:rFonts w:hint="default" w:ascii="Times New Roman" w:hAnsi="Times New Roman" w:eastAsia="宋体" w:cs="Times New Roman"/>
                      <w:b w:val="0"/>
                      <w:bCs/>
                      <w:color w:val="auto"/>
                      <w:kern w:val="0"/>
                      <w:sz w:val="21"/>
                      <w:szCs w:val="18"/>
                      <w:highlight w:val="none"/>
                    </w:rPr>
                    <w:t>〔A4.1-4〕地下水资源利用实行总量控制和水位控制。取用地下水资源，应当按照国家和自治区有关规定申请取水许可。地下水利用应当以浅层地下水为主。</w:t>
                  </w:r>
                </w:p>
                <w:p w14:paraId="5C693EF7">
                  <w:pPr>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b w:val="0"/>
                      <w:bCs/>
                      <w:color w:val="auto"/>
                      <w:kern w:val="0"/>
                      <w:sz w:val="21"/>
                      <w:szCs w:val="18"/>
                      <w:highlight w:val="none"/>
                    </w:rPr>
                  </w:pPr>
                  <w:r>
                    <w:rPr>
                      <w:rFonts w:hint="default" w:ascii="Times New Roman" w:hAnsi="Times New Roman" w:eastAsia="宋体" w:cs="Times New Roman"/>
                      <w:b w:val="0"/>
                      <w:bCs/>
                      <w:color w:val="auto"/>
                      <w:kern w:val="0"/>
                      <w:sz w:val="21"/>
                      <w:szCs w:val="18"/>
                      <w:highlight w:val="none"/>
                    </w:rPr>
                    <w:t>〔A4.3-4〕鼓励使用清洁能源或电厂热力、工业余热等替代锅炉、炉窑燃料用煤。</w:t>
                  </w:r>
                </w:p>
                <w:p w14:paraId="572ADC4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SA"/>
                    </w:rPr>
                  </w:pPr>
                  <w:r>
                    <w:rPr>
                      <w:rFonts w:hint="default" w:ascii="Times New Roman" w:hAnsi="Times New Roman" w:eastAsia="宋体" w:cs="Times New Roman"/>
                      <w:b w:val="0"/>
                      <w:bCs/>
                      <w:color w:val="auto"/>
                      <w:kern w:val="0"/>
                      <w:sz w:val="21"/>
                      <w:szCs w:val="18"/>
                      <w:highlight w:val="none"/>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逆向回收”等模式。以尾矿和共伴生矿、煤矸石、炉渣、粉煤灰、脱硫石膏、冶炼渣、建筑垃圾等为重点，持续推进固体废物综合利用和环境整治，不断提高大宗固体废物资源化利用水平。推行生活垃圾分类，加快建设县（市）生活垃圾处理设施，到2025年，全疆城市生活垃圾无害化处理率达到99%以上。</w:t>
                  </w:r>
                </w:p>
              </w:tc>
              <w:tc>
                <w:tcPr>
                  <w:tcW w:w="1323" w:type="pct"/>
                  <w:tcBorders>
                    <w:tl2br w:val="nil"/>
                    <w:tr2bl w:val="nil"/>
                  </w:tcBorders>
                  <w:noWrap w:val="0"/>
                  <w:vAlign w:val="center"/>
                </w:tcPr>
                <w:p w14:paraId="0640DF0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SA"/>
                    </w:rPr>
                  </w:pPr>
                  <w:r>
                    <w:rPr>
                      <w:rFonts w:hint="default" w:ascii="Times New Roman" w:hAnsi="Times New Roman" w:eastAsia="宋体" w:cs="Times New Roman"/>
                      <w:color w:val="000000"/>
                      <w:kern w:val="0"/>
                      <w:sz w:val="21"/>
                      <w:szCs w:val="21"/>
                      <w:lang w:val="en-US" w:eastAsia="zh-CN"/>
                    </w:rPr>
                    <w:t>本项目</w:t>
                  </w:r>
                  <w:r>
                    <w:rPr>
                      <w:rFonts w:hint="eastAsia" w:cs="Times New Roman"/>
                      <w:color w:val="000000"/>
                      <w:kern w:val="0"/>
                      <w:sz w:val="21"/>
                      <w:szCs w:val="21"/>
                      <w:lang w:val="en-US" w:eastAsia="zh-CN"/>
                    </w:rPr>
                    <w:t>生活用水为市政供水</w:t>
                  </w:r>
                  <w:r>
                    <w:rPr>
                      <w:rFonts w:hint="default" w:ascii="Times New Roman" w:hAnsi="Times New Roman" w:eastAsia="宋体" w:cs="Times New Roman"/>
                      <w:color w:val="000000"/>
                      <w:kern w:val="0"/>
                      <w:sz w:val="21"/>
                      <w:szCs w:val="21"/>
                      <w:lang w:val="en-US" w:eastAsia="zh-CN"/>
                    </w:rPr>
                    <w:t>，生活垃圾集中收集后，</w:t>
                  </w:r>
                  <w:r>
                    <w:rPr>
                      <w:rFonts w:hint="eastAsia" w:cs="Times New Roman"/>
                      <w:color w:val="000000"/>
                      <w:kern w:val="0"/>
                      <w:sz w:val="21"/>
                      <w:szCs w:val="21"/>
                      <w:lang w:val="en-US" w:eastAsia="zh-CN"/>
                    </w:rPr>
                    <w:t>委托环卫部门</w:t>
                  </w:r>
                  <w:r>
                    <w:rPr>
                      <w:rFonts w:hint="default" w:ascii="Times New Roman" w:hAnsi="Times New Roman" w:eastAsia="宋体" w:cs="Times New Roman"/>
                      <w:color w:val="000000"/>
                      <w:kern w:val="0"/>
                      <w:sz w:val="21"/>
                      <w:szCs w:val="21"/>
                      <w:highlight w:val="none"/>
                      <w:lang w:val="en-US" w:eastAsia="zh-CN"/>
                    </w:rPr>
                    <w:t>定期</w:t>
                  </w:r>
                  <w:r>
                    <w:rPr>
                      <w:rFonts w:hint="eastAsia" w:cs="Times New Roman"/>
                      <w:color w:val="000000"/>
                      <w:kern w:val="0"/>
                      <w:sz w:val="21"/>
                      <w:szCs w:val="21"/>
                      <w:lang w:val="en-US" w:eastAsia="zh-CN"/>
                    </w:rPr>
                    <w:t>统一</w:t>
                  </w:r>
                  <w:r>
                    <w:rPr>
                      <w:rFonts w:hint="default" w:ascii="Times New Roman" w:hAnsi="Times New Roman" w:eastAsia="宋体" w:cs="Times New Roman"/>
                      <w:b w:val="0"/>
                      <w:bCs w:val="0"/>
                      <w:color w:val="000000"/>
                      <w:kern w:val="0"/>
                      <w:sz w:val="21"/>
                      <w:szCs w:val="21"/>
                      <w:vertAlign w:val="baseline"/>
                      <w:lang w:val="en-US" w:eastAsia="zh-CN"/>
                    </w:rPr>
                    <w:t>清运至阜康市生活垃圾填埋场处置。</w:t>
                  </w:r>
                </w:p>
              </w:tc>
              <w:tc>
                <w:tcPr>
                  <w:tcW w:w="320" w:type="pct"/>
                  <w:tcBorders>
                    <w:tl2br w:val="nil"/>
                    <w:tr2bl w:val="nil"/>
                  </w:tcBorders>
                  <w:noWrap w:val="0"/>
                  <w:vAlign w:val="center"/>
                </w:tcPr>
                <w:p w14:paraId="18B1784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SA"/>
                    </w:rPr>
                  </w:pPr>
                  <w:r>
                    <w:rPr>
                      <w:rFonts w:hint="default" w:ascii="Times New Roman" w:hAnsi="Times New Roman" w:eastAsia="宋体" w:cs="Times New Roman"/>
                      <w:b w:val="0"/>
                      <w:bCs w:val="0"/>
                      <w:color w:val="000000"/>
                      <w:kern w:val="0"/>
                      <w:sz w:val="21"/>
                      <w:szCs w:val="21"/>
                      <w:vertAlign w:val="baseline"/>
                      <w:lang w:val="en-US" w:eastAsia="zh-CN"/>
                    </w:rPr>
                    <w:t>符合</w:t>
                  </w:r>
                </w:p>
              </w:tc>
            </w:tr>
          </w:tbl>
          <w:p w14:paraId="1A245F9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b w:val="0"/>
                <w:bCs w:val="0"/>
                <w:color w:val="000000"/>
                <w:kern w:val="0"/>
                <w:sz w:val="24"/>
                <w:szCs w:val="24"/>
                <w:lang w:val="en-US" w:eastAsia="zh-CN"/>
              </w:rPr>
              <w:t>综上所述，本项目建设</w:t>
            </w:r>
            <w:r>
              <w:rPr>
                <w:rFonts w:hint="default" w:ascii="Times New Roman" w:hAnsi="Times New Roman" w:eastAsia="宋体" w:cs="Times New Roman"/>
                <w:color w:val="000000"/>
                <w:kern w:val="0"/>
                <w:sz w:val="24"/>
                <w:szCs w:val="24"/>
                <w:lang w:val="en-US" w:eastAsia="zh-CN"/>
              </w:rPr>
              <w:t>符合</w:t>
            </w:r>
            <w:r>
              <w:rPr>
                <w:rFonts w:hint="default" w:ascii="Times New Roman" w:hAnsi="Times New Roman" w:eastAsia="宋体" w:cs="Times New Roman"/>
                <w:b w:val="0"/>
                <w:bCs w:val="0"/>
                <w:color w:val="000000"/>
                <w:kern w:val="0"/>
                <w:sz w:val="24"/>
                <w:szCs w:val="24"/>
                <w:lang w:val="en-US" w:eastAsia="zh-CN"/>
              </w:rPr>
              <w:t>《新疆维吾尔自治区生态环境分区管控动态更新成果》（新环环评发〔2024〕157号）中相关</w:t>
            </w:r>
            <w:r>
              <w:rPr>
                <w:rFonts w:hint="default" w:ascii="Times New Roman" w:hAnsi="Times New Roman" w:eastAsia="宋体" w:cs="Times New Roman"/>
                <w:color w:val="000000"/>
                <w:kern w:val="0"/>
                <w:sz w:val="24"/>
                <w:szCs w:val="24"/>
                <w:lang w:val="en-US" w:eastAsia="zh-CN"/>
              </w:rPr>
              <w:t>要求。</w:t>
            </w:r>
          </w:p>
          <w:p w14:paraId="6F1A78D2">
            <w:pPr>
              <w:keepNext w:val="0"/>
              <w:keepLines w:val="0"/>
              <w:pageBreakBefore w:val="0"/>
              <w:widowControl w:val="0"/>
              <w:numPr>
                <w:ilvl w:val="0"/>
                <w:numId w:val="0"/>
              </w:numPr>
              <w:kinsoku/>
              <w:wordWrap/>
              <w:overflowPunct/>
              <w:topLinePunct w:val="0"/>
              <w:bidi w:val="0"/>
              <w:snapToGrid w:val="0"/>
              <w:spacing w:line="360" w:lineRule="auto"/>
              <w:ind w:firstLine="482" w:firstLineChars="200"/>
              <w:textAlignment w:val="auto"/>
              <w:rPr>
                <w:rFonts w:hint="default" w:ascii="Times New Roman" w:hAnsi="Times New Roman" w:eastAsia="宋体" w:cs="Times New Roman"/>
                <w:b/>
                <w:bCs/>
                <w:color w:val="000000"/>
                <w:sz w:val="24"/>
                <w:lang w:val="en-US" w:eastAsia="zh-CN"/>
              </w:rPr>
            </w:pPr>
            <w:r>
              <w:rPr>
                <w:rFonts w:hint="eastAsia" w:cs="Times New Roman"/>
                <w:b/>
                <w:bCs/>
                <w:color w:val="000000"/>
                <w:sz w:val="24"/>
                <w:lang w:val="en-US" w:eastAsia="zh-CN"/>
              </w:rPr>
              <w:t>6.</w:t>
            </w:r>
            <w:r>
              <w:rPr>
                <w:rFonts w:hint="default" w:ascii="Times New Roman" w:hAnsi="Times New Roman" w:eastAsia="宋体" w:cs="Times New Roman"/>
                <w:b/>
                <w:bCs/>
                <w:color w:val="000000"/>
                <w:sz w:val="24"/>
                <w:lang w:val="en-US" w:eastAsia="zh-CN"/>
              </w:rPr>
              <w:t>与《新疆维吾尔自治区七大片区“三线一单”生态环境分区管控要求》（新环环评发〔2021〕162号）符合性分析</w:t>
            </w:r>
          </w:p>
          <w:p w14:paraId="60E2352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b w:val="0"/>
                <w:bCs w:val="0"/>
                <w:color w:val="000000"/>
                <w:kern w:val="0"/>
                <w:sz w:val="24"/>
                <w:szCs w:val="24"/>
                <w:lang w:val="en-US" w:eastAsia="zh-CN"/>
              </w:rPr>
              <w:t>项目区位于新疆维吾尔自治区昌吉州阜康市，根据《关于印发〈新疆维吾尔自治区七大片区“三线一单”生态环境分区管控要求〉（2021年版）的通知》，本项目区属于“乌昌石”片区，项目与《关于印发〈新疆维吾尔自治区七大片区“三线一单”生态环境分区管控要求〉（2021年版）的通知》中“乌昌石”管控要求符合性分析详见表1-</w:t>
            </w:r>
            <w:r>
              <w:rPr>
                <w:rFonts w:hint="eastAsia" w:cs="Times New Roman"/>
                <w:b w:val="0"/>
                <w:bCs w:val="0"/>
                <w:color w:val="000000"/>
                <w:kern w:val="0"/>
                <w:sz w:val="24"/>
                <w:szCs w:val="24"/>
                <w:lang w:val="en-US" w:eastAsia="zh-CN"/>
              </w:rPr>
              <w:t>3</w:t>
            </w:r>
            <w:r>
              <w:rPr>
                <w:rFonts w:hint="default" w:ascii="Times New Roman" w:hAnsi="Times New Roman" w:eastAsia="宋体" w:cs="Times New Roman"/>
                <w:b w:val="0"/>
                <w:bCs w:val="0"/>
                <w:color w:val="000000"/>
                <w:kern w:val="0"/>
                <w:sz w:val="24"/>
                <w:szCs w:val="24"/>
                <w:lang w:val="en-US" w:eastAsia="zh-CN"/>
              </w:rPr>
              <w:t>。七大片区分区管控图见</w:t>
            </w:r>
            <w:r>
              <w:rPr>
                <w:rFonts w:hint="eastAsia" w:cs="Times New Roman"/>
                <w:b/>
                <w:bCs/>
                <w:color w:val="000000"/>
                <w:kern w:val="0"/>
                <w:sz w:val="24"/>
                <w:szCs w:val="24"/>
                <w:lang w:val="en-US" w:eastAsia="zh-CN"/>
              </w:rPr>
              <w:t>附</w:t>
            </w:r>
            <w:r>
              <w:rPr>
                <w:rFonts w:hint="default" w:ascii="Times New Roman" w:hAnsi="Times New Roman" w:eastAsia="宋体" w:cs="Times New Roman"/>
                <w:b/>
                <w:bCs/>
                <w:color w:val="000000"/>
                <w:kern w:val="0"/>
                <w:sz w:val="24"/>
                <w:szCs w:val="24"/>
                <w:lang w:val="en-US" w:eastAsia="zh-CN"/>
              </w:rPr>
              <w:t>图1-2</w:t>
            </w:r>
            <w:r>
              <w:rPr>
                <w:rFonts w:hint="default" w:ascii="Times New Roman" w:hAnsi="Times New Roman" w:eastAsia="宋体" w:cs="Times New Roman"/>
                <w:b w:val="0"/>
                <w:bCs w:val="0"/>
                <w:color w:val="000000"/>
                <w:kern w:val="0"/>
                <w:sz w:val="24"/>
                <w:szCs w:val="24"/>
                <w:lang w:val="en-US" w:eastAsia="zh-CN"/>
              </w:rPr>
              <w:t>。</w:t>
            </w:r>
          </w:p>
          <w:p w14:paraId="72CF7B4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000000"/>
                <w:kern w:val="0"/>
                <w:sz w:val="24"/>
                <w:szCs w:val="24"/>
                <w:lang w:val="en-US" w:eastAsia="zh-CN"/>
              </w:rPr>
            </w:pPr>
            <w:r>
              <w:rPr>
                <w:rFonts w:hint="default" w:ascii="Times New Roman" w:hAnsi="Times New Roman" w:eastAsia="宋体" w:cs="Times New Roman"/>
                <w:b/>
                <w:bCs/>
                <w:color w:val="000000"/>
                <w:kern w:val="0"/>
                <w:sz w:val="21"/>
                <w:szCs w:val="21"/>
                <w:lang w:val="en-US" w:eastAsia="zh-CN"/>
              </w:rPr>
              <w:t>表1-</w:t>
            </w:r>
            <w:r>
              <w:rPr>
                <w:rFonts w:hint="eastAsia" w:cs="Times New Roman"/>
                <w:b/>
                <w:bCs/>
                <w:color w:val="000000"/>
                <w:kern w:val="0"/>
                <w:sz w:val="21"/>
                <w:szCs w:val="21"/>
                <w:lang w:val="en-US" w:eastAsia="zh-CN"/>
              </w:rPr>
              <w:t>3</w:t>
            </w:r>
            <w:r>
              <w:rPr>
                <w:rFonts w:hint="default" w:ascii="Times New Roman" w:hAnsi="Times New Roman" w:eastAsia="宋体" w:cs="Times New Roman"/>
                <w:b/>
                <w:bCs/>
                <w:color w:val="000000"/>
                <w:kern w:val="0"/>
                <w:sz w:val="21"/>
                <w:szCs w:val="21"/>
                <w:lang w:val="en-US" w:eastAsia="zh-CN"/>
              </w:rPr>
              <w:t xml:space="preserve"> 与《新疆维吾尔自治区七大片区“三线一单”生态环境分区管控要求》符合性分析一览表</w:t>
            </w:r>
          </w:p>
          <w:tbl>
            <w:tblPr>
              <w:tblStyle w:val="33"/>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3547"/>
              <w:gridCol w:w="2057"/>
              <w:gridCol w:w="427"/>
            </w:tblGrid>
            <w:tr w14:paraId="1AF1C8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88" w:type="pct"/>
                  <w:tcBorders>
                    <w:tl2br w:val="nil"/>
                    <w:tr2bl w:val="nil"/>
                  </w:tcBorders>
                  <w:noWrap w:val="0"/>
                  <w:vAlign w:val="center"/>
                </w:tcPr>
                <w:p w14:paraId="3CAC061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vertAlign w:val="baseline"/>
                      <w:lang w:val="en-US" w:eastAsia="zh-CN"/>
                    </w:rPr>
                  </w:pPr>
                  <w:r>
                    <w:rPr>
                      <w:rFonts w:hint="default" w:ascii="Times New Roman" w:hAnsi="Times New Roman" w:eastAsia="宋体" w:cs="Times New Roman"/>
                      <w:b/>
                      <w:bCs/>
                      <w:color w:val="000000"/>
                      <w:kern w:val="0"/>
                      <w:sz w:val="21"/>
                      <w:szCs w:val="21"/>
                      <w:vertAlign w:val="baseline"/>
                      <w:lang w:val="en-US" w:eastAsia="zh-CN"/>
                    </w:rPr>
                    <w:t>管控单元名称</w:t>
                  </w:r>
                </w:p>
              </w:tc>
              <w:tc>
                <w:tcPr>
                  <w:tcW w:w="2659" w:type="pct"/>
                  <w:tcBorders>
                    <w:tl2br w:val="nil"/>
                    <w:tr2bl w:val="nil"/>
                  </w:tcBorders>
                  <w:noWrap w:val="0"/>
                  <w:vAlign w:val="center"/>
                </w:tcPr>
                <w:p w14:paraId="4E8D6F7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vertAlign w:val="baseline"/>
                      <w:lang w:val="en-US" w:eastAsia="zh-CN"/>
                    </w:rPr>
                  </w:pPr>
                  <w:r>
                    <w:rPr>
                      <w:rFonts w:hint="default" w:ascii="Times New Roman" w:hAnsi="Times New Roman" w:eastAsia="宋体" w:cs="Times New Roman"/>
                      <w:b/>
                      <w:bCs/>
                      <w:color w:val="000000"/>
                      <w:kern w:val="0"/>
                      <w:sz w:val="21"/>
                      <w:szCs w:val="21"/>
                      <w:vertAlign w:val="baseline"/>
                      <w:lang w:val="en-US" w:eastAsia="zh-CN"/>
                    </w:rPr>
                    <w:t>管控要求</w:t>
                  </w:r>
                </w:p>
              </w:tc>
              <w:tc>
                <w:tcPr>
                  <w:tcW w:w="1544" w:type="pct"/>
                  <w:tcBorders>
                    <w:tl2br w:val="nil"/>
                    <w:tr2bl w:val="nil"/>
                  </w:tcBorders>
                  <w:noWrap w:val="0"/>
                  <w:vAlign w:val="center"/>
                </w:tcPr>
                <w:p w14:paraId="6C89674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vertAlign w:val="baseline"/>
                      <w:lang w:val="en-US" w:eastAsia="zh-CN"/>
                    </w:rPr>
                  </w:pPr>
                  <w:r>
                    <w:rPr>
                      <w:rFonts w:hint="default" w:ascii="Times New Roman" w:hAnsi="Times New Roman" w:eastAsia="宋体" w:cs="Times New Roman"/>
                      <w:b/>
                      <w:bCs/>
                      <w:color w:val="000000"/>
                      <w:kern w:val="0"/>
                      <w:sz w:val="21"/>
                      <w:szCs w:val="21"/>
                      <w:vertAlign w:val="baseline"/>
                      <w:lang w:val="en-US" w:eastAsia="zh-CN"/>
                    </w:rPr>
                    <w:t>项目情况</w:t>
                  </w:r>
                </w:p>
              </w:tc>
              <w:tc>
                <w:tcPr>
                  <w:tcW w:w="308" w:type="pct"/>
                  <w:tcBorders>
                    <w:tl2br w:val="nil"/>
                    <w:tr2bl w:val="nil"/>
                  </w:tcBorders>
                  <w:noWrap w:val="0"/>
                  <w:vAlign w:val="center"/>
                </w:tcPr>
                <w:p w14:paraId="2B9886F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vertAlign w:val="baseline"/>
                      <w:lang w:val="en-US" w:eastAsia="zh-CN"/>
                    </w:rPr>
                  </w:pPr>
                  <w:r>
                    <w:rPr>
                      <w:rFonts w:hint="default" w:ascii="Times New Roman" w:hAnsi="Times New Roman" w:eastAsia="宋体" w:cs="Times New Roman"/>
                      <w:b/>
                      <w:bCs/>
                      <w:color w:val="000000"/>
                      <w:kern w:val="0"/>
                      <w:sz w:val="21"/>
                      <w:szCs w:val="21"/>
                      <w:vertAlign w:val="baseline"/>
                      <w:lang w:val="en-US" w:eastAsia="zh-CN"/>
                    </w:rPr>
                    <w:t>符合性</w:t>
                  </w:r>
                </w:p>
              </w:tc>
            </w:tr>
            <w:tr w14:paraId="17D2A2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88" w:type="pct"/>
                  <w:vMerge w:val="restart"/>
                  <w:tcBorders>
                    <w:tl2br w:val="nil"/>
                    <w:tr2bl w:val="nil"/>
                  </w:tcBorders>
                  <w:noWrap w:val="0"/>
                  <w:vAlign w:val="center"/>
                </w:tcPr>
                <w:p w14:paraId="1B509AC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乌昌石片区管控要求</w:t>
                  </w:r>
                </w:p>
              </w:tc>
              <w:tc>
                <w:tcPr>
                  <w:tcW w:w="2659" w:type="pct"/>
                  <w:tcBorders>
                    <w:tl2br w:val="nil"/>
                    <w:tr2bl w:val="nil"/>
                  </w:tcBorders>
                  <w:noWrap w:val="0"/>
                  <w:vAlign w:val="center"/>
                </w:tcPr>
                <w:p w14:paraId="5157ACE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乌昌石片区包括乌鲁木齐市、昌吉回族自治州和沙湾市。</w:t>
                  </w:r>
                </w:p>
              </w:tc>
              <w:tc>
                <w:tcPr>
                  <w:tcW w:w="1544" w:type="pct"/>
                  <w:tcBorders>
                    <w:tl2br w:val="nil"/>
                    <w:tr2bl w:val="nil"/>
                  </w:tcBorders>
                  <w:noWrap w:val="0"/>
                  <w:vAlign w:val="center"/>
                </w:tcPr>
                <w:p w14:paraId="6D5C98B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项目位于新疆维吾尔自治区昌吉回族自治州阜康市三工河哈萨克乡花儿沟村，属于乌昌石片区。</w:t>
                  </w:r>
                </w:p>
              </w:tc>
              <w:tc>
                <w:tcPr>
                  <w:tcW w:w="308" w:type="pct"/>
                  <w:tcBorders>
                    <w:tl2br w:val="nil"/>
                    <w:tr2bl w:val="nil"/>
                  </w:tcBorders>
                  <w:noWrap w:val="0"/>
                  <w:vAlign w:val="center"/>
                </w:tcPr>
                <w:p w14:paraId="078D682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符合</w:t>
                  </w:r>
                </w:p>
              </w:tc>
            </w:tr>
            <w:tr w14:paraId="6711A9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88" w:type="pct"/>
                  <w:vMerge w:val="continue"/>
                  <w:tcBorders>
                    <w:tl2br w:val="nil"/>
                    <w:tr2bl w:val="nil"/>
                  </w:tcBorders>
                  <w:noWrap w:val="0"/>
                  <w:vAlign w:val="center"/>
                </w:tcPr>
                <w:p w14:paraId="1A5DD9A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p>
              </w:tc>
              <w:tc>
                <w:tcPr>
                  <w:tcW w:w="2659" w:type="pct"/>
                  <w:tcBorders>
                    <w:tl2br w:val="nil"/>
                    <w:tr2bl w:val="nil"/>
                  </w:tcBorders>
                  <w:noWrap w:val="0"/>
                  <w:vAlign w:val="center"/>
                </w:tcPr>
                <w:p w14:paraId="78A4D9E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除国家规划项目外，乌鲁木齐市七区一县、昌吉市、阜康市、玛纳斯县、呼图壁县、沙湾市建成区及周边敏感区域内不再布局建设煤化工、电解铝、燃煤纯发电机组、金属硅、碳化硅、聚氯乙烯（电石法）、焦炭（含半焦）等新增产能项目，具备风光电清洁供暖建设条件的区域原则上不新批热电联产项目。坚持属地负责与区域大气污染联防联控相结合，以明显降低细颗粒物浓度为重点，协同推进“乌-昌-石”区域大气环境治理，强化与生产建设兵团第六师、第八师、第十一师、第十二师的同防同治，确保区域环境空气质量持续改善。所有新建、改建、扩建工业项目执行最严格的大气污染物排放标准。强化氮氧化物深度治理。强化挥发性有机物污染防治措施。推广使用低挥发性有机物原辅料，推动有条件的园区（工业集聚区）建设集中喷涂工程中心，配备高效治污设施，替代企业独立喷涂工序。</w:t>
                  </w:r>
                </w:p>
              </w:tc>
              <w:tc>
                <w:tcPr>
                  <w:tcW w:w="1544" w:type="pct"/>
                  <w:tcBorders>
                    <w:tl2br w:val="nil"/>
                    <w:tr2bl w:val="nil"/>
                  </w:tcBorders>
                  <w:noWrap w:val="0"/>
                  <w:vAlign w:val="center"/>
                </w:tcPr>
                <w:p w14:paraId="3817BA5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本项目不属于煤化工、电解铝、燃煤纯发电机组、金属硅、碳化硅、聚氯乙烯（电石法）、焦炭（含半焦）项目及热电联产项目。本项目运营期产生餐饮油烟，经过油烟净化设备后达标排放。</w:t>
                  </w:r>
                </w:p>
              </w:tc>
              <w:tc>
                <w:tcPr>
                  <w:tcW w:w="308" w:type="pct"/>
                  <w:tcBorders>
                    <w:tl2br w:val="nil"/>
                    <w:tr2bl w:val="nil"/>
                  </w:tcBorders>
                  <w:noWrap w:val="0"/>
                  <w:vAlign w:val="center"/>
                </w:tcPr>
                <w:p w14:paraId="7E8DE63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符合</w:t>
                  </w:r>
                </w:p>
              </w:tc>
            </w:tr>
            <w:tr w14:paraId="789F20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88" w:type="pct"/>
                  <w:vMerge w:val="continue"/>
                  <w:tcBorders>
                    <w:tl2br w:val="nil"/>
                    <w:tr2bl w:val="nil"/>
                  </w:tcBorders>
                  <w:noWrap w:val="0"/>
                  <w:vAlign w:val="center"/>
                </w:tcPr>
                <w:p w14:paraId="7B0B310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p>
              </w:tc>
              <w:tc>
                <w:tcPr>
                  <w:tcW w:w="2659" w:type="pct"/>
                  <w:tcBorders>
                    <w:tl2br w:val="nil"/>
                    <w:tr2bl w:val="nil"/>
                  </w:tcBorders>
                  <w:noWrap w:val="0"/>
                  <w:vAlign w:val="center"/>
                </w:tcPr>
                <w:p w14:paraId="3C0DB3D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强化企业清洁生产改造，推进节水型企业、节水型工业园区建设，提高资源集约节约利用水平。积极推进地下水超采治理，逐步压减地下水超采量，实现地下水采补平衡。</w:t>
                  </w:r>
                </w:p>
              </w:tc>
              <w:tc>
                <w:tcPr>
                  <w:tcW w:w="1544" w:type="pct"/>
                  <w:tcBorders>
                    <w:tl2br w:val="nil"/>
                    <w:tr2bl w:val="nil"/>
                  </w:tcBorders>
                  <w:noWrap w:val="0"/>
                  <w:vAlign w:val="center"/>
                </w:tcPr>
                <w:p w14:paraId="05C8498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本项目供水由市政给水管网提供。</w:t>
                  </w:r>
                </w:p>
              </w:tc>
              <w:tc>
                <w:tcPr>
                  <w:tcW w:w="308" w:type="pct"/>
                  <w:tcBorders>
                    <w:tl2br w:val="nil"/>
                    <w:tr2bl w:val="nil"/>
                  </w:tcBorders>
                  <w:noWrap w:val="0"/>
                  <w:vAlign w:val="center"/>
                </w:tcPr>
                <w:p w14:paraId="3879A49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符合</w:t>
                  </w:r>
                </w:p>
              </w:tc>
            </w:tr>
            <w:tr w14:paraId="49D350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88" w:type="pct"/>
                  <w:vMerge w:val="continue"/>
                  <w:tcBorders>
                    <w:tl2br w:val="nil"/>
                    <w:tr2bl w:val="nil"/>
                  </w:tcBorders>
                  <w:noWrap w:val="0"/>
                  <w:vAlign w:val="center"/>
                </w:tcPr>
                <w:p w14:paraId="03E767C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p>
              </w:tc>
              <w:tc>
                <w:tcPr>
                  <w:tcW w:w="2659" w:type="pct"/>
                  <w:tcBorders>
                    <w:tl2br w:val="nil"/>
                    <w:tr2bl w:val="nil"/>
                  </w:tcBorders>
                  <w:noWrap w:val="0"/>
                  <w:vAlign w:val="center"/>
                </w:tcPr>
                <w:p w14:paraId="6261248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强化油（气）资源开发区土壤环境污染综合整治。加强涉重金属行业污染防控与工业废物处理处置。</w:t>
                  </w:r>
                </w:p>
              </w:tc>
              <w:tc>
                <w:tcPr>
                  <w:tcW w:w="1544" w:type="pct"/>
                  <w:tcBorders>
                    <w:tl2br w:val="nil"/>
                    <w:tr2bl w:val="nil"/>
                  </w:tcBorders>
                  <w:noWrap w:val="0"/>
                  <w:vAlign w:val="center"/>
                </w:tcPr>
                <w:p w14:paraId="179233A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项目不属于涉重金属行业。</w:t>
                  </w:r>
                </w:p>
              </w:tc>
              <w:tc>
                <w:tcPr>
                  <w:tcW w:w="308" w:type="pct"/>
                  <w:tcBorders>
                    <w:tl2br w:val="nil"/>
                    <w:tr2bl w:val="nil"/>
                  </w:tcBorders>
                  <w:noWrap w:val="0"/>
                  <w:vAlign w:val="center"/>
                </w:tcPr>
                <w:p w14:paraId="33F5A04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符合</w:t>
                  </w:r>
                </w:p>
              </w:tc>
            </w:tr>
            <w:tr w14:paraId="4CDBF3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88" w:type="pct"/>
                  <w:vMerge w:val="continue"/>
                  <w:tcBorders>
                    <w:tl2br w:val="nil"/>
                    <w:tr2bl w:val="nil"/>
                  </w:tcBorders>
                  <w:noWrap w:val="0"/>
                  <w:vAlign w:val="center"/>
                </w:tcPr>
                <w:p w14:paraId="26FC996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p>
              </w:tc>
              <w:tc>
                <w:tcPr>
                  <w:tcW w:w="2659" w:type="pct"/>
                  <w:tcBorders>
                    <w:tl2br w:val="nil"/>
                    <w:tr2bl w:val="nil"/>
                  </w:tcBorders>
                  <w:noWrap w:val="0"/>
                  <w:vAlign w:val="center"/>
                </w:tcPr>
                <w:p w14:paraId="091E734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煤炭、石油、天然气开发单位应当制定生态保护和恢复治理方案，并予以实施。生态保护和恢复治理方案内容应当向社会公布，接受社会监督。</w:t>
                  </w:r>
                </w:p>
              </w:tc>
              <w:tc>
                <w:tcPr>
                  <w:tcW w:w="1544" w:type="pct"/>
                  <w:tcBorders>
                    <w:tl2br w:val="nil"/>
                    <w:tr2bl w:val="nil"/>
                  </w:tcBorders>
                  <w:noWrap w:val="0"/>
                  <w:vAlign w:val="center"/>
                </w:tcPr>
                <w:p w14:paraId="544012D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本项目属于旅游基础设施建设项目，不属于煤炭、石油、天然气开发项目。</w:t>
                  </w:r>
                </w:p>
              </w:tc>
              <w:tc>
                <w:tcPr>
                  <w:tcW w:w="308" w:type="pct"/>
                  <w:tcBorders>
                    <w:tl2br w:val="nil"/>
                    <w:tr2bl w:val="nil"/>
                  </w:tcBorders>
                  <w:noWrap w:val="0"/>
                  <w:vAlign w:val="center"/>
                </w:tcPr>
                <w:p w14:paraId="0F1D1F0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符合</w:t>
                  </w:r>
                </w:p>
              </w:tc>
            </w:tr>
          </w:tbl>
          <w:p w14:paraId="574A082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kern w:val="0"/>
                <w:sz w:val="24"/>
                <w:szCs w:val="24"/>
                <w:lang w:val="en-US" w:eastAsia="zh-CN"/>
              </w:rPr>
            </w:pPr>
            <w:r>
              <w:rPr>
                <w:rFonts w:hint="default" w:ascii="Times New Roman" w:hAnsi="Times New Roman" w:eastAsia="宋体" w:cs="Times New Roman"/>
                <w:color w:val="000000"/>
                <w:kern w:val="0"/>
                <w:sz w:val="24"/>
                <w:szCs w:val="24"/>
                <w:lang w:val="en-US" w:eastAsia="zh-CN"/>
              </w:rPr>
              <w:t>综上所述，本项目的建设符合《关于印发〈新疆维吾尔自治区七大片区“三线一单”生态环境分区管控要求〉（2021年版）的通知》（新环环评发〔2021〕162号）中相关要求。</w:t>
            </w:r>
          </w:p>
          <w:p w14:paraId="55733657">
            <w:pPr>
              <w:keepNext w:val="0"/>
              <w:keepLines w:val="0"/>
              <w:pageBreakBefore w:val="0"/>
              <w:widowControl w:val="0"/>
              <w:numPr>
                <w:ilvl w:val="0"/>
                <w:numId w:val="0"/>
              </w:numPr>
              <w:kinsoku/>
              <w:wordWrap/>
              <w:overflowPunct/>
              <w:topLinePunct w:val="0"/>
              <w:bidi w:val="0"/>
              <w:snapToGrid w:val="0"/>
              <w:spacing w:line="360" w:lineRule="auto"/>
              <w:ind w:firstLine="482" w:firstLineChars="200"/>
              <w:textAlignment w:val="auto"/>
              <w:rPr>
                <w:rFonts w:hint="default" w:ascii="Times New Roman" w:hAnsi="Times New Roman" w:eastAsia="宋体" w:cs="Times New Roman"/>
                <w:b/>
                <w:bCs/>
                <w:color w:val="000000"/>
                <w:sz w:val="24"/>
                <w:lang w:val="en-US" w:eastAsia="zh-CN"/>
              </w:rPr>
            </w:pPr>
            <w:r>
              <w:rPr>
                <w:rFonts w:hint="eastAsia" w:cs="Times New Roman"/>
                <w:b/>
                <w:bCs/>
                <w:color w:val="000000"/>
                <w:sz w:val="24"/>
                <w:lang w:val="en-US" w:eastAsia="zh-CN"/>
              </w:rPr>
              <w:t>7.</w:t>
            </w:r>
            <w:r>
              <w:rPr>
                <w:rFonts w:hint="default" w:ascii="Times New Roman" w:hAnsi="Times New Roman" w:eastAsia="宋体" w:cs="Times New Roman"/>
                <w:b/>
                <w:bCs/>
                <w:color w:val="000000"/>
                <w:sz w:val="24"/>
                <w:lang w:val="en-US" w:eastAsia="zh-CN"/>
              </w:rPr>
              <w:t>与</w:t>
            </w:r>
            <w:r>
              <w:rPr>
                <w:rFonts w:hint="default" w:ascii="Times New Roman" w:hAnsi="Times New Roman" w:eastAsia="宋体" w:cs="Times New Roman"/>
                <w:b w:val="0"/>
                <w:bCs w:val="0"/>
                <w:color w:val="000000"/>
                <w:kern w:val="0"/>
                <w:sz w:val="24"/>
                <w:szCs w:val="24"/>
                <w:lang w:val="en-US" w:eastAsia="zh-CN"/>
              </w:rPr>
              <w:t>《</w:t>
            </w:r>
            <w:r>
              <w:rPr>
                <w:rFonts w:hint="default" w:ascii="Times New Roman" w:hAnsi="Times New Roman" w:eastAsia="宋体" w:cs="Times New Roman"/>
                <w:b/>
                <w:bCs/>
                <w:color w:val="000000"/>
                <w:sz w:val="24"/>
                <w:lang w:val="en-US" w:eastAsia="zh-CN"/>
              </w:rPr>
              <w:t>昌吉州生态环境分区管控动态更新成果</w:t>
            </w:r>
            <w:r>
              <w:rPr>
                <w:rFonts w:hint="default" w:ascii="Times New Roman" w:hAnsi="Times New Roman" w:eastAsia="宋体" w:cs="Times New Roman"/>
                <w:b/>
                <w:bCs/>
                <w:color w:val="000000"/>
                <w:kern w:val="0"/>
                <w:sz w:val="24"/>
                <w:szCs w:val="24"/>
                <w:lang w:val="en-US" w:eastAsia="zh-CN"/>
              </w:rPr>
              <w:t>》</w:t>
            </w:r>
            <w:r>
              <w:rPr>
                <w:rFonts w:hint="default" w:ascii="Times New Roman" w:hAnsi="Times New Roman" w:eastAsia="宋体" w:cs="Times New Roman"/>
                <w:b/>
                <w:bCs/>
                <w:color w:val="000000"/>
                <w:sz w:val="24"/>
                <w:lang w:val="en-US" w:eastAsia="zh-CN"/>
              </w:rPr>
              <w:t>的符合性分析</w:t>
            </w:r>
          </w:p>
          <w:p w14:paraId="4A9684A7">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 w:val="0"/>
                <w:bCs w:val="0"/>
                <w:color w:val="000000"/>
                <w:kern w:val="0"/>
                <w:sz w:val="24"/>
                <w:szCs w:val="24"/>
                <w:lang w:val="en-US" w:eastAsia="zh-CN"/>
              </w:rPr>
            </w:pPr>
            <w:r>
              <w:rPr>
                <w:rFonts w:hint="default" w:ascii="Times New Roman" w:hAnsi="Times New Roman" w:eastAsia="宋体" w:cs="Times New Roman"/>
                <w:b w:val="0"/>
                <w:bCs w:val="0"/>
                <w:color w:val="000000"/>
                <w:kern w:val="0"/>
                <w:sz w:val="24"/>
                <w:szCs w:val="24"/>
                <w:lang w:val="en-US" w:eastAsia="zh-CN"/>
              </w:rPr>
              <w:t>《昌吉州生态环境分区管控动态更新成果》于2024年12月25日发布实施，根据《昌吉州生态环境分区管控动态更新成果》，本项目位于新疆维吾尔自治区昌吉回族自治州阜康市三工河哈萨克乡花儿沟村，环境管控单元类别为</w:t>
            </w:r>
            <w:r>
              <w:rPr>
                <w:rFonts w:hint="default" w:ascii="Times New Roman" w:hAnsi="Times New Roman" w:eastAsia="宋体" w:cs="Times New Roman"/>
                <w:color w:val="000000"/>
                <w:sz w:val="24"/>
                <w:szCs w:val="24"/>
                <w:lang w:val="en-US" w:eastAsia="zh-CN"/>
              </w:rPr>
              <w:t>重点管控单元</w:t>
            </w:r>
            <w:r>
              <w:rPr>
                <w:rFonts w:hint="default" w:ascii="Times New Roman" w:hAnsi="Times New Roman" w:eastAsia="宋体" w:cs="Times New Roman"/>
                <w:b w:val="0"/>
                <w:bCs w:val="0"/>
                <w:color w:val="000000"/>
                <w:kern w:val="0"/>
                <w:sz w:val="24"/>
                <w:szCs w:val="24"/>
                <w:lang w:val="en-US" w:eastAsia="zh-CN"/>
              </w:rPr>
              <w:t>，环境管控单元编码为ZH65230220004</w:t>
            </w: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val="en-US" w:eastAsia="zh-CN"/>
              </w:rPr>
              <w:t>环境管控单元名称为</w:t>
            </w:r>
            <w:r>
              <w:rPr>
                <w:rFonts w:hint="eastAsia" w:ascii="Times New Roman" w:hAnsi="Times New Roman" w:eastAsia="宋体" w:cs="Times New Roman"/>
                <w:color w:val="000000"/>
                <w:sz w:val="24"/>
                <w:szCs w:val="24"/>
                <w:lang w:val="en-US" w:eastAsia="zh-CN"/>
              </w:rPr>
              <w:t>准南煤矿阜康矿区</w:t>
            </w:r>
            <w:r>
              <w:rPr>
                <w:rFonts w:hint="default" w:ascii="Times New Roman" w:hAnsi="Times New Roman" w:eastAsia="宋体" w:cs="Times New Roman"/>
                <w:color w:val="000000"/>
                <w:sz w:val="24"/>
                <w:szCs w:val="24"/>
                <w:lang w:val="en-US" w:eastAsia="zh-CN"/>
              </w:rPr>
              <w:t>。</w:t>
            </w:r>
            <w:r>
              <w:rPr>
                <w:rFonts w:hint="default" w:ascii="Times New Roman" w:hAnsi="Times New Roman" w:eastAsia="宋体" w:cs="Times New Roman"/>
                <w:b w:val="0"/>
                <w:bCs w:val="0"/>
                <w:color w:val="000000"/>
                <w:kern w:val="0"/>
                <w:sz w:val="24"/>
                <w:szCs w:val="24"/>
                <w:lang w:val="en-US" w:eastAsia="zh-CN"/>
              </w:rPr>
              <w:t>管控单元位置图见</w:t>
            </w:r>
            <w:r>
              <w:rPr>
                <w:rFonts w:hint="default" w:ascii="Times New Roman" w:hAnsi="Times New Roman" w:eastAsia="宋体" w:cs="Times New Roman"/>
                <w:b/>
                <w:bCs/>
                <w:color w:val="000000"/>
                <w:kern w:val="0"/>
                <w:sz w:val="24"/>
                <w:szCs w:val="24"/>
                <w:lang w:val="en-US" w:eastAsia="zh-CN"/>
              </w:rPr>
              <w:t>附图1-3</w:t>
            </w:r>
            <w:r>
              <w:rPr>
                <w:rFonts w:hint="default" w:ascii="Times New Roman" w:hAnsi="Times New Roman" w:eastAsia="宋体" w:cs="Times New Roman"/>
                <w:b w:val="0"/>
                <w:bCs w:val="0"/>
                <w:color w:val="000000"/>
                <w:kern w:val="0"/>
                <w:sz w:val="24"/>
                <w:szCs w:val="24"/>
                <w:lang w:val="en-US" w:eastAsia="zh-CN"/>
              </w:rPr>
              <w:t>。</w:t>
            </w:r>
          </w:p>
          <w:p w14:paraId="5B2C8CC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lang w:val="en-US" w:eastAsia="zh-CN"/>
              </w:rPr>
            </w:pPr>
            <w:r>
              <w:rPr>
                <w:rFonts w:hint="default" w:ascii="Times New Roman" w:hAnsi="Times New Roman" w:eastAsia="宋体" w:cs="Times New Roman"/>
                <w:b w:val="0"/>
                <w:bCs w:val="0"/>
                <w:color w:val="000000"/>
                <w:kern w:val="0"/>
                <w:sz w:val="24"/>
                <w:szCs w:val="24"/>
                <w:lang w:val="en-US" w:eastAsia="zh-CN"/>
              </w:rPr>
              <w:t>本项目与《昌吉州生态环境分区管控动态更新成果》的符合性分析见表1-</w:t>
            </w:r>
            <w:r>
              <w:rPr>
                <w:rFonts w:hint="eastAsia" w:cs="Times New Roman"/>
                <w:b w:val="0"/>
                <w:bCs w:val="0"/>
                <w:color w:val="000000"/>
                <w:kern w:val="0"/>
                <w:sz w:val="24"/>
                <w:szCs w:val="24"/>
                <w:lang w:val="en-US" w:eastAsia="zh-CN"/>
              </w:rPr>
              <w:t>4</w:t>
            </w:r>
            <w:r>
              <w:rPr>
                <w:rFonts w:hint="default" w:ascii="Times New Roman" w:hAnsi="Times New Roman" w:eastAsia="宋体" w:cs="Times New Roman"/>
                <w:b w:val="0"/>
                <w:bCs w:val="0"/>
                <w:color w:val="000000"/>
                <w:kern w:val="0"/>
                <w:sz w:val="24"/>
                <w:szCs w:val="24"/>
                <w:lang w:val="en-US" w:eastAsia="zh-CN"/>
              </w:rPr>
              <w:t>。</w:t>
            </w:r>
          </w:p>
          <w:p w14:paraId="5A356E46">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000000"/>
                <w:kern w:val="0"/>
                <w:sz w:val="21"/>
                <w:szCs w:val="21"/>
                <w:lang w:val="en-US" w:eastAsia="zh-CN"/>
              </w:rPr>
            </w:pPr>
            <w:r>
              <w:rPr>
                <w:rFonts w:hint="default" w:ascii="Times New Roman" w:hAnsi="Times New Roman" w:eastAsia="宋体" w:cs="Times New Roman"/>
                <w:b/>
                <w:bCs/>
                <w:color w:val="000000"/>
                <w:kern w:val="0"/>
                <w:sz w:val="21"/>
                <w:szCs w:val="21"/>
                <w:lang w:val="en-US" w:eastAsia="zh-CN"/>
              </w:rPr>
              <w:t>表1-</w:t>
            </w:r>
            <w:r>
              <w:rPr>
                <w:rFonts w:hint="eastAsia" w:cs="Times New Roman"/>
                <w:b/>
                <w:bCs/>
                <w:color w:val="000000"/>
                <w:kern w:val="0"/>
                <w:sz w:val="21"/>
                <w:szCs w:val="21"/>
                <w:lang w:val="en-US" w:eastAsia="zh-CN"/>
              </w:rPr>
              <w:t>4</w:t>
            </w:r>
            <w:r>
              <w:rPr>
                <w:rFonts w:hint="default" w:ascii="Times New Roman" w:hAnsi="Times New Roman" w:eastAsia="宋体" w:cs="Times New Roman"/>
                <w:b/>
                <w:bCs/>
                <w:color w:val="000000"/>
                <w:kern w:val="0"/>
                <w:sz w:val="21"/>
                <w:szCs w:val="21"/>
                <w:lang w:val="en-US" w:eastAsia="zh-CN"/>
              </w:rPr>
              <w:t xml:space="preserve"> 项目与《昌吉州生态环境分区管控动态更新成果》符合性分析一览表</w:t>
            </w:r>
          </w:p>
          <w:tbl>
            <w:tblPr>
              <w:tblStyle w:val="33"/>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3318"/>
              <w:gridCol w:w="1720"/>
              <w:gridCol w:w="697"/>
            </w:tblGrid>
            <w:tr w14:paraId="0E2532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90" w:hRule="atLeast"/>
              </w:trPr>
              <w:tc>
                <w:tcPr>
                  <w:tcW w:w="704" w:type="pct"/>
                  <w:tcBorders>
                    <w:bottom w:val="single" w:color="auto" w:sz="12" w:space="0"/>
                  </w:tcBorders>
                  <w:noWrap w:val="0"/>
                  <w:vAlign w:val="center"/>
                </w:tcPr>
                <w:p w14:paraId="3A495F3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000000"/>
                      <w:sz w:val="21"/>
                      <w:szCs w:val="21"/>
                      <w:lang w:val="zh-CN" w:eastAsia="zh-CN"/>
                    </w:rPr>
                  </w:pPr>
                  <w:r>
                    <w:rPr>
                      <w:rFonts w:hint="default" w:ascii="Times New Roman" w:hAnsi="Times New Roman" w:eastAsia="宋体" w:cs="Times New Roman"/>
                      <w:b/>
                      <w:bCs/>
                      <w:color w:val="000000"/>
                      <w:sz w:val="21"/>
                      <w:szCs w:val="21"/>
                      <w:lang w:val="zh-CN" w:eastAsia="zh-CN"/>
                    </w:rPr>
                    <w:t>管控</w:t>
                  </w:r>
                </w:p>
                <w:p w14:paraId="3CBA16C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zh-CN" w:eastAsia="zh-CN"/>
                    </w:rPr>
                    <w:t>名称</w:t>
                  </w:r>
                </w:p>
              </w:tc>
              <w:tc>
                <w:tcPr>
                  <w:tcW w:w="2485" w:type="pct"/>
                  <w:tcBorders>
                    <w:bottom w:val="single" w:color="auto" w:sz="12" w:space="0"/>
                  </w:tcBorders>
                  <w:noWrap w:val="0"/>
                  <w:vAlign w:val="center"/>
                </w:tcPr>
                <w:p w14:paraId="6959D6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zh-CN" w:eastAsia="zh-CN"/>
                    </w:rPr>
                    <w:t>管控要求</w:t>
                  </w:r>
                </w:p>
              </w:tc>
              <w:tc>
                <w:tcPr>
                  <w:tcW w:w="1288" w:type="pct"/>
                  <w:tcBorders>
                    <w:bottom w:val="single" w:color="auto" w:sz="12" w:space="0"/>
                  </w:tcBorders>
                  <w:noWrap w:val="0"/>
                  <w:vAlign w:val="center"/>
                </w:tcPr>
                <w:p w14:paraId="50C99DF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zh-CN" w:eastAsia="zh-CN"/>
                    </w:rPr>
                    <w:t>项目概况</w:t>
                  </w:r>
                </w:p>
              </w:tc>
              <w:tc>
                <w:tcPr>
                  <w:tcW w:w="522" w:type="pct"/>
                  <w:tcBorders>
                    <w:bottom w:val="single" w:color="auto" w:sz="12" w:space="0"/>
                  </w:tcBorders>
                  <w:noWrap w:val="0"/>
                  <w:vAlign w:val="center"/>
                </w:tcPr>
                <w:p w14:paraId="6E10E21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zh-CN" w:eastAsia="zh-CN"/>
                    </w:rPr>
                    <w:t>符合性</w:t>
                  </w:r>
                </w:p>
              </w:tc>
            </w:tr>
            <w:tr w14:paraId="77B85F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04" w:type="pct"/>
                  <w:tcBorders>
                    <w:top w:val="single" w:color="auto" w:sz="12" w:space="0"/>
                    <w:tl2br w:val="nil"/>
                    <w:tr2bl w:val="nil"/>
                  </w:tcBorders>
                  <w:noWrap w:val="0"/>
                  <w:vAlign w:val="center"/>
                </w:tcPr>
                <w:p w14:paraId="0D59C32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zh-CN" w:eastAsia="zh-CN"/>
                    </w:rPr>
                    <w:t>空间布局约束</w:t>
                  </w:r>
                </w:p>
              </w:tc>
              <w:tc>
                <w:tcPr>
                  <w:tcW w:w="2485" w:type="pct"/>
                  <w:tcBorders>
                    <w:top w:val="single" w:color="auto" w:sz="12" w:space="0"/>
                    <w:tl2br w:val="nil"/>
                    <w:tr2bl w:val="nil"/>
                  </w:tcBorders>
                  <w:noWrap w:val="0"/>
                  <w:vAlign w:val="center"/>
                </w:tcPr>
                <w:p w14:paraId="1D558BA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w:t>
                  </w:r>
                  <w:r>
                    <w:rPr>
                      <w:rFonts w:hint="default" w:ascii="Times New Roman" w:hAnsi="Times New Roman" w:eastAsia="宋体" w:cs="Times New Roman"/>
                      <w:color w:val="000000"/>
                      <w:sz w:val="21"/>
                      <w:szCs w:val="21"/>
                      <w:lang w:val="en-US" w:eastAsia="zh-CN"/>
                    </w:rPr>
                    <w:t>一切开发建设活动应符合国家、自治区主体功能区规划、自治区和各地颁布实施的生态环境功能区划、国民经济发展规划、产业发展规划、城乡总体规划、土地利用规划等相关规划及重点生态功能区负面清单要求，符合区域或产业规划环评要求。2</w:t>
                  </w:r>
                  <w:r>
                    <w:rPr>
                      <w:rFonts w:hint="eastAsia" w:cs="Times New Roman"/>
                      <w:color w:val="000000"/>
                      <w:sz w:val="21"/>
                      <w:szCs w:val="21"/>
                      <w:lang w:val="en-US" w:eastAsia="zh-CN"/>
                    </w:rPr>
                    <w:t xml:space="preserve">. </w:t>
                  </w:r>
                  <w:r>
                    <w:rPr>
                      <w:rFonts w:hint="default" w:ascii="Times New Roman" w:hAnsi="Times New Roman" w:eastAsia="宋体" w:cs="Times New Roman"/>
                      <w:color w:val="000000"/>
                      <w:sz w:val="21"/>
                      <w:szCs w:val="21"/>
                      <w:lang w:val="en-US" w:eastAsia="zh-CN"/>
                    </w:rPr>
                    <w:t>禁止新建煤层含硫量大于3%的煤矿。3、除国家规定新增原料用能不纳入能源消费总量控制的项目和列入国家规划的项目外，“乌—昌—石”等重点区域不再新建、扩建使用煤炭</w:t>
                  </w:r>
                  <w:r>
                    <w:rPr>
                      <w:rFonts w:hint="eastAsia" w:cs="Times New Roman"/>
                      <w:color w:val="000000"/>
                      <w:sz w:val="21"/>
                      <w:szCs w:val="21"/>
                      <w:lang w:val="en-US" w:eastAsia="zh-CN"/>
                    </w:rPr>
                    <w:t>的项目</w:t>
                  </w:r>
                  <w:r>
                    <w:rPr>
                      <w:rFonts w:hint="default" w:ascii="Times New Roman" w:hAnsi="Times New Roman" w:eastAsia="宋体" w:cs="Times New Roman"/>
                      <w:color w:val="000000"/>
                      <w:sz w:val="21"/>
                      <w:szCs w:val="21"/>
                      <w:lang w:val="en-US" w:eastAsia="zh-CN"/>
                    </w:rPr>
                    <w:t>。</w:t>
                  </w:r>
                </w:p>
              </w:tc>
              <w:tc>
                <w:tcPr>
                  <w:tcW w:w="1288" w:type="pct"/>
                  <w:tcBorders>
                    <w:top w:val="single" w:color="auto" w:sz="12" w:space="0"/>
                    <w:tl2br w:val="nil"/>
                    <w:tr2bl w:val="nil"/>
                  </w:tcBorders>
                  <w:noWrap w:val="0"/>
                  <w:vAlign w:val="center"/>
                </w:tcPr>
                <w:p w14:paraId="5A6BFD0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本项目在阜康市三工河哈萨克乡花儿沟村，符合</w:t>
                  </w:r>
                  <w:r>
                    <w:rPr>
                      <w:rFonts w:hint="eastAsia" w:ascii="Times New Roman" w:hAnsi="Times New Roman" w:eastAsia="宋体" w:cs="Times New Roman"/>
                      <w:color w:val="000000"/>
                      <w:sz w:val="21"/>
                      <w:szCs w:val="21"/>
                      <w:lang w:val="en-US" w:eastAsia="zh-CN"/>
                    </w:rPr>
                    <w:t>新疆天山天池国家地质公园</w:t>
                  </w:r>
                  <w:r>
                    <w:rPr>
                      <w:rFonts w:hint="default" w:ascii="Times New Roman" w:hAnsi="Times New Roman" w:eastAsia="宋体" w:cs="Times New Roman"/>
                      <w:color w:val="000000"/>
                      <w:sz w:val="21"/>
                      <w:szCs w:val="21"/>
                      <w:lang w:val="en-US" w:eastAsia="zh-CN"/>
                    </w:rPr>
                    <w:t>总体规划，符合空间布局约束。</w:t>
                  </w:r>
                </w:p>
              </w:tc>
              <w:tc>
                <w:tcPr>
                  <w:tcW w:w="522" w:type="pct"/>
                  <w:tcBorders>
                    <w:top w:val="single" w:color="auto" w:sz="12" w:space="0"/>
                    <w:tl2br w:val="nil"/>
                    <w:tr2bl w:val="nil"/>
                  </w:tcBorders>
                  <w:noWrap w:val="0"/>
                  <w:vAlign w:val="center"/>
                </w:tcPr>
                <w:p w14:paraId="3422EB1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zh-CN" w:eastAsia="zh-CN"/>
                    </w:rPr>
                    <w:t>符合</w:t>
                  </w:r>
                </w:p>
              </w:tc>
            </w:tr>
            <w:tr w14:paraId="6B7337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04" w:type="pct"/>
                  <w:tcBorders>
                    <w:tl2br w:val="nil"/>
                    <w:tr2bl w:val="nil"/>
                  </w:tcBorders>
                  <w:noWrap w:val="0"/>
                  <w:vAlign w:val="center"/>
                </w:tcPr>
                <w:p w14:paraId="16D91F3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zh-CN" w:eastAsia="zh-CN"/>
                    </w:rPr>
                    <w:t>污染物排放管控</w:t>
                  </w:r>
                </w:p>
              </w:tc>
              <w:tc>
                <w:tcPr>
                  <w:tcW w:w="2485" w:type="pct"/>
                  <w:tcBorders>
                    <w:tl2br w:val="nil"/>
                    <w:tr2bl w:val="nil"/>
                  </w:tcBorders>
                  <w:noWrap w:val="0"/>
                  <w:vAlign w:val="center"/>
                </w:tcPr>
                <w:p w14:paraId="4BA2838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w:t>
                  </w:r>
                  <w:r>
                    <w:rPr>
                      <w:rFonts w:hint="default" w:ascii="Times New Roman" w:hAnsi="Times New Roman" w:eastAsia="宋体" w:cs="Times New Roman"/>
                      <w:color w:val="000000"/>
                      <w:sz w:val="21"/>
                      <w:szCs w:val="21"/>
                      <w:lang w:val="en-US" w:eastAsia="zh-CN"/>
                    </w:rPr>
                    <w:t>新建矿区和新建矿山必须符合《新疆维吾尔自治区矿产资源总体规划（2025</w:t>
                  </w:r>
                  <w:r>
                    <w:rPr>
                      <w:rFonts w:hint="eastAsia" w:cs="Times New Roman"/>
                      <w:color w:val="000000"/>
                      <w:sz w:val="21"/>
                      <w:szCs w:val="21"/>
                      <w:lang w:val="en-US" w:eastAsia="zh-CN"/>
                    </w:rPr>
                    <w:t>—</w:t>
                  </w:r>
                  <w:r>
                    <w:rPr>
                      <w:rFonts w:hint="default" w:ascii="Times New Roman" w:hAnsi="Times New Roman" w:eastAsia="宋体" w:cs="Times New Roman"/>
                      <w:color w:val="000000"/>
                      <w:sz w:val="21"/>
                      <w:szCs w:val="21"/>
                      <w:lang w:val="en-US" w:eastAsia="zh-CN"/>
                    </w:rPr>
                    <w:t>2030年）》的相关要求，最小开采规模和最低服务年限应符合规划要求，新建矿山应100%达到绿色矿山建设要求。 2</w:t>
                  </w:r>
                  <w:r>
                    <w:rPr>
                      <w:rFonts w:hint="eastAsia" w:cs="Times New Roman"/>
                      <w:color w:val="000000"/>
                      <w:sz w:val="21"/>
                      <w:szCs w:val="21"/>
                      <w:lang w:val="en-US" w:eastAsia="zh-CN"/>
                    </w:rPr>
                    <w:t xml:space="preserve">. </w:t>
                  </w:r>
                  <w:r>
                    <w:rPr>
                      <w:rFonts w:hint="default" w:ascii="Times New Roman" w:hAnsi="Times New Roman" w:eastAsia="宋体" w:cs="Times New Roman"/>
                      <w:color w:val="000000"/>
                      <w:sz w:val="21"/>
                      <w:szCs w:val="21"/>
                      <w:lang w:val="en-US" w:eastAsia="zh-CN"/>
                    </w:rPr>
                    <w:t>工业废水禁止排入</w:t>
                  </w:r>
                  <w:r>
                    <w:rPr>
                      <w:rFonts w:hint="eastAsia" w:cs="Times New Roman"/>
                      <w:color w:val="000000"/>
                      <w:sz w:val="21"/>
                      <w:szCs w:val="21"/>
                      <w:lang w:val="en-US" w:eastAsia="zh-CN"/>
                    </w:rPr>
                    <w:t>Ⅱ类</w:t>
                  </w:r>
                  <w:r>
                    <w:rPr>
                      <w:rFonts w:hint="default" w:ascii="Times New Roman" w:hAnsi="Times New Roman" w:eastAsia="宋体" w:cs="Times New Roman"/>
                      <w:color w:val="000000"/>
                      <w:sz w:val="21"/>
                      <w:szCs w:val="21"/>
                      <w:lang w:val="en-US" w:eastAsia="zh-CN"/>
                    </w:rPr>
                    <w:t>以上地表水体及有集中式饮用水源功能的</w:t>
                  </w:r>
                  <w:r>
                    <w:rPr>
                      <w:rFonts w:hint="eastAsia" w:cs="Times New Roman"/>
                      <w:color w:val="000000"/>
                      <w:sz w:val="21"/>
                      <w:szCs w:val="21"/>
                      <w:lang w:val="en-US" w:eastAsia="zh-CN"/>
                    </w:rPr>
                    <w:t>Ⅲ类</w:t>
                  </w:r>
                  <w:r>
                    <w:rPr>
                      <w:rFonts w:hint="default" w:ascii="Times New Roman" w:hAnsi="Times New Roman" w:eastAsia="宋体" w:cs="Times New Roman"/>
                      <w:color w:val="000000"/>
                      <w:sz w:val="21"/>
                      <w:szCs w:val="21"/>
                      <w:lang w:val="en-US" w:eastAsia="zh-CN"/>
                    </w:rPr>
                    <w:t>地表水体。生活污水处理达标后应优先安排综合利用。 3、所有矿山企业均应对照《矿山生态环境保护与恢复治理技术规范（试行）》（HJ 651-2013）中各项要求，编制实施矿山生态环境保护与恢复治理方案。 4、煤矸石无害化处置率达到100%。露天矿的剥离物集中排入排土场，处置率达100%。煤矸石堆场的建设及运营应符合《一般工业固体废弃物贮存、处置场污染控制标准》（GB18599）的有关要求。煤矸石为Ⅱ类一般工业固废的，其堆场采取防渗技术措施。生活垃圾实现100%无害化处置。 5、采矿产生的固体废物，应在专用场所堆放，并采取措施防止二次污染；禁止向河流、湖泊、水库等水体及行洪渠道排放岩土、含油垃圾、泥浆、煤渣、煤矸石和其他固体废物。 6、“乌-昌-石”区域内，已实施超低排放的涉气排污单位，其实施超低排放改造的污染因子执行超低排放限值，其他污染因子执行特别排放限值和特别控制要求。</w:t>
                  </w:r>
                </w:p>
              </w:tc>
              <w:tc>
                <w:tcPr>
                  <w:tcW w:w="1288" w:type="pct"/>
                  <w:tcBorders>
                    <w:tl2br w:val="nil"/>
                    <w:tr2bl w:val="nil"/>
                  </w:tcBorders>
                  <w:noWrap w:val="0"/>
                  <w:vAlign w:val="center"/>
                </w:tcPr>
                <w:p w14:paraId="4D2E070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kern w:val="0"/>
                      <w:sz w:val="21"/>
                      <w:szCs w:val="21"/>
                      <w:vertAlign w:val="baseline"/>
                      <w:lang w:val="en-US" w:eastAsia="zh-CN"/>
                    </w:rPr>
                    <w:t>本项目属于旅游基础设施建设项目，</w:t>
                  </w:r>
                  <w:r>
                    <w:rPr>
                      <w:rFonts w:hint="eastAsia" w:ascii="Times New Roman" w:hAnsi="Times New Roman" w:eastAsia="宋体" w:cs="Times New Roman"/>
                      <w:color w:val="000000"/>
                      <w:kern w:val="0"/>
                      <w:sz w:val="21"/>
                      <w:szCs w:val="21"/>
                      <w:vertAlign w:val="baseline"/>
                      <w:lang w:val="en-US" w:eastAsia="zh-CN"/>
                    </w:rPr>
                    <w:t>不属于矿山开采。本项目</w:t>
                  </w:r>
                  <w:r>
                    <w:rPr>
                      <w:rFonts w:hint="default" w:ascii="Times New Roman" w:hAnsi="Times New Roman" w:eastAsia="宋体" w:cs="Times New Roman"/>
                      <w:color w:val="000000"/>
                      <w:kern w:val="0"/>
                      <w:sz w:val="21"/>
                      <w:szCs w:val="21"/>
                      <w:vertAlign w:val="baseline"/>
                      <w:lang w:val="en-US" w:eastAsia="zh-CN"/>
                    </w:rPr>
                    <w:t>运营期产生餐饮油烟，经过油烟净化设备后达标排放，生活污水经化粪池</w:t>
                  </w:r>
                  <w:r>
                    <w:rPr>
                      <w:rFonts w:hint="eastAsia" w:ascii="Times New Roman" w:hAnsi="Times New Roman" w:eastAsia="宋体" w:cs="Times New Roman"/>
                      <w:color w:val="000000"/>
                      <w:kern w:val="0"/>
                      <w:sz w:val="21"/>
                      <w:szCs w:val="21"/>
                      <w:vertAlign w:val="baseline"/>
                      <w:lang w:val="en-US" w:eastAsia="zh-CN"/>
                    </w:rPr>
                    <w:t>处理后，定期由吸污车抽出运至阜康市污水处理厂处理</w:t>
                  </w:r>
                  <w:r>
                    <w:rPr>
                      <w:rFonts w:hint="default" w:ascii="Times New Roman" w:hAnsi="Times New Roman" w:eastAsia="宋体" w:cs="Times New Roman"/>
                      <w:color w:val="000000"/>
                      <w:kern w:val="0"/>
                      <w:sz w:val="21"/>
                      <w:szCs w:val="21"/>
                      <w:highlight w:val="none"/>
                      <w:vertAlign w:val="baseline"/>
                      <w:lang w:val="en-US" w:eastAsia="zh-CN"/>
                    </w:rPr>
                    <w:t>，生活垃圾统一收集后</w:t>
                  </w:r>
                  <w:r>
                    <w:rPr>
                      <w:rFonts w:hint="eastAsia" w:cs="Times New Roman"/>
                      <w:color w:val="000000"/>
                      <w:kern w:val="0"/>
                      <w:sz w:val="21"/>
                      <w:szCs w:val="21"/>
                      <w:highlight w:val="none"/>
                      <w:vertAlign w:val="baseline"/>
                      <w:lang w:val="en-US" w:eastAsia="zh-CN"/>
                    </w:rPr>
                    <w:t>委托环卫部门统一</w:t>
                  </w:r>
                  <w:r>
                    <w:rPr>
                      <w:rFonts w:hint="default" w:ascii="Times New Roman" w:hAnsi="Times New Roman" w:eastAsia="宋体" w:cs="Times New Roman"/>
                      <w:color w:val="000000"/>
                      <w:kern w:val="0"/>
                      <w:sz w:val="21"/>
                      <w:szCs w:val="21"/>
                      <w:highlight w:val="none"/>
                      <w:vertAlign w:val="baseline"/>
                      <w:lang w:val="en-US" w:eastAsia="zh-CN"/>
                    </w:rPr>
                    <w:t>拉运至阜康市垃圾填埋场填埋</w:t>
                  </w:r>
                  <w:r>
                    <w:rPr>
                      <w:rFonts w:hint="default" w:ascii="Times New Roman" w:hAnsi="Times New Roman" w:eastAsia="宋体" w:cs="Times New Roman"/>
                      <w:color w:val="000000"/>
                      <w:kern w:val="0"/>
                      <w:sz w:val="21"/>
                      <w:szCs w:val="21"/>
                      <w:vertAlign w:val="baseline"/>
                      <w:lang w:val="en-US" w:eastAsia="zh-CN"/>
                    </w:rPr>
                    <w:t>。</w:t>
                  </w:r>
                </w:p>
              </w:tc>
              <w:tc>
                <w:tcPr>
                  <w:tcW w:w="522" w:type="pct"/>
                  <w:tcBorders>
                    <w:tl2br w:val="nil"/>
                    <w:tr2bl w:val="nil"/>
                  </w:tcBorders>
                  <w:noWrap w:val="0"/>
                  <w:vAlign w:val="center"/>
                </w:tcPr>
                <w:p w14:paraId="58C5946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符合</w:t>
                  </w:r>
                </w:p>
              </w:tc>
            </w:tr>
            <w:tr w14:paraId="1897D8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4" w:type="pct"/>
                  <w:tcBorders>
                    <w:tl2br w:val="nil"/>
                    <w:tr2bl w:val="nil"/>
                  </w:tcBorders>
                  <w:noWrap w:val="0"/>
                  <w:vAlign w:val="center"/>
                </w:tcPr>
                <w:p w14:paraId="1C73D6C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zh-CN" w:eastAsia="zh-CN"/>
                    </w:rPr>
                    <w:t>环境风险防控</w:t>
                  </w:r>
                </w:p>
              </w:tc>
              <w:tc>
                <w:tcPr>
                  <w:tcW w:w="2485" w:type="pct"/>
                  <w:tcBorders>
                    <w:tl2br w:val="nil"/>
                    <w:tr2bl w:val="nil"/>
                  </w:tcBorders>
                  <w:noWrap w:val="0"/>
                  <w:vAlign w:val="center"/>
                </w:tcPr>
                <w:p w14:paraId="5A65E8E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w:t>
                  </w:r>
                  <w:r>
                    <w:rPr>
                      <w:rFonts w:hint="default" w:ascii="Times New Roman" w:hAnsi="Times New Roman" w:eastAsia="宋体" w:cs="Times New Roman"/>
                      <w:color w:val="000000"/>
                      <w:sz w:val="21"/>
                      <w:szCs w:val="21"/>
                      <w:lang w:val="en-US" w:eastAsia="zh-CN"/>
                    </w:rPr>
                    <w:t>坚持分级负责、属地为主、部门协同的环境应急责任原则，以尾矿库为重点，健全防范化解突发生态环境事件风险和应急准备责任体系，严格落实企业主体责任。</w:t>
                  </w:r>
                </w:p>
              </w:tc>
              <w:tc>
                <w:tcPr>
                  <w:tcW w:w="1288" w:type="pct"/>
                  <w:tcBorders>
                    <w:tl2br w:val="nil"/>
                    <w:tr2bl w:val="nil"/>
                  </w:tcBorders>
                  <w:noWrap w:val="0"/>
                  <w:vAlign w:val="center"/>
                </w:tcPr>
                <w:p w14:paraId="6078EE7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环评审批后，企业按照HJ168要求编制突发环境应急预案，并在昌吉回族自治州生态环境局阜康市分局备案。</w:t>
                  </w:r>
                </w:p>
              </w:tc>
              <w:tc>
                <w:tcPr>
                  <w:tcW w:w="522" w:type="pct"/>
                  <w:tcBorders>
                    <w:tl2br w:val="nil"/>
                    <w:tr2bl w:val="nil"/>
                  </w:tcBorders>
                  <w:noWrap w:val="0"/>
                  <w:vAlign w:val="center"/>
                </w:tcPr>
                <w:p w14:paraId="4B63E63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符合</w:t>
                  </w:r>
                </w:p>
              </w:tc>
            </w:tr>
            <w:tr w14:paraId="7A21A2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4" w:type="pct"/>
                  <w:tcBorders>
                    <w:tl2br w:val="nil"/>
                    <w:tr2bl w:val="nil"/>
                  </w:tcBorders>
                  <w:noWrap w:val="0"/>
                  <w:vAlign w:val="center"/>
                </w:tcPr>
                <w:p w14:paraId="618464B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zh-CN" w:eastAsia="zh-CN"/>
                    </w:rPr>
                    <w:t>资源利用效率</w:t>
                  </w:r>
                </w:p>
              </w:tc>
              <w:tc>
                <w:tcPr>
                  <w:tcW w:w="2485" w:type="pct"/>
                  <w:tcBorders>
                    <w:tl2br w:val="nil"/>
                    <w:tr2bl w:val="nil"/>
                  </w:tcBorders>
                  <w:noWrap w:val="0"/>
                  <w:vAlign w:val="center"/>
                </w:tcPr>
                <w:p w14:paraId="74E6378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Chars="0" w:right="0" w:right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w:t>
                  </w:r>
                  <w:r>
                    <w:rPr>
                      <w:rFonts w:hint="default" w:ascii="Times New Roman" w:hAnsi="Times New Roman" w:eastAsia="宋体" w:cs="Times New Roman"/>
                      <w:color w:val="000000"/>
                      <w:sz w:val="21"/>
                      <w:szCs w:val="21"/>
                      <w:lang w:val="en-US" w:eastAsia="zh-CN"/>
                    </w:rPr>
                    <w:t>加大对煤矸石、矿井水等开采废弃物的治理力度，推广应用矿井水净化处理和综合循环利用技术，逐步实现废弃物零排放、零污染。</w:t>
                  </w:r>
                </w:p>
              </w:tc>
              <w:tc>
                <w:tcPr>
                  <w:tcW w:w="1288" w:type="pct"/>
                  <w:tcBorders>
                    <w:tl2br w:val="nil"/>
                    <w:tr2bl w:val="nil"/>
                  </w:tcBorders>
                  <w:noWrap w:val="0"/>
                  <w:vAlign w:val="center"/>
                </w:tcPr>
                <w:p w14:paraId="45C7E1A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kern w:val="0"/>
                      <w:sz w:val="21"/>
                      <w:szCs w:val="21"/>
                      <w:vertAlign w:val="baseline"/>
                      <w:lang w:val="en-US" w:eastAsia="zh-CN"/>
                    </w:rPr>
                    <w:t>生活污水经化粪池</w:t>
                  </w:r>
                  <w:r>
                    <w:rPr>
                      <w:rFonts w:hint="eastAsia" w:ascii="Times New Roman" w:hAnsi="Times New Roman" w:eastAsia="宋体" w:cs="Times New Roman"/>
                      <w:color w:val="000000"/>
                      <w:kern w:val="0"/>
                      <w:sz w:val="21"/>
                      <w:szCs w:val="21"/>
                      <w:vertAlign w:val="baseline"/>
                      <w:lang w:val="en-US" w:eastAsia="zh-CN"/>
                    </w:rPr>
                    <w:t>处理后，定期由吸污车抽出运至阜康市污水处理厂处理</w:t>
                  </w:r>
                  <w:r>
                    <w:rPr>
                      <w:rFonts w:hint="default" w:ascii="Times New Roman" w:hAnsi="Times New Roman" w:eastAsia="宋体" w:cs="Times New Roman"/>
                      <w:color w:val="000000"/>
                      <w:sz w:val="21"/>
                      <w:szCs w:val="21"/>
                      <w:lang w:val="en-US" w:eastAsia="zh-CN"/>
                    </w:rPr>
                    <w:t>。</w:t>
                  </w:r>
                </w:p>
              </w:tc>
              <w:tc>
                <w:tcPr>
                  <w:tcW w:w="522" w:type="pct"/>
                  <w:tcBorders>
                    <w:tl2br w:val="nil"/>
                    <w:tr2bl w:val="nil"/>
                  </w:tcBorders>
                  <w:noWrap w:val="0"/>
                  <w:vAlign w:val="center"/>
                </w:tcPr>
                <w:p w14:paraId="1AFB7D4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符合</w:t>
                  </w:r>
                </w:p>
              </w:tc>
            </w:tr>
          </w:tbl>
          <w:p w14:paraId="05C9118A">
            <w:pPr>
              <w:rPr>
                <w:rFonts w:hint="default" w:ascii="Times New Roman" w:hAnsi="Times New Roman" w:eastAsia="宋体" w:cs="Times New Roman"/>
                <w:color w:val="000000"/>
                <w:highlight w:val="none"/>
              </w:rPr>
            </w:pPr>
            <w:r>
              <w:rPr>
                <w:rFonts w:hint="default" w:ascii="Times New Roman" w:hAnsi="Times New Roman" w:eastAsia="宋体" w:cs="Times New Roman"/>
                <w:b w:val="0"/>
                <w:bCs w:val="0"/>
                <w:color w:val="000000"/>
                <w:kern w:val="0"/>
                <w:sz w:val="24"/>
                <w:szCs w:val="24"/>
                <w:lang w:val="en-US" w:eastAsia="zh-CN"/>
              </w:rPr>
              <w:t>综上所述，本项目符合《昌吉州生态环境分区管控动态更新成果》相关要求。</w:t>
            </w:r>
          </w:p>
          <w:p w14:paraId="407B8792">
            <w:pPr>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color w:val="000000"/>
                <w:kern w:val="0"/>
                <w:sz w:val="24"/>
                <w:szCs w:val="24"/>
                <w:lang w:val="en-US" w:eastAsia="zh-CN"/>
              </w:rPr>
            </w:pPr>
            <w:r>
              <w:rPr>
                <w:rFonts w:hint="eastAsia" w:cs="Times New Roman"/>
                <w:b/>
                <w:bCs/>
                <w:color w:val="000000"/>
                <w:kern w:val="0"/>
                <w:sz w:val="24"/>
                <w:szCs w:val="24"/>
                <w:lang w:val="en-US" w:eastAsia="zh-CN"/>
              </w:rPr>
              <w:t>8.</w:t>
            </w:r>
            <w:r>
              <w:rPr>
                <w:rFonts w:hint="default" w:ascii="Times New Roman" w:hAnsi="Times New Roman" w:eastAsia="宋体" w:cs="Times New Roman"/>
                <w:b/>
                <w:bCs/>
                <w:color w:val="000000"/>
                <w:kern w:val="0"/>
                <w:sz w:val="24"/>
                <w:szCs w:val="24"/>
                <w:lang w:val="en-US" w:eastAsia="zh-CN"/>
              </w:rPr>
              <w:t>与《空气质量持续改善行动计划》（国发〔2023〕24号）的符合性分析</w:t>
            </w:r>
          </w:p>
          <w:p w14:paraId="69611A4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000000"/>
                <w:kern w:val="0"/>
                <w:sz w:val="24"/>
                <w:szCs w:val="24"/>
                <w:lang w:val="en-US" w:eastAsia="zh-CN"/>
              </w:rPr>
            </w:pPr>
            <w:r>
              <w:rPr>
                <w:rFonts w:hint="default" w:ascii="Times New Roman" w:hAnsi="Times New Roman" w:eastAsia="宋体" w:cs="Times New Roman"/>
                <w:b/>
                <w:bCs/>
                <w:color w:val="000000"/>
                <w:kern w:val="0"/>
                <w:sz w:val="21"/>
                <w:szCs w:val="21"/>
                <w:lang w:val="en-US" w:eastAsia="zh-CN"/>
              </w:rPr>
              <w:t>表1-</w:t>
            </w:r>
            <w:r>
              <w:rPr>
                <w:rFonts w:hint="eastAsia" w:cs="Times New Roman"/>
                <w:b/>
                <w:bCs/>
                <w:color w:val="000000"/>
                <w:kern w:val="0"/>
                <w:sz w:val="21"/>
                <w:szCs w:val="21"/>
                <w:lang w:val="en-US" w:eastAsia="zh-CN"/>
              </w:rPr>
              <w:t>5</w:t>
            </w:r>
            <w:r>
              <w:rPr>
                <w:rFonts w:hint="default" w:ascii="Times New Roman" w:hAnsi="Times New Roman" w:eastAsia="宋体" w:cs="Times New Roman"/>
                <w:b/>
                <w:bCs/>
                <w:color w:val="000000"/>
                <w:kern w:val="0"/>
                <w:sz w:val="21"/>
                <w:szCs w:val="21"/>
                <w:lang w:val="en-US" w:eastAsia="zh-CN"/>
              </w:rPr>
              <w:t xml:space="preserve">   本项目与《空气质量持续改善行动计划》符合性分析一览表</w:t>
            </w:r>
          </w:p>
          <w:tbl>
            <w:tblPr>
              <w:tblStyle w:val="3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844"/>
              <w:gridCol w:w="1169"/>
              <w:gridCol w:w="666"/>
            </w:tblGrid>
            <w:tr w14:paraId="577B05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26" w:type="pct"/>
                  <w:tcBorders>
                    <w:bottom w:val="single" w:color="auto" w:sz="12" w:space="0"/>
                  </w:tcBorders>
                  <w:noWrap w:val="0"/>
                  <w:vAlign w:val="center"/>
                </w:tcPr>
                <w:p w14:paraId="4A9BCE9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vertAlign w:val="baseline"/>
                      <w:lang w:val="en-US" w:eastAsia="zh-CN"/>
                    </w:rPr>
                  </w:pPr>
                  <w:r>
                    <w:rPr>
                      <w:rFonts w:hint="default" w:ascii="Times New Roman" w:hAnsi="Times New Roman" w:eastAsia="宋体" w:cs="Times New Roman"/>
                      <w:b/>
                      <w:bCs/>
                      <w:color w:val="000000"/>
                      <w:kern w:val="0"/>
                      <w:sz w:val="21"/>
                      <w:szCs w:val="21"/>
                      <w:vertAlign w:val="baseline"/>
                      <w:lang w:val="en-US" w:eastAsia="zh-CN"/>
                    </w:rPr>
                    <w:t>行动计划要求</w:t>
                  </w:r>
                </w:p>
              </w:tc>
              <w:tc>
                <w:tcPr>
                  <w:tcW w:w="875" w:type="pct"/>
                  <w:tcBorders>
                    <w:bottom w:val="single" w:color="auto" w:sz="12" w:space="0"/>
                  </w:tcBorders>
                  <w:noWrap w:val="0"/>
                  <w:vAlign w:val="center"/>
                </w:tcPr>
                <w:p w14:paraId="7EF1FE3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vertAlign w:val="baseline"/>
                      <w:lang w:val="en-US" w:eastAsia="zh-CN"/>
                    </w:rPr>
                  </w:pPr>
                  <w:r>
                    <w:rPr>
                      <w:rFonts w:hint="default" w:ascii="Times New Roman" w:hAnsi="Times New Roman" w:eastAsia="宋体" w:cs="Times New Roman"/>
                      <w:b/>
                      <w:bCs/>
                      <w:color w:val="000000"/>
                      <w:kern w:val="0"/>
                      <w:sz w:val="21"/>
                      <w:szCs w:val="21"/>
                      <w:vertAlign w:val="baseline"/>
                      <w:lang w:val="en-US" w:eastAsia="zh-CN"/>
                    </w:rPr>
                    <w:t>本项目情况</w:t>
                  </w:r>
                </w:p>
              </w:tc>
              <w:tc>
                <w:tcPr>
                  <w:tcW w:w="498" w:type="pct"/>
                  <w:tcBorders>
                    <w:bottom w:val="single" w:color="auto" w:sz="12" w:space="0"/>
                  </w:tcBorders>
                  <w:noWrap w:val="0"/>
                  <w:vAlign w:val="center"/>
                </w:tcPr>
                <w:p w14:paraId="66305A5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vertAlign w:val="baseline"/>
                      <w:lang w:val="en-US" w:eastAsia="zh-CN"/>
                    </w:rPr>
                  </w:pPr>
                  <w:r>
                    <w:rPr>
                      <w:rFonts w:hint="default" w:ascii="Times New Roman" w:hAnsi="Times New Roman" w:eastAsia="宋体" w:cs="Times New Roman"/>
                      <w:b/>
                      <w:bCs/>
                      <w:color w:val="000000"/>
                      <w:kern w:val="0"/>
                      <w:sz w:val="21"/>
                      <w:szCs w:val="21"/>
                      <w:vertAlign w:val="baseline"/>
                      <w:lang w:val="en-US" w:eastAsia="zh-CN"/>
                    </w:rPr>
                    <w:t>符合性</w:t>
                  </w:r>
                </w:p>
              </w:tc>
            </w:tr>
            <w:tr w14:paraId="188124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26" w:type="pct"/>
                  <w:tcBorders>
                    <w:top w:val="single" w:color="auto" w:sz="12" w:space="0"/>
                    <w:tl2br w:val="nil"/>
                    <w:tr2bl w:val="nil"/>
                  </w:tcBorders>
                  <w:noWrap w:val="0"/>
                  <w:vAlign w:val="center"/>
                </w:tcPr>
                <w:p w14:paraId="1B04452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四）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原则上采用清洁运输方式。涉及产能置换的项目，被置换产能及其配套设施关停后，新建项目方可投产。</w:t>
                  </w:r>
                </w:p>
              </w:tc>
              <w:tc>
                <w:tcPr>
                  <w:tcW w:w="875" w:type="pct"/>
                  <w:tcBorders>
                    <w:top w:val="single" w:color="auto" w:sz="12" w:space="0"/>
                    <w:tl2br w:val="nil"/>
                    <w:tr2bl w:val="nil"/>
                  </w:tcBorders>
                  <w:noWrap w:val="0"/>
                  <w:vAlign w:val="center"/>
                </w:tcPr>
                <w:p w14:paraId="6C610C4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本项目不属于高能耗、高排放、低水平项目。</w:t>
                  </w:r>
                </w:p>
              </w:tc>
              <w:tc>
                <w:tcPr>
                  <w:tcW w:w="498" w:type="pct"/>
                  <w:tcBorders>
                    <w:top w:val="single" w:color="auto" w:sz="12" w:space="0"/>
                    <w:tl2br w:val="nil"/>
                    <w:tr2bl w:val="nil"/>
                  </w:tcBorders>
                  <w:noWrap w:val="0"/>
                  <w:vAlign w:val="center"/>
                </w:tcPr>
                <w:p w14:paraId="738860E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符合</w:t>
                  </w:r>
                </w:p>
              </w:tc>
            </w:tr>
            <w:tr w14:paraId="17EF09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26" w:type="pct"/>
                  <w:tcBorders>
                    <w:tl2br w:val="nil"/>
                    <w:tr2bl w:val="nil"/>
                  </w:tcBorders>
                  <w:noWrap w:val="0"/>
                  <w:vAlign w:val="center"/>
                </w:tcPr>
                <w:p w14:paraId="02FEF23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五）加快退出重点行业落后产能。修订《产业结构调整指导目录》，研究将污染物或温室气体排放明显高出行业平均水平、能效和清洁生产水平低的工艺和装备纳入淘汰类和限制类名单。重点区域进一步提高落后产能能耗、环保、质量、安全、技术等要求，逐步退出限制类涉气行业工艺和装备；逐步淘汰步进式烧结机和球团竖炉以及半封闭式硅锰合金、镍铁、高碳铬铁、高碳锰铁电炉。引导重点区域钢铁、焦化、电解铝等产业有序调整优化。</w:t>
                  </w:r>
                </w:p>
              </w:tc>
              <w:tc>
                <w:tcPr>
                  <w:tcW w:w="875" w:type="pct"/>
                  <w:tcBorders>
                    <w:tl2br w:val="nil"/>
                    <w:tr2bl w:val="nil"/>
                  </w:tcBorders>
                  <w:noWrap w:val="0"/>
                  <w:vAlign w:val="center"/>
                </w:tcPr>
                <w:p w14:paraId="2A71CC7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本项目</w:t>
                  </w:r>
                  <w:r>
                    <w:rPr>
                      <w:rFonts w:hint="eastAsia" w:cs="Times New Roman"/>
                      <w:color w:val="000000"/>
                      <w:kern w:val="0"/>
                      <w:sz w:val="21"/>
                      <w:szCs w:val="21"/>
                      <w:vertAlign w:val="baseline"/>
                      <w:lang w:val="en-US" w:eastAsia="zh-CN"/>
                    </w:rPr>
                    <w:t>属于</w:t>
                  </w:r>
                  <w:r>
                    <w:rPr>
                      <w:rFonts w:hint="default" w:ascii="Times New Roman" w:hAnsi="Times New Roman" w:eastAsia="宋体" w:cs="Times New Roman"/>
                      <w:color w:val="000000"/>
                      <w:kern w:val="0"/>
                      <w:sz w:val="21"/>
                      <w:szCs w:val="21"/>
                      <w:vertAlign w:val="baseline"/>
                      <w:lang w:val="en-US" w:eastAsia="zh-CN"/>
                    </w:rPr>
                    <w:t>旅游基础设施建设项目，项目不属于《产业结构调整指导目录（2024年本）》中淘汰类项目。</w:t>
                  </w:r>
                </w:p>
              </w:tc>
              <w:tc>
                <w:tcPr>
                  <w:tcW w:w="498" w:type="pct"/>
                  <w:tcBorders>
                    <w:tl2br w:val="nil"/>
                    <w:tr2bl w:val="nil"/>
                  </w:tcBorders>
                  <w:noWrap w:val="0"/>
                  <w:vAlign w:val="center"/>
                </w:tcPr>
                <w:p w14:paraId="69FF749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符合</w:t>
                  </w:r>
                </w:p>
              </w:tc>
            </w:tr>
          </w:tbl>
          <w:p w14:paraId="736A4D52">
            <w:pPr>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b/>
                <w:bCs/>
                <w:color w:val="000000"/>
                <w:kern w:val="0"/>
                <w:sz w:val="24"/>
                <w:szCs w:val="24"/>
                <w:lang w:val="en-US" w:eastAsia="zh-CN"/>
              </w:rPr>
            </w:pPr>
            <w:r>
              <w:rPr>
                <w:rFonts w:hint="eastAsia" w:ascii="Times New Roman" w:hAnsi="Times New Roman" w:eastAsia="宋体" w:cs="Times New Roman"/>
                <w:b/>
                <w:bCs/>
                <w:color w:val="000000"/>
                <w:kern w:val="0"/>
                <w:sz w:val="24"/>
                <w:szCs w:val="24"/>
                <w:lang w:val="en-US" w:eastAsia="zh-CN"/>
              </w:rPr>
              <w:t>9.与《新疆维吾尔自治区大气污染防治条例》的符合性分析</w:t>
            </w:r>
          </w:p>
          <w:p w14:paraId="584964CE">
            <w:pPr>
              <w:rPr>
                <w:rFonts w:hint="eastAsia" w:ascii="宋体" w:hAnsi="宋体" w:eastAsia="宋体" w:cs="宋体"/>
                <w:sz w:val="24"/>
                <w:szCs w:val="24"/>
                <w:lang w:val="en-US" w:eastAsia="zh-CN"/>
              </w:rPr>
            </w:pPr>
            <w:r>
              <w:rPr>
                <w:rFonts w:hint="eastAsia" w:ascii="Times New Roman" w:hAnsi="Times New Roman" w:eastAsia="宋体" w:cs="Times New Roman"/>
                <w:b w:val="0"/>
                <w:bCs w:val="0"/>
                <w:color w:val="000000"/>
                <w:kern w:val="0"/>
                <w:sz w:val="24"/>
                <w:szCs w:val="24"/>
                <w:lang w:val="en-US" w:eastAsia="zh-CN"/>
              </w:rPr>
              <w:t>《新疆维吾尔自治区大气污染防治条例》</w:t>
            </w:r>
            <w:r>
              <w:rPr>
                <w:rFonts w:hint="eastAsia" w:cs="Times New Roman"/>
                <w:b w:val="0"/>
                <w:bCs w:val="0"/>
                <w:color w:val="000000"/>
                <w:kern w:val="0"/>
                <w:sz w:val="24"/>
                <w:szCs w:val="24"/>
                <w:lang w:val="en-US" w:eastAsia="zh-CN"/>
              </w:rPr>
              <w:t>要求：第一节 燃煤和其他能源污染防治：</w:t>
            </w:r>
            <w:r>
              <w:rPr>
                <w:rFonts w:ascii="宋体" w:hAnsi="宋体" w:eastAsia="宋体" w:cs="宋体"/>
                <w:sz w:val="24"/>
                <w:szCs w:val="24"/>
              </w:rPr>
              <w:t>实行煤炭消费总量控制；推进清洁能源替代；城市建成区、景区、人口集中区逐步淘汰散煤取暖；餐饮、茶浴禁止使用劣质散煤；优先电、天然气、液化石油气等清洁能源供暖供能；严控民用散煤燃烧污染</w:t>
            </w:r>
            <w:r>
              <w:rPr>
                <w:rFonts w:hint="eastAsia" w:cs="Times New Roman"/>
                <w:b w:val="0"/>
                <w:bCs w:val="0"/>
                <w:color w:val="000000"/>
                <w:kern w:val="0"/>
                <w:sz w:val="24"/>
                <w:szCs w:val="24"/>
                <w:lang w:val="en-US" w:eastAsia="zh-CN"/>
              </w:rPr>
              <w:t>。第三节 机动车污染防治：</w:t>
            </w:r>
            <w:r>
              <w:rPr>
                <w:rFonts w:ascii="宋体" w:hAnsi="宋体" w:eastAsia="宋体" w:cs="宋体"/>
                <w:sz w:val="24"/>
                <w:szCs w:val="24"/>
              </w:rPr>
              <w:t>推广新能源车辆，优化场内交通组织，减少车辆怠速；停车场合理布局通风，减少尾气积聚；场内道路洒水降尘，降低车辆行驶扬尘</w:t>
            </w:r>
            <w:r>
              <w:rPr>
                <w:rFonts w:hint="eastAsia" w:cs="Times New Roman"/>
                <w:b w:val="0"/>
                <w:bCs w:val="0"/>
                <w:color w:val="000000"/>
                <w:kern w:val="0"/>
                <w:sz w:val="24"/>
                <w:szCs w:val="24"/>
                <w:lang w:val="en-US" w:eastAsia="zh-CN"/>
              </w:rPr>
              <w:t>。第四节 扬尘污染防治的第三十七～四十一条要求：</w:t>
            </w:r>
            <w:r>
              <w:rPr>
                <w:rFonts w:ascii="宋体" w:hAnsi="宋体" w:eastAsia="宋体" w:cs="宋体"/>
                <w:sz w:val="24"/>
                <w:szCs w:val="24"/>
              </w:rPr>
              <w:t>施工现场设置围挡、土方 /砂石全覆盖、施工道路硬化、定时洒水湿法作业；渣土车辆密闭冲洗；大风天气停止土石方开挖、拆除作业；禁止高空抛洒建筑垃圾；城市建成区禁止现场搅拌混凝土、砂浆配套防尘装置；物料堆场全覆盖抑尘</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第四十八条：排放油烟的餐饮服务和经营场所，应当按照要求安装并正常使用油烟净化设施，确保油烟达标排放。</w:t>
            </w:r>
          </w:p>
          <w:p w14:paraId="19765B37">
            <w:pPr>
              <w:rPr>
                <w:rFonts w:ascii="宋体" w:hAnsi="宋体" w:eastAsia="宋体" w:cs="宋体"/>
                <w:sz w:val="24"/>
                <w:szCs w:val="24"/>
              </w:rPr>
            </w:pPr>
            <w:r>
              <w:rPr>
                <w:rFonts w:ascii="宋体" w:hAnsi="宋体" w:eastAsia="宋体" w:cs="宋体"/>
                <w:sz w:val="24"/>
                <w:szCs w:val="24"/>
              </w:rPr>
              <w:t>本项目施工期严格落实全流程扬尘防控，运营期采暖</w:t>
            </w:r>
            <w:r>
              <w:rPr>
                <w:rFonts w:hint="eastAsia" w:ascii="宋体" w:hAnsi="宋体" w:eastAsia="宋体" w:cs="宋体"/>
                <w:sz w:val="24"/>
                <w:szCs w:val="24"/>
                <w:lang w:val="en-US" w:eastAsia="zh-CN"/>
              </w:rPr>
              <w:t>使用电采暖</w:t>
            </w:r>
            <w:r>
              <w:rPr>
                <w:rFonts w:ascii="宋体" w:hAnsi="宋体" w:eastAsia="宋体" w:cs="宋体"/>
                <w:sz w:val="24"/>
                <w:szCs w:val="24"/>
              </w:rPr>
              <w:t>、厨房使用天然气清洁能源，配套专用烟道+油烟净化装置，</w:t>
            </w:r>
            <w:r>
              <w:rPr>
                <w:rFonts w:hint="eastAsia" w:ascii="宋体" w:hAnsi="宋体" w:eastAsia="宋体" w:cs="宋体"/>
                <w:sz w:val="24"/>
                <w:szCs w:val="24"/>
                <w:lang w:val="en-US" w:eastAsia="zh-CN"/>
              </w:rPr>
              <w:t>生活</w:t>
            </w:r>
            <w:r>
              <w:rPr>
                <w:rFonts w:ascii="宋体" w:hAnsi="宋体" w:eastAsia="宋体" w:cs="宋体"/>
                <w:sz w:val="24"/>
                <w:szCs w:val="24"/>
              </w:rPr>
              <w:t>垃圾</w:t>
            </w:r>
            <w:r>
              <w:rPr>
                <w:rFonts w:hint="eastAsia" w:ascii="宋体" w:hAnsi="宋体" w:eastAsia="宋体" w:cs="宋体"/>
                <w:sz w:val="24"/>
                <w:szCs w:val="24"/>
                <w:lang w:val="en-US" w:eastAsia="zh-CN"/>
              </w:rPr>
              <w:t>日产日清</w:t>
            </w:r>
            <w:r>
              <w:rPr>
                <w:rFonts w:ascii="宋体" w:hAnsi="宋体" w:eastAsia="宋体" w:cs="宋体"/>
                <w:sz w:val="24"/>
                <w:szCs w:val="24"/>
              </w:rPr>
              <w:t>，无燃煤、高污染燃料使用环节，各项建设、运营管理措施均满足《新疆维吾尔自治区大气污染防治条例》管控条款要求，</w:t>
            </w:r>
            <w:r>
              <w:rPr>
                <w:rFonts w:hint="eastAsia" w:ascii="宋体" w:hAnsi="宋体" w:eastAsia="宋体" w:cs="宋体"/>
                <w:sz w:val="24"/>
                <w:szCs w:val="24"/>
                <w:lang w:val="en-US" w:eastAsia="zh-CN"/>
              </w:rPr>
              <w:t>因此本项目的建设符合</w:t>
            </w:r>
            <w:r>
              <w:rPr>
                <w:rFonts w:ascii="宋体" w:hAnsi="宋体" w:eastAsia="宋体" w:cs="宋体"/>
                <w:sz w:val="24"/>
                <w:szCs w:val="24"/>
              </w:rPr>
              <w:t>《新疆维吾尔自治区大气污染防治条例》。</w:t>
            </w:r>
          </w:p>
          <w:p w14:paraId="57D990A5">
            <w:pPr>
              <w:pStyle w:val="6"/>
              <w:keepNext/>
              <w:keepLines/>
              <w:pageBreakBefore w:val="0"/>
              <w:widowControl w:val="0"/>
              <w:numPr>
                <w:ilvl w:val="0"/>
                <w:numId w:val="0"/>
              </w:numPr>
              <w:kinsoku/>
              <w:wordWrap/>
              <w:overflowPunct/>
              <w:topLinePunct w:val="0"/>
              <w:autoSpaceDE/>
              <w:autoSpaceDN/>
              <w:bidi w:val="0"/>
              <w:adjustRightInd/>
              <w:snapToGrid w:val="0"/>
              <w:spacing w:before="0" w:beforeLines="0" w:after="0" w:afterLines="0" w:line="360" w:lineRule="auto"/>
              <w:ind w:left="0" w:leftChars="0" w:firstLine="482" w:firstLineChars="200"/>
              <w:textAlignment w:val="auto"/>
              <w:outlineLvl w:val="3"/>
              <w:rPr>
                <w:rFonts w:hint="default" w:ascii="Times New Roman" w:hAnsi="Times New Roman" w:eastAsia="宋体" w:cs="Times New Roman"/>
                <w:b/>
                <w:bCs w:val="0"/>
                <w:color w:val="000000"/>
                <w:sz w:val="24"/>
                <w:szCs w:val="21"/>
                <w:highlight w:val="none"/>
                <w:lang w:val="en-US" w:eastAsia="zh-CN"/>
              </w:rPr>
            </w:pPr>
            <w:r>
              <w:rPr>
                <w:rFonts w:hint="eastAsia" w:ascii="宋体" w:hAnsi="宋体" w:cs="宋体"/>
                <w:b/>
                <w:bCs w:val="0"/>
                <w:sz w:val="24"/>
                <w:szCs w:val="24"/>
                <w:lang w:val="en-US" w:eastAsia="zh-CN"/>
              </w:rPr>
              <w:t>10.</w:t>
            </w:r>
            <w:r>
              <w:rPr>
                <w:rFonts w:hint="default" w:ascii="Times New Roman" w:hAnsi="Times New Roman" w:eastAsia="宋体" w:cs="Times New Roman"/>
                <w:b/>
                <w:bCs w:val="0"/>
                <w:color w:val="000000"/>
                <w:sz w:val="24"/>
                <w:szCs w:val="21"/>
                <w:lang w:val="en-US" w:eastAsia="zh-CN"/>
              </w:rPr>
              <w:t>与《国家级自然公园管理办法（试行）》</w:t>
            </w:r>
            <w:r>
              <w:rPr>
                <w:rFonts w:hint="eastAsia" w:ascii="Times New Roman" w:hAnsi="Times New Roman" w:eastAsia="宋体" w:cs="Times New Roman"/>
                <w:b/>
                <w:bCs w:val="0"/>
                <w:color w:val="000000"/>
                <w:sz w:val="24"/>
                <w:szCs w:val="21"/>
                <w:lang w:val="en-US" w:eastAsia="zh-CN"/>
              </w:rPr>
              <w:t>（林保</w:t>
            </w:r>
            <w:r>
              <w:rPr>
                <w:rFonts w:hint="eastAsia" w:ascii="Times New Roman" w:hAnsi="Times New Roman" w:eastAsia="宋体" w:cs="Times New Roman"/>
                <w:b/>
                <w:bCs w:val="0"/>
                <w:color w:val="000000"/>
                <w:sz w:val="24"/>
                <w:szCs w:val="21"/>
                <w:highlight w:val="none"/>
                <w:lang w:val="en-US" w:eastAsia="zh-CN"/>
              </w:rPr>
              <w:t>规〔2023〕4号）</w:t>
            </w:r>
            <w:r>
              <w:rPr>
                <w:rFonts w:hint="default" w:ascii="Times New Roman" w:hAnsi="Times New Roman" w:eastAsia="宋体" w:cs="Times New Roman"/>
                <w:b/>
                <w:bCs w:val="0"/>
                <w:color w:val="000000"/>
                <w:sz w:val="24"/>
                <w:szCs w:val="21"/>
                <w:highlight w:val="none"/>
                <w:lang w:val="en-US" w:eastAsia="zh-CN"/>
              </w:rPr>
              <w:t>的符合性分析</w:t>
            </w:r>
          </w:p>
          <w:p w14:paraId="1FE39FF8">
            <w:pPr>
              <w:pStyle w:val="107"/>
              <w:keepNext w:val="0"/>
              <w:keepLines w:val="0"/>
              <w:pageBreakBefore w:val="0"/>
              <w:widowControl w:val="0"/>
              <w:kinsoku/>
              <w:wordWrap/>
              <w:overflowPunct/>
              <w:topLinePunct w:val="0"/>
              <w:autoSpaceDE/>
              <w:autoSpaceDN/>
              <w:bidi w:val="0"/>
              <w:adjustRightInd/>
              <w:snapToGrid w:val="0"/>
              <w:spacing w:line="360" w:lineRule="auto"/>
              <w:ind w:left="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本项目与《</w:t>
            </w:r>
            <w:r>
              <w:rPr>
                <w:rFonts w:hint="default" w:ascii="Times New Roman" w:hAnsi="Times New Roman" w:eastAsia="宋体" w:cs="Times New Roman"/>
                <w:b w:val="0"/>
                <w:bCs w:val="0"/>
                <w:color w:val="000000"/>
                <w:sz w:val="24"/>
                <w:szCs w:val="21"/>
                <w:highlight w:val="none"/>
                <w:lang w:val="en-US" w:eastAsia="zh-CN"/>
              </w:rPr>
              <w:t>国家级自然公园管理办法（试行）</w:t>
            </w:r>
            <w:r>
              <w:rPr>
                <w:rFonts w:hint="default" w:ascii="Times New Roman" w:hAnsi="Times New Roman" w:eastAsia="宋体" w:cs="Times New Roman"/>
                <w:color w:val="000000"/>
                <w:highlight w:val="none"/>
                <w:lang w:val="en-US" w:eastAsia="zh-CN"/>
              </w:rPr>
              <w:t>》</w:t>
            </w:r>
            <w:r>
              <w:rPr>
                <w:rFonts w:hint="eastAsia" w:ascii="Times New Roman" w:hAnsi="Times New Roman" w:eastAsia="宋体" w:cs="Times New Roman"/>
                <w:b w:val="0"/>
                <w:bCs w:val="0"/>
                <w:color w:val="000000"/>
                <w:sz w:val="24"/>
                <w:szCs w:val="21"/>
                <w:highlight w:val="none"/>
                <w:lang w:val="en-US" w:eastAsia="zh-CN"/>
              </w:rPr>
              <w:t>（林保规〔2023〕4号</w:t>
            </w:r>
            <w:r>
              <w:rPr>
                <w:rFonts w:hint="eastAsia" w:ascii="Times New Roman" w:hAnsi="Times New Roman" w:eastAsia="宋体" w:cs="Times New Roman"/>
                <w:b w:val="0"/>
                <w:bCs w:val="0"/>
                <w:color w:val="000000"/>
                <w:sz w:val="24"/>
                <w:szCs w:val="21"/>
                <w:lang w:val="en-US" w:eastAsia="zh-CN"/>
              </w:rPr>
              <w:t>）</w:t>
            </w:r>
            <w:r>
              <w:rPr>
                <w:rFonts w:hint="default" w:ascii="Times New Roman" w:hAnsi="Times New Roman" w:eastAsia="宋体" w:cs="Times New Roman"/>
                <w:color w:val="000000"/>
                <w:highlight w:val="none"/>
                <w:lang w:val="en-US" w:eastAsia="zh-CN"/>
              </w:rPr>
              <w:t>的符合性分析详见表</w:t>
            </w:r>
            <w:r>
              <w:rPr>
                <w:rFonts w:hint="eastAsia" w:cs="Times New Roman"/>
                <w:color w:val="000000"/>
                <w:highlight w:val="none"/>
                <w:lang w:val="en-US" w:eastAsia="zh-CN"/>
              </w:rPr>
              <w:t>1-6</w:t>
            </w:r>
            <w:r>
              <w:rPr>
                <w:rFonts w:hint="default" w:ascii="Times New Roman" w:hAnsi="Times New Roman" w:eastAsia="宋体" w:cs="Times New Roman"/>
                <w:color w:val="000000"/>
                <w:highlight w:val="none"/>
                <w:lang w:val="en-US" w:eastAsia="zh-CN"/>
              </w:rPr>
              <w:t>。</w:t>
            </w:r>
          </w:p>
          <w:p w14:paraId="315B634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表</w:t>
            </w:r>
            <w:r>
              <w:rPr>
                <w:rFonts w:hint="eastAsia" w:cs="Times New Roman"/>
                <w:b/>
                <w:bCs/>
                <w:color w:val="000000"/>
                <w:kern w:val="0"/>
                <w:sz w:val="21"/>
                <w:szCs w:val="21"/>
                <w:highlight w:val="none"/>
                <w:lang w:val="en-US" w:eastAsia="zh-CN"/>
              </w:rPr>
              <w:t>1-6</w:t>
            </w:r>
            <w:r>
              <w:rPr>
                <w:rFonts w:hint="default" w:ascii="Times New Roman" w:hAnsi="Times New Roman" w:eastAsia="宋体" w:cs="Times New Roman"/>
                <w:b/>
                <w:bCs/>
                <w:color w:val="000000"/>
                <w:kern w:val="0"/>
                <w:sz w:val="21"/>
                <w:szCs w:val="21"/>
                <w:highlight w:val="none"/>
                <w:lang w:val="en-US" w:eastAsia="zh-CN"/>
              </w:rPr>
              <w:t xml:space="preserve">  与《国家级自然公园管理办法（试行）》的符合性分析一览表</w:t>
            </w:r>
          </w:p>
          <w:tbl>
            <w:tblPr>
              <w:tblStyle w:val="33"/>
              <w:tblW w:w="494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595"/>
              <w:gridCol w:w="2484"/>
              <w:gridCol w:w="529"/>
            </w:tblGrid>
            <w:tr w14:paraId="58AC15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5" w:hRule="atLeast"/>
                <w:tblHeader/>
                <w:jc w:val="center"/>
              </w:trPr>
              <w:tc>
                <w:tcPr>
                  <w:tcW w:w="2719" w:type="pct"/>
                  <w:tcBorders>
                    <w:tl2br w:val="nil"/>
                    <w:tr2bl w:val="nil"/>
                  </w:tcBorders>
                  <w:noWrap w:val="0"/>
                  <w:vAlign w:val="center"/>
                </w:tcPr>
                <w:p w14:paraId="3E9A5F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规划要求</w:t>
                  </w:r>
                </w:p>
              </w:tc>
              <w:tc>
                <w:tcPr>
                  <w:tcW w:w="1879" w:type="pct"/>
                  <w:tcBorders>
                    <w:tl2br w:val="nil"/>
                    <w:tr2bl w:val="nil"/>
                  </w:tcBorders>
                  <w:noWrap w:val="0"/>
                  <w:vAlign w:val="center"/>
                </w:tcPr>
                <w:p w14:paraId="002A71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本项目情况</w:t>
                  </w:r>
                </w:p>
              </w:tc>
              <w:tc>
                <w:tcPr>
                  <w:tcW w:w="400" w:type="pct"/>
                  <w:tcBorders>
                    <w:tl2br w:val="nil"/>
                    <w:tr2bl w:val="nil"/>
                  </w:tcBorders>
                  <w:noWrap w:val="0"/>
                  <w:vAlign w:val="center"/>
                </w:tcPr>
                <w:p w14:paraId="5485F1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符合性</w:t>
                  </w:r>
                </w:p>
              </w:tc>
            </w:tr>
            <w:tr w14:paraId="7ED86E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2719" w:type="pct"/>
                  <w:tcBorders>
                    <w:tl2br w:val="nil"/>
                    <w:tr2bl w:val="nil"/>
                  </w:tcBorders>
                  <w:noWrap w:val="0"/>
                  <w:vAlign w:val="center"/>
                </w:tcPr>
                <w:p w14:paraId="7E81E7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第十四条国家级自然公园按照一般控制区管理，可结合自然公园规划编制，分区细化差别化的管理要求。</w:t>
                  </w:r>
                </w:p>
                <w:p w14:paraId="6DEF93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国家级自然公园根据资源禀赋、功能定位和利用强度，可以规划生态保育区和合理利用区，统筹生态保护修复、旅游活动和资源利用，合理布局相关基础设施、服务设施及配套设施建设，加强精细化管理，实现生态保护、绿色发展、民生改善相统一。规划的活动和设施应当符合本办法第十九条的管控要求。</w:t>
                  </w:r>
                </w:p>
                <w:p w14:paraId="6A3924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生态保育区以承担生态系统保护和修复为主要功能，可以规划保护、培育、修复、管理活动和相关的必要设施建设，以及适度的观光游览活动。根据保护管理需要，可以在生态保育区内划定不对公众开放或者季节性开放区域。</w:t>
                  </w:r>
                </w:p>
                <w:p w14:paraId="365EF0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合理利用区以开展自然体验、科普教育、观光游览、休闲健身等旅游活动为主要功能，兼顾自然公园内居民和其他合法权益主体的正常生产生活和资源利用。不得规划房地产、高尔夫球场、开发区等开发项目以及与保护管理目标不一致的旅游项目。严格控制索道、滑雪场、游乐场以及人造景观等对生态和景观影响较大的建设项目，确需规划的，应当附专题论证报告。</w:t>
                  </w:r>
                </w:p>
              </w:tc>
              <w:tc>
                <w:tcPr>
                  <w:tcW w:w="1879" w:type="pct"/>
                  <w:tcBorders>
                    <w:tl2br w:val="nil"/>
                    <w:tr2bl w:val="nil"/>
                  </w:tcBorders>
                  <w:noWrap w:val="0"/>
                  <w:vAlign w:val="center"/>
                </w:tcPr>
                <w:p w14:paraId="25F080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本项目位于新疆维吾尔自治区昌吉回族自治州阜康市三工河哈萨克乡花儿沟村，属于旅游基础设施建设，包括民宿、游牧风情院、观景平台</w:t>
                  </w:r>
                  <w:r>
                    <w:rPr>
                      <w:rFonts w:hint="eastAsia" w:ascii="Times New Roman" w:hAnsi="Times New Roman" w:eastAsia="宋体" w:cs="Times New Roman"/>
                      <w:b w:val="0"/>
                      <w:bCs w:val="0"/>
                      <w:color w:val="000000"/>
                      <w:kern w:val="0"/>
                      <w:sz w:val="21"/>
                      <w:szCs w:val="21"/>
                      <w:highlight w:val="none"/>
                      <w:lang w:val="en-US" w:eastAsia="zh-CN"/>
                    </w:rPr>
                    <w:t>、多功能会客厅</w:t>
                  </w:r>
                  <w:r>
                    <w:rPr>
                      <w:rFonts w:hint="default" w:ascii="Times New Roman" w:hAnsi="Times New Roman" w:eastAsia="宋体" w:cs="Times New Roman"/>
                      <w:b w:val="0"/>
                      <w:bCs w:val="0"/>
                      <w:color w:val="000000"/>
                      <w:kern w:val="0"/>
                      <w:sz w:val="21"/>
                      <w:szCs w:val="21"/>
                      <w:highlight w:val="none"/>
                      <w:lang w:val="en-US" w:eastAsia="zh-CN"/>
                    </w:rPr>
                    <w:t>及其配套附属设施等</w:t>
                  </w:r>
                  <w:r>
                    <w:rPr>
                      <w:rFonts w:hint="eastAsia" w:ascii="Times New Roman" w:hAnsi="Times New Roman" w:eastAsia="宋体" w:cs="Times New Roman"/>
                      <w:b w:val="0"/>
                      <w:bCs w:val="0"/>
                      <w:color w:val="000000"/>
                      <w:kern w:val="0"/>
                      <w:sz w:val="21"/>
                      <w:szCs w:val="21"/>
                      <w:highlight w:val="none"/>
                      <w:lang w:val="en-US" w:eastAsia="zh-CN"/>
                    </w:rPr>
                    <w:t>。</w:t>
                  </w:r>
                </w:p>
              </w:tc>
              <w:tc>
                <w:tcPr>
                  <w:tcW w:w="400" w:type="pct"/>
                  <w:tcBorders>
                    <w:tl2br w:val="nil"/>
                    <w:tr2bl w:val="nil"/>
                  </w:tcBorders>
                  <w:noWrap w:val="0"/>
                  <w:vAlign w:val="center"/>
                </w:tcPr>
                <w:p w14:paraId="20A0E3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符合</w:t>
                  </w:r>
                </w:p>
              </w:tc>
            </w:tr>
            <w:tr w14:paraId="7AF1C2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8" w:hRule="atLeast"/>
                <w:jc w:val="center"/>
              </w:trPr>
              <w:tc>
                <w:tcPr>
                  <w:tcW w:w="2719" w:type="pct"/>
                  <w:tcBorders>
                    <w:tl2br w:val="nil"/>
                    <w:tr2bl w:val="nil"/>
                  </w:tcBorders>
                  <w:noWrap w:val="0"/>
                  <w:vAlign w:val="center"/>
                </w:tcPr>
                <w:p w14:paraId="488966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第十八条严格保护国家级自然公园内的森林、草原、湿地、荒漠、海洋、水域、生物等珍贵自然资源，以及自然遗迹、自然景观和文物古迹等人文景观。在国家级自然公园内开展相关活动和设施建设，不得擅自改变其自然状态和历史风貌。</w:t>
                  </w:r>
                </w:p>
                <w:p w14:paraId="704E9E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禁止擅自在国家级自然公园内从事采矿、房地产、开发区、高尔夫球场、风力光伏电场等不符合管控要求的开发活动。禁止违规侵占国家级自然公园，排放不符合水污染物排放标准的工业废水、生活污水及其他的废水、污水，倾倒、堆放、丢弃、遗撒固体废物等污染生态环境的行为。</w:t>
                  </w:r>
                </w:p>
              </w:tc>
              <w:tc>
                <w:tcPr>
                  <w:tcW w:w="1879" w:type="pct"/>
                  <w:tcBorders>
                    <w:tl2br w:val="nil"/>
                    <w:tr2bl w:val="nil"/>
                  </w:tcBorders>
                  <w:noWrap w:val="0"/>
                  <w:vAlign w:val="center"/>
                </w:tcPr>
                <w:p w14:paraId="62BFAA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ascii="Times New Roman" w:hAnsi="Times New Roman" w:eastAsia="宋体" w:cs="Times New Roman"/>
                      <w:b w:val="0"/>
                      <w:bCs w:val="0"/>
                      <w:color w:val="000000"/>
                      <w:kern w:val="0"/>
                      <w:sz w:val="21"/>
                      <w:szCs w:val="21"/>
                      <w:highlight w:val="none"/>
                      <w:lang w:val="en-US" w:eastAsia="zh-CN"/>
                    </w:rPr>
                    <w:t>本项目</w:t>
                  </w:r>
                  <w:r>
                    <w:rPr>
                      <w:rFonts w:hint="default" w:ascii="Times New Roman" w:hAnsi="Times New Roman" w:eastAsia="宋体" w:cs="Times New Roman"/>
                      <w:b w:val="0"/>
                      <w:bCs w:val="0"/>
                      <w:color w:val="000000"/>
                      <w:kern w:val="0"/>
                      <w:sz w:val="21"/>
                      <w:szCs w:val="21"/>
                      <w:highlight w:val="none"/>
                      <w:lang w:val="en-US" w:eastAsia="zh-CN"/>
                    </w:rPr>
                    <w:t>属于旅游基础设施建设，包括民宿、游牧风情院、观景平台</w:t>
                  </w:r>
                  <w:r>
                    <w:rPr>
                      <w:rFonts w:hint="eastAsia" w:ascii="Times New Roman" w:hAnsi="Times New Roman" w:eastAsia="宋体" w:cs="Times New Roman"/>
                      <w:b w:val="0"/>
                      <w:bCs w:val="0"/>
                      <w:color w:val="000000"/>
                      <w:kern w:val="0"/>
                      <w:sz w:val="21"/>
                      <w:szCs w:val="21"/>
                      <w:highlight w:val="none"/>
                      <w:lang w:val="en-US" w:eastAsia="zh-CN"/>
                    </w:rPr>
                    <w:t>、多功能会客厅</w:t>
                  </w:r>
                  <w:r>
                    <w:rPr>
                      <w:rFonts w:hint="default" w:ascii="Times New Roman" w:hAnsi="Times New Roman" w:eastAsia="宋体" w:cs="Times New Roman"/>
                      <w:b w:val="0"/>
                      <w:bCs w:val="0"/>
                      <w:color w:val="000000"/>
                      <w:kern w:val="0"/>
                      <w:sz w:val="21"/>
                      <w:szCs w:val="21"/>
                      <w:highlight w:val="none"/>
                      <w:lang w:val="en-US" w:eastAsia="zh-CN"/>
                    </w:rPr>
                    <w:t>及其配套附属设施等</w:t>
                  </w:r>
                  <w:r>
                    <w:rPr>
                      <w:rFonts w:hint="eastAsia" w:ascii="Times New Roman" w:hAnsi="Times New Roman" w:eastAsia="宋体" w:cs="Times New Roman"/>
                      <w:b w:val="0"/>
                      <w:bCs w:val="0"/>
                      <w:color w:val="000000"/>
                      <w:kern w:val="0"/>
                      <w:sz w:val="21"/>
                      <w:szCs w:val="21"/>
                      <w:highlight w:val="none"/>
                      <w:lang w:val="en-US" w:eastAsia="zh-CN"/>
                    </w:rPr>
                    <w:t>，生活污水经化粪池处理后由吸污车定期抽走至阜康市污水处理厂处理。</w:t>
                  </w:r>
                </w:p>
              </w:tc>
              <w:tc>
                <w:tcPr>
                  <w:tcW w:w="400" w:type="pct"/>
                  <w:tcBorders>
                    <w:tl2br w:val="nil"/>
                    <w:tr2bl w:val="nil"/>
                  </w:tcBorders>
                  <w:noWrap w:val="0"/>
                  <w:vAlign w:val="center"/>
                </w:tcPr>
                <w:p w14:paraId="191D3F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符合</w:t>
                  </w:r>
                </w:p>
              </w:tc>
            </w:tr>
            <w:tr w14:paraId="2EF367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2719" w:type="pct"/>
                  <w:tcBorders>
                    <w:tl2br w:val="nil"/>
                    <w:tr2bl w:val="nil"/>
                  </w:tcBorders>
                  <w:noWrap w:val="0"/>
                  <w:vAlign w:val="center"/>
                </w:tcPr>
                <w:p w14:paraId="1FA5A2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第十九条国家级自然公园范围内除国家重大项目外，仅允许对生态功能不造成破坏的有限人为活动：</w:t>
                  </w:r>
                </w:p>
                <w:p w14:paraId="5CC5FF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（一）自然公园内居民和其他合法权益主体依法依规开展的生产生活及设施建设。</w:t>
                  </w:r>
                </w:p>
                <w:p w14:paraId="2A64AF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（二）符合自然公园保护管理要求的文化、体育活动和必要的配套设施建设。</w:t>
                  </w:r>
                </w:p>
                <w:p w14:paraId="038690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（三）符合生态保护红线管控要求的其他活动和设施建设。</w:t>
                  </w:r>
                </w:p>
                <w:p w14:paraId="049E9E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（四）法律法规和国家政策允许在自然公园内开展的其他活动。</w:t>
                  </w:r>
                </w:p>
              </w:tc>
              <w:tc>
                <w:tcPr>
                  <w:tcW w:w="1879" w:type="pct"/>
                  <w:tcBorders>
                    <w:tl2br w:val="nil"/>
                    <w:tr2bl w:val="nil"/>
                  </w:tcBorders>
                  <w:noWrap w:val="0"/>
                  <w:vAlign w:val="center"/>
                </w:tcPr>
                <w:p w14:paraId="1F78C0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ascii="Times New Roman" w:hAnsi="Times New Roman" w:eastAsia="宋体" w:cs="Times New Roman"/>
                      <w:b w:val="0"/>
                      <w:bCs w:val="0"/>
                      <w:color w:val="000000"/>
                      <w:kern w:val="0"/>
                      <w:sz w:val="21"/>
                      <w:szCs w:val="21"/>
                      <w:highlight w:val="none"/>
                      <w:lang w:val="en-US" w:eastAsia="zh-CN"/>
                    </w:rPr>
                    <w:t>本项目属于</w:t>
                  </w:r>
                  <w:r>
                    <w:rPr>
                      <w:rFonts w:hint="default" w:ascii="Times New Roman" w:hAnsi="Times New Roman" w:eastAsia="宋体" w:cs="Times New Roman"/>
                      <w:b w:val="0"/>
                      <w:bCs w:val="0"/>
                      <w:color w:val="000000"/>
                      <w:kern w:val="0"/>
                      <w:sz w:val="21"/>
                      <w:szCs w:val="21"/>
                      <w:highlight w:val="none"/>
                      <w:lang w:val="en-US" w:eastAsia="zh-CN"/>
                    </w:rPr>
                    <w:t>旅游基础设施建设，包括民宿、游牧风情院、观景平台</w:t>
                  </w:r>
                  <w:r>
                    <w:rPr>
                      <w:rFonts w:hint="eastAsia" w:ascii="Times New Roman" w:hAnsi="Times New Roman" w:eastAsia="宋体" w:cs="Times New Roman"/>
                      <w:b w:val="0"/>
                      <w:bCs w:val="0"/>
                      <w:color w:val="000000"/>
                      <w:kern w:val="0"/>
                      <w:sz w:val="21"/>
                      <w:szCs w:val="21"/>
                      <w:highlight w:val="none"/>
                      <w:lang w:val="en-US" w:eastAsia="zh-CN"/>
                    </w:rPr>
                    <w:t>、多功能会客厅</w:t>
                  </w:r>
                  <w:r>
                    <w:rPr>
                      <w:rFonts w:hint="default" w:ascii="Times New Roman" w:hAnsi="Times New Roman" w:eastAsia="宋体" w:cs="Times New Roman"/>
                      <w:b w:val="0"/>
                      <w:bCs w:val="0"/>
                      <w:color w:val="000000"/>
                      <w:kern w:val="0"/>
                      <w:sz w:val="21"/>
                      <w:szCs w:val="21"/>
                      <w:highlight w:val="none"/>
                      <w:lang w:val="en-US" w:eastAsia="zh-CN"/>
                    </w:rPr>
                    <w:t>及其配套附属设施等</w:t>
                  </w:r>
                  <w:r>
                    <w:rPr>
                      <w:rFonts w:hint="eastAsia" w:ascii="Times New Roman" w:hAnsi="Times New Roman" w:eastAsia="宋体" w:cs="Times New Roman"/>
                      <w:b w:val="0"/>
                      <w:bCs w:val="0"/>
                      <w:color w:val="000000"/>
                      <w:kern w:val="0"/>
                      <w:sz w:val="21"/>
                      <w:szCs w:val="21"/>
                      <w:highlight w:val="none"/>
                      <w:lang w:val="en-US" w:eastAsia="zh-CN"/>
                    </w:rPr>
                    <w:t>，符合《新疆天山天池国家地质公园总体规划（2012</w:t>
                  </w:r>
                  <w:r>
                    <w:rPr>
                      <w:rFonts w:hint="eastAsia" w:cs="Times New Roman"/>
                      <w:b w:val="0"/>
                      <w:bCs w:val="0"/>
                      <w:color w:val="000000"/>
                      <w:kern w:val="0"/>
                      <w:sz w:val="21"/>
                      <w:szCs w:val="21"/>
                      <w:highlight w:val="none"/>
                      <w:lang w:val="en-US" w:eastAsia="zh-CN"/>
                    </w:rPr>
                    <w:t>—</w:t>
                  </w:r>
                  <w:r>
                    <w:rPr>
                      <w:rFonts w:hint="eastAsia" w:ascii="Times New Roman" w:hAnsi="Times New Roman" w:eastAsia="宋体" w:cs="Times New Roman"/>
                      <w:b w:val="0"/>
                      <w:bCs w:val="0"/>
                      <w:color w:val="000000"/>
                      <w:kern w:val="0"/>
                      <w:sz w:val="21"/>
                      <w:szCs w:val="21"/>
                      <w:highlight w:val="none"/>
                      <w:lang w:val="en-US" w:eastAsia="zh-CN"/>
                    </w:rPr>
                    <w:t>2020年）》。</w:t>
                  </w:r>
                </w:p>
              </w:tc>
              <w:tc>
                <w:tcPr>
                  <w:tcW w:w="400" w:type="pct"/>
                  <w:tcBorders>
                    <w:tl2br w:val="nil"/>
                    <w:tr2bl w:val="nil"/>
                  </w:tcBorders>
                  <w:noWrap w:val="0"/>
                  <w:vAlign w:val="center"/>
                </w:tcPr>
                <w:p w14:paraId="178BCF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符合</w:t>
                  </w:r>
                </w:p>
              </w:tc>
            </w:tr>
            <w:tr w14:paraId="35A625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2719" w:type="pct"/>
                  <w:tcBorders>
                    <w:tl2br w:val="nil"/>
                    <w:tr2bl w:val="nil"/>
                  </w:tcBorders>
                  <w:noWrap w:val="0"/>
                  <w:vAlign w:val="center"/>
                </w:tcPr>
                <w:p w14:paraId="38C8BE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第二十七条国家级自然公园管理单位应当建立健全自然教育和科普宣传系统，完善自然教育和科普设施建设，加强与科研院所、学校以及社会组织等机构合作，组织策划针对不同社会群体的自然教育和科普宣传项目，开展形式多样的自然教育和科普宣传活动，促进公众了解自然公园。</w:t>
                  </w:r>
                </w:p>
              </w:tc>
              <w:tc>
                <w:tcPr>
                  <w:tcW w:w="1879" w:type="pct"/>
                  <w:tcBorders>
                    <w:tl2br w:val="nil"/>
                    <w:tr2bl w:val="nil"/>
                  </w:tcBorders>
                  <w:noWrap w:val="0"/>
                  <w:vAlign w:val="center"/>
                </w:tcPr>
                <w:p w14:paraId="7D6ED5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ascii="Times New Roman" w:hAnsi="Times New Roman" w:eastAsia="宋体" w:cs="Times New Roman"/>
                      <w:b w:val="0"/>
                      <w:bCs w:val="0"/>
                      <w:color w:val="000000"/>
                      <w:kern w:val="0"/>
                      <w:sz w:val="21"/>
                      <w:szCs w:val="21"/>
                      <w:highlight w:val="none"/>
                      <w:lang w:val="en-US" w:eastAsia="zh-CN"/>
                    </w:rPr>
                    <w:t>本项目的多功能会客厅，包括多功能厅、研学区、红砖剧场，建立了</w:t>
                  </w:r>
                  <w:r>
                    <w:rPr>
                      <w:rFonts w:hint="default" w:ascii="Times New Roman" w:hAnsi="Times New Roman" w:eastAsia="宋体" w:cs="Times New Roman"/>
                      <w:b w:val="0"/>
                      <w:bCs w:val="0"/>
                      <w:color w:val="000000"/>
                      <w:kern w:val="0"/>
                      <w:sz w:val="21"/>
                      <w:szCs w:val="21"/>
                      <w:highlight w:val="none"/>
                      <w:lang w:val="en-US" w:eastAsia="zh-CN"/>
                    </w:rPr>
                    <w:t>自然教育和科普宣传系统</w:t>
                  </w:r>
                  <w:r>
                    <w:rPr>
                      <w:rFonts w:hint="eastAsia" w:cs="Times New Roman"/>
                      <w:b w:val="0"/>
                      <w:bCs w:val="0"/>
                      <w:color w:val="000000"/>
                      <w:kern w:val="0"/>
                      <w:sz w:val="21"/>
                      <w:szCs w:val="21"/>
                      <w:highlight w:val="none"/>
                      <w:lang w:val="en-US" w:eastAsia="zh-CN"/>
                    </w:rPr>
                    <w:t>。</w:t>
                  </w:r>
                </w:p>
              </w:tc>
              <w:tc>
                <w:tcPr>
                  <w:tcW w:w="400" w:type="pct"/>
                  <w:tcBorders>
                    <w:tl2br w:val="nil"/>
                    <w:tr2bl w:val="nil"/>
                  </w:tcBorders>
                  <w:noWrap w:val="0"/>
                  <w:vAlign w:val="center"/>
                </w:tcPr>
                <w:p w14:paraId="3D599F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符合</w:t>
                  </w:r>
                </w:p>
              </w:tc>
            </w:tr>
          </w:tbl>
          <w:p w14:paraId="7FF48875">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default" w:ascii="Times New Roman" w:hAnsi="Times New Roman" w:eastAsia="宋体" w:cs="Times New Roman"/>
                <w:b/>
                <w:bCs/>
                <w:sz w:val="24"/>
                <w:szCs w:val="24"/>
              </w:rPr>
            </w:pPr>
            <w:r>
              <w:rPr>
                <w:rFonts w:hint="default" w:ascii="Times New Roman" w:hAnsi="Times New Roman" w:cs="Times New Roman"/>
                <w:b/>
                <w:bCs/>
                <w:sz w:val="24"/>
                <w:szCs w:val="24"/>
                <w:lang w:val="en-US" w:eastAsia="zh-CN"/>
              </w:rPr>
              <w:t>11.与</w:t>
            </w:r>
            <w:r>
              <w:rPr>
                <w:rFonts w:hint="default" w:ascii="Times New Roman" w:hAnsi="Times New Roman" w:eastAsia="宋体" w:cs="Times New Roman"/>
                <w:b/>
                <w:bCs/>
                <w:sz w:val="24"/>
                <w:szCs w:val="24"/>
              </w:rPr>
              <w:t>《阜康市国土空间总体规划（2021-2035年）》</w:t>
            </w:r>
            <w:r>
              <w:rPr>
                <w:rFonts w:hint="default" w:ascii="Times New Roman" w:hAnsi="Times New Roman" w:eastAsia="宋体" w:cs="Times New Roman"/>
                <w:b/>
                <w:bCs/>
                <w:sz w:val="24"/>
                <w:szCs w:val="24"/>
                <w:lang w:val="en-US" w:eastAsia="zh-CN"/>
              </w:rPr>
              <w:t>的</w:t>
            </w:r>
            <w:r>
              <w:rPr>
                <w:rFonts w:hint="default" w:ascii="Times New Roman" w:hAnsi="Times New Roman" w:eastAsia="宋体" w:cs="Times New Roman"/>
                <w:b/>
                <w:bCs/>
                <w:sz w:val="24"/>
                <w:szCs w:val="24"/>
              </w:rPr>
              <w:t>符合性分析</w:t>
            </w:r>
          </w:p>
          <w:p w14:paraId="615A5A03">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《阜康市国土空间总体规划（2021-2035年）》确定阜康市发展定位</w:t>
            </w:r>
            <w:r>
              <w:rPr>
                <w:rFonts w:hint="default" w:ascii="Times New Roman" w:hAnsi="Times New Roman" w:eastAsia="宋体" w:cs="Times New Roman"/>
                <w:b w:val="0"/>
                <w:bCs w:val="0"/>
                <w:sz w:val="24"/>
                <w:szCs w:val="24"/>
              </w:rPr>
              <w:t>为</w:t>
            </w:r>
            <w:r>
              <w:rPr>
                <w:rStyle w:val="35"/>
                <w:rFonts w:hint="default" w:ascii="Times New Roman" w:hAnsi="Times New Roman" w:eastAsia="宋体" w:cs="Times New Roman"/>
                <w:b w:val="0"/>
                <w:bCs w:val="0"/>
                <w:color w:val="000000"/>
                <w:sz w:val="24"/>
                <w:szCs w:val="24"/>
              </w:rPr>
              <w:t>“旅游名城、产业新城”</w:t>
            </w:r>
            <w:r>
              <w:rPr>
                <w:rFonts w:hint="default" w:ascii="Times New Roman" w:hAnsi="Times New Roman" w:eastAsia="宋体" w:cs="Times New Roman"/>
                <w:b w:val="0"/>
                <w:bCs w:val="0"/>
                <w:sz w:val="24"/>
                <w:szCs w:val="24"/>
              </w:rPr>
              <w:t>，构建</w:t>
            </w:r>
            <w:r>
              <w:rPr>
                <w:rFonts w:hint="default" w:ascii="Times New Roman" w:hAnsi="Times New Roman" w:eastAsia="宋体" w:cs="Times New Roman"/>
                <w:sz w:val="24"/>
                <w:szCs w:val="24"/>
              </w:rPr>
              <w:t>“两级五区”全域旅游格局，打造天池旅游增长极、乡村旅游增长极；推进城乡融合发展，鼓励依托南部山区资源发展乡村民宿、民俗体验、休闲度假等乡村旅游业态；严格落实三条控制线管控，坚持生态优先、集约节约用地，统筹生态保护与文旅开发，推动“天池带动阜康、阜康服务天池”景城一体化发展。规划明确三工河乡花儿沟片区属于乡村旅游发展辐射区，支持农文旅融合产业有序发展。</w:t>
            </w:r>
          </w:p>
          <w:p w14:paraId="219578F6">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项目位于阜康市三工河乡花儿沟村，为精品民宿、研学文创乡村文旅项目，属于规划鼓励发展的乡村休闲服务业。项目依托村内原有闲置院落布局，集约盘活存量建设用地，项目建成后完善区域旅游住宿配套，承接天池景区外溢客源，助力乡村振兴、推动农文旅融合，契合国土空间总体规划。综上，项目建设符合《阜康市国土空间总体规划（2021-2035年）》相关要求。</w:t>
            </w:r>
          </w:p>
          <w:p w14:paraId="4A89692E">
            <w:pPr>
              <w:keepNext w:val="0"/>
              <w:keepLines w:val="0"/>
              <w:pageBreakBefore w:val="0"/>
              <w:widowControl w:val="0"/>
              <w:numPr>
                <w:ilvl w:val="0"/>
                <w:numId w:val="7"/>
              </w:numPr>
              <w:kinsoku/>
              <w:wordWrap/>
              <w:overflowPunct/>
              <w:topLinePunct w:val="0"/>
              <w:autoSpaceDE/>
              <w:autoSpaceDN/>
              <w:bidi w:val="0"/>
              <w:adjustRightInd/>
              <w:snapToGrid/>
              <w:ind w:firstLine="482" w:firstLineChars="200"/>
              <w:textAlignment w:val="auto"/>
              <w:rPr>
                <w:rFonts w:hint="eastAsia" w:cs="Times New Roman"/>
                <w:b/>
                <w:bCs/>
                <w:sz w:val="24"/>
                <w:szCs w:val="24"/>
                <w:lang w:val="en-US" w:eastAsia="zh-CN"/>
              </w:rPr>
            </w:pPr>
            <w:r>
              <w:rPr>
                <w:rFonts w:hint="eastAsia" w:cs="Times New Roman"/>
                <w:b/>
                <w:bCs/>
                <w:sz w:val="24"/>
                <w:szCs w:val="24"/>
                <w:lang w:val="en-US" w:eastAsia="zh-CN"/>
              </w:rPr>
              <w:t>与《乡村民宿服务质量规范》》（GB/T39000-2020）、《农家乐(民宿)建筑防火导则(试行)》(建村〔2017〕50号)的符合性分析</w:t>
            </w:r>
          </w:p>
          <w:p w14:paraId="104C3542">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eastAsia="宋体" w:cs="Times New Roman"/>
                <w:sz w:val="24"/>
                <w:szCs w:val="24"/>
                <w:lang w:val="en-US" w:eastAsia="zh-CN"/>
              </w:rPr>
              <w:t>《乡村</w:t>
            </w:r>
            <w:r>
              <w:rPr>
                <w:rFonts w:hint="eastAsia" w:ascii="Times New Roman" w:hAnsi="Times New Roman" w:cs="Times New Roman"/>
                <w:sz w:val="24"/>
                <w:szCs w:val="24"/>
                <w:lang w:val="en-US" w:eastAsia="zh-CN"/>
              </w:rPr>
              <w:t>民宿</w:t>
            </w:r>
            <w:r>
              <w:rPr>
                <w:rFonts w:hint="default" w:ascii="Times New Roman" w:hAnsi="Times New Roman" w:eastAsia="宋体" w:cs="Times New Roman"/>
                <w:sz w:val="24"/>
                <w:szCs w:val="24"/>
                <w:lang w:val="en-US" w:eastAsia="zh-CN"/>
              </w:rPr>
              <w:t>服务质量规范》（GB/T39000-2020）</w:t>
            </w:r>
            <w:r>
              <w:rPr>
                <w:rFonts w:hint="default" w:ascii="Times New Roman" w:hAnsi="Times New Roman" w:cs="Times New Roman"/>
                <w:sz w:val="24"/>
                <w:szCs w:val="24"/>
                <w:lang w:val="en-US" w:eastAsia="zh-CN"/>
              </w:rPr>
              <w:t>中指出：乡村宿是位于乡村内，利用村(居)民自有住宅、村集体房舍或其他设施，民宿主人参与接待，方便客群体验当地优美环境、特色文化与生产生活方式的小型住宿场所。</w:t>
            </w:r>
            <w:r>
              <w:rPr>
                <w:rFonts w:hint="default" w:ascii="Times New Roman" w:hAnsi="Times New Roman" w:cs="Times New Roman"/>
                <w:b w:val="0"/>
                <w:bCs w:val="0"/>
                <w:sz w:val="24"/>
                <w:szCs w:val="24"/>
                <w:lang w:val="en-US" w:eastAsia="zh-CN"/>
              </w:rPr>
              <w:t>《农家乐（民宿）建筑防火导则（试行）》（建村〔2017〕50号）中</w:t>
            </w:r>
            <w:r>
              <w:rPr>
                <w:rFonts w:hint="default" w:ascii="Times New Roman" w:hAnsi="Times New Roman" w:cs="Times New Roman"/>
                <w:sz w:val="24"/>
                <w:szCs w:val="24"/>
                <w:lang w:val="en-US" w:eastAsia="zh-CN"/>
              </w:rPr>
              <w:t>界定乡村民宿为小型住宿业态，单栋建筑内经营客房数量不得大于14间（标准间/单间），同时建筑总面积不宜大于800</w:t>
            </w:r>
            <w:r>
              <w:rPr>
                <w:rFonts w:hint="eastAsia" w:ascii="Times New Roman" w:hAnsi="Times New Roman" w:cs="Times New Roman"/>
                <w:sz w:val="24"/>
                <w:szCs w:val="24"/>
                <w:lang w:val="en-US" w:eastAsia="zh-CN"/>
              </w:rPr>
              <w:t>m</w:t>
            </w:r>
            <w:r>
              <w:rPr>
                <w:rFonts w:hint="eastAsia" w:ascii="Times New Roman" w:hAnsi="Times New Roman" w:cs="Times New Roman"/>
                <w:sz w:val="24"/>
                <w:szCs w:val="24"/>
                <w:vertAlign w:val="superscript"/>
                <w:lang w:val="en-US" w:eastAsia="zh-CN"/>
              </w:rPr>
              <w:t>2</w:t>
            </w:r>
            <w:r>
              <w:rPr>
                <w:rFonts w:hint="default" w:ascii="Times New Roman" w:hAnsi="Times New Roman" w:cs="Times New Roman"/>
                <w:sz w:val="24"/>
                <w:szCs w:val="24"/>
                <w:lang w:val="en-US" w:eastAsia="zh-CN"/>
              </w:rPr>
              <w:t>；客房数量超出14间时，项目不再适用民宿管理标准，需按照宾馆、酒店类业态执行严苛的消防、特种行业、环保审批管理要求。</w:t>
            </w:r>
          </w:p>
          <w:p w14:paraId="2A0AF6D7">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cs="Times New Roman"/>
                <w:b/>
                <w:bCs/>
                <w:sz w:val="24"/>
                <w:szCs w:val="24"/>
                <w:lang w:val="en-US" w:eastAsia="zh-CN"/>
              </w:rPr>
            </w:pPr>
            <w:r>
              <w:rPr>
                <w:rFonts w:hint="default" w:ascii="Times New Roman" w:hAnsi="Times New Roman" w:eastAsia="宋体" w:cs="Times New Roman"/>
                <w:sz w:val="24"/>
                <w:szCs w:val="24"/>
                <w:lang w:val="en-US" w:eastAsia="zh-CN"/>
              </w:rPr>
              <w:t>本项目</w:t>
            </w:r>
            <w:r>
              <w:rPr>
                <w:rFonts w:hint="eastAsia" w:cs="Times New Roman"/>
                <w:sz w:val="24"/>
                <w:szCs w:val="24"/>
                <w:lang w:val="en-US" w:eastAsia="zh-CN"/>
              </w:rPr>
              <w:t>共建设</w:t>
            </w:r>
            <w:r>
              <w:rPr>
                <w:rFonts w:hint="default" w:ascii="Times New Roman" w:hAnsi="Times New Roman" w:eastAsia="宋体" w:cs="Times New Roman"/>
                <w:sz w:val="24"/>
                <w:szCs w:val="24"/>
                <w:lang w:val="en-US" w:eastAsia="zh-CN"/>
              </w:rPr>
              <w:t>精品民宿客房51间，分两期实施建设，其中一期客房34间、二期客房17间。项目一期依托村内租赁的 5处村民原有宅基地建筑开展修缮改造工程，设置客房数量为14间；剩余20间客房采用装配式集装箱模式</w:t>
            </w:r>
            <w:r>
              <w:rPr>
                <w:rFonts w:hint="eastAsia" w:cs="Times New Roman"/>
                <w:sz w:val="24"/>
                <w:szCs w:val="24"/>
                <w:lang w:val="en-US" w:eastAsia="zh-CN"/>
              </w:rPr>
              <w:t>分散</w:t>
            </w:r>
            <w:r>
              <w:rPr>
                <w:rFonts w:hint="default" w:ascii="Times New Roman" w:hAnsi="Times New Roman" w:eastAsia="宋体" w:cs="Times New Roman"/>
                <w:sz w:val="24"/>
                <w:szCs w:val="24"/>
                <w:lang w:val="en-US" w:eastAsia="zh-CN"/>
              </w:rPr>
              <w:t>布设</w:t>
            </w:r>
            <w:r>
              <w:rPr>
                <w:rFonts w:hint="eastAsia" w:cs="Times New Roman"/>
                <w:sz w:val="24"/>
                <w:szCs w:val="24"/>
                <w:lang w:val="en-US" w:eastAsia="zh-CN"/>
              </w:rPr>
              <w:t>且单处客房数量不超过14间，布置在</w:t>
            </w:r>
            <w:r>
              <w:rPr>
                <w:rFonts w:hint="default" w:ascii="Times New Roman" w:hAnsi="Times New Roman" w:eastAsia="宋体" w:cs="Times New Roman"/>
                <w:sz w:val="24"/>
                <w:szCs w:val="24"/>
                <w:lang w:val="en-US" w:eastAsia="zh-CN"/>
              </w:rPr>
              <w:t>林草地范围内</w:t>
            </w:r>
            <w:r>
              <w:rPr>
                <w:rFonts w:hint="eastAsia" w:cs="Times New Roman"/>
                <w:sz w:val="24"/>
                <w:szCs w:val="24"/>
                <w:lang w:val="en-US" w:eastAsia="zh-CN"/>
              </w:rPr>
              <w:t>，</w:t>
            </w:r>
            <w:r>
              <w:rPr>
                <w:rFonts w:hint="default" w:ascii="Times New Roman" w:hAnsi="Times New Roman" w:eastAsia="宋体" w:cs="Times New Roman"/>
                <w:sz w:val="24"/>
                <w:szCs w:val="24"/>
                <w:lang w:val="en-US" w:eastAsia="zh-CN"/>
              </w:rPr>
              <w:t>林草地</w:t>
            </w:r>
            <w:r>
              <w:rPr>
                <w:rFonts w:hint="eastAsia" w:cs="Times New Roman"/>
                <w:sz w:val="24"/>
                <w:szCs w:val="24"/>
                <w:lang w:val="en-US" w:eastAsia="zh-CN"/>
              </w:rPr>
              <w:t>的使用</w:t>
            </w:r>
            <w:r>
              <w:rPr>
                <w:rFonts w:hint="default" w:ascii="Times New Roman" w:hAnsi="Times New Roman" w:eastAsia="宋体" w:cs="Times New Roman"/>
                <w:sz w:val="24"/>
                <w:szCs w:val="24"/>
                <w:lang w:val="en-US" w:eastAsia="zh-CN"/>
              </w:rPr>
              <w:t>已</w:t>
            </w:r>
            <w:r>
              <w:rPr>
                <w:rFonts w:hint="eastAsia" w:cs="Times New Roman"/>
                <w:sz w:val="24"/>
                <w:szCs w:val="24"/>
                <w:lang w:val="en-US" w:eastAsia="zh-CN"/>
              </w:rPr>
              <w:t>征求新疆天池管理委员会、阜康市三工河哈萨克族乡人民政府、阜康市文化体育广播电视和旅游局、阜康市林业和草原局的意见并</w:t>
            </w:r>
            <w:r>
              <w:rPr>
                <w:rFonts w:hint="default" w:ascii="Times New Roman" w:hAnsi="Times New Roman" w:eastAsia="宋体" w:cs="Times New Roman"/>
                <w:sz w:val="24"/>
                <w:szCs w:val="24"/>
                <w:lang w:val="en-US" w:eastAsia="zh-CN"/>
              </w:rPr>
              <w:t>取得</w:t>
            </w:r>
            <w:r>
              <w:rPr>
                <w:rFonts w:hint="eastAsia" w:cs="Times New Roman"/>
                <w:sz w:val="24"/>
                <w:szCs w:val="24"/>
                <w:lang w:val="en-US" w:eastAsia="zh-CN"/>
              </w:rPr>
              <w:t>新疆维吾尔自治区林业和草原局使用林地、草地审核同意书</w:t>
            </w:r>
            <w:r>
              <w:rPr>
                <w:rFonts w:hint="default" w:ascii="Times New Roman" w:hAnsi="Times New Roman" w:eastAsia="宋体" w:cs="Times New Roman"/>
                <w:sz w:val="24"/>
                <w:szCs w:val="24"/>
                <w:lang w:val="en-US" w:eastAsia="zh-CN"/>
              </w:rPr>
              <w:t>，项目已</w:t>
            </w:r>
            <w:r>
              <w:rPr>
                <w:rFonts w:hint="eastAsia" w:cs="Times New Roman"/>
                <w:sz w:val="24"/>
                <w:szCs w:val="24"/>
                <w:lang w:val="en-US" w:eastAsia="zh-CN"/>
              </w:rPr>
              <w:t>签订</w:t>
            </w:r>
            <w:r>
              <w:rPr>
                <w:rFonts w:hint="default" w:ascii="Times New Roman" w:hAnsi="Times New Roman" w:eastAsia="宋体" w:cs="Times New Roman"/>
                <w:sz w:val="24"/>
                <w:szCs w:val="24"/>
                <w:lang w:val="en-US" w:eastAsia="zh-CN"/>
              </w:rPr>
              <w:t>林草地占用补偿协议，用地合法合规。项目二期建设17间客房，</w:t>
            </w:r>
            <w:r>
              <w:rPr>
                <w:rFonts w:ascii="宋体" w:hAnsi="宋体" w:eastAsia="宋体" w:cs="宋体"/>
                <w:sz w:val="24"/>
                <w:szCs w:val="24"/>
              </w:rPr>
              <w:t>采用农村闲置宅基地改造修建</w:t>
            </w:r>
            <w:bookmarkStart w:id="165" w:name="_GoBack"/>
            <w:bookmarkEnd w:id="165"/>
            <w:r>
              <w:rPr>
                <w:rFonts w:hint="eastAsia" w:ascii="宋体" w:hAnsi="宋体" w:cs="宋体"/>
                <w:sz w:val="24"/>
                <w:szCs w:val="24"/>
                <w:lang w:val="en-US" w:eastAsia="zh-CN"/>
              </w:rPr>
              <w:t>和</w:t>
            </w:r>
            <w:r>
              <w:rPr>
                <w:rFonts w:ascii="宋体" w:hAnsi="宋体" w:eastAsia="宋体" w:cs="宋体"/>
                <w:sz w:val="24"/>
                <w:szCs w:val="24"/>
              </w:rPr>
              <w:t>采用装配式集装箱分散布设的方式建设民宿，严格管控每一处建设点位的客房数量，单点位客房规模均不大于</w:t>
            </w:r>
            <w:r>
              <w:rPr>
                <w:rFonts w:hint="default" w:ascii="Times New Roman" w:hAnsi="Times New Roman" w:eastAsia="宋体" w:cs="Times New Roman"/>
                <w:sz w:val="24"/>
                <w:szCs w:val="24"/>
                <w:lang w:val="en-US" w:eastAsia="zh-CN"/>
              </w:rPr>
              <w:t>14间</w:t>
            </w:r>
            <w:r>
              <w:rPr>
                <w:rFonts w:hint="eastAsia" w:cs="Times New Roman"/>
                <w:sz w:val="24"/>
                <w:szCs w:val="24"/>
                <w:lang w:val="en-US" w:eastAsia="zh-CN"/>
              </w:rPr>
              <w:t>。符合</w:t>
            </w:r>
            <w:r>
              <w:rPr>
                <w:rFonts w:hint="default" w:ascii="Times New Roman" w:hAnsi="Times New Roman" w:eastAsia="宋体" w:cs="Times New Roman"/>
                <w:sz w:val="24"/>
                <w:szCs w:val="24"/>
                <w:lang w:val="en-US" w:eastAsia="zh-CN"/>
              </w:rPr>
              <w:t>单宗宅基地改造民宿客房数量不大于14间的规定。</w:t>
            </w:r>
            <w:r>
              <w:rPr>
                <w:rFonts w:hint="eastAsia" w:cs="Times New Roman"/>
                <w:sz w:val="24"/>
                <w:szCs w:val="24"/>
                <w:lang w:val="en-US" w:eastAsia="zh-CN"/>
              </w:rPr>
              <w:t>因此本项目的建设符合《乡村民宿服务质量规范》》（GB/T39000-2020）、《农家乐（民宿）建筑防火导则（试行）》（建村〔2017〕50号）的要求。</w:t>
            </w:r>
          </w:p>
        </w:tc>
      </w:tr>
    </w:tbl>
    <w:p w14:paraId="57D307A3">
      <w:pPr>
        <w:ind w:firstLine="600"/>
        <w:rPr>
          <w:rFonts w:hint="default" w:ascii="Times New Roman" w:hAnsi="Times New Roman" w:eastAsia="宋体" w:cs="Times New Roman"/>
          <w:color w:val="000000"/>
          <w:sz w:val="30"/>
          <w:highlight w:val="none"/>
        </w:rPr>
        <w:sectPr>
          <w:footerReference r:id="rId9" w:type="default"/>
          <w:pgSz w:w="11906" w:h="16838"/>
          <w:pgMar w:top="1701" w:right="1803" w:bottom="1701" w:left="1803"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09F1FC40">
      <w:pPr>
        <w:pStyle w:val="28"/>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outlineLvl w:val="0"/>
        <w:rPr>
          <w:rFonts w:hint="default" w:ascii="Times New Roman" w:hAnsi="Times New Roman" w:eastAsia="宋体" w:cs="Times New Roman"/>
          <w:b w:val="0"/>
          <w:bCs w:val="0"/>
          <w:snapToGrid w:val="0"/>
          <w:color w:val="000000"/>
          <w:sz w:val="30"/>
          <w:szCs w:val="30"/>
          <w:highlight w:val="none"/>
        </w:rPr>
      </w:pPr>
      <w:bookmarkStart w:id="9" w:name="_Toc10083"/>
      <w:bookmarkStart w:id="10" w:name="_Toc16823"/>
      <w:bookmarkStart w:id="11" w:name="_Toc23075"/>
      <w:bookmarkStart w:id="12" w:name="_Toc13759"/>
      <w:r>
        <w:rPr>
          <w:rFonts w:hint="default" w:ascii="Times New Roman" w:hAnsi="Times New Roman" w:eastAsia="宋体" w:cs="Times New Roman"/>
          <w:b w:val="0"/>
          <w:bCs w:val="0"/>
          <w:snapToGrid w:val="0"/>
          <w:color w:val="000000"/>
          <w:sz w:val="30"/>
          <w:szCs w:val="30"/>
          <w:highlight w:val="none"/>
        </w:rPr>
        <w:t>二、建设内容</w:t>
      </w:r>
      <w:bookmarkEnd w:id="9"/>
      <w:bookmarkEnd w:id="10"/>
      <w:bookmarkEnd w:id="11"/>
      <w:bookmarkEnd w:id="12"/>
    </w:p>
    <w:tbl>
      <w:tblPr>
        <w:tblStyle w:val="32"/>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5"/>
        <w:gridCol w:w="8067"/>
      </w:tblGrid>
      <w:tr w14:paraId="4EBAF3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6" w:type="pct"/>
            <w:noWrap w:val="0"/>
            <w:vAlign w:val="center"/>
          </w:tcPr>
          <w:p w14:paraId="10B44D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Cs w:val="21"/>
                <w:highlight w:val="none"/>
              </w:rPr>
            </w:pPr>
            <w:r>
              <w:rPr>
                <w:rFonts w:hint="default" w:ascii="Times New Roman" w:hAnsi="Times New Roman" w:eastAsia="宋体" w:cs="Times New Roman"/>
                <w:color w:val="000000"/>
                <w:kern w:val="0"/>
                <w:szCs w:val="21"/>
                <w:highlight w:val="none"/>
              </w:rPr>
              <w:t>地理位置</w:t>
            </w:r>
          </w:p>
        </w:tc>
        <w:tc>
          <w:tcPr>
            <w:tcW w:w="4733" w:type="pct"/>
            <w:noWrap w:val="0"/>
            <w:vAlign w:val="center"/>
          </w:tcPr>
          <w:p w14:paraId="47EE0000">
            <w:pPr>
              <w:ind w:firstLine="480"/>
              <w:rPr>
                <w:rFonts w:hint="default" w:ascii="Times New Roman" w:hAnsi="Times New Roman" w:eastAsia="宋体" w:cs="Times New Roman"/>
                <w:color w:val="000000"/>
                <w:highlight w:val="none"/>
                <w:lang w:val="en-US"/>
              </w:rPr>
            </w:pPr>
            <w:r>
              <w:rPr>
                <w:rFonts w:hint="default" w:ascii="Times New Roman" w:hAnsi="Times New Roman" w:eastAsia="宋体" w:cs="Times New Roman"/>
                <w:color w:val="000000"/>
                <w:kern w:val="0"/>
                <w:sz w:val="24"/>
                <w:szCs w:val="24"/>
                <w:highlight w:val="none"/>
                <w:lang w:val="en-US" w:eastAsia="zh-CN" w:bidi="ar"/>
              </w:rPr>
              <w:t>本项目位于新疆维吾尔自治区昌吉回族自治州阜康市三工河哈萨克乡花儿沟村，中心坐标：东经</w:t>
            </w:r>
            <w:r>
              <w:rPr>
                <w:rFonts w:hint="default" w:ascii="Times New Roman" w:hAnsi="Times New Roman" w:eastAsia="宋体" w:cs="Times New Roman"/>
                <w:color w:val="000000"/>
                <w:highlight w:val="none"/>
                <w:lang w:val="en-US" w:eastAsia="zh-CN"/>
              </w:rPr>
              <w:t>88°2′14.874″，北纬44°1′31.787″</w:t>
            </w:r>
            <w:r>
              <w:rPr>
                <w:rFonts w:hint="default" w:ascii="Times New Roman" w:hAnsi="Times New Roman" w:eastAsia="宋体" w:cs="Times New Roman"/>
                <w:color w:val="000000"/>
                <w:kern w:val="0"/>
                <w:sz w:val="24"/>
                <w:szCs w:val="24"/>
                <w:highlight w:val="none"/>
                <w:lang w:val="en-US" w:eastAsia="zh-CN" w:bidi="ar"/>
              </w:rPr>
              <w:t>。本项目</w:t>
            </w:r>
            <w:r>
              <w:rPr>
                <w:rFonts w:hint="default" w:ascii="Times New Roman" w:hAnsi="Times New Roman" w:eastAsia="宋体" w:cs="Times New Roman"/>
                <w:color w:val="000000"/>
                <w:kern w:val="0"/>
                <w:sz w:val="24"/>
                <w:szCs w:val="24"/>
                <w:lang w:val="en-US" w:eastAsia="zh-CN" w:bidi="ar"/>
              </w:rPr>
              <w:t>南侧为</w:t>
            </w:r>
            <w:r>
              <w:rPr>
                <w:rFonts w:hint="eastAsia" w:ascii="Times New Roman" w:hAnsi="Times New Roman" w:eastAsia="宋体" w:cs="Times New Roman"/>
                <w:color w:val="000000"/>
                <w:kern w:val="0"/>
                <w:sz w:val="24"/>
                <w:szCs w:val="24"/>
                <w:lang w:val="en-US" w:eastAsia="zh-CN" w:bidi="ar"/>
              </w:rPr>
              <w:t>花儿沟村</w:t>
            </w:r>
            <w:r>
              <w:rPr>
                <w:rFonts w:hint="default" w:ascii="Times New Roman" w:hAnsi="Times New Roman" w:eastAsia="宋体" w:cs="Times New Roman"/>
                <w:color w:val="000000"/>
                <w:kern w:val="0"/>
                <w:sz w:val="24"/>
                <w:szCs w:val="24"/>
                <w:lang w:val="en-US" w:eastAsia="zh-CN" w:bidi="ar"/>
              </w:rPr>
              <w:t>居民</w:t>
            </w:r>
            <w:r>
              <w:rPr>
                <w:rFonts w:hint="eastAsia" w:cs="Times New Roman"/>
                <w:color w:val="000000"/>
                <w:kern w:val="0"/>
                <w:sz w:val="24"/>
                <w:szCs w:val="24"/>
                <w:lang w:val="en-US" w:eastAsia="zh-CN" w:bidi="ar"/>
              </w:rPr>
              <w:t>区</w:t>
            </w:r>
            <w:r>
              <w:rPr>
                <w:rFonts w:hint="default" w:ascii="Times New Roman" w:hAnsi="Times New Roman" w:eastAsia="宋体" w:cs="Times New Roman"/>
                <w:color w:val="000000"/>
                <w:kern w:val="0"/>
                <w:sz w:val="24"/>
                <w:szCs w:val="24"/>
                <w:lang w:val="en-US" w:eastAsia="zh-CN" w:bidi="ar"/>
              </w:rPr>
              <w:t>，东侧为林草地，北侧为花儿沟村村民委员会，西侧为林草地</w:t>
            </w:r>
            <w:r>
              <w:rPr>
                <w:rFonts w:hint="default" w:ascii="Times New Roman" w:hAnsi="Times New Roman" w:eastAsia="宋体"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vertAlign w:val="baseline"/>
                <w:lang w:val="en-US" w:eastAsia="zh-CN" w:bidi="ar"/>
              </w:rPr>
              <w:t>地理位置图见</w:t>
            </w:r>
            <w:r>
              <w:rPr>
                <w:rFonts w:hint="default" w:ascii="Times New Roman" w:hAnsi="Times New Roman" w:eastAsia="宋体" w:cs="Times New Roman"/>
                <w:b/>
                <w:bCs/>
                <w:color w:val="000000"/>
                <w:kern w:val="0"/>
                <w:sz w:val="24"/>
                <w:szCs w:val="24"/>
                <w:vertAlign w:val="baseline"/>
                <w:lang w:val="en-US" w:eastAsia="zh-CN" w:bidi="ar"/>
              </w:rPr>
              <w:t>图2-1</w:t>
            </w:r>
            <w:r>
              <w:rPr>
                <w:rFonts w:hint="default" w:ascii="Times New Roman" w:hAnsi="Times New Roman" w:eastAsia="宋体" w:cs="Times New Roman"/>
                <w:color w:val="000000"/>
                <w:kern w:val="0"/>
                <w:sz w:val="24"/>
                <w:szCs w:val="24"/>
                <w:vertAlign w:val="baseline"/>
                <w:lang w:val="en-US" w:eastAsia="zh-CN" w:bidi="ar"/>
              </w:rPr>
              <w:t>，卫星影像图见</w:t>
            </w:r>
            <w:r>
              <w:rPr>
                <w:rFonts w:hint="default" w:ascii="Times New Roman" w:hAnsi="Times New Roman" w:eastAsia="宋体" w:cs="Times New Roman"/>
                <w:b/>
                <w:bCs/>
                <w:color w:val="000000"/>
                <w:kern w:val="0"/>
                <w:sz w:val="24"/>
                <w:szCs w:val="24"/>
                <w:vertAlign w:val="baseline"/>
                <w:lang w:val="en-US" w:eastAsia="zh-CN" w:bidi="ar"/>
              </w:rPr>
              <w:t>图2-2</w:t>
            </w:r>
            <w:r>
              <w:rPr>
                <w:rFonts w:hint="default" w:ascii="Times New Roman" w:hAnsi="Times New Roman" w:eastAsia="宋体" w:cs="Times New Roman"/>
                <w:color w:val="000000"/>
                <w:kern w:val="0"/>
                <w:sz w:val="24"/>
                <w:szCs w:val="24"/>
                <w:vertAlign w:val="baseline"/>
                <w:lang w:val="en-US" w:eastAsia="zh-CN" w:bidi="ar"/>
              </w:rPr>
              <w:t>。</w:t>
            </w:r>
          </w:p>
        </w:tc>
      </w:tr>
      <w:tr w14:paraId="1820C5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6" w:type="pct"/>
            <w:noWrap w:val="0"/>
            <w:vAlign w:val="center"/>
          </w:tcPr>
          <w:p w14:paraId="2C3FC8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Cs w:val="21"/>
                <w:highlight w:val="none"/>
              </w:rPr>
            </w:pPr>
            <w:r>
              <w:rPr>
                <w:rFonts w:hint="default" w:ascii="Times New Roman" w:hAnsi="Times New Roman" w:eastAsia="宋体" w:cs="Times New Roman"/>
                <w:color w:val="000000"/>
                <w:kern w:val="0"/>
                <w:szCs w:val="21"/>
                <w:highlight w:val="none"/>
              </w:rPr>
              <w:t>项目组成及规模</w:t>
            </w:r>
          </w:p>
        </w:tc>
        <w:tc>
          <w:tcPr>
            <w:tcW w:w="4733" w:type="pct"/>
            <w:noWrap w:val="0"/>
            <w:vAlign w:val="center"/>
          </w:tcPr>
          <w:p w14:paraId="0E531E23">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1.</w:t>
            </w:r>
            <w:r>
              <w:rPr>
                <w:rFonts w:hint="default" w:ascii="Times New Roman" w:hAnsi="Times New Roman" w:eastAsia="宋体" w:cs="Times New Roman"/>
                <w:b/>
                <w:bCs/>
                <w:color w:val="000000"/>
                <w:kern w:val="0"/>
                <w:sz w:val="24"/>
                <w:szCs w:val="24"/>
                <w:highlight w:val="none"/>
                <w:lang w:val="en-US" w:eastAsia="zh-CN" w:bidi="ar"/>
              </w:rPr>
              <w:t>项目背景</w:t>
            </w:r>
          </w:p>
          <w:p w14:paraId="6C6EDF83">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随着后疫情时代旅游市场的强劲复苏，游客的消费需求已从传统的“走马观花”式观光，全面转向追求深度体验、情感共鸣与品质生活的休闲度假模式。当前，阜康市及周边区域虽然依托天山天池等核心景区拥有巨大的客流基础，但旅游业态仍多以门票经济和传统餐饮为主，缺乏集高端住宿、特色餐饮、沉浸式体验于一体的综合性乡村度假目的地。本项目规划建设51间精品民宿，并配套改造275m</w:t>
            </w:r>
            <w:r>
              <w:rPr>
                <w:rFonts w:hint="default" w:ascii="Times New Roman" w:hAnsi="Times New Roman" w:eastAsia="宋体" w:cs="Times New Roman"/>
                <w:color w:val="000000"/>
                <w:kern w:val="0"/>
                <w:sz w:val="24"/>
                <w:szCs w:val="24"/>
                <w:vertAlign w:val="superscript"/>
                <w:lang w:val="en-US" w:eastAsia="zh-CN" w:bidi="ar"/>
              </w:rPr>
              <w:t>2</w:t>
            </w:r>
            <w:r>
              <w:rPr>
                <w:rFonts w:hint="default" w:ascii="Times New Roman" w:hAnsi="Times New Roman" w:eastAsia="宋体" w:cs="Times New Roman"/>
                <w:color w:val="000000"/>
                <w:kern w:val="0"/>
                <w:sz w:val="24"/>
                <w:szCs w:val="24"/>
                <w:lang w:val="en-US" w:eastAsia="zh-CN" w:bidi="ar"/>
              </w:rPr>
              <w:t>乡村大食堂与780m</w:t>
            </w:r>
            <w:r>
              <w:rPr>
                <w:rFonts w:hint="default" w:ascii="Times New Roman" w:hAnsi="Times New Roman" w:eastAsia="宋体" w:cs="Times New Roman"/>
                <w:color w:val="000000"/>
                <w:kern w:val="0"/>
                <w:sz w:val="24"/>
                <w:szCs w:val="24"/>
                <w:vertAlign w:val="superscript"/>
                <w:lang w:val="en-US" w:eastAsia="zh-CN" w:bidi="ar"/>
              </w:rPr>
              <w:t>2</w:t>
            </w:r>
            <w:r>
              <w:rPr>
                <w:rFonts w:hint="default" w:ascii="Times New Roman" w:hAnsi="Times New Roman" w:eastAsia="宋体" w:cs="Times New Roman"/>
                <w:color w:val="000000"/>
                <w:kern w:val="0"/>
                <w:sz w:val="24"/>
                <w:szCs w:val="24"/>
                <w:lang w:val="en-US" w:eastAsia="zh-CN" w:bidi="ar"/>
              </w:rPr>
              <w:t>乡村会客厅，正是为了精准填补这一市场空白，满足中高端客群及大型团建、研学市场，利用地块东西朝向差异，打造“东院观雪山日出、西院赏花田夕阳”的差异化住宿产品。运营上采取“宿集”模式，统一布</w:t>
            </w:r>
            <w:r>
              <w:rPr>
                <w:rFonts w:hint="eastAsia" w:ascii="Times New Roman" w:hAnsi="Times New Roman" w:eastAsia="宋体" w:cs="Times New Roman"/>
                <w:color w:val="000000"/>
                <w:kern w:val="0"/>
                <w:sz w:val="24"/>
                <w:szCs w:val="24"/>
                <w:lang w:val="en-US" w:eastAsia="zh-CN" w:bidi="ar"/>
              </w:rPr>
              <w:t>局</w:t>
            </w:r>
            <w:r>
              <w:rPr>
                <w:rFonts w:hint="default" w:ascii="Times New Roman" w:hAnsi="Times New Roman" w:eastAsia="宋体" w:cs="Times New Roman"/>
                <w:color w:val="000000"/>
                <w:kern w:val="0"/>
                <w:sz w:val="24"/>
                <w:szCs w:val="24"/>
                <w:lang w:val="en-US" w:eastAsia="zh-CN" w:bidi="ar"/>
              </w:rPr>
              <w:t>、统一管理，重点推出“六边形/长方形特色毡房”网红打卡产品。</w:t>
            </w:r>
          </w:p>
          <w:p w14:paraId="4EFC963D">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在文旅融合的大背景下，单一的观光产品已难以留住游客的脚步。本项目创新性地引入马术体验、沙地越野、花海露营等当下极具人气的“旅游+体育”业态，并结合非遗工坊、研学团建等内容，打破了传统乡村旅游的季节性限制与业态单一性。通过构建“白天有玩头、晚上有住头、四季有看头”的全天候、全季候旅游产品体系，项目将有效延长游客停留时间，激发二次消费潜力，助力阜康市从“景区旅游”向“全域旅游”的跨越式发展。</w:t>
            </w:r>
          </w:p>
          <w:p w14:paraId="6F1B7943">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项目选址区域的乡村大食堂与会客厅等建筑，属于乡村存量资产或低效利用空间。通过现代化的设计与改造，将这些闲置资源转化为具备接待、会议、展示等复合功能的乡村会客厅与特色餐饮中心，避免了大拆大建对乡村风貌的破坏，更实现了存量资产的价值重塑。同时，项目配套的农特产品展销区，将为当地特色农产品搭建直通游客的“后备箱”销售平台，通过“以旅兴农、以农促旅”的良性循环，切实带动周边村民就业增收，为乡村振兴注入强劲的内生动力。</w:t>
            </w:r>
          </w:p>
          <w:p w14:paraId="3DF2DA29">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本项目是集团深耕文旅板块、落实乡村振兴战略的关键落子。通过高标准打造这一集住宿、餐饮、娱乐、购物于一体的乡村旅游综合体</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树立区域农文旅融合发展的新标杆，探索出一条“国企引领、产业融合、富民增收”的可持续发展新路，为昌吉州乃至全疆的乡村旅游转型升级提供可复制、可推广的实践经验。</w:t>
            </w:r>
          </w:p>
          <w:p w14:paraId="206ECEE3">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lang w:val="en-US" w:eastAsia="zh-CN" w:bidi="ar"/>
              </w:rPr>
              <w:t>根据《建设项目环境影响评价分类管理名录（2021年版）》</w:t>
            </w:r>
            <w:r>
              <w:rPr>
                <w:rFonts w:hint="eastAsia" w:cs="Times New Roman"/>
                <w:color w:val="000000"/>
                <w:kern w:val="0"/>
                <w:sz w:val="24"/>
                <w:szCs w:val="24"/>
                <w:lang w:val="en-US" w:eastAsia="zh-CN" w:bidi="ar"/>
              </w:rPr>
              <w:t>，本</w:t>
            </w:r>
            <w:r>
              <w:rPr>
                <w:rFonts w:hint="default" w:ascii="Times New Roman" w:hAnsi="Times New Roman" w:eastAsia="宋体" w:cs="Times New Roman"/>
                <w:color w:val="000000"/>
                <w:kern w:val="0"/>
                <w:sz w:val="24"/>
                <w:szCs w:val="24"/>
                <w:lang w:val="en-US" w:eastAsia="zh-CN" w:bidi="ar"/>
              </w:rPr>
              <w:t>项目属于“</w:t>
            </w:r>
            <w:r>
              <w:rPr>
                <w:rFonts w:hint="default" w:ascii="Times New Roman" w:hAnsi="Times New Roman" w:eastAsia="宋体" w:cs="Times New Roman"/>
                <w:snapToGrid w:val="0"/>
                <w:color w:val="000000"/>
                <w:kern w:val="0"/>
                <w:highlight w:val="none"/>
                <w:lang w:val="en-US" w:eastAsia="zh-CN"/>
              </w:rPr>
              <w:t>四十四、房地产业97.房地产开发、商业综合体、宾馆、酒店、办公用房、标准厂房等，</w:t>
            </w:r>
            <w:r>
              <w:rPr>
                <w:rFonts w:hint="eastAsia" w:ascii="Times New Roman" w:hAnsi="Times New Roman" w:eastAsia="宋体" w:cs="Times New Roman"/>
                <w:snapToGrid w:val="0"/>
                <w:color w:val="000000"/>
                <w:kern w:val="0"/>
                <w:highlight w:val="none"/>
                <w:lang w:val="en-US" w:eastAsia="zh-CN"/>
              </w:rPr>
              <w:t>涉及</w:t>
            </w:r>
            <w:r>
              <w:rPr>
                <w:rFonts w:hint="default" w:ascii="Times New Roman" w:hAnsi="Times New Roman" w:eastAsia="宋体" w:cs="Times New Roman"/>
                <w:snapToGrid w:val="0"/>
                <w:color w:val="000000"/>
                <w:kern w:val="0"/>
                <w:highlight w:val="none"/>
                <w:lang w:val="en-US" w:eastAsia="zh-CN"/>
              </w:rPr>
              <w:t>环境敏感区的</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，需</w:t>
            </w:r>
            <w:r>
              <w:rPr>
                <w:rFonts w:hint="default" w:ascii="Times New Roman" w:hAnsi="Times New Roman" w:eastAsia="宋体" w:cs="Times New Roman"/>
                <w:color w:val="000000"/>
                <w:kern w:val="0"/>
                <w:sz w:val="24"/>
                <w:szCs w:val="24"/>
                <w:lang w:val="en-US" w:eastAsia="zh-CN" w:bidi="ar"/>
              </w:rPr>
              <w:t>编制环境影响评价报告表。</w:t>
            </w:r>
            <w:r>
              <w:rPr>
                <w:rFonts w:hint="default" w:ascii="Times New Roman" w:hAnsi="Times New Roman" w:eastAsia="宋体" w:cs="Times New Roman"/>
                <w:color w:val="000000"/>
                <w:kern w:val="0"/>
                <w:sz w:val="24"/>
                <w:szCs w:val="24"/>
                <w:highlight w:val="none"/>
                <w:lang w:val="en-US" w:eastAsia="zh-CN" w:bidi="ar"/>
              </w:rPr>
              <w:t>为此受建设单位委托，我公司承担了本项目环境影响评价工作。接受委托后，我公司派遣专业技术人员对现场进行勘察，并按照《建设项目环境影响报告表编制技术指南</w:t>
            </w:r>
            <w:r>
              <w:rPr>
                <w:rFonts w:hint="eastAsia"/>
                <w:lang w:eastAsia="zh-CN"/>
              </w:rPr>
              <w:t>（</w:t>
            </w:r>
            <w:r>
              <w:rPr>
                <w:rFonts w:hint="eastAsia"/>
                <w:lang w:val="en-US" w:eastAsia="zh-CN"/>
              </w:rPr>
              <w:t>生态影响类</w:t>
            </w:r>
            <w:r>
              <w:rPr>
                <w:rFonts w:hint="eastAsia"/>
                <w:lang w:eastAsia="zh-CN"/>
              </w:rPr>
              <w:t>）（</w:t>
            </w:r>
            <w:r>
              <w:rPr>
                <w:rFonts w:hint="eastAsia"/>
                <w:lang w:val="en-US" w:eastAsia="zh-CN"/>
              </w:rPr>
              <w:t>试行</w:t>
            </w:r>
            <w:r>
              <w:rPr>
                <w:rFonts w:hint="eastAsia"/>
                <w:lang w:eastAsia="zh-CN"/>
              </w:rPr>
              <w:t>）</w:t>
            </w:r>
            <w:r>
              <w:rPr>
                <w:rFonts w:hint="default" w:ascii="Times New Roman" w:hAnsi="Times New Roman" w:eastAsia="宋体" w:cs="Times New Roman"/>
                <w:color w:val="000000"/>
                <w:kern w:val="0"/>
                <w:sz w:val="24"/>
                <w:szCs w:val="24"/>
                <w:highlight w:val="none"/>
                <w:lang w:val="en-US" w:eastAsia="zh-CN" w:bidi="ar"/>
              </w:rPr>
              <w:t>》的技术要求，编制该项目的环境影响报告表。</w:t>
            </w:r>
          </w:p>
          <w:p w14:paraId="0FF3A017">
            <w:pPr>
              <w:keepNext w:val="0"/>
              <w:keepLines w:val="0"/>
              <w:pageBreakBefore w:val="0"/>
              <w:widowControl w:val="0"/>
              <w:suppressLineNumbers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2.</w:t>
            </w:r>
            <w:r>
              <w:rPr>
                <w:rFonts w:hint="default" w:ascii="Times New Roman" w:hAnsi="Times New Roman" w:eastAsia="宋体" w:cs="Times New Roman"/>
                <w:b/>
                <w:bCs/>
                <w:color w:val="000000"/>
                <w:kern w:val="0"/>
                <w:sz w:val="24"/>
                <w:szCs w:val="24"/>
                <w:highlight w:val="none"/>
                <w:lang w:val="en-US" w:eastAsia="zh-CN" w:bidi="ar"/>
              </w:rPr>
              <w:t>项目概况</w:t>
            </w:r>
          </w:p>
          <w:p w14:paraId="39C365C1">
            <w:pPr>
              <w:keepNext w:val="0"/>
              <w:keepLines w:val="0"/>
              <w:pageBreakBefore w:val="0"/>
              <w:widowControl w:val="0"/>
              <w:suppressLineNumbers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项目名称：</w:t>
            </w:r>
            <w:r>
              <w:rPr>
                <w:rFonts w:hint="eastAsia" w:cs="Times New Roman"/>
                <w:b w:val="0"/>
                <w:bCs w:val="0"/>
                <w:color w:val="000000"/>
                <w:kern w:val="0"/>
                <w:sz w:val="24"/>
                <w:szCs w:val="24"/>
                <w:highlight w:val="none"/>
                <w:lang w:val="en-US" w:eastAsia="zh-CN" w:bidi="ar"/>
              </w:rPr>
              <w:t>新疆天山天池文化旅游投资有限公司实施阜康市花儿沟村整村运营示范项目；</w:t>
            </w:r>
          </w:p>
          <w:p w14:paraId="5DFFD8B6">
            <w:pPr>
              <w:keepNext w:val="0"/>
              <w:keepLines w:val="0"/>
              <w:pageBreakBefore w:val="0"/>
              <w:widowControl w:val="0"/>
              <w:suppressLineNumbers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建设性质：新建</w:t>
            </w:r>
            <w:r>
              <w:rPr>
                <w:rFonts w:hint="eastAsia" w:cs="Times New Roman"/>
                <w:b w:val="0"/>
                <w:bCs w:val="0"/>
                <w:color w:val="000000"/>
                <w:kern w:val="0"/>
                <w:sz w:val="24"/>
                <w:szCs w:val="24"/>
                <w:highlight w:val="none"/>
                <w:lang w:val="en-US" w:eastAsia="zh-CN" w:bidi="ar"/>
              </w:rPr>
              <w:t>；</w:t>
            </w:r>
          </w:p>
          <w:p w14:paraId="2C86A0B3">
            <w:pPr>
              <w:keepNext w:val="0"/>
              <w:keepLines w:val="0"/>
              <w:pageBreakBefore w:val="0"/>
              <w:widowControl w:val="0"/>
              <w:suppressLineNumbers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建设单位：新疆天山天池文化旅游投资有限公司</w:t>
            </w:r>
            <w:r>
              <w:rPr>
                <w:rFonts w:hint="eastAsia" w:cs="Times New Roman"/>
                <w:b w:val="0"/>
                <w:bCs w:val="0"/>
                <w:color w:val="000000"/>
                <w:kern w:val="0"/>
                <w:sz w:val="24"/>
                <w:szCs w:val="24"/>
                <w:highlight w:val="none"/>
                <w:lang w:val="en-US" w:eastAsia="zh-CN" w:bidi="ar"/>
              </w:rPr>
              <w:t>；</w:t>
            </w:r>
            <w:r>
              <w:rPr>
                <w:rFonts w:hint="default" w:ascii="Times New Roman" w:hAnsi="Times New Roman" w:eastAsia="宋体" w:cs="Times New Roman"/>
                <w:b w:val="0"/>
                <w:bCs w:val="0"/>
                <w:color w:val="000000"/>
                <w:kern w:val="0"/>
                <w:sz w:val="24"/>
                <w:szCs w:val="24"/>
                <w:highlight w:val="none"/>
                <w:lang w:val="en-US" w:eastAsia="zh-CN" w:bidi="ar"/>
              </w:rPr>
              <w:t xml:space="preserve"> </w:t>
            </w:r>
          </w:p>
          <w:p w14:paraId="714A5D20">
            <w:pPr>
              <w:keepNext w:val="0"/>
              <w:keepLines w:val="0"/>
              <w:widowControl/>
              <w:suppressLineNumbers w:val="0"/>
              <w:jc w:val="left"/>
            </w:pPr>
            <w:r>
              <w:rPr>
                <w:rFonts w:hint="default" w:ascii="Times New Roman" w:hAnsi="Times New Roman" w:eastAsia="宋体" w:cs="Times New Roman"/>
                <w:b w:val="0"/>
                <w:bCs w:val="0"/>
                <w:color w:val="000000"/>
                <w:kern w:val="0"/>
                <w:sz w:val="24"/>
                <w:szCs w:val="24"/>
                <w:highlight w:val="none"/>
                <w:lang w:val="en-US" w:eastAsia="zh-CN" w:bidi="ar"/>
              </w:rPr>
              <w:t>建设内容：新建精品民宿51间。同步优化原有建筑外立面</w:t>
            </w:r>
            <w:r>
              <w:rPr>
                <w:rFonts w:hint="eastAsia" w:cs="Times New Roman"/>
                <w:b w:val="0"/>
                <w:bCs w:val="0"/>
                <w:color w:val="000000"/>
                <w:kern w:val="0"/>
                <w:sz w:val="24"/>
                <w:szCs w:val="24"/>
                <w:highlight w:val="none"/>
                <w:lang w:val="en-US" w:eastAsia="zh-CN" w:bidi="ar"/>
              </w:rPr>
              <w:t>1处</w:t>
            </w:r>
            <w:r>
              <w:rPr>
                <w:rFonts w:hint="default" w:ascii="Times New Roman" w:hAnsi="Times New Roman" w:eastAsia="宋体" w:cs="Times New Roman"/>
                <w:b w:val="0"/>
                <w:bCs w:val="0"/>
                <w:color w:val="000000"/>
                <w:kern w:val="0"/>
                <w:sz w:val="24"/>
                <w:szCs w:val="24"/>
                <w:highlight w:val="none"/>
                <w:lang w:val="en-US" w:eastAsia="zh-CN" w:bidi="ar"/>
              </w:rPr>
              <w:t>。改造780平方米乡村会客厅</w:t>
            </w:r>
            <w:r>
              <w:rPr>
                <w:rFonts w:hint="eastAsia" w:cs="Times New Roman"/>
                <w:b w:val="0"/>
                <w:bCs w:val="0"/>
                <w:color w:val="000000"/>
                <w:kern w:val="0"/>
                <w:sz w:val="24"/>
                <w:szCs w:val="24"/>
                <w:highlight w:val="none"/>
                <w:lang w:val="en-US" w:eastAsia="zh-CN" w:bidi="ar"/>
              </w:rPr>
              <w:t>，</w:t>
            </w:r>
            <w:r>
              <w:rPr>
                <w:rFonts w:hint="default" w:ascii="Times New Roman" w:hAnsi="Times New Roman" w:eastAsia="宋体" w:cs="Times New Roman"/>
                <w:b w:val="0"/>
                <w:bCs w:val="0"/>
                <w:color w:val="000000"/>
                <w:kern w:val="0"/>
                <w:sz w:val="24"/>
                <w:szCs w:val="24"/>
                <w:highlight w:val="none"/>
                <w:lang w:val="en-US" w:eastAsia="zh-CN" w:bidi="ar"/>
              </w:rPr>
              <w:t>修缮翻新275平方米食堂</w:t>
            </w:r>
            <w:r>
              <w:rPr>
                <w:rFonts w:hint="eastAsia" w:eastAsia="宋体" w:cs="Times New Roman"/>
                <w:b w:val="0"/>
                <w:bCs w:val="0"/>
                <w:color w:val="000000"/>
                <w:kern w:val="0"/>
                <w:sz w:val="24"/>
                <w:szCs w:val="24"/>
                <w:highlight w:val="none"/>
                <w:lang w:val="en-US" w:eastAsia="zh-CN" w:bidi="ar"/>
              </w:rPr>
              <w:t>，</w:t>
            </w:r>
            <w:r>
              <w:rPr>
                <w:rFonts w:hint="default" w:ascii="Times New Roman" w:hAnsi="Times New Roman" w:eastAsia="宋体" w:cs="Times New Roman"/>
                <w:b w:val="0"/>
                <w:bCs w:val="0"/>
                <w:color w:val="000000"/>
                <w:kern w:val="0"/>
                <w:sz w:val="24"/>
                <w:szCs w:val="24"/>
                <w:highlight w:val="none"/>
                <w:lang w:val="en-US" w:eastAsia="zh-CN" w:bidi="ar"/>
              </w:rPr>
              <w:t>配备</w:t>
            </w:r>
            <w:r>
              <w:rPr>
                <w:rFonts w:hint="eastAsia" w:ascii="Times New Roman" w:hAnsi="Times New Roman" w:eastAsia="宋体" w:cs="Times New Roman"/>
                <w:b w:val="0"/>
                <w:bCs w:val="0"/>
                <w:color w:val="000000"/>
                <w:kern w:val="0"/>
                <w:sz w:val="24"/>
                <w:szCs w:val="24"/>
                <w:highlight w:val="none"/>
                <w:lang w:val="en-US" w:eastAsia="zh-CN" w:bidi="ar"/>
              </w:rPr>
              <w:t>厨房</w:t>
            </w:r>
            <w:r>
              <w:rPr>
                <w:rFonts w:hint="default" w:ascii="Times New Roman" w:hAnsi="Times New Roman" w:eastAsia="宋体" w:cs="Times New Roman"/>
                <w:b w:val="0"/>
                <w:bCs w:val="0"/>
                <w:color w:val="000000"/>
                <w:kern w:val="0"/>
                <w:sz w:val="24"/>
                <w:szCs w:val="24"/>
                <w:highlight w:val="none"/>
                <w:lang w:val="en-US" w:eastAsia="zh-CN" w:bidi="ar"/>
              </w:rPr>
              <w:t>、前厅、餐饮大厅等设施</w:t>
            </w:r>
            <w:r>
              <w:rPr>
                <w:rFonts w:hint="eastAsia" w:eastAsia="宋体" w:cs="Times New Roman"/>
                <w:b w:val="0"/>
                <w:bCs w:val="0"/>
                <w:color w:val="000000"/>
                <w:kern w:val="0"/>
                <w:sz w:val="24"/>
                <w:szCs w:val="24"/>
                <w:highlight w:val="none"/>
                <w:lang w:val="en-US" w:eastAsia="zh-CN" w:bidi="ar"/>
              </w:rPr>
              <w:t>。</w:t>
            </w:r>
            <w:r>
              <w:rPr>
                <w:rFonts w:hint="default" w:ascii="Times New Roman" w:hAnsi="Times New Roman" w:eastAsia="宋体" w:cs="Times New Roman"/>
                <w:b w:val="0"/>
                <w:bCs w:val="0"/>
                <w:color w:val="000000"/>
                <w:kern w:val="0"/>
                <w:sz w:val="24"/>
                <w:szCs w:val="24"/>
                <w:highlight w:val="none"/>
                <w:lang w:val="en-US" w:eastAsia="zh-CN" w:bidi="ar"/>
              </w:rPr>
              <w:t>新建</w:t>
            </w:r>
            <w:r>
              <w:rPr>
                <w:rFonts w:hint="eastAsia" w:cs="Times New Roman"/>
                <w:b w:val="0"/>
                <w:bCs w:val="0"/>
                <w:color w:val="000000"/>
                <w:kern w:val="0"/>
                <w:sz w:val="24"/>
                <w:szCs w:val="24"/>
                <w:highlight w:val="none"/>
                <w:lang w:val="en-US" w:eastAsia="zh-CN" w:bidi="ar"/>
              </w:rPr>
              <w:t>6</w:t>
            </w:r>
            <w:r>
              <w:rPr>
                <w:rFonts w:hint="default" w:ascii="Times New Roman" w:hAnsi="Times New Roman" w:eastAsia="宋体" w:cs="Times New Roman"/>
                <w:b w:val="0"/>
                <w:bCs w:val="0"/>
                <w:color w:val="000000"/>
                <w:kern w:val="0"/>
                <w:sz w:val="24"/>
                <w:szCs w:val="24"/>
                <w:highlight w:val="none"/>
                <w:lang w:val="en-US" w:eastAsia="zh-CN" w:bidi="ar"/>
              </w:rPr>
              <w:t>00平方米观景平台</w:t>
            </w:r>
            <w:r>
              <w:rPr>
                <w:rFonts w:hint="eastAsia" w:cs="Times New Roman"/>
                <w:b w:val="0"/>
                <w:bCs w:val="0"/>
                <w:color w:val="000000"/>
                <w:kern w:val="0"/>
                <w:sz w:val="24"/>
                <w:szCs w:val="24"/>
                <w:highlight w:val="none"/>
                <w:lang w:val="en-US" w:eastAsia="zh-CN" w:bidi="ar"/>
              </w:rPr>
              <w:t>。</w:t>
            </w:r>
            <w:r>
              <w:rPr>
                <w:rFonts w:hint="default" w:ascii="Times New Roman" w:hAnsi="Times New Roman" w:eastAsia="宋体" w:cs="Times New Roman"/>
                <w:b w:val="0"/>
                <w:bCs w:val="0"/>
                <w:color w:val="000000"/>
                <w:kern w:val="0"/>
                <w:sz w:val="24"/>
                <w:szCs w:val="24"/>
                <w:highlight w:val="none"/>
                <w:lang w:val="en-US" w:eastAsia="zh-CN" w:bidi="ar"/>
              </w:rPr>
              <w:t>新建770平方米框架建筑，功能涵盖研学教室、文创展销、直播电商。配套建设花海露营自助区、数字化管理平台等文旅业态。</w:t>
            </w:r>
            <w:r>
              <w:rPr>
                <w:rFonts w:ascii="宋体" w:hAnsi="宋体" w:eastAsia="宋体" w:cs="宋体"/>
                <w:kern w:val="0"/>
                <w:sz w:val="24"/>
                <w:szCs w:val="24"/>
                <w:lang w:val="en-US" w:eastAsia="zh-CN" w:bidi="ar"/>
              </w:rPr>
              <w:t>项目整体分两期实施，</w:t>
            </w:r>
            <w:r>
              <w:rPr>
                <w:rFonts w:hint="default" w:ascii="Times New Roman" w:hAnsi="Times New Roman" w:eastAsia="宋体" w:cs="Times New Roman"/>
                <w:b w:val="0"/>
                <w:bCs w:val="0"/>
                <w:color w:val="000000"/>
                <w:kern w:val="0"/>
                <w:sz w:val="24"/>
                <w:szCs w:val="24"/>
                <w:highlight w:val="none"/>
                <w:lang w:val="en-US" w:eastAsia="zh-CN" w:bidi="ar"/>
              </w:rPr>
              <w:t>其中一期建设客房34间，二期建设客房17间。</w:t>
            </w:r>
          </w:p>
          <w:p w14:paraId="2041C15A">
            <w:pPr>
              <w:keepNext w:val="0"/>
              <w:keepLines w:val="0"/>
              <w:pageBreakBefore w:val="0"/>
              <w:widowControl w:val="0"/>
              <w:suppressLineNumbers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highlight w:val="none"/>
                <w:lang w:val="en-US" w:eastAsia="zh-CN"/>
              </w:rPr>
              <w:t>工程组成表</w:t>
            </w:r>
            <w:r>
              <w:rPr>
                <w:rFonts w:hint="default" w:ascii="Times New Roman" w:hAnsi="Times New Roman" w:eastAsia="宋体" w:cs="Times New Roman"/>
                <w:color w:val="000000"/>
                <w:kern w:val="0"/>
                <w:sz w:val="24"/>
                <w:szCs w:val="24"/>
                <w:highlight w:val="none"/>
                <w:lang w:val="en-US" w:eastAsia="zh-CN" w:bidi="ar"/>
              </w:rPr>
              <w:t>见表2-1。</w:t>
            </w:r>
          </w:p>
          <w:p w14:paraId="3075F87B">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表2-1  工程组成一览表</w:t>
            </w:r>
          </w:p>
          <w:tbl>
            <w:tblPr>
              <w:tblStyle w:val="3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38"/>
              <w:gridCol w:w="595"/>
              <w:gridCol w:w="981"/>
              <w:gridCol w:w="5046"/>
              <w:gridCol w:w="788"/>
            </w:tblGrid>
            <w:tr w14:paraId="65031D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3" w:type="pct"/>
                  <w:gridSpan w:val="3"/>
                  <w:tcBorders>
                    <w:bottom w:val="single" w:color="auto" w:sz="12" w:space="0"/>
                  </w:tcBorders>
                  <w:noWrap w:val="0"/>
                  <w:vAlign w:val="center"/>
                </w:tcPr>
                <w:p w14:paraId="0BAE3B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工程名称</w:t>
                  </w:r>
                </w:p>
              </w:tc>
              <w:tc>
                <w:tcPr>
                  <w:tcW w:w="3214" w:type="pct"/>
                  <w:tcBorders>
                    <w:bottom w:val="single" w:color="auto" w:sz="12" w:space="0"/>
                  </w:tcBorders>
                  <w:noWrap w:val="0"/>
                  <w:vAlign w:val="center"/>
                </w:tcPr>
                <w:p w14:paraId="6A0768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建设规模及内容</w:t>
                  </w:r>
                </w:p>
              </w:tc>
              <w:tc>
                <w:tcPr>
                  <w:tcW w:w="502" w:type="pct"/>
                  <w:tcBorders>
                    <w:bottom w:val="single" w:color="auto" w:sz="12" w:space="0"/>
                  </w:tcBorders>
                  <w:noWrap w:val="0"/>
                  <w:vAlign w:val="center"/>
                </w:tcPr>
                <w:p w14:paraId="6546C2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备注</w:t>
                  </w:r>
                </w:p>
              </w:tc>
            </w:tr>
            <w:tr w14:paraId="7984A9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restart"/>
                  <w:tcBorders>
                    <w:top w:val="single" w:color="auto" w:sz="12" w:space="0"/>
                    <w:tl2br w:val="nil"/>
                    <w:tr2bl w:val="nil"/>
                  </w:tcBorders>
                  <w:noWrap w:val="0"/>
                  <w:vAlign w:val="center"/>
                </w:tcPr>
                <w:p w14:paraId="345A76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主体工程</w:t>
                  </w:r>
                </w:p>
              </w:tc>
              <w:tc>
                <w:tcPr>
                  <w:tcW w:w="1003" w:type="pct"/>
                  <w:gridSpan w:val="2"/>
                  <w:tcBorders>
                    <w:top w:val="single" w:color="auto" w:sz="12" w:space="0"/>
                    <w:tl2br w:val="nil"/>
                    <w:tr2bl w:val="nil"/>
                  </w:tcBorders>
                  <w:noWrap w:val="0"/>
                  <w:vAlign w:val="center"/>
                </w:tcPr>
                <w:p w14:paraId="75F074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精品民宿</w:t>
                  </w:r>
                </w:p>
              </w:tc>
              <w:tc>
                <w:tcPr>
                  <w:tcW w:w="3214" w:type="pct"/>
                  <w:tcBorders>
                    <w:top w:val="single" w:color="auto" w:sz="12" w:space="0"/>
                    <w:tl2br w:val="nil"/>
                    <w:tr2bl w:val="nil"/>
                  </w:tcBorders>
                  <w:noWrap w:val="0"/>
                  <w:vAlign w:val="center"/>
                </w:tcPr>
                <w:p w14:paraId="0940E5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51间精品民宿</w:t>
                  </w:r>
                  <w:r>
                    <w:rPr>
                      <w:rFonts w:hint="eastAsia" w:cs="Times New Roman"/>
                      <w:color w:val="000000"/>
                      <w:kern w:val="0"/>
                      <w:sz w:val="21"/>
                      <w:szCs w:val="21"/>
                      <w:highlight w:val="none"/>
                      <w:vertAlign w:val="baseline"/>
                      <w:lang w:val="en-US" w:eastAsia="zh-CN" w:bidi="ar"/>
                    </w:rPr>
                    <w:t>：一期建设民宿34间，包括在租赁的宅基地上改建</w:t>
                  </w:r>
                  <w:r>
                    <w:rPr>
                      <w:rFonts w:hint="eastAsia" w:ascii="Times New Roman" w:hAnsi="Times New Roman" w:eastAsia="宋体" w:cs="Times New Roman"/>
                      <w:color w:val="000000"/>
                      <w:kern w:val="0"/>
                      <w:sz w:val="21"/>
                      <w:szCs w:val="21"/>
                      <w:highlight w:val="none"/>
                      <w:vertAlign w:val="baseline"/>
                      <w:lang w:val="en-US" w:eastAsia="zh-CN" w:bidi="ar"/>
                    </w:rPr>
                    <w:t>游牧风情院落</w:t>
                  </w:r>
                  <w:r>
                    <w:rPr>
                      <w:rFonts w:hint="eastAsia" w:cs="Times New Roman"/>
                      <w:color w:val="000000"/>
                      <w:kern w:val="0"/>
                      <w:sz w:val="21"/>
                      <w:szCs w:val="21"/>
                      <w:highlight w:val="none"/>
                      <w:vertAlign w:val="baseline"/>
                      <w:lang w:val="en-US" w:eastAsia="zh-CN" w:bidi="ar"/>
                    </w:rPr>
                    <w:t>4座，配套客房14间，建筑面积为388.5m</w:t>
                  </w:r>
                  <w:r>
                    <w:rPr>
                      <w:rFonts w:hint="eastAsia" w:cs="Times New Roman"/>
                      <w:color w:val="000000"/>
                      <w:kern w:val="0"/>
                      <w:sz w:val="21"/>
                      <w:szCs w:val="21"/>
                      <w:highlight w:val="none"/>
                      <w:vertAlign w:val="superscript"/>
                      <w:lang w:val="en-US" w:eastAsia="zh-CN" w:bidi="ar"/>
                    </w:rPr>
                    <w:t>2</w:t>
                  </w:r>
                  <w:r>
                    <w:rPr>
                      <w:rFonts w:hint="eastAsia" w:cs="Times New Roman"/>
                      <w:color w:val="000000"/>
                      <w:kern w:val="0"/>
                      <w:sz w:val="21"/>
                      <w:szCs w:val="21"/>
                      <w:highlight w:val="none"/>
                      <w:vertAlign w:val="baseline"/>
                      <w:lang w:val="en-US" w:eastAsia="zh-CN" w:bidi="ar"/>
                    </w:rPr>
                    <w:t>，地块五、六、七新建</w:t>
                  </w:r>
                  <w:r>
                    <w:rPr>
                      <w:rFonts w:hint="eastAsia" w:ascii="Times New Roman" w:hAnsi="Times New Roman" w:eastAsia="宋体" w:cs="Times New Roman"/>
                      <w:color w:val="000000"/>
                      <w:kern w:val="0"/>
                      <w:sz w:val="21"/>
                      <w:szCs w:val="21"/>
                      <w:highlight w:val="none"/>
                      <w:vertAlign w:val="baseline"/>
                      <w:lang w:val="en-US" w:eastAsia="zh-CN" w:bidi="ar"/>
                    </w:rPr>
                    <w:t>装配式集装箱民宿2</w:t>
                  </w:r>
                  <w:r>
                    <w:rPr>
                      <w:rFonts w:hint="eastAsia" w:cs="Times New Roman"/>
                      <w:color w:val="000000"/>
                      <w:kern w:val="0"/>
                      <w:sz w:val="21"/>
                      <w:szCs w:val="21"/>
                      <w:highlight w:val="none"/>
                      <w:vertAlign w:val="baseline"/>
                      <w:lang w:val="en-US" w:eastAsia="zh-CN" w:bidi="ar"/>
                    </w:rPr>
                    <w:t>0</w:t>
                  </w:r>
                  <w:r>
                    <w:rPr>
                      <w:rFonts w:hint="eastAsia" w:ascii="Times New Roman" w:hAnsi="Times New Roman" w:eastAsia="宋体" w:cs="Times New Roman"/>
                      <w:color w:val="000000"/>
                      <w:kern w:val="0"/>
                      <w:sz w:val="21"/>
                      <w:szCs w:val="21"/>
                      <w:highlight w:val="none"/>
                      <w:vertAlign w:val="baseline"/>
                      <w:lang w:val="en-US" w:eastAsia="zh-CN" w:bidi="ar"/>
                    </w:rPr>
                    <w:t>间</w:t>
                  </w:r>
                  <w:r>
                    <w:rPr>
                      <w:rFonts w:hint="eastAsia" w:cs="Times New Roman"/>
                      <w:color w:val="000000"/>
                      <w:kern w:val="0"/>
                      <w:sz w:val="21"/>
                      <w:szCs w:val="21"/>
                      <w:highlight w:val="none"/>
                      <w:vertAlign w:val="baseline"/>
                      <w:lang w:val="en-US" w:eastAsia="zh-CN" w:bidi="ar"/>
                    </w:rPr>
                    <w:t>；二期建设</w:t>
                  </w:r>
                  <w:r>
                    <w:rPr>
                      <w:rFonts w:hint="eastAsia" w:ascii="Times New Roman" w:hAnsi="Times New Roman" w:eastAsia="宋体" w:cs="Times New Roman"/>
                      <w:color w:val="000000"/>
                      <w:kern w:val="0"/>
                      <w:sz w:val="21"/>
                      <w:szCs w:val="21"/>
                      <w:highlight w:val="none"/>
                      <w:vertAlign w:val="baseline"/>
                      <w:lang w:val="en-US" w:eastAsia="zh-CN" w:bidi="ar"/>
                    </w:rPr>
                    <w:t>民宿</w:t>
                  </w:r>
                  <w:r>
                    <w:rPr>
                      <w:rFonts w:hint="eastAsia" w:cs="Times New Roman"/>
                      <w:color w:val="000000"/>
                      <w:kern w:val="0"/>
                      <w:sz w:val="21"/>
                      <w:szCs w:val="21"/>
                      <w:highlight w:val="none"/>
                      <w:vertAlign w:val="baseline"/>
                      <w:lang w:val="en-US" w:eastAsia="zh-CN" w:bidi="ar"/>
                    </w:rPr>
                    <w:t>17间，包括</w:t>
                  </w:r>
                  <w:r>
                    <w:rPr>
                      <w:rFonts w:hint="eastAsia" w:ascii="Times New Roman" w:hAnsi="Times New Roman" w:eastAsia="宋体" w:cs="Times New Roman"/>
                      <w:color w:val="000000"/>
                      <w:kern w:val="0"/>
                      <w:sz w:val="21"/>
                      <w:szCs w:val="21"/>
                      <w:highlight w:val="none"/>
                      <w:vertAlign w:val="baseline"/>
                      <w:lang w:val="en-US" w:eastAsia="zh-CN" w:bidi="ar"/>
                    </w:rPr>
                    <w:t>游牧风情院落</w:t>
                  </w:r>
                  <w:r>
                    <w:rPr>
                      <w:rFonts w:hint="eastAsia" w:cs="Times New Roman"/>
                      <w:color w:val="000000"/>
                      <w:kern w:val="0"/>
                      <w:sz w:val="21"/>
                      <w:szCs w:val="21"/>
                      <w:highlight w:val="none"/>
                      <w:vertAlign w:val="baseline"/>
                      <w:lang w:val="en-US" w:eastAsia="zh-CN" w:bidi="ar"/>
                    </w:rPr>
                    <w:t>2座，配套客房14间，</w:t>
                  </w:r>
                  <w:r>
                    <w:rPr>
                      <w:rFonts w:hint="eastAsia" w:ascii="Times New Roman" w:hAnsi="Times New Roman" w:eastAsia="宋体" w:cs="Times New Roman"/>
                      <w:color w:val="000000"/>
                      <w:kern w:val="0"/>
                      <w:sz w:val="21"/>
                      <w:szCs w:val="21"/>
                      <w:highlight w:val="none"/>
                      <w:vertAlign w:val="baseline"/>
                      <w:lang w:val="en-US" w:eastAsia="zh-CN" w:bidi="ar"/>
                    </w:rPr>
                    <w:t>装配式集装箱</w:t>
                  </w:r>
                  <w:r>
                    <w:rPr>
                      <w:rFonts w:hint="eastAsia" w:cs="Times New Roman"/>
                      <w:color w:val="000000"/>
                      <w:kern w:val="0"/>
                      <w:sz w:val="21"/>
                      <w:szCs w:val="21"/>
                      <w:highlight w:val="none"/>
                      <w:vertAlign w:val="baseline"/>
                      <w:lang w:val="en-US" w:eastAsia="zh-CN" w:bidi="ar"/>
                    </w:rPr>
                    <w:t>3间。</w:t>
                  </w:r>
                </w:p>
              </w:tc>
              <w:tc>
                <w:tcPr>
                  <w:tcW w:w="502" w:type="pct"/>
                  <w:tcBorders>
                    <w:top w:val="single" w:color="auto" w:sz="12" w:space="0"/>
                    <w:tl2br w:val="nil"/>
                    <w:tr2bl w:val="nil"/>
                  </w:tcBorders>
                  <w:noWrap w:val="0"/>
                  <w:vAlign w:val="center"/>
                </w:tcPr>
                <w:p w14:paraId="0BB384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5A0FB8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50F70D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1003" w:type="pct"/>
                  <w:gridSpan w:val="2"/>
                  <w:tcBorders>
                    <w:tl2br w:val="nil"/>
                    <w:tr2bl w:val="nil"/>
                  </w:tcBorders>
                  <w:noWrap w:val="0"/>
                  <w:vAlign w:val="center"/>
                </w:tcPr>
                <w:p w14:paraId="26F011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乡村会客厅综合体</w:t>
                  </w:r>
                </w:p>
              </w:tc>
              <w:tc>
                <w:tcPr>
                  <w:tcW w:w="3214" w:type="pct"/>
                  <w:tcBorders>
                    <w:tl2br w:val="nil"/>
                    <w:tr2bl w:val="nil"/>
                  </w:tcBorders>
                  <w:noWrap w:val="0"/>
                  <w:vAlign w:val="center"/>
                </w:tcPr>
                <w:p w14:paraId="21DAA4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改造780平方米乡村会客厅，修缮翻新275平方米食堂</w:t>
                  </w:r>
                </w:p>
              </w:tc>
              <w:tc>
                <w:tcPr>
                  <w:tcW w:w="502" w:type="pct"/>
                  <w:tcBorders>
                    <w:tl2br w:val="nil"/>
                    <w:tr2bl w:val="nil"/>
                  </w:tcBorders>
                  <w:noWrap w:val="0"/>
                  <w:vAlign w:val="center"/>
                </w:tcPr>
                <w:p w14:paraId="7EF56A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69929E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275478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1003" w:type="pct"/>
                  <w:gridSpan w:val="2"/>
                  <w:tcBorders>
                    <w:tl2br w:val="nil"/>
                    <w:tr2bl w:val="nil"/>
                  </w:tcBorders>
                  <w:noWrap w:val="0"/>
                  <w:vAlign w:val="center"/>
                </w:tcPr>
                <w:p w14:paraId="004C7C5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观景平台</w:t>
                  </w:r>
                </w:p>
              </w:tc>
              <w:tc>
                <w:tcPr>
                  <w:tcW w:w="3214" w:type="pct"/>
                  <w:tcBorders>
                    <w:tl2br w:val="nil"/>
                    <w:tr2bl w:val="nil"/>
                  </w:tcBorders>
                  <w:noWrap w:val="0"/>
                  <w:vAlign w:val="center"/>
                </w:tcPr>
                <w:p w14:paraId="7A2D1E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在</w:t>
                  </w:r>
                  <w:r>
                    <w:rPr>
                      <w:rFonts w:hint="eastAsia" w:cs="Times New Roman"/>
                      <w:color w:val="000000"/>
                      <w:kern w:val="0"/>
                      <w:sz w:val="21"/>
                      <w:szCs w:val="21"/>
                      <w:highlight w:val="none"/>
                      <w:vertAlign w:val="baseline"/>
                      <w:lang w:val="en-US" w:eastAsia="zh-CN" w:bidi="ar"/>
                    </w:rPr>
                    <w:t>地块一</w:t>
                  </w:r>
                  <w:r>
                    <w:rPr>
                      <w:rFonts w:hint="default" w:ascii="Times New Roman" w:hAnsi="Times New Roman" w:eastAsia="宋体" w:cs="Times New Roman"/>
                      <w:color w:val="000000"/>
                      <w:kern w:val="0"/>
                      <w:sz w:val="21"/>
                      <w:szCs w:val="21"/>
                      <w:highlight w:val="none"/>
                      <w:vertAlign w:val="baseline"/>
                      <w:lang w:val="en-US" w:eastAsia="zh-CN" w:bidi="ar"/>
                    </w:rPr>
                    <w:t>新建</w:t>
                  </w:r>
                  <w:r>
                    <w:rPr>
                      <w:rFonts w:hint="eastAsia" w:cs="Times New Roman"/>
                      <w:color w:val="000000"/>
                      <w:kern w:val="0"/>
                      <w:sz w:val="21"/>
                      <w:szCs w:val="21"/>
                      <w:highlight w:val="none"/>
                      <w:vertAlign w:val="baseline"/>
                      <w:lang w:val="en-US" w:eastAsia="zh-CN" w:bidi="ar"/>
                    </w:rPr>
                    <w:t>6</w:t>
                  </w:r>
                  <w:r>
                    <w:rPr>
                      <w:rFonts w:hint="default" w:ascii="Times New Roman" w:hAnsi="Times New Roman" w:eastAsia="宋体" w:cs="Times New Roman"/>
                      <w:color w:val="000000"/>
                      <w:kern w:val="0"/>
                      <w:sz w:val="21"/>
                      <w:szCs w:val="21"/>
                      <w:highlight w:val="none"/>
                      <w:vertAlign w:val="baseline"/>
                      <w:lang w:val="en-US" w:eastAsia="zh-CN" w:bidi="ar"/>
                    </w:rPr>
                    <w:t>00平方米观景平台，采用塑木地板</w:t>
                  </w:r>
                </w:p>
              </w:tc>
              <w:tc>
                <w:tcPr>
                  <w:tcW w:w="502" w:type="pct"/>
                  <w:tcBorders>
                    <w:tl2br w:val="nil"/>
                    <w:tr2bl w:val="nil"/>
                  </w:tcBorders>
                  <w:noWrap w:val="0"/>
                  <w:vAlign w:val="center"/>
                </w:tcPr>
                <w:p w14:paraId="457162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4297E6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5603A2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1003" w:type="pct"/>
                  <w:gridSpan w:val="2"/>
                  <w:tcBorders>
                    <w:tl2br w:val="nil"/>
                    <w:tr2bl w:val="nil"/>
                  </w:tcBorders>
                  <w:noWrap w:val="0"/>
                  <w:vAlign w:val="center"/>
                </w:tcPr>
                <w:p w14:paraId="0DC54D2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eastAsia" w:ascii="Times New Roman" w:hAnsi="Times New Roman" w:eastAsia="宋体" w:cs="Times New Roman"/>
                      <w:color w:val="000000"/>
                      <w:kern w:val="2"/>
                      <w:sz w:val="21"/>
                      <w:szCs w:val="21"/>
                      <w:vertAlign w:val="baseline"/>
                      <w:lang w:val="en-US" w:eastAsia="zh-CN" w:bidi="ar-SA"/>
                    </w:rPr>
                    <w:t>人行道路</w:t>
                  </w:r>
                </w:p>
              </w:tc>
              <w:tc>
                <w:tcPr>
                  <w:tcW w:w="3214" w:type="pct"/>
                  <w:tcBorders>
                    <w:tl2br w:val="nil"/>
                    <w:tr2bl w:val="nil"/>
                  </w:tcBorders>
                  <w:noWrap w:val="0"/>
                  <w:vAlign w:val="center"/>
                </w:tcPr>
                <w:p w14:paraId="305C55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对外连接坡道采用碎石板道路，内部道路（1号地块及乡村会客厅西侧坡下道路）采用砂石道路，均为生态透水型</w:t>
                  </w:r>
                </w:p>
              </w:tc>
              <w:tc>
                <w:tcPr>
                  <w:tcW w:w="502" w:type="pct"/>
                  <w:tcBorders>
                    <w:tl2br w:val="nil"/>
                    <w:tr2bl w:val="nil"/>
                  </w:tcBorders>
                  <w:noWrap w:val="0"/>
                  <w:vAlign w:val="center"/>
                </w:tcPr>
                <w:p w14:paraId="7A8DD3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0EDA31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6B0A68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1003" w:type="pct"/>
                  <w:gridSpan w:val="2"/>
                  <w:tcBorders>
                    <w:tl2br w:val="nil"/>
                    <w:tr2bl w:val="nil"/>
                  </w:tcBorders>
                  <w:noWrap w:val="0"/>
                  <w:vAlign w:val="center"/>
                </w:tcPr>
                <w:p w14:paraId="2CEE950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eastAsia" w:ascii="Times New Roman" w:hAnsi="Times New Roman" w:eastAsia="宋体" w:cs="Times New Roman"/>
                      <w:color w:val="000000"/>
                      <w:kern w:val="2"/>
                      <w:sz w:val="21"/>
                      <w:szCs w:val="21"/>
                      <w:vertAlign w:val="baseline"/>
                      <w:lang w:val="en-US" w:eastAsia="zh-CN" w:bidi="ar-SA"/>
                    </w:rPr>
                    <w:t>外立面改造</w:t>
                  </w:r>
                </w:p>
              </w:tc>
              <w:tc>
                <w:tcPr>
                  <w:tcW w:w="3214" w:type="pct"/>
                  <w:tcBorders>
                    <w:tl2br w:val="nil"/>
                    <w:tr2bl w:val="nil"/>
                  </w:tcBorders>
                  <w:noWrap w:val="0"/>
                  <w:vAlign w:val="center"/>
                </w:tcPr>
                <w:p w14:paraId="5EA2E1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1处原有建筑外立面改造</w:t>
                  </w:r>
                </w:p>
              </w:tc>
              <w:tc>
                <w:tcPr>
                  <w:tcW w:w="502" w:type="pct"/>
                  <w:tcBorders>
                    <w:tl2br w:val="nil"/>
                    <w:tr2bl w:val="nil"/>
                  </w:tcBorders>
                  <w:noWrap w:val="0"/>
                  <w:vAlign w:val="center"/>
                </w:tcPr>
                <w:p w14:paraId="1F8C09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738744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restart"/>
                  <w:tcBorders>
                    <w:tl2br w:val="nil"/>
                    <w:tr2bl w:val="nil"/>
                  </w:tcBorders>
                  <w:noWrap w:val="0"/>
                  <w:vAlign w:val="center"/>
                </w:tcPr>
                <w:p w14:paraId="39E5B8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公用工程</w:t>
                  </w:r>
                </w:p>
              </w:tc>
              <w:tc>
                <w:tcPr>
                  <w:tcW w:w="1003" w:type="pct"/>
                  <w:gridSpan w:val="2"/>
                  <w:tcBorders>
                    <w:tl2br w:val="nil"/>
                    <w:tr2bl w:val="nil"/>
                  </w:tcBorders>
                  <w:noWrap w:val="0"/>
                  <w:vAlign w:val="center"/>
                </w:tcPr>
                <w:p w14:paraId="6E9262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给水</w:t>
                  </w:r>
                </w:p>
              </w:tc>
              <w:tc>
                <w:tcPr>
                  <w:tcW w:w="3214" w:type="pct"/>
                  <w:tcBorders>
                    <w:tl2br w:val="nil"/>
                    <w:tr2bl w:val="nil"/>
                  </w:tcBorders>
                  <w:noWrap w:val="0"/>
                  <w:vAlign w:val="center"/>
                </w:tcPr>
                <w:p w14:paraId="1BD5B8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市政自来水管网供水</w:t>
                  </w:r>
                </w:p>
              </w:tc>
              <w:tc>
                <w:tcPr>
                  <w:tcW w:w="502" w:type="pct"/>
                  <w:tcBorders>
                    <w:tl2br w:val="nil"/>
                    <w:tr2bl w:val="nil"/>
                  </w:tcBorders>
                  <w:noWrap w:val="0"/>
                  <w:vAlign w:val="center"/>
                </w:tcPr>
                <w:p w14:paraId="56E774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4E6909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9" w:type="pct"/>
                  <w:vMerge w:val="continue"/>
                  <w:tcBorders>
                    <w:tl2br w:val="nil"/>
                    <w:tr2bl w:val="nil"/>
                  </w:tcBorders>
                  <w:noWrap w:val="0"/>
                  <w:vAlign w:val="center"/>
                </w:tcPr>
                <w:p w14:paraId="04120E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1003" w:type="pct"/>
                  <w:gridSpan w:val="2"/>
                  <w:tcBorders>
                    <w:tl2br w:val="nil"/>
                    <w:tr2bl w:val="nil"/>
                  </w:tcBorders>
                  <w:noWrap w:val="0"/>
                  <w:vAlign w:val="center"/>
                </w:tcPr>
                <w:p w14:paraId="539426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排水</w:t>
                  </w:r>
                </w:p>
              </w:tc>
              <w:tc>
                <w:tcPr>
                  <w:tcW w:w="3214" w:type="pct"/>
                  <w:tcBorders>
                    <w:tl2br w:val="nil"/>
                    <w:tr2bl w:val="nil"/>
                  </w:tcBorders>
                  <w:noWrap w:val="0"/>
                  <w:vAlign w:val="center"/>
                </w:tcPr>
                <w:p w14:paraId="5A6FBD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rPr>
                    <w:t>无生产废水。生活污水经化粪池</w:t>
                  </w:r>
                  <w:r>
                    <w:rPr>
                      <w:rFonts w:hint="eastAsia" w:ascii="Times New Roman" w:hAnsi="Times New Roman" w:eastAsia="宋体" w:cs="Times New Roman"/>
                      <w:color w:val="000000"/>
                      <w:kern w:val="0"/>
                      <w:sz w:val="21"/>
                      <w:szCs w:val="21"/>
                      <w:vertAlign w:val="baseline"/>
                      <w:lang w:val="en-US" w:eastAsia="zh-CN"/>
                    </w:rPr>
                    <w:t>处理后，定期由吸污车抽出运至阜康市污水处理厂处理</w:t>
                  </w:r>
                  <w:r>
                    <w:rPr>
                      <w:rFonts w:hint="default" w:ascii="Times New Roman" w:hAnsi="Times New Roman" w:eastAsia="宋体" w:cs="Times New Roman"/>
                      <w:color w:val="000000"/>
                      <w:kern w:val="0"/>
                      <w:sz w:val="21"/>
                      <w:szCs w:val="21"/>
                      <w:vertAlign w:val="baseline"/>
                      <w:lang w:val="en-US" w:eastAsia="zh-CN"/>
                    </w:rPr>
                    <w:t>。</w:t>
                  </w:r>
                </w:p>
              </w:tc>
              <w:tc>
                <w:tcPr>
                  <w:tcW w:w="502" w:type="pct"/>
                  <w:tcBorders>
                    <w:tl2br w:val="nil"/>
                    <w:tr2bl w:val="nil"/>
                  </w:tcBorders>
                  <w:noWrap w:val="0"/>
                  <w:vAlign w:val="center"/>
                </w:tcPr>
                <w:p w14:paraId="4B8F56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7B741E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68891E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1003" w:type="pct"/>
                  <w:gridSpan w:val="2"/>
                  <w:tcBorders>
                    <w:tl2br w:val="nil"/>
                    <w:tr2bl w:val="nil"/>
                  </w:tcBorders>
                  <w:noWrap w:val="0"/>
                  <w:vAlign w:val="center"/>
                </w:tcPr>
                <w:p w14:paraId="77F3D8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供电</w:t>
                  </w:r>
                </w:p>
              </w:tc>
              <w:tc>
                <w:tcPr>
                  <w:tcW w:w="3214" w:type="pct"/>
                  <w:tcBorders>
                    <w:tl2br w:val="nil"/>
                    <w:tr2bl w:val="nil"/>
                  </w:tcBorders>
                  <w:noWrap w:val="0"/>
                  <w:vAlign w:val="center"/>
                </w:tcPr>
                <w:p w14:paraId="420B26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项目用电从附近供电系统接入</w:t>
                  </w:r>
                  <w:r>
                    <w:rPr>
                      <w:rFonts w:hint="eastAsia" w:cs="Times New Roman"/>
                      <w:color w:val="000000"/>
                      <w:kern w:val="0"/>
                      <w:sz w:val="21"/>
                      <w:szCs w:val="21"/>
                      <w:highlight w:val="none"/>
                      <w:vertAlign w:val="baseline"/>
                      <w:lang w:val="en-US" w:eastAsia="zh-CN" w:bidi="ar"/>
                    </w:rPr>
                    <w:t>。</w:t>
                  </w:r>
                </w:p>
              </w:tc>
              <w:tc>
                <w:tcPr>
                  <w:tcW w:w="502" w:type="pct"/>
                  <w:tcBorders>
                    <w:tl2br w:val="nil"/>
                    <w:tr2bl w:val="nil"/>
                  </w:tcBorders>
                  <w:noWrap w:val="0"/>
                  <w:vAlign w:val="center"/>
                </w:tcPr>
                <w:p w14:paraId="4DF3B9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依托</w:t>
                  </w:r>
                </w:p>
              </w:tc>
            </w:tr>
            <w:tr w14:paraId="23C9EE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1E32AE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1003" w:type="pct"/>
                  <w:gridSpan w:val="2"/>
                  <w:tcBorders>
                    <w:tl2br w:val="nil"/>
                    <w:tr2bl w:val="nil"/>
                  </w:tcBorders>
                  <w:noWrap w:val="0"/>
                  <w:vAlign w:val="center"/>
                </w:tcPr>
                <w:p w14:paraId="5AC064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供暖</w:t>
                  </w:r>
                </w:p>
              </w:tc>
              <w:tc>
                <w:tcPr>
                  <w:tcW w:w="3214" w:type="pct"/>
                  <w:tcBorders>
                    <w:tl2br w:val="nil"/>
                    <w:tr2bl w:val="nil"/>
                  </w:tcBorders>
                  <w:noWrap w:val="0"/>
                  <w:vAlign w:val="center"/>
                </w:tcPr>
                <w:p w14:paraId="2C0FB4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运营期采用电采暖。</w:t>
                  </w:r>
                </w:p>
              </w:tc>
              <w:tc>
                <w:tcPr>
                  <w:tcW w:w="502" w:type="pct"/>
                  <w:tcBorders>
                    <w:tl2br w:val="nil"/>
                    <w:tr2bl w:val="nil"/>
                  </w:tcBorders>
                  <w:noWrap w:val="0"/>
                  <w:vAlign w:val="center"/>
                </w:tcPr>
                <w:p w14:paraId="0A91CB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35B7FE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07EFA4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1003" w:type="pct"/>
                  <w:gridSpan w:val="2"/>
                  <w:tcBorders>
                    <w:tl2br w:val="nil"/>
                    <w:tr2bl w:val="nil"/>
                  </w:tcBorders>
                  <w:noWrap w:val="0"/>
                  <w:vAlign w:val="center"/>
                </w:tcPr>
                <w:p w14:paraId="171FC0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供气</w:t>
                  </w:r>
                </w:p>
              </w:tc>
              <w:tc>
                <w:tcPr>
                  <w:tcW w:w="3214" w:type="pct"/>
                  <w:tcBorders>
                    <w:tl2br w:val="nil"/>
                    <w:tr2bl w:val="nil"/>
                  </w:tcBorders>
                  <w:noWrap w:val="0"/>
                  <w:vAlign w:val="center"/>
                </w:tcPr>
                <w:p w14:paraId="4BE1CB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项目民宿厨房烹饪热源全部依托片区市政天然气管网接入供气</w:t>
                  </w:r>
                </w:p>
              </w:tc>
              <w:tc>
                <w:tcPr>
                  <w:tcW w:w="502" w:type="pct"/>
                  <w:tcBorders>
                    <w:tl2br w:val="nil"/>
                    <w:tr2bl w:val="nil"/>
                  </w:tcBorders>
                  <w:noWrap w:val="0"/>
                  <w:vAlign w:val="center"/>
                </w:tcPr>
                <w:p w14:paraId="24FE7E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依托</w:t>
                  </w:r>
                </w:p>
              </w:tc>
            </w:tr>
            <w:tr w14:paraId="47BFA5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restart"/>
                  <w:tcBorders>
                    <w:tl2br w:val="nil"/>
                    <w:tr2bl w:val="nil"/>
                  </w:tcBorders>
                  <w:noWrap w:val="0"/>
                  <w:vAlign w:val="center"/>
                </w:tcPr>
                <w:p w14:paraId="080B9D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环保工程</w:t>
                  </w:r>
                </w:p>
              </w:tc>
              <w:tc>
                <w:tcPr>
                  <w:tcW w:w="379" w:type="pct"/>
                  <w:vMerge w:val="restart"/>
                  <w:tcBorders>
                    <w:tl2br w:val="nil"/>
                    <w:tr2bl w:val="nil"/>
                  </w:tcBorders>
                  <w:noWrap w:val="0"/>
                  <w:vAlign w:val="center"/>
                </w:tcPr>
                <w:p w14:paraId="778FB4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废气</w:t>
                  </w:r>
                </w:p>
              </w:tc>
              <w:tc>
                <w:tcPr>
                  <w:tcW w:w="624" w:type="pct"/>
                  <w:tcBorders>
                    <w:tl2br w:val="nil"/>
                    <w:tr2bl w:val="nil"/>
                  </w:tcBorders>
                  <w:noWrap w:val="0"/>
                  <w:vAlign w:val="center"/>
                </w:tcPr>
                <w:p w14:paraId="377855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施工期</w:t>
                  </w:r>
                </w:p>
              </w:tc>
              <w:tc>
                <w:tcPr>
                  <w:tcW w:w="3214" w:type="pct"/>
                  <w:tcBorders>
                    <w:tl2br w:val="nil"/>
                    <w:tr2bl w:val="nil"/>
                  </w:tcBorders>
                  <w:noWrap w:val="0"/>
                  <w:vAlign w:val="center"/>
                </w:tcPr>
                <w:p w14:paraId="6F9F96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洒水降尘、施工</w:t>
                  </w:r>
                  <w:r>
                    <w:rPr>
                      <w:rFonts w:hint="eastAsia" w:cs="Times New Roman"/>
                      <w:color w:val="000000"/>
                      <w:kern w:val="0"/>
                      <w:sz w:val="21"/>
                      <w:szCs w:val="21"/>
                      <w:highlight w:val="none"/>
                      <w:vertAlign w:val="baseline"/>
                      <w:lang w:val="en-US" w:eastAsia="zh-CN" w:bidi="ar"/>
                    </w:rPr>
                    <w:t>场地</w:t>
                  </w:r>
                  <w:r>
                    <w:rPr>
                      <w:rFonts w:hint="default" w:ascii="Times New Roman" w:hAnsi="Times New Roman" w:eastAsia="宋体" w:cs="Times New Roman"/>
                      <w:color w:val="000000"/>
                      <w:kern w:val="0"/>
                      <w:sz w:val="21"/>
                      <w:szCs w:val="21"/>
                      <w:highlight w:val="none"/>
                      <w:vertAlign w:val="baseline"/>
                      <w:lang w:val="en-US" w:eastAsia="zh-CN" w:bidi="ar"/>
                    </w:rPr>
                    <w:t>周围按照规范设置硬质、密闭围挡。土方及时转运、加盖篷布、加强施工场地管理等措施</w:t>
                  </w:r>
                </w:p>
              </w:tc>
              <w:tc>
                <w:tcPr>
                  <w:tcW w:w="502" w:type="pct"/>
                  <w:tcBorders>
                    <w:tl2br w:val="nil"/>
                    <w:tr2bl w:val="nil"/>
                  </w:tcBorders>
                  <w:noWrap w:val="0"/>
                  <w:vAlign w:val="center"/>
                </w:tcPr>
                <w:p w14:paraId="245997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3A2D38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257066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379" w:type="pct"/>
                  <w:vMerge w:val="continue"/>
                  <w:tcBorders>
                    <w:tl2br w:val="nil"/>
                    <w:tr2bl w:val="nil"/>
                  </w:tcBorders>
                  <w:noWrap w:val="0"/>
                  <w:vAlign w:val="center"/>
                </w:tcPr>
                <w:p w14:paraId="5B89A5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624" w:type="pct"/>
                  <w:tcBorders>
                    <w:tl2br w:val="nil"/>
                    <w:tr2bl w:val="nil"/>
                  </w:tcBorders>
                  <w:noWrap w:val="0"/>
                  <w:vAlign w:val="center"/>
                </w:tcPr>
                <w:p w14:paraId="2380F7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运营期</w:t>
                  </w:r>
                </w:p>
              </w:tc>
              <w:tc>
                <w:tcPr>
                  <w:tcW w:w="3214" w:type="pct"/>
                  <w:tcBorders>
                    <w:tl2br w:val="nil"/>
                    <w:tr2bl w:val="nil"/>
                  </w:tcBorders>
                  <w:noWrap w:val="0"/>
                  <w:vAlign w:val="center"/>
                </w:tcPr>
                <w:p w14:paraId="785678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厨房油烟：由油烟净化装置处理后经专用烟道至楼顶排放。汽车尾气：地上停车场位于开阔地带，机动车尾气易于被稀释扩散，对周围环境影响不大。</w:t>
                  </w:r>
                </w:p>
                <w:p w14:paraId="6DF428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垃圾收集点、公厕恶臭：加强管理，及时清理，消毒，设置绿化带隔离、加强卫生管理。</w:t>
                  </w:r>
                </w:p>
              </w:tc>
              <w:tc>
                <w:tcPr>
                  <w:tcW w:w="502" w:type="pct"/>
                  <w:tcBorders>
                    <w:tl2br w:val="nil"/>
                    <w:tr2bl w:val="nil"/>
                  </w:tcBorders>
                  <w:noWrap w:val="0"/>
                  <w:vAlign w:val="center"/>
                </w:tcPr>
                <w:p w14:paraId="4DEF93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6B255B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4FB1D8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379" w:type="pct"/>
                  <w:vMerge w:val="restart"/>
                  <w:tcBorders>
                    <w:tl2br w:val="nil"/>
                    <w:tr2bl w:val="nil"/>
                  </w:tcBorders>
                  <w:noWrap w:val="0"/>
                  <w:vAlign w:val="center"/>
                </w:tcPr>
                <w:p w14:paraId="7B1138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废水</w:t>
                  </w:r>
                </w:p>
              </w:tc>
              <w:tc>
                <w:tcPr>
                  <w:tcW w:w="624" w:type="pct"/>
                  <w:tcBorders>
                    <w:tl2br w:val="nil"/>
                    <w:tr2bl w:val="nil"/>
                  </w:tcBorders>
                  <w:noWrap w:val="0"/>
                  <w:vAlign w:val="center"/>
                </w:tcPr>
                <w:p w14:paraId="04B55C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施工期</w:t>
                  </w:r>
                </w:p>
              </w:tc>
              <w:tc>
                <w:tcPr>
                  <w:tcW w:w="3214" w:type="pct"/>
                  <w:tcBorders>
                    <w:tl2br w:val="nil"/>
                    <w:tr2bl w:val="nil"/>
                  </w:tcBorders>
                  <w:noWrap w:val="0"/>
                  <w:vAlign w:val="center"/>
                </w:tcPr>
                <w:p w14:paraId="5B99A3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施工泥浆、车辆冲洗废水等经沉淀处理后，其上清液回用于施工场地洒水抑尘。</w:t>
                  </w:r>
                </w:p>
                <w:p w14:paraId="75C318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施工营地采用自建临时集装箱房。施工人员产生的生活污水排入移动式化粪池</w:t>
                  </w:r>
                  <w:r>
                    <w:rPr>
                      <w:rFonts w:hint="eastAsia" w:cs="Times New Roman"/>
                      <w:color w:val="000000"/>
                      <w:kern w:val="0"/>
                      <w:sz w:val="21"/>
                      <w:szCs w:val="21"/>
                      <w:highlight w:val="none"/>
                      <w:vertAlign w:val="baseline"/>
                      <w:lang w:val="en-US" w:eastAsia="zh-CN" w:bidi="ar"/>
                    </w:rPr>
                    <w:t>（20m</w:t>
                  </w:r>
                  <w:r>
                    <w:rPr>
                      <w:rFonts w:hint="eastAsia" w:cs="Times New Roman"/>
                      <w:color w:val="000000"/>
                      <w:kern w:val="0"/>
                      <w:sz w:val="21"/>
                      <w:szCs w:val="21"/>
                      <w:highlight w:val="none"/>
                      <w:vertAlign w:val="superscript"/>
                      <w:lang w:val="en-US" w:eastAsia="zh-CN" w:bidi="ar"/>
                    </w:rPr>
                    <w:t>3</w:t>
                  </w:r>
                  <w:r>
                    <w:rPr>
                      <w:rFonts w:hint="eastAsia" w:cs="Times New Roman"/>
                      <w:color w:val="000000"/>
                      <w:kern w:val="0"/>
                      <w:sz w:val="21"/>
                      <w:szCs w:val="21"/>
                      <w:highlight w:val="none"/>
                      <w:vertAlign w:val="baseline"/>
                      <w:lang w:val="en-US" w:eastAsia="zh-CN" w:bidi="ar"/>
                    </w:rPr>
                    <w:t>）</w:t>
                  </w:r>
                  <w:r>
                    <w:rPr>
                      <w:rFonts w:hint="eastAsia" w:ascii="Times New Roman" w:hAnsi="Times New Roman" w:eastAsia="宋体" w:cs="Times New Roman"/>
                      <w:color w:val="000000"/>
                      <w:kern w:val="0"/>
                      <w:sz w:val="21"/>
                      <w:szCs w:val="21"/>
                      <w:highlight w:val="none"/>
                      <w:vertAlign w:val="baseline"/>
                      <w:lang w:val="en-US" w:eastAsia="zh-CN" w:bidi="ar"/>
                    </w:rPr>
                    <w:t>处理后，由吸污车定期抽出运送至阜康市污水处理厂处理</w:t>
                  </w:r>
                  <w:r>
                    <w:rPr>
                      <w:rFonts w:hint="default" w:ascii="Times New Roman" w:hAnsi="Times New Roman" w:eastAsia="宋体" w:cs="Times New Roman"/>
                      <w:color w:val="000000"/>
                      <w:kern w:val="0"/>
                      <w:sz w:val="21"/>
                      <w:szCs w:val="21"/>
                      <w:highlight w:val="none"/>
                      <w:vertAlign w:val="baseline"/>
                      <w:lang w:val="en-US" w:eastAsia="zh-CN" w:bidi="ar"/>
                    </w:rPr>
                    <w:t>。</w:t>
                  </w:r>
                </w:p>
              </w:tc>
              <w:tc>
                <w:tcPr>
                  <w:tcW w:w="502" w:type="pct"/>
                  <w:tcBorders>
                    <w:tl2br w:val="nil"/>
                    <w:tr2bl w:val="nil"/>
                  </w:tcBorders>
                  <w:noWrap w:val="0"/>
                  <w:vAlign w:val="center"/>
                </w:tcPr>
                <w:p w14:paraId="3BC2BE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0E9B4D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16345B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379" w:type="pct"/>
                  <w:vMerge w:val="continue"/>
                  <w:tcBorders>
                    <w:tl2br w:val="nil"/>
                    <w:tr2bl w:val="nil"/>
                  </w:tcBorders>
                  <w:noWrap w:val="0"/>
                  <w:vAlign w:val="center"/>
                </w:tcPr>
                <w:p w14:paraId="492006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624" w:type="pct"/>
                  <w:tcBorders>
                    <w:tl2br w:val="nil"/>
                    <w:tr2bl w:val="nil"/>
                  </w:tcBorders>
                  <w:noWrap w:val="0"/>
                  <w:vAlign w:val="center"/>
                </w:tcPr>
                <w:p w14:paraId="3C7AA6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运营期</w:t>
                  </w:r>
                </w:p>
              </w:tc>
              <w:tc>
                <w:tcPr>
                  <w:tcW w:w="3214" w:type="pct"/>
                  <w:tcBorders>
                    <w:tl2br w:val="nil"/>
                    <w:tr2bl w:val="nil"/>
                  </w:tcBorders>
                  <w:noWrap w:val="0"/>
                  <w:vAlign w:val="center"/>
                </w:tcPr>
                <w:p w14:paraId="0EB2F3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rPr>
                  </w:pPr>
                  <w:r>
                    <w:rPr>
                      <w:rFonts w:hint="default" w:ascii="Times New Roman" w:hAnsi="Times New Roman" w:eastAsia="宋体" w:cs="Times New Roman"/>
                      <w:color w:val="000000"/>
                      <w:kern w:val="0"/>
                      <w:sz w:val="21"/>
                      <w:szCs w:val="21"/>
                      <w:vertAlign w:val="baseline"/>
                      <w:lang w:val="en-US" w:eastAsia="zh-CN"/>
                    </w:rPr>
                    <w:t>生活污水经化粪池</w:t>
                  </w:r>
                  <w:r>
                    <w:rPr>
                      <w:rFonts w:hint="eastAsia" w:ascii="Times New Roman" w:hAnsi="Times New Roman" w:eastAsia="宋体" w:cs="Times New Roman"/>
                      <w:color w:val="000000"/>
                      <w:kern w:val="0"/>
                      <w:sz w:val="21"/>
                      <w:szCs w:val="21"/>
                      <w:vertAlign w:val="baseline"/>
                      <w:lang w:val="en-US" w:eastAsia="zh-CN"/>
                    </w:rPr>
                    <w:t>处理后，</w:t>
                  </w:r>
                  <w:r>
                    <w:rPr>
                      <w:rFonts w:hint="eastAsia" w:cs="Times New Roman"/>
                      <w:color w:val="000000"/>
                      <w:kern w:val="0"/>
                      <w:sz w:val="21"/>
                      <w:szCs w:val="21"/>
                      <w:vertAlign w:val="baseline"/>
                      <w:lang w:val="en-US" w:eastAsia="zh-CN"/>
                    </w:rPr>
                    <w:t>出水水质达到《污水综合排放标准》GB8978-1996的三级标准后，</w:t>
                  </w:r>
                  <w:r>
                    <w:rPr>
                      <w:rFonts w:hint="eastAsia" w:ascii="Times New Roman" w:hAnsi="Times New Roman" w:eastAsia="宋体" w:cs="Times New Roman"/>
                      <w:color w:val="000000"/>
                      <w:kern w:val="0"/>
                      <w:sz w:val="21"/>
                      <w:szCs w:val="21"/>
                      <w:vertAlign w:val="baseline"/>
                      <w:lang w:val="en-US" w:eastAsia="zh-CN"/>
                    </w:rPr>
                    <w:t>定期由吸污车抽出运至阜康市污水处理厂处理</w:t>
                  </w:r>
                  <w:r>
                    <w:rPr>
                      <w:rFonts w:hint="default" w:ascii="Times New Roman" w:hAnsi="Times New Roman" w:eastAsia="宋体" w:cs="Times New Roman"/>
                      <w:color w:val="000000"/>
                      <w:kern w:val="0"/>
                      <w:sz w:val="21"/>
                      <w:szCs w:val="21"/>
                      <w:vertAlign w:val="baseline"/>
                      <w:lang w:val="en-US" w:eastAsia="zh-CN"/>
                    </w:rPr>
                    <w:t>。</w:t>
                  </w:r>
                </w:p>
              </w:tc>
              <w:tc>
                <w:tcPr>
                  <w:tcW w:w="502" w:type="pct"/>
                  <w:tcBorders>
                    <w:tl2br w:val="nil"/>
                    <w:tr2bl w:val="nil"/>
                  </w:tcBorders>
                  <w:noWrap w:val="0"/>
                  <w:vAlign w:val="center"/>
                </w:tcPr>
                <w:p w14:paraId="5E056C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40C32B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0AAF79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379" w:type="pct"/>
                  <w:vMerge w:val="restart"/>
                  <w:tcBorders>
                    <w:tl2br w:val="nil"/>
                    <w:tr2bl w:val="nil"/>
                  </w:tcBorders>
                  <w:noWrap w:val="0"/>
                  <w:vAlign w:val="center"/>
                </w:tcPr>
                <w:p w14:paraId="472A61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噪声</w:t>
                  </w:r>
                </w:p>
              </w:tc>
              <w:tc>
                <w:tcPr>
                  <w:tcW w:w="624" w:type="pct"/>
                  <w:tcBorders>
                    <w:tl2br w:val="nil"/>
                    <w:tr2bl w:val="nil"/>
                  </w:tcBorders>
                  <w:noWrap w:val="0"/>
                  <w:vAlign w:val="center"/>
                </w:tcPr>
                <w:p w14:paraId="3F0C62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施工期</w:t>
                  </w:r>
                </w:p>
              </w:tc>
              <w:tc>
                <w:tcPr>
                  <w:tcW w:w="3214" w:type="pct"/>
                  <w:tcBorders>
                    <w:tl2br w:val="nil"/>
                    <w:tr2bl w:val="nil"/>
                  </w:tcBorders>
                  <w:noWrap w:val="0"/>
                  <w:vAlign w:val="center"/>
                </w:tcPr>
                <w:p w14:paraId="3B609C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采用较先进、噪声较低的施工设备；合理安排施工作业时间，设置临时声屏障，将噪声级大的工作尽量安排在白天，严禁夜间施工。</w:t>
                  </w:r>
                </w:p>
              </w:tc>
              <w:tc>
                <w:tcPr>
                  <w:tcW w:w="502" w:type="pct"/>
                  <w:tcBorders>
                    <w:tl2br w:val="nil"/>
                    <w:tr2bl w:val="nil"/>
                  </w:tcBorders>
                  <w:noWrap w:val="0"/>
                  <w:vAlign w:val="center"/>
                </w:tcPr>
                <w:p w14:paraId="146D2B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79CD66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7C7284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379" w:type="pct"/>
                  <w:vMerge w:val="continue"/>
                  <w:tcBorders>
                    <w:tl2br w:val="nil"/>
                    <w:tr2bl w:val="nil"/>
                  </w:tcBorders>
                  <w:noWrap w:val="0"/>
                  <w:vAlign w:val="center"/>
                </w:tcPr>
                <w:p w14:paraId="25098C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624" w:type="pct"/>
                  <w:tcBorders>
                    <w:tl2br w:val="nil"/>
                    <w:tr2bl w:val="nil"/>
                  </w:tcBorders>
                  <w:noWrap w:val="0"/>
                  <w:vAlign w:val="center"/>
                </w:tcPr>
                <w:p w14:paraId="06C58D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运营期</w:t>
                  </w:r>
                </w:p>
              </w:tc>
              <w:tc>
                <w:tcPr>
                  <w:tcW w:w="3214" w:type="pct"/>
                  <w:tcBorders>
                    <w:tl2br w:val="nil"/>
                    <w:tr2bl w:val="nil"/>
                  </w:tcBorders>
                  <w:noWrap w:val="0"/>
                  <w:vAlign w:val="center"/>
                </w:tcPr>
                <w:p w14:paraId="18D1CD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风机采用低噪声风机，空调设备采用低噪声设备，水泵、机组均设置</w:t>
                  </w:r>
                  <w:r>
                    <w:rPr>
                      <w:rFonts w:hint="eastAsia" w:cs="Times New Roman"/>
                      <w:color w:val="000000"/>
                      <w:kern w:val="0"/>
                      <w:sz w:val="21"/>
                      <w:szCs w:val="21"/>
                      <w:highlight w:val="none"/>
                      <w:vertAlign w:val="baseline"/>
                      <w:lang w:val="en-US" w:eastAsia="zh-CN" w:bidi="ar"/>
                    </w:rPr>
                    <w:t>减振</w:t>
                  </w:r>
                  <w:r>
                    <w:rPr>
                      <w:rFonts w:hint="default" w:ascii="Times New Roman" w:hAnsi="Times New Roman" w:eastAsia="宋体" w:cs="Times New Roman"/>
                      <w:color w:val="000000"/>
                      <w:kern w:val="0"/>
                      <w:sz w:val="21"/>
                      <w:szCs w:val="21"/>
                      <w:highlight w:val="none"/>
                      <w:vertAlign w:val="baseline"/>
                      <w:lang w:val="en-US" w:eastAsia="zh-CN" w:bidi="ar"/>
                    </w:rPr>
                    <w:t>措施，风管均设置消声器。</w:t>
                  </w:r>
                </w:p>
                <w:p w14:paraId="6FA547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加强进出车辆管理、区域管理等。</w:t>
                  </w:r>
                </w:p>
              </w:tc>
              <w:tc>
                <w:tcPr>
                  <w:tcW w:w="502" w:type="pct"/>
                  <w:tcBorders>
                    <w:tl2br w:val="nil"/>
                    <w:tr2bl w:val="nil"/>
                  </w:tcBorders>
                  <w:noWrap w:val="0"/>
                  <w:vAlign w:val="center"/>
                </w:tcPr>
                <w:p w14:paraId="532F2F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79F24D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1B74F6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379" w:type="pct"/>
                  <w:vMerge w:val="restart"/>
                  <w:tcBorders>
                    <w:tl2br w:val="nil"/>
                    <w:tr2bl w:val="nil"/>
                  </w:tcBorders>
                  <w:noWrap w:val="0"/>
                  <w:vAlign w:val="center"/>
                </w:tcPr>
                <w:p w14:paraId="472744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固体废物</w:t>
                  </w:r>
                </w:p>
              </w:tc>
              <w:tc>
                <w:tcPr>
                  <w:tcW w:w="624" w:type="pct"/>
                  <w:tcBorders>
                    <w:tl2br w:val="nil"/>
                    <w:tr2bl w:val="nil"/>
                  </w:tcBorders>
                  <w:noWrap w:val="0"/>
                  <w:vAlign w:val="center"/>
                </w:tcPr>
                <w:p w14:paraId="53B340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施工期</w:t>
                  </w:r>
                </w:p>
              </w:tc>
              <w:tc>
                <w:tcPr>
                  <w:tcW w:w="3214" w:type="pct"/>
                  <w:tcBorders>
                    <w:tl2br w:val="nil"/>
                    <w:tr2bl w:val="nil"/>
                  </w:tcBorders>
                  <w:noWrap w:val="0"/>
                  <w:vAlign w:val="center"/>
                </w:tcPr>
                <w:p w14:paraId="5C9427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拆除建筑垃圾等运</w:t>
                  </w:r>
                  <w:r>
                    <w:rPr>
                      <w:rFonts w:hint="eastAsia" w:cs="Times New Roman"/>
                      <w:color w:val="000000"/>
                      <w:kern w:val="0"/>
                      <w:sz w:val="21"/>
                      <w:szCs w:val="21"/>
                      <w:highlight w:val="none"/>
                      <w:vertAlign w:val="baseline"/>
                      <w:lang w:val="en-US" w:eastAsia="zh-CN" w:bidi="ar"/>
                    </w:rPr>
                    <w:t>至新疆阜康产业园固废综合处置静脉园（一期）</w:t>
                  </w:r>
                  <w:r>
                    <w:rPr>
                      <w:rFonts w:hint="default" w:ascii="Times New Roman" w:hAnsi="Times New Roman" w:eastAsia="宋体" w:cs="Times New Roman"/>
                      <w:color w:val="000000"/>
                      <w:kern w:val="0"/>
                      <w:sz w:val="21"/>
                      <w:szCs w:val="21"/>
                      <w:highlight w:val="none"/>
                      <w:vertAlign w:val="baseline"/>
                      <w:lang w:val="en-US" w:eastAsia="zh-CN" w:bidi="ar"/>
                    </w:rPr>
                    <w:t>处理，施工挖土方合理利用，能回填的优先回填，不能回填的运至市政指定地点处理。施工人员生活垃圾交由环卫部门统一清运。</w:t>
                  </w:r>
                </w:p>
              </w:tc>
              <w:tc>
                <w:tcPr>
                  <w:tcW w:w="502" w:type="pct"/>
                  <w:tcBorders>
                    <w:tl2br w:val="nil"/>
                    <w:tr2bl w:val="nil"/>
                  </w:tcBorders>
                  <w:noWrap w:val="0"/>
                  <w:vAlign w:val="center"/>
                </w:tcPr>
                <w:p w14:paraId="1D02FC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72A811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7B5A8D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379" w:type="pct"/>
                  <w:vMerge w:val="continue"/>
                  <w:tcBorders>
                    <w:tl2br w:val="nil"/>
                    <w:tr2bl w:val="nil"/>
                  </w:tcBorders>
                  <w:noWrap w:val="0"/>
                  <w:vAlign w:val="center"/>
                </w:tcPr>
                <w:p w14:paraId="6DB39F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624" w:type="pct"/>
                  <w:tcBorders>
                    <w:tl2br w:val="nil"/>
                    <w:tr2bl w:val="nil"/>
                  </w:tcBorders>
                  <w:noWrap w:val="0"/>
                  <w:vAlign w:val="center"/>
                </w:tcPr>
                <w:p w14:paraId="1C0D0B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运营期</w:t>
                  </w:r>
                </w:p>
              </w:tc>
              <w:tc>
                <w:tcPr>
                  <w:tcW w:w="3214" w:type="pct"/>
                  <w:tcBorders>
                    <w:tl2br w:val="nil"/>
                    <w:tr2bl w:val="nil"/>
                  </w:tcBorders>
                  <w:noWrap w:val="0"/>
                  <w:vAlign w:val="center"/>
                </w:tcPr>
                <w:p w14:paraId="17AFC5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生活垃圾，设置垃圾箱，</w:t>
                  </w:r>
                  <w:r>
                    <w:rPr>
                      <w:rFonts w:hint="eastAsia" w:cs="Times New Roman"/>
                      <w:color w:val="000000"/>
                      <w:kern w:val="0"/>
                      <w:sz w:val="21"/>
                      <w:szCs w:val="21"/>
                      <w:highlight w:val="none"/>
                      <w:vertAlign w:val="baseline"/>
                      <w:lang w:val="en-US" w:eastAsia="zh-CN" w:bidi="ar"/>
                    </w:rPr>
                    <w:t>委托环卫部门统一清运至阜康市生活垃圾填埋场处理</w:t>
                  </w:r>
                  <w:r>
                    <w:rPr>
                      <w:rFonts w:hint="default" w:ascii="Times New Roman" w:hAnsi="Times New Roman" w:eastAsia="宋体" w:cs="Times New Roman"/>
                      <w:color w:val="000000"/>
                      <w:kern w:val="0"/>
                      <w:sz w:val="21"/>
                      <w:szCs w:val="21"/>
                      <w:highlight w:val="none"/>
                      <w:vertAlign w:val="baseline"/>
                      <w:lang w:val="en-US" w:eastAsia="zh-CN" w:bidi="ar"/>
                    </w:rPr>
                    <w:t>。餐厨垃圾委托取得相应资质单位处理处置。</w:t>
                  </w:r>
                  <w:r>
                    <w:rPr>
                      <w:rFonts w:hint="eastAsia" w:cs="Times New Roman"/>
                      <w:color w:val="000000"/>
                      <w:sz w:val="21"/>
                      <w:szCs w:val="21"/>
                      <w:highlight w:val="none"/>
                      <w:lang w:val="en-US" w:eastAsia="zh-CN"/>
                    </w:rPr>
                    <w:t>污泥</w:t>
                  </w:r>
                  <w:r>
                    <w:rPr>
                      <w:rFonts w:hint="eastAsia" w:cs="Times New Roman"/>
                      <w:color w:val="000000"/>
                      <w:sz w:val="21"/>
                      <w:szCs w:val="21"/>
                      <w:lang w:val="en-US" w:eastAsia="zh-CN"/>
                    </w:rPr>
                    <w:t>自然风干至含水率为60%后交由</w:t>
                  </w:r>
                  <w:r>
                    <w:rPr>
                      <w:rFonts w:hint="eastAsia" w:cs="Times New Roman"/>
                      <w:color w:val="000000"/>
                      <w:kern w:val="0"/>
                      <w:sz w:val="21"/>
                      <w:szCs w:val="21"/>
                      <w:highlight w:val="none"/>
                      <w:vertAlign w:val="baseline"/>
                      <w:lang w:val="en-US" w:eastAsia="zh-CN" w:bidi="ar"/>
                    </w:rPr>
                    <w:t>阜康市生活垃圾填埋场处理。</w:t>
                  </w:r>
                </w:p>
              </w:tc>
              <w:tc>
                <w:tcPr>
                  <w:tcW w:w="502" w:type="pct"/>
                  <w:tcBorders>
                    <w:tl2br w:val="nil"/>
                    <w:tr2bl w:val="nil"/>
                  </w:tcBorders>
                  <w:noWrap w:val="0"/>
                  <w:vAlign w:val="center"/>
                </w:tcPr>
                <w:p w14:paraId="58C1E6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490B4E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72153F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379" w:type="pct"/>
                  <w:vMerge w:val="restart"/>
                  <w:tcBorders>
                    <w:tl2br w:val="nil"/>
                    <w:tr2bl w:val="nil"/>
                  </w:tcBorders>
                  <w:noWrap w:val="0"/>
                  <w:vAlign w:val="center"/>
                </w:tcPr>
                <w:p w14:paraId="1D7E6E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生态</w:t>
                  </w:r>
                </w:p>
              </w:tc>
              <w:tc>
                <w:tcPr>
                  <w:tcW w:w="624" w:type="pct"/>
                  <w:tcBorders>
                    <w:tl2br w:val="nil"/>
                    <w:tr2bl w:val="nil"/>
                  </w:tcBorders>
                  <w:noWrap w:val="0"/>
                  <w:vAlign w:val="center"/>
                </w:tcPr>
                <w:p w14:paraId="168F2B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施工期</w:t>
                  </w:r>
                </w:p>
              </w:tc>
              <w:tc>
                <w:tcPr>
                  <w:tcW w:w="3214" w:type="pct"/>
                  <w:tcBorders>
                    <w:tl2br w:val="nil"/>
                    <w:tr2bl w:val="nil"/>
                  </w:tcBorders>
                  <w:noWrap w:val="0"/>
                  <w:vAlign w:val="center"/>
                </w:tcPr>
                <w:p w14:paraId="528D6748">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lang w:val="en-US" w:eastAsia="zh-CN" w:bidi="ar"/>
                    </w:rPr>
                    <w:t>合理布局、合理施工与组织作业</w:t>
                  </w:r>
                  <w:r>
                    <w:rPr>
                      <w:rFonts w:hint="eastAsia" w:cs="Times New Roman"/>
                      <w:color w:val="000000"/>
                      <w:kern w:val="0"/>
                      <w:sz w:val="21"/>
                      <w:szCs w:val="21"/>
                      <w:lang w:val="en-US" w:eastAsia="zh-CN" w:bidi="ar"/>
                    </w:rPr>
                    <w:t>，采取</w:t>
                  </w:r>
                  <w:r>
                    <w:rPr>
                      <w:rFonts w:hint="default" w:ascii="Times New Roman" w:hAnsi="Times New Roman" w:eastAsia="宋体" w:cs="Times New Roman"/>
                      <w:color w:val="000000"/>
                      <w:kern w:val="0"/>
                      <w:sz w:val="21"/>
                      <w:szCs w:val="21"/>
                      <w:lang w:val="en-US" w:eastAsia="zh-CN" w:bidi="ar"/>
                    </w:rPr>
                    <w:t>生态保护与减缓、景观保护及绿化</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生态管理等措施。</w:t>
                  </w:r>
                </w:p>
              </w:tc>
              <w:tc>
                <w:tcPr>
                  <w:tcW w:w="502" w:type="pct"/>
                  <w:tcBorders>
                    <w:tl2br w:val="nil"/>
                    <w:tr2bl w:val="nil"/>
                  </w:tcBorders>
                  <w:noWrap w:val="0"/>
                  <w:vAlign w:val="center"/>
                </w:tcPr>
                <w:p w14:paraId="0CAF50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5ECF07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56697C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379" w:type="pct"/>
                  <w:vMerge w:val="continue"/>
                  <w:tcBorders>
                    <w:tl2br w:val="nil"/>
                    <w:tr2bl w:val="nil"/>
                  </w:tcBorders>
                  <w:noWrap w:val="0"/>
                  <w:vAlign w:val="center"/>
                </w:tcPr>
                <w:p w14:paraId="5535B8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624" w:type="pct"/>
                  <w:tcBorders>
                    <w:tl2br w:val="nil"/>
                    <w:tr2bl w:val="nil"/>
                  </w:tcBorders>
                  <w:noWrap w:val="0"/>
                  <w:vAlign w:val="center"/>
                </w:tcPr>
                <w:p w14:paraId="687CF8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运营期</w:t>
                  </w:r>
                </w:p>
              </w:tc>
              <w:tc>
                <w:tcPr>
                  <w:tcW w:w="3214" w:type="pct"/>
                  <w:tcBorders>
                    <w:tl2br w:val="nil"/>
                    <w:tr2bl w:val="nil"/>
                  </w:tcBorders>
                  <w:noWrap w:val="0"/>
                  <w:vAlign w:val="center"/>
                </w:tcPr>
                <w:p w14:paraId="6E1ED0BD">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lang w:val="en-US" w:eastAsia="zh-CN" w:bidi="ar"/>
                    </w:rPr>
                    <w:t>运营期间加强作业人员的卫生管理，避免生活垃圾、生活污水直接排放，最大限度保护动物生境；项目规划绿化总面积1000m²，绿化年用水量750m³，选用乡土乔木、灌木、草坪进行景观营造；道路两侧栽植行道树，采用集中+分散相结合的绿化布局，建筑周边空地全覆盖草皮，搭配花草灌木提升景观效果。</w:t>
                  </w:r>
                </w:p>
              </w:tc>
              <w:tc>
                <w:tcPr>
                  <w:tcW w:w="502" w:type="pct"/>
                  <w:tcBorders>
                    <w:tl2br w:val="nil"/>
                    <w:tr2bl w:val="nil"/>
                  </w:tcBorders>
                  <w:noWrap w:val="0"/>
                  <w:vAlign w:val="center"/>
                </w:tcPr>
                <w:p w14:paraId="37BE07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7A5EBC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restart"/>
                  <w:tcBorders>
                    <w:tl2br w:val="nil"/>
                    <w:tr2bl w:val="nil"/>
                  </w:tcBorders>
                  <w:noWrap w:val="0"/>
                  <w:vAlign w:val="center"/>
                </w:tcPr>
                <w:p w14:paraId="673AC6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临时工程</w:t>
                  </w:r>
                </w:p>
              </w:tc>
              <w:tc>
                <w:tcPr>
                  <w:tcW w:w="1003" w:type="pct"/>
                  <w:gridSpan w:val="2"/>
                  <w:tcBorders>
                    <w:tl2br w:val="nil"/>
                    <w:tr2bl w:val="nil"/>
                  </w:tcBorders>
                  <w:noWrap w:val="0"/>
                  <w:vAlign w:val="center"/>
                </w:tcPr>
                <w:p w14:paraId="47342FD4">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施工营地</w:t>
                  </w:r>
                </w:p>
              </w:tc>
              <w:tc>
                <w:tcPr>
                  <w:tcW w:w="3214" w:type="pct"/>
                  <w:tcBorders>
                    <w:tl2br w:val="nil"/>
                    <w:tr2bl w:val="nil"/>
                  </w:tcBorders>
                  <w:noWrap w:val="0"/>
                  <w:vAlign w:val="center"/>
                </w:tcPr>
                <w:p w14:paraId="497D44B2">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施工营地采用自建临时集装箱房</w:t>
                  </w:r>
                  <w:r>
                    <w:rPr>
                      <w:rFonts w:hint="eastAsia" w:cs="Times New Roman"/>
                      <w:color w:val="000000"/>
                      <w:kern w:val="0"/>
                      <w:sz w:val="21"/>
                      <w:szCs w:val="21"/>
                      <w:highlight w:val="none"/>
                      <w:vertAlign w:val="baseline"/>
                      <w:lang w:val="en-US" w:eastAsia="zh-CN" w:bidi="ar"/>
                    </w:rPr>
                    <w:t>，面积约为1100m</w:t>
                  </w:r>
                  <w:r>
                    <w:rPr>
                      <w:rFonts w:hint="eastAsia" w:cs="Times New Roman"/>
                      <w:color w:val="000000"/>
                      <w:kern w:val="0"/>
                      <w:sz w:val="21"/>
                      <w:szCs w:val="21"/>
                      <w:highlight w:val="none"/>
                      <w:vertAlign w:val="superscript"/>
                      <w:lang w:val="en-US" w:eastAsia="zh-CN" w:bidi="ar"/>
                    </w:rPr>
                    <w:t>2</w:t>
                  </w:r>
                  <w:r>
                    <w:rPr>
                      <w:rFonts w:hint="eastAsia" w:cs="Times New Roman"/>
                      <w:color w:val="000000"/>
                      <w:kern w:val="0"/>
                      <w:sz w:val="21"/>
                      <w:szCs w:val="21"/>
                      <w:highlight w:val="none"/>
                      <w:vertAlign w:val="baseline"/>
                      <w:lang w:val="en-US" w:eastAsia="zh-CN" w:bidi="ar"/>
                    </w:rPr>
                    <w:t>，施工产生的生活垃圾</w:t>
                  </w:r>
                  <w:r>
                    <w:rPr>
                      <w:rFonts w:hint="default" w:ascii="Times New Roman" w:hAnsi="Times New Roman" w:eastAsia="宋体" w:cs="Times New Roman"/>
                      <w:color w:val="000000"/>
                      <w:kern w:val="0"/>
                      <w:sz w:val="21"/>
                      <w:szCs w:val="21"/>
                      <w:highlight w:val="none"/>
                      <w:vertAlign w:val="baseline"/>
                      <w:lang w:val="en-US" w:eastAsia="zh-CN" w:bidi="ar"/>
                    </w:rPr>
                    <w:t>交由环卫部门统一清运</w:t>
                  </w:r>
                  <w:r>
                    <w:rPr>
                      <w:rFonts w:hint="eastAsia" w:ascii="Times New Roman" w:hAnsi="Times New Roman" w:eastAsia="宋体" w:cs="Times New Roman"/>
                      <w:color w:val="000000"/>
                      <w:kern w:val="0"/>
                      <w:sz w:val="21"/>
                      <w:szCs w:val="21"/>
                      <w:highlight w:val="none"/>
                      <w:vertAlign w:val="baseline"/>
                      <w:lang w:val="en-US" w:eastAsia="zh-CN" w:bidi="ar"/>
                    </w:rPr>
                    <w:t>至阜康市生活垃圾填埋场</w:t>
                  </w:r>
                  <w:r>
                    <w:rPr>
                      <w:rFonts w:hint="eastAsia" w:cs="Times New Roman"/>
                      <w:color w:val="000000"/>
                      <w:kern w:val="0"/>
                      <w:sz w:val="21"/>
                      <w:szCs w:val="21"/>
                      <w:highlight w:val="none"/>
                      <w:vertAlign w:val="baseline"/>
                      <w:lang w:val="en-US" w:eastAsia="zh-CN" w:bidi="ar"/>
                    </w:rPr>
                    <w:t>处理，</w:t>
                  </w:r>
                  <w:r>
                    <w:rPr>
                      <w:rFonts w:hint="eastAsia" w:ascii="Times New Roman" w:hAnsi="Times New Roman" w:eastAsia="宋体" w:cs="Times New Roman"/>
                      <w:color w:val="000000"/>
                      <w:kern w:val="0"/>
                      <w:sz w:val="21"/>
                      <w:szCs w:val="21"/>
                      <w:highlight w:val="none"/>
                      <w:vertAlign w:val="baseline"/>
                      <w:lang w:val="en-US" w:eastAsia="zh-CN" w:bidi="ar"/>
                    </w:rPr>
                    <w:t>施工人员产生的生活污水排入移动式化粪池</w:t>
                  </w:r>
                  <w:r>
                    <w:rPr>
                      <w:rFonts w:hint="eastAsia" w:cs="Times New Roman"/>
                      <w:color w:val="000000"/>
                      <w:kern w:val="0"/>
                      <w:sz w:val="21"/>
                      <w:szCs w:val="21"/>
                      <w:highlight w:val="none"/>
                      <w:vertAlign w:val="baseline"/>
                      <w:lang w:val="en-US" w:eastAsia="zh-CN" w:bidi="ar"/>
                    </w:rPr>
                    <w:t>（20m</w:t>
                  </w:r>
                  <w:r>
                    <w:rPr>
                      <w:rFonts w:hint="eastAsia" w:cs="Times New Roman"/>
                      <w:color w:val="000000"/>
                      <w:kern w:val="0"/>
                      <w:sz w:val="21"/>
                      <w:szCs w:val="21"/>
                      <w:highlight w:val="none"/>
                      <w:vertAlign w:val="superscript"/>
                      <w:lang w:val="en-US" w:eastAsia="zh-CN" w:bidi="ar"/>
                    </w:rPr>
                    <w:t>3</w:t>
                  </w:r>
                  <w:r>
                    <w:rPr>
                      <w:rFonts w:hint="eastAsia" w:cs="Times New Roman"/>
                      <w:color w:val="000000"/>
                      <w:kern w:val="0"/>
                      <w:sz w:val="21"/>
                      <w:szCs w:val="21"/>
                      <w:highlight w:val="none"/>
                      <w:vertAlign w:val="baseline"/>
                      <w:lang w:val="en-US" w:eastAsia="zh-CN" w:bidi="ar"/>
                    </w:rPr>
                    <w:t>）</w:t>
                  </w:r>
                  <w:r>
                    <w:rPr>
                      <w:rFonts w:hint="eastAsia" w:ascii="Times New Roman" w:hAnsi="Times New Roman" w:eastAsia="宋体" w:cs="Times New Roman"/>
                      <w:color w:val="000000"/>
                      <w:kern w:val="0"/>
                      <w:sz w:val="21"/>
                      <w:szCs w:val="21"/>
                      <w:highlight w:val="none"/>
                      <w:vertAlign w:val="baseline"/>
                      <w:lang w:val="en-US" w:eastAsia="zh-CN" w:bidi="ar"/>
                    </w:rPr>
                    <w:t>处理后，由吸污车定期抽出运送至阜康市污水处理厂处理</w:t>
                  </w:r>
                  <w:r>
                    <w:rPr>
                      <w:rFonts w:hint="eastAsia" w:cs="Times New Roman"/>
                      <w:color w:val="000000"/>
                      <w:kern w:val="0"/>
                      <w:sz w:val="21"/>
                      <w:szCs w:val="21"/>
                      <w:highlight w:val="none"/>
                      <w:vertAlign w:val="baseline"/>
                      <w:lang w:val="en-US" w:eastAsia="zh-CN" w:bidi="ar"/>
                    </w:rPr>
                    <w:t>。</w:t>
                  </w:r>
                </w:p>
              </w:tc>
              <w:tc>
                <w:tcPr>
                  <w:tcW w:w="502" w:type="pct"/>
                  <w:tcBorders>
                    <w:tl2br w:val="nil"/>
                    <w:tr2bl w:val="nil"/>
                  </w:tcBorders>
                  <w:noWrap w:val="0"/>
                  <w:vAlign w:val="center"/>
                </w:tcPr>
                <w:p w14:paraId="704CA0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新建</w:t>
                  </w:r>
                </w:p>
              </w:tc>
            </w:tr>
            <w:tr w14:paraId="28D41E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29C6D8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1003" w:type="pct"/>
                  <w:gridSpan w:val="2"/>
                  <w:tcBorders>
                    <w:tl2br w:val="nil"/>
                    <w:tr2bl w:val="nil"/>
                  </w:tcBorders>
                  <w:noWrap w:val="0"/>
                  <w:vAlign w:val="center"/>
                </w:tcPr>
                <w:p w14:paraId="1AC61ABA">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弃土场</w:t>
                  </w:r>
                </w:p>
              </w:tc>
              <w:tc>
                <w:tcPr>
                  <w:tcW w:w="3214" w:type="pct"/>
                  <w:tcBorders>
                    <w:tl2br w:val="nil"/>
                    <w:tr2bl w:val="nil"/>
                  </w:tcBorders>
                  <w:noWrap w:val="0"/>
                  <w:vAlign w:val="center"/>
                </w:tcPr>
                <w:p w14:paraId="0752F870">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项目弃土、建筑垃圾等在项目建设范围内临时堆放，并及时运走至新疆阜康产业园固废综合处置静脉园（一期）处理，不设置永久弃土场。</w:t>
                  </w:r>
                </w:p>
              </w:tc>
              <w:tc>
                <w:tcPr>
                  <w:tcW w:w="502" w:type="pct"/>
                  <w:tcBorders>
                    <w:tl2br w:val="nil"/>
                    <w:tr2bl w:val="nil"/>
                  </w:tcBorders>
                  <w:noWrap w:val="0"/>
                  <w:vAlign w:val="center"/>
                </w:tcPr>
                <w:p w14:paraId="7CFC3F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w:t>
                  </w:r>
                </w:p>
              </w:tc>
            </w:tr>
            <w:tr w14:paraId="48C6F4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6ECAAB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1003" w:type="pct"/>
                  <w:gridSpan w:val="2"/>
                  <w:tcBorders>
                    <w:tl2br w:val="nil"/>
                    <w:tr2bl w:val="nil"/>
                  </w:tcBorders>
                  <w:noWrap w:val="0"/>
                  <w:vAlign w:val="center"/>
                </w:tcPr>
                <w:p w14:paraId="6549FC59">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原料堆场</w:t>
                  </w:r>
                </w:p>
              </w:tc>
              <w:tc>
                <w:tcPr>
                  <w:tcW w:w="3214" w:type="pct"/>
                  <w:tcBorders>
                    <w:tl2br w:val="nil"/>
                    <w:tr2bl w:val="nil"/>
                  </w:tcBorders>
                  <w:noWrap w:val="0"/>
                  <w:vAlign w:val="center"/>
                </w:tcPr>
                <w:p w14:paraId="20FA9C7C">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cs="Times New Roman"/>
                      <w:color w:val="000000"/>
                      <w:kern w:val="0"/>
                      <w:sz w:val="21"/>
                      <w:szCs w:val="21"/>
                      <w:lang w:val="en-US" w:eastAsia="zh-CN" w:bidi="ar"/>
                    </w:rPr>
                    <w:t>原料堆场设置在地块五的位置，占地面积约为180m</w:t>
                  </w:r>
                  <w:r>
                    <w:rPr>
                      <w:rFonts w:hint="eastAsia" w:ascii="Times New Roman" w:hAnsi="Times New Roman" w:cs="Times New Roman"/>
                      <w:color w:val="000000"/>
                      <w:kern w:val="0"/>
                      <w:sz w:val="21"/>
                      <w:szCs w:val="21"/>
                      <w:vertAlign w:val="superscript"/>
                      <w:lang w:val="en-US" w:eastAsia="zh-CN" w:bidi="ar"/>
                    </w:rPr>
                    <w:t>2</w:t>
                  </w:r>
                  <w:r>
                    <w:rPr>
                      <w:rFonts w:hint="eastAsia" w:ascii="Times New Roman" w:hAnsi="Times New Roman"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在项目厂区内堆放</w:t>
                  </w:r>
                  <w:r>
                    <w:rPr>
                      <w:rFonts w:hint="eastAsia" w:ascii="Times New Roman" w:hAnsi="Times New Roman" w:cs="Times New Roman"/>
                      <w:color w:val="000000"/>
                      <w:kern w:val="0"/>
                      <w:sz w:val="21"/>
                      <w:szCs w:val="21"/>
                      <w:lang w:val="en-US" w:eastAsia="zh-CN" w:bidi="ar"/>
                    </w:rPr>
                    <w:t>，不新增占地，设置</w:t>
                  </w:r>
                  <w:r>
                    <w:rPr>
                      <w:rFonts w:hint="default" w:ascii="Times New Roman" w:hAnsi="Times New Roman" w:eastAsia="宋体" w:cs="Times New Roman"/>
                      <w:spacing w:val="-2"/>
                      <w:sz w:val="21"/>
                      <w:szCs w:val="21"/>
                    </w:rPr>
                    <w:t>洒水降尘、</w:t>
                  </w:r>
                  <w:r>
                    <w:rPr>
                      <w:rFonts w:hint="default" w:ascii="Times New Roman" w:hAnsi="Times New Roman" w:eastAsia="宋体" w:cs="Times New Roman"/>
                      <w:spacing w:val="-8"/>
                      <w:sz w:val="21"/>
                      <w:szCs w:val="21"/>
                    </w:rPr>
                    <w:t>围挡、防尘</w:t>
                  </w:r>
                  <w:r>
                    <w:rPr>
                      <w:rFonts w:hint="default" w:ascii="Times New Roman" w:hAnsi="Times New Roman" w:eastAsia="宋体" w:cs="Times New Roman"/>
                      <w:spacing w:val="-7"/>
                      <w:sz w:val="21"/>
                      <w:szCs w:val="21"/>
                    </w:rPr>
                    <w:t>网、防风屏</w:t>
                  </w:r>
                  <w:r>
                    <w:rPr>
                      <w:rFonts w:hint="eastAsia" w:ascii="Times New Roman" w:hAnsi="Times New Roman" w:cs="Times New Roman"/>
                      <w:spacing w:val="-7"/>
                      <w:sz w:val="21"/>
                      <w:szCs w:val="21"/>
                      <w:lang w:val="en-US" w:eastAsia="zh-CN"/>
                    </w:rPr>
                    <w:t>等防尘措施</w:t>
                  </w:r>
                  <w:r>
                    <w:rPr>
                      <w:rFonts w:hint="default" w:ascii="Times New Roman" w:hAnsi="Times New Roman" w:eastAsia="宋体" w:cs="Times New Roman"/>
                      <w:color w:val="000000"/>
                      <w:kern w:val="0"/>
                      <w:sz w:val="21"/>
                      <w:szCs w:val="21"/>
                      <w:lang w:val="en-US" w:eastAsia="zh-CN" w:bidi="ar"/>
                    </w:rPr>
                    <w:t>。</w:t>
                  </w:r>
                </w:p>
              </w:tc>
              <w:tc>
                <w:tcPr>
                  <w:tcW w:w="502" w:type="pct"/>
                  <w:tcBorders>
                    <w:tl2br w:val="nil"/>
                    <w:tr2bl w:val="nil"/>
                  </w:tcBorders>
                  <w:noWrap w:val="0"/>
                  <w:vAlign w:val="center"/>
                </w:tcPr>
                <w:p w14:paraId="067829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w:t>
                  </w:r>
                </w:p>
              </w:tc>
            </w:tr>
            <w:tr w14:paraId="533851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20E257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p>
              </w:tc>
              <w:tc>
                <w:tcPr>
                  <w:tcW w:w="1003" w:type="pct"/>
                  <w:gridSpan w:val="2"/>
                  <w:tcBorders>
                    <w:tl2br w:val="nil"/>
                    <w:tr2bl w:val="nil"/>
                  </w:tcBorders>
                  <w:noWrap w:val="0"/>
                  <w:vAlign w:val="center"/>
                </w:tcPr>
                <w:p w14:paraId="7E5AA427">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施工便道</w:t>
                  </w:r>
                </w:p>
              </w:tc>
              <w:tc>
                <w:tcPr>
                  <w:tcW w:w="3214" w:type="pct"/>
                  <w:tcBorders>
                    <w:tl2br w:val="nil"/>
                    <w:tr2bl w:val="nil"/>
                  </w:tcBorders>
                  <w:noWrap w:val="0"/>
                  <w:vAlign w:val="center"/>
                </w:tcPr>
                <w:p w14:paraId="5ADD4A71">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本项目利用已有道路，不设置施工便道。</w:t>
                  </w:r>
                </w:p>
              </w:tc>
              <w:tc>
                <w:tcPr>
                  <w:tcW w:w="502" w:type="pct"/>
                  <w:tcBorders>
                    <w:tl2br w:val="nil"/>
                    <w:tr2bl w:val="nil"/>
                  </w:tcBorders>
                  <w:noWrap w:val="0"/>
                  <w:vAlign w:val="center"/>
                </w:tcPr>
                <w:p w14:paraId="6B882A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依托</w:t>
                  </w:r>
                </w:p>
              </w:tc>
            </w:tr>
            <w:tr w14:paraId="041820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restart"/>
                  <w:tcBorders>
                    <w:tl2br w:val="nil"/>
                    <w:tr2bl w:val="nil"/>
                  </w:tcBorders>
                  <w:noWrap w:val="0"/>
                  <w:vAlign w:val="center"/>
                </w:tcPr>
                <w:p w14:paraId="031E1F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依托工程</w:t>
                  </w:r>
                </w:p>
              </w:tc>
              <w:tc>
                <w:tcPr>
                  <w:tcW w:w="1003" w:type="pct"/>
                  <w:gridSpan w:val="2"/>
                  <w:tcBorders>
                    <w:tl2br w:val="nil"/>
                    <w:tr2bl w:val="nil"/>
                  </w:tcBorders>
                  <w:noWrap w:val="0"/>
                  <w:vAlign w:val="center"/>
                </w:tcPr>
                <w:p w14:paraId="379CB080">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阜康市生活垃圾填埋场</w:t>
                  </w:r>
                </w:p>
              </w:tc>
              <w:tc>
                <w:tcPr>
                  <w:tcW w:w="3214" w:type="pct"/>
                  <w:tcBorders>
                    <w:tl2br w:val="nil"/>
                    <w:tr2bl w:val="nil"/>
                  </w:tcBorders>
                  <w:noWrap w:val="0"/>
                  <w:vAlign w:val="center"/>
                </w:tcPr>
                <w:p w14:paraId="6E09E5A1">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本项目施工期和运营期产生的生活垃圾</w:t>
                  </w:r>
                  <w:r>
                    <w:rPr>
                      <w:rFonts w:hint="default" w:ascii="Times New Roman" w:hAnsi="Times New Roman" w:eastAsia="宋体" w:cs="Times New Roman"/>
                      <w:color w:val="000000"/>
                      <w:kern w:val="0"/>
                      <w:sz w:val="21"/>
                      <w:szCs w:val="21"/>
                      <w:highlight w:val="none"/>
                      <w:vertAlign w:val="baseline"/>
                      <w:lang w:val="en-US" w:eastAsia="zh-CN" w:bidi="ar"/>
                    </w:rPr>
                    <w:t>由环卫部门统一清运</w:t>
                  </w:r>
                  <w:r>
                    <w:rPr>
                      <w:rFonts w:hint="eastAsia" w:ascii="Times New Roman" w:hAnsi="Times New Roman" w:eastAsia="宋体" w:cs="Times New Roman"/>
                      <w:color w:val="000000"/>
                      <w:kern w:val="0"/>
                      <w:sz w:val="21"/>
                      <w:szCs w:val="21"/>
                      <w:highlight w:val="none"/>
                      <w:vertAlign w:val="baseline"/>
                      <w:lang w:val="en-US" w:eastAsia="zh-CN" w:bidi="ar"/>
                    </w:rPr>
                    <w:t>至阜康市生活垃圾填埋场</w:t>
                  </w:r>
                  <w:r>
                    <w:rPr>
                      <w:rFonts w:hint="eastAsia" w:cs="Times New Roman"/>
                      <w:color w:val="000000"/>
                      <w:kern w:val="0"/>
                      <w:sz w:val="21"/>
                      <w:szCs w:val="21"/>
                      <w:highlight w:val="none"/>
                      <w:vertAlign w:val="baseline"/>
                      <w:lang w:val="en-US" w:eastAsia="zh-CN" w:bidi="ar"/>
                    </w:rPr>
                    <w:t>处理。</w:t>
                  </w:r>
                </w:p>
              </w:tc>
              <w:tc>
                <w:tcPr>
                  <w:tcW w:w="502" w:type="pct"/>
                  <w:tcBorders>
                    <w:tl2br w:val="nil"/>
                    <w:tr2bl w:val="nil"/>
                  </w:tcBorders>
                  <w:noWrap w:val="0"/>
                  <w:vAlign w:val="center"/>
                </w:tcPr>
                <w:p w14:paraId="39892F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依托</w:t>
                  </w:r>
                </w:p>
              </w:tc>
            </w:tr>
            <w:tr w14:paraId="1450F4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7DC723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000000"/>
                      <w:kern w:val="0"/>
                      <w:sz w:val="21"/>
                      <w:szCs w:val="21"/>
                      <w:highlight w:val="none"/>
                      <w:vertAlign w:val="baseline"/>
                      <w:lang w:val="en-US" w:eastAsia="zh-CN" w:bidi="ar"/>
                    </w:rPr>
                  </w:pPr>
                </w:p>
              </w:tc>
              <w:tc>
                <w:tcPr>
                  <w:tcW w:w="1003" w:type="pct"/>
                  <w:gridSpan w:val="2"/>
                  <w:tcBorders>
                    <w:tl2br w:val="nil"/>
                    <w:tr2bl w:val="nil"/>
                  </w:tcBorders>
                  <w:noWrap w:val="0"/>
                  <w:vAlign w:val="center"/>
                </w:tcPr>
                <w:p w14:paraId="6F71293C">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阜康市建筑垃圾填埋场</w:t>
                  </w:r>
                </w:p>
              </w:tc>
              <w:tc>
                <w:tcPr>
                  <w:tcW w:w="3214" w:type="pct"/>
                  <w:tcBorders>
                    <w:tl2br w:val="nil"/>
                    <w:tr2bl w:val="nil"/>
                  </w:tcBorders>
                  <w:noWrap w:val="0"/>
                  <w:vAlign w:val="center"/>
                </w:tcPr>
                <w:p w14:paraId="4F082EAF">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textAlignment w:val="auto"/>
                    <w:rPr>
                      <w:rFonts w:hint="default" w:cs="Times New Roman"/>
                      <w:color w:val="000000"/>
                      <w:kern w:val="0"/>
                      <w:sz w:val="21"/>
                      <w:szCs w:val="21"/>
                      <w:lang w:val="en-US" w:eastAsia="zh-CN" w:bidi="ar"/>
                    </w:rPr>
                  </w:pPr>
                  <w:r>
                    <w:rPr>
                      <w:rFonts w:hint="eastAsia" w:cs="Times New Roman"/>
                      <w:color w:val="000000"/>
                      <w:kern w:val="0"/>
                      <w:sz w:val="21"/>
                      <w:szCs w:val="21"/>
                      <w:lang w:val="en-US" w:eastAsia="zh-CN" w:bidi="ar"/>
                    </w:rPr>
                    <w:t>本项目施工期产生的建筑垃圾交由新疆阜康产业园固废综合处置静脉园（一期）处理。</w:t>
                  </w:r>
                </w:p>
              </w:tc>
              <w:tc>
                <w:tcPr>
                  <w:tcW w:w="502" w:type="pct"/>
                  <w:tcBorders>
                    <w:tl2br w:val="nil"/>
                    <w:tr2bl w:val="nil"/>
                  </w:tcBorders>
                  <w:noWrap w:val="0"/>
                  <w:vAlign w:val="center"/>
                </w:tcPr>
                <w:p w14:paraId="722BF2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依托</w:t>
                  </w:r>
                </w:p>
              </w:tc>
            </w:tr>
            <w:tr w14:paraId="088E78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9" w:type="pct"/>
                  <w:vMerge w:val="continue"/>
                  <w:tcBorders>
                    <w:tl2br w:val="nil"/>
                    <w:tr2bl w:val="nil"/>
                  </w:tcBorders>
                  <w:noWrap w:val="0"/>
                  <w:vAlign w:val="center"/>
                </w:tcPr>
                <w:p w14:paraId="2DA4F9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000000"/>
                      <w:kern w:val="0"/>
                      <w:sz w:val="21"/>
                      <w:szCs w:val="21"/>
                      <w:highlight w:val="none"/>
                      <w:vertAlign w:val="baseline"/>
                      <w:lang w:val="en-US" w:eastAsia="zh-CN" w:bidi="ar"/>
                    </w:rPr>
                  </w:pPr>
                </w:p>
              </w:tc>
              <w:tc>
                <w:tcPr>
                  <w:tcW w:w="1003" w:type="pct"/>
                  <w:gridSpan w:val="2"/>
                  <w:tcBorders>
                    <w:tl2br w:val="nil"/>
                    <w:tr2bl w:val="nil"/>
                  </w:tcBorders>
                  <w:noWrap w:val="0"/>
                  <w:vAlign w:val="center"/>
                </w:tcPr>
                <w:p w14:paraId="503AA039">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阜康市污水处理厂</w:t>
                  </w:r>
                </w:p>
              </w:tc>
              <w:tc>
                <w:tcPr>
                  <w:tcW w:w="3214" w:type="pct"/>
                  <w:tcBorders>
                    <w:tl2br w:val="nil"/>
                    <w:tr2bl w:val="nil"/>
                  </w:tcBorders>
                  <w:noWrap w:val="0"/>
                  <w:vAlign w:val="center"/>
                </w:tcPr>
                <w:p w14:paraId="35B1F7D8">
                  <w:pPr>
                    <w:keepNext w:val="0"/>
                    <w:keepLines w:val="0"/>
                    <w:pageBreakBefore w:val="0"/>
                    <w:widowControl/>
                    <w:suppressLineNumbers w:val="0"/>
                    <w:kinsoku/>
                    <w:wordWrap/>
                    <w:overflowPunct/>
                    <w:topLinePunct w:val="0"/>
                    <w:autoSpaceDE/>
                    <w:autoSpaceDN/>
                    <w:bidi w:val="0"/>
                    <w:snapToGrid w:val="0"/>
                    <w:spacing w:line="240" w:lineRule="auto"/>
                    <w:ind w:left="0" w:leftChars="0" w:firstLine="0" w:firstLineChars="0"/>
                    <w:jc w:val="center"/>
                    <w:textAlignment w:val="auto"/>
                    <w:rPr>
                      <w:rFonts w:hint="default" w:cs="Times New Roman"/>
                      <w:color w:val="000000"/>
                      <w:kern w:val="0"/>
                      <w:sz w:val="21"/>
                      <w:szCs w:val="21"/>
                      <w:lang w:val="en-US" w:eastAsia="zh-CN" w:bidi="ar"/>
                    </w:rPr>
                  </w:pPr>
                  <w:r>
                    <w:rPr>
                      <w:rFonts w:hint="eastAsia" w:cs="Times New Roman"/>
                      <w:color w:val="000000"/>
                      <w:kern w:val="0"/>
                      <w:sz w:val="21"/>
                      <w:szCs w:val="21"/>
                      <w:lang w:val="en-US" w:eastAsia="zh-CN" w:bidi="ar"/>
                    </w:rPr>
                    <w:t>本项目施工期和运营期产生的生活污水由吸污车拉运至阜康市城市生活污水处理厂处理。</w:t>
                  </w:r>
                </w:p>
              </w:tc>
              <w:tc>
                <w:tcPr>
                  <w:tcW w:w="502" w:type="pct"/>
                  <w:tcBorders>
                    <w:tl2br w:val="nil"/>
                    <w:tr2bl w:val="nil"/>
                  </w:tcBorders>
                  <w:noWrap w:val="0"/>
                  <w:vAlign w:val="center"/>
                </w:tcPr>
                <w:p w14:paraId="58B5B7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依托</w:t>
                  </w:r>
                </w:p>
              </w:tc>
            </w:tr>
          </w:tbl>
          <w:p w14:paraId="43BA77C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9"/>
              <w:rPr>
                <w:rFonts w:hint="default" w:ascii="Times New Roman" w:hAnsi="Times New Roman" w:eastAsia="宋体" w:cs="Times New Roman"/>
                <w:b/>
                <w:bCs/>
                <w:color w:val="000000"/>
                <w:kern w:val="0"/>
                <w:szCs w:val="21"/>
                <w:highlight w:val="none"/>
                <w:lang w:val="en-US" w:eastAsia="zh-CN"/>
              </w:rPr>
            </w:pPr>
            <w:r>
              <w:rPr>
                <w:rFonts w:hint="eastAsia" w:cs="Times New Roman"/>
                <w:b/>
                <w:bCs/>
                <w:color w:val="000000"/>
                <w:kern w:val="0"/>
                <w:szCs w:val="21"/>
                <w:highlight w:val="none"/>
                <w:lang w:val="en-US" w:eastAsia="zh-CN"/>
              </w:rPr>
              <w:t>3.</w:t>
            </w:r>
            <w:r>
              <w:rPr>
                <w:rFonts w:hint="default" w:ascii="Times New Roman" w:hAnsi="Times New Roman" w:eastAsia="宋体" w:cs="Times New Roman"/>
                <w:b/>
                <w:bCs/>
                <w:color w:val="000000"/>
                <w:kern w:val="0"/>
                <w:szCs w:val="21"/>
                <w:highlight w:val="none"/>
                <w:lang w:val="en-US" w:eastAsia="zh-CN"/>
              </w:rPr>
              <w:t>公用工程</w:t>
            </w:r>
          </w:p>
          <w:p w14:paraId="1E82308F">
            <w:pPr>
              <w:keepNext w:val="0"/>
              <w:keepLines w:val="0"/>
              <w:pageBreakBefore w:val="0"/>
              <w:widowControl w:val="0"/>
              <w:kinsoku/>
              <w:wordWrap/>
              <w:overflowPunct/>
              <w:topLinePunct w:val="0"/>
              <w:autoSpaceDE/>
              <w:autoSpaceDN/>
              <w:bidi w:val="0"/>
              <w:adjustRightInd w:val="0"/>
              <w:snapToGrid/>
              <w:spacing w:line="360" w:lineRule="auto"/>
              <w:ind w:left="0" w:leftChars="0" w:firstLine="482" w:firstLineChars="200"/>
              <w:textAlignment w:val="auto"/>
              <w:rPr>
                <w:rFonts w:hint="default" w:ascii="Times New Roman" w:hAnsi="Times New Roman" w:eastAsia="宋体" w:cs="Times New Roman"/>
                <w:b/>
                <w:bCs/>
                <w:color w:val="000000"/>
                <w:kern w:val="0"/>
                <w:szCs w:val="21"/>
                <w:highlight w:val="none"/>
                <w:lang w:val="en-US" w:eastAsia="zh-CN"/>
              </w:rPr>
            </w:pPr>
            <w:r>
              <w:rPr>
                <w:rFonts w:hint="default" w:ascii="Times New Roman" w:hAnsi="Times New Roman" w:eastAsia="宋体" w:cs="Times New Roman"/>
                <w:b/>
                <w:bCs/>
                <w:color w:val="000000"/>
                <w:kern w:val="0"/>
                <w:szCs w:val="21"/>
                <w:highlight w:val="none"/>
                <w:lang w:val="en-US" w:eastAsia="zh-CN"/>
              </w:rPr>
              <w:t xml:space="preserve">3.1供电 </w:t>
            </w:r>
          </w:p>
          <w:p w14:paraId="1E273098">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auto"/>
              <w:rPr>
                <w:rFonts w:hint="default" w:ascii="Times New Roman" w:hAnsi="Times New Roman" w:eastAsia="宋体" w:cs="Times New Roman"/>
                <w:color w:val="000000"/>
                <w:kern w:val="0"/>
                <w:szCs w:val="21"/>
                <w:highlight w:val="none"/>
                <w:lang w:val="en-US" w:eastAsia="zh-CN"/>
              </w:rPr>
            </w:pPr>
            <w:r>
              <w:rPr>
                <w:rFonts w:ascii="宋体" w:hAnsi="宋体" w:eastAsia="宋体" w:cs="宋体"/>
                <w:sz w:val="24"/>
                <w:szCs w:val="24"/>
              </w:rPr>
              <w:t>区域电网基础设施配套完善，网架结构稳定可靠，供电保障能力充足</w:t>
            </w:r>
            <w:r>
              <w:rPr>
                <w:rFonts w:hint="default" w:ascii="Times New Roman" w:hAnsi="Times New Roman" w:eastAsia="宋体" w:cs="Times New Roman"/>
                <w:color w:val="000000"/>
                <w:kern w:val="0"/>
                <w:szCs w:val="21"/>
                <w:highlight w:val="none"/>
                <w:lang w:val="en-US" w:eastAsia="zh-CN"/>
              </w:rPr>
              <w:t>。花儿沟村已建成完善的供电线路及250千伏变压器等配套设施</w:t>
            </w:r>
            <w:r>
              <w:rPr>
                <w:rFonts w:hint="eastAsia" w:cs="Times New Roman"/>
                <w:color w:val="000000"/>
                <w:kern w:val="0"/>
                <w:szCs w:val="21"/>
                <w:highlight w:val="none"/>
                <w:lang w:val="en-US" w:eastAsia="zh-CN"/>
              </w:rPr>
              <w:t>，</w:t>
            </w:r>
            <w:r>
              <w:rPr>
                <w:rFonts w:hint="default" w:ascii="Times New Roman" w:hAnsi="Times New Roman" w:eastAsia="宋体" w:cs="Times New Roman"/>
                <w:color w:val="000000"/>
                <w:kern w:val="0"/>
                <w:szCs w:val="21"/>
                <w:highlight w:val="none"/>
                <w:lang w:val="en-US" w:eastAsia="zh-CN"/>
              </w:rPr>
              <w:t>供电容量充裕、电压稳定。</w:t>
            </w:r>
          </w:p>
          <w:p w14:paraId="4B450500">
            <w:pPr>
              <w:keepNext w:val="0"/>
              <w:keepLines w:val="0"/>
              <w:pageBreakBefore w:val="0"/>
              <w:widowControl/>
              <w:suppressLineNumbers w:val="0"/>
              <w:kinsoku/>
              <w:wordWrap/>
              <w:overflowPunct/>
              <w:topLinePunct w:val="0"/>
              <w:autoSpaceDE/>
              <w:autoSpaceDN/>
              <w:bidi w:val="0"/>
              <w:adjustRightInd/>
              <w:snapToGrid w:val="0"/>
              <w:ind w:firstLine="482" w:firstLineChars="20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lang w:val="en-US" w:eastAsia="zh-CN" w:bidi="ar"/>
              </w:rPr>
              <w:t>3.2供水</w:t>
            </w:r>
          </w:p>
          <w:p w14:paraId="1684E763">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kern w:val="0"/>
                <w:sz w:val="24"/>
                <w:szCs w:val="24"/>
                <w:highlight w:val="none"/>
                <w:lang w:val="en-US" w:eastAsia="zh-CN" w:bidi="ar"/>
              </w:rPr>
              <w:t>本项目用水总量为</w:t>
            </w:r>
            <w:r>
              <w:rPr>
                <w:rFonts w:hint="eastAsia" w:ascii="Times New Roman" w:hAnsi="Times New Roman" w:eastAsia="宋体" w:cs="Times New Roman"/>
                <w:color w:val="000000"/>
                <w:kern w:val="0"/>
                <w:sz w:val="24"/>
                <w:szCs w:val="24"/>
                <w:highlight w:val="none"/>
                <w:lang w:val="en-US" w:eastAsia="zh-CN" w:bidi="ar"/>
              </w:rPr>
              <w:t>64.43</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/d（</w:t>
            </w:r>
            <w:r>
              <w:rPr>
                <w:rFonts w:hint="eastAsia" w:ascii="Times New Roman" w:hAnsi="Times New Roman" w:eastAsia="宋体" w:cs="Times New Roman"/>
                <w:color w:val="000000"/>
                <w:kern w:val="0"/>
                <w:sz w:val="24"/>
                <w:szCs w:val="24"/>
                <w:highlight w:val="none"/>
                <w:lang w:val="en-US" w:eastAsia="zh-CN" w:bidi="ar"/>
              </w:rPr>
              <w:t>23516.95</w:t>
            </w:r>
            <w:r>
              <w:rPr>
                <w:rFonts w:hint="default" w:ascii="Times New Roman" w:hAnsi="Times New Roman" w:eastAsia="宋体" w:cs="Times New Roman"/>
                <w:color w:val="000000"/>
                <w:kern w:val="0"/>
                <w:sz w:val="24"/>
                <w:szCs w:val="24"/>
                <w:highlight w:val="none"/>
                <w:lang w:val="en-US" w:eastAsia="zh-CN" w:bidi="ar"/>
              </w:rPr>
              <w:t>m³/a）</w:t>
            </w:r>
            <w:r>
              <w:rPr>
                <w:rFonts w:hint="default" w:ascii="Times New Roman" w:hAnsi="Times New Roman" w:eastAsia="宋体" w:cs="Times New Roman"/>
                <w:color w:val="000000"/>
                <w:kern w:val="0"/>
                <w:sz w:val="24"/>
                <w:szCs w:val="24"/>
                <w:lang w:val="en-US" w:eastAsia="zh-CN" w:bidi="ar"/>
              </w:rPr>
              <w:t xml:space="preserve">，主要为民宿客房用水、乡村会客厅综合体用水、室外绿化及道路浇洒用水量、管理及服务人员用水量等。 </w:t>
            </w:r>
          </w:p>
          <w:p w14:paraId="15A0E81F">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①民宿客房用水量：本项目共</w:t>
            </w:r>
            <w:r>
              <w:rPr>
                <w:rFonts w:hint="default" w:ascii="Times New Roman" w:hAnsi="Times New Roman" w:eastAsia="宋体" w:cs="Times New Roman"/>
                <w:color w:val="000000"/>
                <w:kern w:val="0"/>
                <w:sz w:val="24"/>
                <w:szCs w:val="24"/>
                <w:highlight w:val="none"/>
                <w:lang w:val="en-US" w:eastAsia="zh-CN" w:bidi="ar"/>
              </w:rPr>
              <w:t>新建</w:t>
            </w:r>
            <w:r>
              <w:rPr>
                <w:rFonts w:hint="eastAsia" w:ascii="Times New Roman" w:hAnsi="Times New Roman" w:eastAsia="宋体" w:cs="Times New Roman"/>
                <w:color w:val="000000"/>
                <w:kern w:val="0"/>
                <w:sz w:val="24"/>
                <w:szCs w:val="24"/>
                <w:highlight w:val="none"/>
                <w:lang w:val="en-US" w:eastAsia="zh-CN" w:bidi="ar"/>
              </w:rPr>
              <w:t>51</w:t>
            </w:r>
            <w:r>
              <w:rPr>
                <w:rFonts w:hint="default" w:ascii="Times New Roman" w:hAnsi="Times New Roman" w:eastAsia="宋体" w:cs="Times New Roman"/>
                <w:color w:val="000000"/>
                <w:kern w:val="0"/>
                <w:sz w:val="24"/>
                <w:szCs w:val="24"/>
                <w:highlight w:val="none"/>
                <w:lang w:val="en-US" w:eastAsia="zh-CN" w:bidi="ar"/>
              </w:rPr>
              <w:t>间精</w:t>
            </w:r>
            <w:r>
              <w:rPr>
                <w:rFonts w:hint="default" w:ascii="Times New Roman" w:hAnsi="Times New Roman" w:eastAsia="宋体" w:cs="Times New Roman"/>
                <w:color w:val="000000"/>
                <w:kern w:val="0"/>
                <w:sz w:val="24"/>
                <w:szCs w:val="24"/>
                <w:lang w:val="en-US" w:eastAsia="zh-CN" w:bidi="ar"/>
              </w:rPr>
              <w:t>品民宿，按每间客房2人计算，</w:t>
            </w:r>
            <w:r>
              <w:rPr>
                <w:rFonts w:hint="eastAsia" w:ascii="Times New Roman" w:hAnsi="Times New Roman" w:eastAsia="宋体" w:cs="Times New Roman"/>
                <w:color w:val="000000"/>
                <w:kern w:val="0"/>
                <w:sz w:val="24"/>
                <w:szCs w:val="24"/>
                <w:lang w:val="en-US" w:eastAsia="zh-CN" w:bidi="ar"/>
              </w:rPr>
              <w:t>按照《新疆维吾尔自治区生活用水定额》，</w:t>
            </w:r>
            <w:r>
              <w:rPr>
                <w:rFonts w:hint="default" w:ascii="Times New Roman" w:hAnsi="Times New Roman" w:eastAsia="宋体" w:cs="Times New Roman"/>
                <w:color w:val="000000"/>
                <w:kern w:val="0"/>
                <w:sz w:val="24"/>
                <w:szCs w:val="24"/>
                <w:lang w:val="en-US" w:eastAsia="zh-CN" w:bidi="ar"/>
              </w:rPr>
              <w:t>最高日用水定额取</w:t>
            </w:r>
            <w:r>
              <w:rPr>
                <w:rFonts w:hint="eastAsia" w:ascii="Times New Roman" w:hAnsi="Times New Roman" w:eastAsia="宋体" w:cs="Times New Roman"/>
                <w:color w:val="000000"/>
                <w:kern w:val="0"/>
                <w:sz w:val="24"/>
                <w:szCs w:val="24"/>
                <w:lang w:val="en-US" w:eastAsia="zh-CN" w:bidi="ar"/>
              </w:rPr>
              <w:t>400</w:t>
            </w:r>
            <w:r>
              <w:rPr>
                <w:rFonts w:hint="default" w:ascii="Times New Roman" w:hAnsi="Times New Roman" w:eastAsia="宋体" w:cs="Times New Roman"/>
                <w:color w:val="000000"/>
                <w:kern w:val="0"/>
                <w:sz w:val="24"/>
                <w:szCs w:val="24"/>
                <w:lang w:val="en-US" w:eastAsia="zh-CN" w:bidi="ar"/>
              </w:rPr>
              <w:t>L/（床</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d），则最高日用水量为</w:t>
            </w:r>
            <w:r>
              <w:rPr>
                <w:rFonts w:hint="eastAsia" w:ascii="Times New Roman" w:hAnsi="Times New Roman" w:eastAsia="宋体" w:cs="Times New Roman"/>
                <w:color w:val="000000"/>
                <w:kern w:val="0"/>
                <w:sz w:val="24"/>
                <w:szCs w:val="24"/>
                <w:lang w:val="en-US" w:eastAsia="zh-CN" w:bidi="ar"/>
              </w:rPr>
              <w:t>40.80</w:t>
            </w:r>
            <w:r>
              <w:rPr>
                <w:rFonts w:hint="default" w:ascii="Times New Roman" w:hAnsi="Times New Roman" w:eastAsia="宋体" w:cs="Times New Roman"/>
                <w:color w:val="000000"/>
                <w:kern w:val="0"/>
                <w:sz w:val="24"/>
                <w:szCs w:val="24"/>
                <w:lang w:val="en-US" w:eastAsia="zh-CN" w:bidi="ar"/>
              </w:rPr>
              <w:t>m³/d（</w:t>
            </w:r>
            <w:r>
              <w:rPr>
                <w:rFonts w:hint="eastAsia" w:ascii="Times New Roman" w:hAnsi="Times New Roman" w:eastAsia="宋体" w:cs="Times New Roman"/>
                <w:color w:val="000000"/>
                <w:kern w:val="0"/>
                <w:sz w:val="24"/>
                <w:szCs w:val="24"/>
                <w:lang w:val="en-US" w:eastAsia="zh-CN" w:bidi="ar"/>
              </w:rPr>
              <w:t>14892</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/a）。</w:t>
            </w:r>
          </w:p>
          <w:p w14:paraId="330FAEB3">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②乡村会客厅综合体用水量：包括会客厅（780m</w:t>
            </w:r>
            <w:r>
              <w:rPr>
                <w:rFonts w:hint="default" w:ascii="Times New Roman" w:hAnsi="Times New Roman" w:eastAsia="宋体" w:cs="Times New Roman"/>
                <w:color w:val="000000"/>
                <w:kern w:val="0"/>
                <w:sz w:val="24"/>
                <w:szCs w:val="24"/>
                <w:vertAlign w:val="superscript"/>
                <w:lang w:val="en-US" w:eastAsia="zh-CN" w:bidi="ar"/>
              </w:rPr>
              <w:t>2</w:t>
            </w:r>
            <w:r>
              <w:rPr>
                <w:rFonts w:hint="default" w:ascii="Times New Roman" w:hAnsi="Times New Roman" w:eastAsia="宋体" w:cs="Times New Roman"/>
                <w:color w:val="000000"/>
                <w:kern w:val="0"/>
                <w:sz w:val="24"/>
                <w:szCs w:val="24"/>
                <w:lang w:val="en-US" w:eastAsia="zh-CN" w:bidi="ar"/>
              </w:rPr>
              <w:t>）、大食堂（275m</w:t>
            </w:r>
            <w:r>
              <w:rPr>
                <w:rFonts w:hint="default" w:ascii="Times New Roman" w:hAnsi="Times New Roman" w:eastAsia="宋体" w:cs="Times New Roman"/>
                <w:color w:val="000000"/>
                <w:kern w:val="0"/>
                <w:sz w:val="24"/>
                <w:szCs w:val="24"/>
                <w:vertAlign w:val="superscript"/>
                <w:lang w:val="en-US" w:eastAsia="zh-CN" w:bidi="ar"/>
              </w:rPr>
              <w:t>2</w:t>
            </w:r>
            <w:r>
              <w:rPr>
                <w:rFonts w:hint="default" w:ascii="Times New Roman" w:hAnsi="Times New Roman" w:eastAsia="宋体" w:cs="Times New Roman"/>
                <w:color w:val="000000"/>
                <w:kern w:val="0"/>
                <w:sz w:val="24"/>
                <w:szCs w:val="24"/>
                <w:lang w:val="en-US" w:eastAsia="zh-CN" w:bidi="ar"/>
              </w:rPr>
              <w:t>）、研学区、多功能厅等。会客厅按游客人数估算，</w:t>
            </w:r>
            <w:r>
              <w:rPr>
                <w:rFonts w:hint="eastAsia" w:ascii="Times New Roman" w:hAnsi="Times New Roman" w:eastAsia="宋体" w:cs="Times New Roman"/>
                <w:color w:val="000000"/>
                <w:kern w:val="0"/>
                <w:sz w:val="24"/>
                <w:szCs w:val="24"/>
                <w:lang w:val="en-US" w:eastAsia="zh-CN" w:bidi="ar"/>
              </w:rPr>
              <w:t>按照《新疆维吾尔自治区生活用水定额》，</w:t>
            </w:r>
            <w:r>
              <w:rPr>
                <w:rFonts w:hint="default" w:ascii="Times New Roman" w:hAnsi="Times New Roman" w:eastAsia="宋体" w:cs="Times New Roman"/>
                <w:color w:val="000000"/>
                <w:kern w:val="0"/>
                <w:sz w:val="24"/>
                <w:szCs w:val="24"/>
                <w:lang w:val="en-US" w:eastAsia="zh-CN" w:bidi="ar"/>
              </w:rPr>
              <w:t>最高日用水定额取</w:t>
            </w:r>
            <w:r>
              <w:rPr>
                <w:rFonts w:hint="eastAsia" w:ascii="Times New Roman" w:hAnsi="Times New Roman" w:eastAsia="宋体" w:cs="Times New Roman"/>
                <w:color w:val="000000"/>
                <w:kern w:val="0"/>
                <w:sz w:val="24"/>
                <w:szCs w:val="24"/>
                <w:lang w:val="en-US" w:eastAsia="zh-CN" w:bidi="ar"/>
              </w:rPr>
              <w:t>35</w:t>
            </w:r>
            <w:r>
              <w:rPr>
                <w:rFonts w:hint="default" w:ascii="Times New Roman" w:hAnsi="Times New Roman" w:eastAsia="宋体" w:cs="Times New Roman"/>
                <w:color w:val="000000"/>
                <w:kern w:val="0"/>
                <w:sz w:val="24"/>
                <w:szCs w:val="24"/>
                <w:lang w:val="en-US" w:eastAsia="zh-CN" w:bidi="ar"/>
              </w:rPr>
              <w:t>L/（人</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d），按</w:t>
            </w:r>
            <w:r>
              <w:rPr>
                <w:rFonts w:hint="eastAsia" w:cs="Times New Roman"/>
                <w:color w:val="000000"/>
                <w:kern w:val="0"/>
                <w:sz w:val="24"/>
                <w:szCs w:val="24"/>
                <w:lang w:val="en-US" w:eastAsia="zh-CN" w:bidi="ar"/>
              </w:rPr>
              <w:t>最大</w:t>
            </w:r>
            <w:r>
              <w:rPr>
                <w:rFonts w:hint="default" w:ascii="Times New Roman" w:hAnsi="Times New Roman" w:eastAsia="宋体" w:cs="Times New Roman"/>
                <w:color w:val="000000"/>
                <w:kern w:val="0"/>
                <w:sz w:val="24"/>
                <w:szCs w:val="24"/>
                <w:lang w:val="en-US" w:eastAsia="zh-CN" w:bidi="ar"/>
              </w:rPr>
              <w:t>接待200人计算，则最高日用水量为</w:t>
            </w:r>
            <w:r>
              <w:rPr>
                <w:rFonts w:hint="eastAsia" w:ascii="Times New Roman" w:hAnsi="Times New Roman" w:eastAsia="宋体" w:cs="Times New Roman"/>
                <w:color w:val="000000"/>
                <w:kern w:val="0"/>
                <w:sz w:val="24"/>
                <w:szCs w:val="24"/>
                <w:lang w:val="en-US" w:eastAsia="zh-CN" w:bidi="ar"/>
              </w:rPr>
              <w:t>7.00</w:t>
            </w:r>
            <w:r>
              <w:rPr>
                <w:rFonts w:hint="default" w:ascii="Times New Roman" w:hAnsi="Times New Roman" w:eastAsia="宋体" w:cs="Times New Roman"/>
                <w:color w:val="000000"/>
                <w:kern w:val="0"/>
                <w:sz w:val="24"/>
                <w:szCs w:val="24"/>
                <w:lang w:val="en-US" w:eastAsia="zh-CN" w:bidi="ar"/>
              </w:rPr>
              <w:t>m³/d（</w:t>
            </w:r>
            <w:r>
              <w:rPr>
                <w:rFonts w:hint="eastAsia" w:ascii="Times New Roman" w:hAnsi="Times New Roman" w:eastAsia="宋体" w:cs="Times New Roman"/>
                <w:color w:val="000000"/>
                <w:kern w:val="0"/>
                <w:sz w:val="24"/>
                <w:szCs w:val="24"/>
                <w:lang w:val="en-US" w:eastAsia="zh-CN" w:bidi="ar"/>
              </w:rPr>
              <w:t>2555</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/a）。大食堂</w:t>
            </w:r>
            <w:r>
              <w:rPr>
                <w:rFonts w:hint="eastAsia" w:cs="Times New Roman"/>
                <w:color w:val="000000"/>
                <w:kern w:val="0"/>
                <w:sz w:val="24"/>
                <w:szCs w:val="24"/>
                <w:lang w:val="en-US" w:eastAsia="zh-CN" w:bidi="ar"/>
              </w:rPr>
              <w:t>可最大容纳</w:t>
            </w:r>
            <w:r>
              <w:rPr>
                <w:rFonts w:hint="default" w:ascii="Times New Roman" w:hAnsi="Times New Roman" w:eastAsia="宋体" w:cs="Times New Roman"/>
                <w:color w:val="000000"/>
                <w:kern w:val="0"/>
                <w:sz w:val="24"/>
                <w:szCs w:val="24"/>
                <w:lang w:val="en-US" w:eastAsia="zh-CN" w:bidi="ar"/>
              </w:rPr>
              <w:t>56人同时进餐，</w:t>
            </w:r>
            <w:r>
              <w:rPr>
                <w:rFonts w:hint="eastAsia" w:ascii="Times New Roman" w:hAnsi="Times New Roman" w:eastAsia="宋体" w:cs="Times New Roman"/>
                <w:color w:val="000000"/>
                <w:kern w:val="0"/>
                <w:sz w:val="24"/>
                <w:szCs w:val="24"/>
                <w:lang w:val="en-US" w:eastAsia="zh-CN" w:bidi="ar"/>
              </w:rPr>
              <w:t>按照《新疆维吾尔自治区生活用水定额》</w:t>
            </w:r>
            <w:r>
              <w:rPr>
                <w:rFonts w:hint="eastAsia" w:cs="Times New Roman"/>
                <w:color w:val="000000"/>
                <w:kern w:val="0"/>
                <w:sz w:val="24"/>
                <w:szCs w:val="24"/>
                <w:lang w:val="en-US" w:eastAsia="zh-CN" w:bidi="ar"/>
              </w:rPr>
              <w:t>中671正餐的6710新疆风味餐饮</w:t>
            </w:r>
            <w:r>
              <w:rPr>
                <w:rFonts w:hint="eastAsia" w:ascii="Times New Roman" w:hAnsi="Times New Roman" w:eastAsia="宋体" w:cs="Times New Roman"/>
                <w:color w:val="000000"/>
                <w:kern w:val="0"/>
                <w:sz w:val="24"/>
                <w:szCs w:val="24"/>
                <w:lang w:val="en-US" w:eastAsia="zh-CN" w:bidi="ar"/>
              </w:rPr>
              <w:t>40</w:t>
            </w:r>
            <w:r>
              <w:rPr>
                <w:rFonts w:hint="default" w:ascii="Times New Roman" w:hAnsi="Times New Roman" w:eastAsia="宋体" w:cs="Times New Roman"/>
                <w:color w:val="000000"/>
                <w:kern w:val="0"/>
                <w:sz w:val="24"/>
                <w:szCs w:val="24"/>
                <w:lang w:val="en-US" w:eastAsia="zh-CN" w:bidi="ar"/>
              </w:rPr>
              <w:t>L/（人</w:t>
            </w:r>
            <w:r>
              <w:rPr>
                <w:rFonts w:hint="eastAsia"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餐</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核算</w:t>
            </w:r>
            <w:r>
              <w:rPr>
                <w:rFonts w:hint="default" w:ascii="Times New Roman" w:hAnsi="Times New Roman" w:eastAsia="宋体" w:cs="Times New Roman"/>
                <w:color w:val="000000"/>
                <w:kern w:val="0"/>
                <w:sz w:val="24"/>
                <w:szCs w:val="24"/>
                <w:lang w:val="en-US" w:eastAsia="zh-CN" w:bidi="ar"/>
              </w:rPr>
              <w:t>，按每日3餐计算，则最高日用水量为</w:t>
            </w:r>
            <w:r>
              <w:rPr>
                <w:rFonts w:hint="eastAsia" w:ascii="Times New Roman" w:hAnsi="Times New Roman" w:eastAsia="宋体" w:cs="Times New Roman"/>
                <w:color w:val="000000"/>
                <w:kern w:val="0"/>
                <w:sz w:val="24"/>
                <w:szCs w:val="24"/>
                <w:lang w:val="en-US" w:eastAsia="zh-CN" w:bidi="ar"/>
              </w:rPr>
              <w:t>6.72</w:t>
            </w:r>
            <w:r>
              <w:rPr>
                <w:rFonts w:hint="default" w:ascii="Times New Roman" w:hAnsi="Times New Roman" w:eastAsia="宋体" w:cs="Times New Roman"/>
                <w:color w:val="000000"/>
                <w:kern w:val="0"/>
                <w:sz w:val="24"/>
                <w:szCs w:val="24"/>
                <w:lang w:val="en-US" w:eastAsia="zh-CN" w:bidi="ar"/>
              </w:rPr>
              <w:t>m³/d（</w:t>
            </w:r>
            <w:r>
              <w:rPr>
                <w:rFonts w:hint="eastAsia" w:ascii="Times New Roman" w:hAnsi="Times New Roman" w:eastAsia="宋体" w:cs="Times New Roman"/>
                <w:color w:val="000000"/>
                <w:kern w:val="0"/>
                <w:sz w:val="24"/>
                <w:szCs w:val="24"/>
                <w:lang w:val="en-US" w:eastAsia="zh-CN" w:bidi="ar"/>
              </w:rPr>
              <w:t>2452.80</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/a）。</w:t>
            </w:r>
          </w:p>
          <w:p w14:paraId="5ED5CC6D">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③室外绿化及道路浇洒用水量：</w:t>
            </w:r>
            <w:r>
              <w:rPr>
                <w:rFonts w:hint="eastAsia" w:ascii="Times New Roman" w:hAnsi="Times New Roman" w:eastAsia="宋体" w:cs="Times New Roman"/>
                <w:color w:val="000000"/>
                <w:kern w:val="0"/>
                <w:sz w:val="24"/>
                <w:szCs w:val="24"/>
                <w:lang w:val="en-US" w:eastAsia="zh-CN" w:bidi="ar"/>
              </w:rPr>
              <w:t>根据建设单位提供</w:t>
            </w:r>
            <w:r>
              <w:rPr>
                <w:rFonts w:hint="eastAsia" w:cs="Times New Roman"/>
                <w:color w:val="000000"/>
                <w:kern w:val="0"/>
                <w:sz w:val="24"/>
                <w:szCs w:val="24"/>
                <w:lang w:val="en-US" w:eastAsia="zh-CN" w:bidi="ar"/>
              </w:rPr>
              <w:t>的资料，</w:t>
            </w:r>
            <w:r>
              <w:rPr>
                <w:rFonts w:hint="eastAsia" w:ascii="Times New Roman" w:hAnsi="Times New Roman" w:eastAsia="宋体" w:cs="Times New Roman"/>
                <w:color w:val="000000"/>
                <w:kern w:val="0"/>
                <w:sz w:val="24"/>
                <w:szCs w:val="24"/>
                <w:lang w:val="en-US" w:eastAsia="zh-CN" w:bidi="ar"/>
              </w:rPr>
              <w:t>绿化面积</w:t>
            </w:r>
            <w:r>
              <w:rPr>
                <w:rFonts w:hint="default" w:ascii="Times New Roman" w:hAnsi="Times New Roman" w:eastAsia="宋体" w:cs="Times New Roman"/>
                <w:color w:val="000000"/>
                <w:kern w:val="0"/>
                <w:sz w:val="24"/>
                <w:szCs w:val="24"/>
                <w:lang w:val="en-US" w:eastAsia="zh-CN" w:bidi="ar"/>
              </w:rPr>
              <w:t>约</w:t>
            </w: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000m</w:t>
            </w:r>
            <w:r>
              <w:rPr>
                <w:rFonts w:hint="default" w:ascii="Times New Roman" w:hAnsi="Times New Roman" w:eastAsia="宋体" w:cs="Times New Roman"/>
                <w:color w:val="000000"/>
                <w:kern w:val="0"/>
                <w:sz w:val="24"/>
                <w:szCs w:val="24"/>
                <w:vertAlign w:val="superscript"/>
                <w:lang w:val="en-US" w:eastAsia="zh-CN" w:bidi="ar"/>
              </w:rPr>
              <w:t>2</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1.5亩，按照《新疆维吾尔自治区生活用水定额》</w:t>
            </w:r>
            <w:r>
              <w:rPr>
                <w:rFonts w:hint="eastAsia" w:cs="Times New Roman"/>
                <w:color w:val="000000"/>
                <w:kern w:val="0"/>
                <w:sz w:val="24"/>
                <w:szCs w:val="24"/>
                <w:lang w:val="en-US" w:eastAsia="zh-CN" w:bidi="ar"/>
              </w:rPr>
              <w:t>（北疆天山北坡区）</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最高</w:t>
            </w:r>
            <w:r>
              <w:rPr>
                <w:rFonts w:hint="eastAsia" w:cs="Times New Roman"/>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用水定额取</w:t>
            </w:r>
            <w:r>
              <w:rPr>
                <w:rFonts w:hint="eastAsia" w:ascii="Times New Roman" w:hAnsi="Times New Roman" w:eastAsia="宋体" w:cs="Times New Roman"/>
                <w:color w:val="000000"/>
                <w:kern w:val="0"/>
                <w:sz w:val="24"/>
                <w:szCs w:val="24"/>
                <w:lang w:val="en-US" w:eastAsia="zh-CN" w:bidi="ar"/>
              </w:rPr>
              <w:t>500</w:t>
            </w:r>
            <w:r>
              <w:rPr>
                <w:rFonts w:hint="default" w:ascii="Times New Roman" w:hAnsi="Times New Roman" w:eastAsia="宋体" w:cs="Times New Roman"/>
                <w:color w:val="000000"/>
                <w:kern w:val="0"/>
                <w:sz w:val="24"/>
                <w:szCs w:val="24"/>
                <w:lang w:val="en-US" w:eastAsia="zh-CN" w:bidi="ar"/>
              </w:rPr>
              <w:t>m³/（</w:t>
            </w:r>
            <w:r>
              <w:rPr>
                <w:rFonts w:hint="eastAsia" w:ascii="Times New Roman" w:hAnsi="Times New Roman" w:eastAsia="宋体" w:cs="Times New Roman"/>
                <w:color w:val="000000"/>
                <w:kern w:val="0"/>
                <w:sz w:val="24"/>
                <w:szCs w:val="24"/>
                <w:lang w:val="en-US" w:eastAsia="zh-CN" w:bidi="ar"/>
              </w:rPr>
              <w:t>亩</w:t>
            </w:r>
            <w:r>
              <w:rPr>
                <w:rFonts w:hint="eastAsia"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），则最高日用水量为</w:t>
            </w:r>
            <w:r>
              <w:rPr>
                <w:rFonts w:hint="eastAsia" w:ascii="Times New Roman" w:hAnsi="Times New Roman" w:eastAsia="宋体" w:cs="Times New Roman"/>
                <w:color w:val="000000"/>
                <w:kern w:val="0"/>
                <w:sz w:val="24"/>
                <w:szCs w:val="24"/>
                <w:lang w:val="en-US" w:eastAsia="zh-CN" w:bidi="ar"/>
              </w:rPr>
              <w:t>750</w:t>
            </w:r>
            <w:r>
              <w:rPr>
                <w:rFonts w:hint="default" w:ascii="Times New Roman" w:hAnsi="Times New Roman" w:eastAsia="宋体" w:cs="Times New Roman"/>
                <w:color w:val="000000"/>
                <w:kern w:val="0"/>
                <w:sz w:val="24"/>
                <w:szCs w:val="24"/>
                <w:lang w:val="en-US" w:eastAsia="zh-CN" w:bidi="ar"/>
              </w:rPr>
              <w:t>m³/a。</w:t>
            </w:r>
          </w:p>
          <w:p w14:paraId="7E25BE37">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④管理及服务人员用水量：本项目管理及服务人员为</w:t>
            </w:r>
            <w:r>
              <w:rPr>
                <w:rFonts w:hint="eastAsia" w:ascii="Times New Roman" w:hAnsi="Times New Roman" w:eastAsia="宋体" w:cs="Times New Roman"/>
                <w:color w:val="000000"/>
                <w:kern w:val="0"/>
                <w:sz w:val="24"/>
                <w:szCs w:val="24"/>
                <w:highlight w:val="none"/>
                <w:lang w:val="en-US" w:eastAsia="zh-CN" w:bidi="ar"/>
              </w:rPr>
              <w:t>20</w:t>
            </w:r>
            <w:r>
              <w:rPr>
                <w:rFonts w:hint="eastAsia" w:ascii="Times New Roman" w:hAnsi="Times New Roman" w:eastAsia="宋体" w:cs="Times New Roman"/>
                <w:color w:val="000000"/>
                <w:kern w:val="0"/>
                <w:sz w:val="24"/>
                <w:szCs w:val="24"/>
                <w:lang w:val="en-US" w:eastAsia="zh-CN" w:bidi="ar"/>
              </w:rPr>
              <w:t>人，</w:t>
            </w:r>
            <w:r>
              <w:rPr>
                <w:rFonts w:hint="default" w:ascii="Times New Roman" w:hAnsi="Times New Roman" w:eastAsia="宋体" w:cs="Times New Roman"/>
                <w:color w:val="000000"/>
                <w:kern w:val="0"/>
                <w:sz w:val="24"/>
                <w:szCs w:val="24"/>
                <w:lang w:val="en-US" w:eastAsia="zh-CN" w:bidi="ar"/>
              </w:rPr>
              <w:t>最高日用水定额取100L/（人</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d），则最高日用水量为</w:t>
            </w: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highlight w:val="none"/>
                <w:lang w:val="en-US" w:eastAsia="zh-CN" w:bidi="ar"/>
              </w:rPr>
              <w:t>m³/</w:t>
            </w:r>
            <w:r>
              <w:rPr>
                <w:rFonts w:hint="eastAsia" w:ascii="Times New Roman" w:hAnsi="Times New Roman" w:eastAsia="宋体" w:cs="Times New Roman"/>
                <w:color w:val="000000"/>
                <w:kern w:val="0"/>
                <w:sz w:val="24"/>
                <w:szCs w:val="24"/>
                <w:highlight w:val="none"/>
                <w:lang w:val="en-US" w:eastAsia="zh-CN" w:bidi="ar"/>
              </w:rPr>
              <w:t>d（730</w:t>
            </w:r>
            <w:r>
              <w:rPr>
                <w:rFonts w:hint="default" w:ascii="Times New Roman" w:hAnsi="Times New Roman" w:eastAsia="宋体" w:cs="Times New Roman"/>
                <w:color w:val="000000"/>
                <w:kern w:val="0"/>
                <w:sz w:val="24"/>
                <w:szCs w:val="24"/>
                <w:highlight w:val="none"/>
                <w:lang w:val="en-US" w:eastAsia="zh-CN" w:bidi="ar"/>
              </w:rPr>
              <w:t>m³/</w:t>
            </w:r>
            <w:r>
              <w:rPr>
                <w:rFonts w:hint="eastAsia" w:ascii="Times New Roman" w:hAnsi="Times New Roman" w:eastAsia="宋体" w:cs="Times New Roman"/>
                <w:color w:val="000000"/>
                <w:kern w:val="0"/>
                <w:sz w:val="24"/>
                <w:szCs w:val="24"/>
                <w:highlight w:val="none"/>
                <w:lang w:val="en-US" w:eastAsia="zh-CN" w:bidi="ar"/>
              </w:rPr>
              <w:t>a）</w:t>
            </w:r>
            <w:r>
              <w:rPr>
                <w:rFonts w:hint="default" w:ascii="Times New Roman" w:hAnsi="Times New Roman" w:eastAsia="宋体" w:cs="Times New Roman"/>
                <w:color w:val="000000"/>
                <w:kern w:val="0"/>
                <w:sz w:val="24"/>
                <w:szCs w:val="24"/>
                <w:lang w:val="en-US" w:eastAsia="zh-CN" w:bidi="ar"/>
              </w:rPr>
              <w:t>。</w:t>
            </w:r>
          </w:p>
          <w:p w14:paraId="0C25544F">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⑤不可预见用水量：上述用水量的10%，为</w:t>
            </w:r>
            <w:r>
              <w:rPr>
                <w:rFonts w:hint="eastAsia" w:ascii="Times New Roman" w:hAnsi="Times New Roman" w:eastAsia="宋体" w:cs="Times New Roman"/>
                <w:color w:val="000000"/>
                <w:kern w:val="0"/>
                <w:sz w:val="24"/>
                <w:szCs w:val="24"/>
                <w:highlight w:val="none"/>
                <w:lang w:val="en-US" w:eastAsia="zh-CN" w:bidi="ar"/>
              </w:rPr>
              <w:t>5.86</w:t>
            </w:r>
            <w:r>
              <w:rPr>
                <w:rFonts w:hint="default" w:ascii="Times New Roman" w:hAnsi="Times New Roman" w:eastAsia="宋体" w:cs="Times New Roman"/>
                <w:color w:val="000000"/>
                <w:kern w:val="0"/>
                <w:sz w:val="24"/>
                <w:szCs w:val="24"/>
                <w:lang w:val="en-US" w:eastAsia="zh-CN" w:bidi="ar"/>
              </w:rPr>
              <w:t>m³/d</w:t>
            </w:r>
            <w:r>
              <w:rPr>
                <w:rFonts w:hint="eastAsia" w:ascii="Times New Roman" w:hAnsi="Times New Roman" w:eastAsia="宋体" w:cs="Times New Roman"/>
                <w:color w:val="000000"/>
                <w:kern w:val="0"/>
                <w:sz w:val="24"/>
                <w:szCs w:val="24"/>
                <w:lang w:val="en-US" w:eastAsia="zh-CN" w:bidi="ar"/>
              </w:rPr>
              <w:t>（2138.9</w:t>
            </w:r>
            <w:r>
              <w:rPr>
                <w:rFonts w:hint="default" w:ascii="Times New Roman" w:hAnsi="Times New Roman" w:eastAsia="宋体" w:cs="Times New Roman"/>
                <w:color w:val="000000"/>
                <w:kern w:val="0"/>
                <w:sz w:val="24"/>
                <w:szCs w:val="24"/>
                <w:highlight w:val="none"/>
                <w:lang w:val="en-US" w:eastAsia="zh-CN" w:bidi="ar"/>
              </w:rPr>
              <w:t>m³/</w:t>
            </w:r>
            <w:r>
              <w:rPr>
                <w:rFonts w:hint="eastAsia" w:ascii="Times New Roman" w:hAnsi="Times New Roman" w:eastAsia="宋体" w:cs="Times New Roman"/>
                <w:color w:val="000000"/>
                <w:kern w:val="0"/>
                <w:sz w:val="24"/>
                <w:szCs w:val="24"/>
                <w:highlight w:val="none"/>
                <w:lang w:val="en-US" w:eastAsia="zh-CN" w:bidi="ar"/>
              </w:rPr>
              <w:t>a</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w:t>
            </w:r>
          </w:p>
          <w:p w14:paraId="19E0E4A5">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综上，本项目最高日总用水量为</w:t>
            </w:r>
            <w:r>
              <w:rPr>
                <w:rFonts w:hint="eastAsia" w:ascii="Times New Roman" w:hAnsi="Times New Roman" w:eastAsia="宋体" w:cs="Times New Roman"/>
                <w:color w:val="000000"/>
                <w:kern w:val="0"/>
                <w:sz w:val="24"/>
                <w:szCs w:val="24"/>
                <w:lang w:val="en-US" w:eastAsia="zh-CN" w:bidi="ar"/>
              </w:rPr>
              <w:t>64.43</w:t>
            </w:r>
            <w:r>
              <w:rPr>
                <w:rFonts w:hint="default" w:ascii="Times New Roman" w:hAnsi="Times New Roman" w:eastAsia="宋体" w:cs="Times New Roman"/>
                <w:color w:val="000000"/>
                <w:kern w:val="0"/>
                <w:sz w:val="24"/>
                <w:szCs w:val="24"/>
                <w:lang w:val="en-US" w:eastAsia="zh-CN" w:bidi="ar"/>
              </w:rPr>
              <w:t>m³/d</w:t>
            </w:r>
            <w:r>
              <w:rPr>
                <w:rFonts w:hint="default" w:ascii="Times New Roman" w:hAnsi="Times New Roman" w:eastAsia="宋体" w:cs="Times New Roman"/>
                <w:color w:val="000000"/>
                <w:kern w:val="0"/>
                <w:sz w:val="24"/>
                <w:szCs w:val="24"/>
                <w:highlight w:val="none"/>
                <w:lang w:val="en-US" w:eastAsia="zh-CN" w:bidi="ar"/>
              </w:rPr>
              <w:t>（</w:t>
            </w:r>
            <w:r>
              <w:rPr>
                <w:rFonts w:hint="eastAsia" w:ascii="Times New Roman" w:hAnsi="Times New Roman" w:eastAsia="宋体" w:cs="Times New Roman"/>
                <w:color w:val="000000"/>
                <w:kern w:val="0"/>
                <w:sz w:val="24"/>
                <w:szCs w:val="24"/>
                <w:highlight w:val="none"/>
                <w:lang w:val="en-US" w:eastAsia="zh-CN" w:bidi="ar"/>
              </w:rPr>
              <w:t>2351</w:t>
            </w:r>
            <w:r>
              <w:rPr>
                <w:rFonts w:hint="eastAsia" w:cs="Times New Roman"/>
                <w:color w:val="000000"/>
                <w:kern w:val="0"/>
                <w:sz w:val="24"/>
                <w:szCs w:val="24"/>
                <w:highlight w:val="none"/>
                <w:lang w:val="en-US" w:eastAsia="zh-CN" w:bidi="ar"/>
              </w:rPr>
              <w:t>8.7</w:t>
            </w:r>
            <w:r>
              <w:rPr>
                <w:rFonts w:hint="default" w:ascii="Times New Roman" w:hAnsi="Times New Roman" w:eastAsia="宋体" w:cs="Times New Roman"/>
                <w:color w:val="000000"/>
                <w:kern w:val="0"/>
                <w:sz w:val="24"/>
                <w:szCs w:val="24"/>
                <w:highlight w:val="none"/>
                <w:lang w:val="en-US" w:eastAsia="zh-CN" w:bidi="ar"/>
              </w:rPr>
              <w:t>m³/a）。</w:t>
            </w:r>
          </w:p>
          <w:p w14:paraId="263A005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000000"/>
                <w:kern w:val="0"/>
                <w:szCs w:val="21"/>
                <w:highlight w:val="none"/>
                <w:lang w:val="en-US" w:eastAsia="zh-CN"/>
              </w:rPr>
            </w:pPr>
            <w:r>
              <w:rPr>
                <w:rFonts w:hint="default" w:ascii="Times New Roman" w:hAnsi="Times New Roman" w:eastAsia="宋体" w:cs="Times New Roman"/>
                <w:color w:val="000000"/>
                <w:kern w:val="0"/>
                <w:szCs w:val="21"/>
                <w:highlight w:val="none"/>
                <w:lang w:val="en-US" w:eastAsia="zh-CN"/>
              </w:rPr>
              <w:t xml:space="preserve">3.3排水 </w:t>
            </w:r>
          </w:p>
          <w:p w14:paraId="0CE8A16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000000"/>
                <w:kern w:val="0"/>
                <w:szCs w:val="21"/>
                <w:highlight w:val="none"/>
                <w:lang w:val="en-US" w:eastAsia="zh-CN"/>
              </w:rPr>
            </w:pPr>
            <w:r>
              <w:rPr>
                <w:rFonts w:hint="default" w:ascii="Times New Roman" w:hAnsi="Times New Roman" w:eastAsia="宋体" w:cs="Times New Roman"/>
                <w:color w:val="000000"/>
                <w:kern w:val="0"/>
                <w:szCs w:val="21"/>
                <w:highlight w:val="none"/>
                <w:lang w:val="en-US" w:eastAsia="zh-CN"/>
              </w:rPr>
              <w:t>①</w:t>
            </w:r>
            <w:r>
              <w:rPr>
                <w:rFonts w:hint="default" w:ascii="Times New Roman" w:hAnsi="Times New Roman" w:eastAsia="宋体" w:cs="Times New Roman"/>
                <w:color w:val="000000"/>
                <w:kern w:val="0"/>
                <w:sz w:val="24"/>
                <w:szCs w:val="24"/>
                <w:lang w:val="en-US" w:eastAsia="zh-CN" w:bidi="ar"/>
              </w:rPr>
              <w:t>民宿客房</w:t>
            </w:r>
            <w:r>
              <w:rPr>
                <w:rFonts w:hint="default" w:ascii="Times New Roman" w:hAnsi="Times New Roman" w:eastAsia="宋体" w:cs="Times New Roman"/>
                <w:color w:val="000000"/>
                <w:kern w:val="0"/>
                <w:szCs w:val="21"/>
                <w:highlight w:val="none"/>
                <w:lang w:val="en-US" w:eastAsia="zh-CN"/>
              </w:rPr>
              <w:t>排水：</w:t>
            </w:r>
            <w:r>
              <w:rPr>
                <w:rFonts w:hint="default" w:ascii="Times New Roman" w:hAnsi="Times New Roman" w:eastAsia="宋体" w:cs="Times New Roman"/>
                <w:color w:val="000000"/>
                <w:kern w:val="0"/>
                <w:sz w:val="24"/>
                <w:szCs w:val="24"/>
                <w:lang w:val="en-US" w:eastAsia="zh-CN" w:bidi="ar"/>
              </w:rPr>
              <w:t>民宿客房</w:t>
            </w:r>
            <w:r>
              <w:rPr>
                <w:rFonts w:hint="default" w:ascii="Times New Roman" w:hAnsi="Times New Roman" w:eastAsia="宋体" w:cs="Times New Roman"/>
                <w:color w:val="000000"/>
                <w:kern w:val="0"/>
                <w:szCs w:val="21"/>
                <w:highlight w:val="none"/>
                <w:lang w:val="en-US" w:eastAsia="zh-CN"/>
              </w:rPr>
              <w:t>排水量按照用水量80%计算，则</w:t>
            </w:r>
            <w:r>
              <w:rPr>
                <w:rFonts w:hint="default" w:ascii="Times New Roman" w:hAnsi="Times New Roman" w:eastAsia="宋体" w:cs="Times New Roman"/>
                <w:color w:val="000000"/>
                <w:kern w:val="0"/>
                <w:sz w:val="24"/>
                <w:szCs w:val="24"/>
                <w:lang w:val="en-US" w:eastAsia="zh-CN" w:bidi="ar"/>
              </w:rPr>
              <w:t>民宿客房</w:t>
            </w:r>
            <w:r>
              <w:rPr>
                <w:rFonts w:hint="default" w:ascii="Times New Roman" w:hAnsi="Times New Roman" w:eastAsia="宋体" w:cs="Times New Roman"/>
                <w:color w:val="000000"/>
                <w:kern w:val="0"/>
                <w:szCs w:val="21"/>
                <w:highlight w:val="none"/>
                <w:lang w:val="en-US" w:eastAsia="zh-CN"/>
              </w:rPr>
              <w:t>排水量为</w:t>
            </w:r>
            <w:r>
              <w:rPr>
                <w:rFonts w:hint="eastAsia" w:ascii="Times New Roman" w:hAnsi="Times New Roman" w:eastAsia="宋体" w:cs="Times New Roman"/>
                <w:color w:val="000000"/>
                <w:kern w:val="0"/>
                <w:szCs w:val="21"/>
                <w:highlight w:val="none"/>
                <w:lang w:val="en-US" w:eastAsia="zh-CN"/>
              </w:rPr>
              <w:t>32.64</w:t>
            </w:r>
            <w:r>
              <w:rPr>
                <w:rFonts w:hint="default" w:ascii="Times New Roman" w:hAnsi="Times New Roman" w:eastAsia="宋体" w:cs="Times New Roman"/>
                <w:color w:val="000000"/>
                <w:kern w:val="0"/>
                <w:szCs w:val="21"/>
                <w:highlight w:val="none"/>
                <w:lang w:val="en-US" w:eastAsia="zh-CN"/>
              </w:rPr>
              <w:t>m</w:t>
            </w:r>
            <w:r>
              <w:rPr>
                <w:rFonts w:hint="default" w:ascii="Times New Roman" w:hAnsi="Times New Roman" w:eastAsia="宋体" w:cs="Times New Roman"/>
                <w:color w:val="000000"/>
                <w:kern w:val="0"/>
                <w:szCs w:val="21"/>
                <w:highlight w:val="none"/>
                <w:vertAlign w:val="superscript"/>
                <w:lang w:val="en-US" w:eastAsia="zh-CN"/>
              </w:rPr>
              <w:t>3</w:t>
            </w:r>
            <w:r>
              <w:rPr>
                <w:rFonts w:hint="default" w:ascii="Times New Roman" w:hAnsi="Times New Roman" w:eastAsia="宋体" w:cs="Times New Roman"/>
                <w:color w:val="000000"/>
                <w:kern w:val="0"/>
                <w:szCs w:val="21"/>
                <w:highlight w:val="none"/>
                <w:lang w:val="en-US" w:eastAsia="zh-CN"/>
              </w:rPr>
              <w:t>/d</w:t>
            </w:r>
            <w:r>
              <w:rPr>
                <w:rFonts w:hint="eastAsia" w:ascii="Times New Roman" w:hAnsi="Times New Roman" w:eastAsia="宋体" w:cs="Times New Roman"/>
                <w:color w:val="000000"/>
                <w:kern w:val="0"/>
                <w:szCs w:val="21"/>
                <w:highlight w:val="none"/>
                <w:lang w:val="en-US" w:eastAsia="zh-CN"/>
              </w:rPr>
              <w:t>（11913.60</w:t>
            </w:r>
            <w:r>
              <w:rPr>
                <w:rFonts w:hint="default" w:ascii="Times New Roman" w:hAnsi="Times New Roman" w:eastAsia="宋体" w:cs="Times New Roman"/>
                <w:color w:val="000000"/>
                <w:kern w:val="0"/>
                <w:szCs w:val="21"/>
                <w:highlight w:val="none"/>
                <w:lang w:val="en-US" w:eastAsia="zh-CN"/>
              </w:rPr>
              <w:t>m</w:t>
            </w:r>
            <w:r>
              <w:rPr>
                <w:rFonts w:hint="default" w:ascii="Times New Roman" w:hAnsi="Times New Roman" w:eastAsia="宋体" w:cs="Times New Roman"/>
                <w:color w:val="000000"/>
                <w:kern w:val="0"/>
                <w:szCs w:val="21"/>
                <w:highlight w:val="none"/>
                <w:vertAlign w:val="superscript"/>
                <w:lang w:val="en-US" w:eastAsia="zh-CN"/>
              </w:rPr>
              <w:t>3</w:t>
            </w:r>
            <w:r>
              <w:rPr>
                <w:rFonts w:hint="default" w:ascii="Times New Roman" w:hAnsi="Times New Roman" w:eastAsia="宋体" w:cs="Times New Roman"/>
                <w:color w:val="000000"/>
                <w:kern w:val="0"/>
                <w:szCs w:val="21"/>
                <w:highlight w:val="none"/>
                <w:lang w:val="en-US" w:eastAsia="zh-CN"/>
              </w:rPr>
              <w:t>/</w:t>
            </w:r>
            <w:r>
              <w:rPr>
                <w:rFonts w:hint="eastAsia" w:ascii="Times New Roman" w:hAnsi="Times New Roman" w:eastAsia="宋体" w:cs="Times New Roman"/>
                <w:color w:val="000000"/>
                <w:kern w:val="0"/>
                <w:szCs w:val="21"/>
                <w:highlight w:val="none"/>
                <w:lang w:val="en-US" w:eastAsia="zh-CN"/>
              </w:rPr>
              <w:t>a）</w:t>
            </w:r>
            <w:r>
              <w:rPr>
                <w:rFonts w:hint="default" w:ascii="Times New Roman" w:hAnsi="Times New Roman" w:eastAsia="宋体" w:cs="Times New Roman"/>
                <w:color w:val="000000"/>
                <w:kern w:val="0"/>
                <w:szCs w:val="21"/>
                <w:highlight w:val="none"/>
                <w:lang w:val="en-US" w:eastAsia="zh-CN"/>
              </w:rPr>
              <w:t xml:space="preserve">。  </w:t>
            </w:r>
          </w:p>
          <w:p w14:paraId="41D20C0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000000"/>
                <w:kern w:val="0"/>
                <w:szCs w:val="21"/>
                <w:highlight w:val="none"/>
                <w:lang w:val="en-US" w:eastAsia="zh-CN"/>
              </w:rPr>
            </w:pPr>
            <w:r>
              <w:rPr>
                <w:rFonts w:hint="default" w:ascii="Times New Roman" w:hAnsi="Times New Roman" w:eastAsia="宋体" w:cs="Times New Roman"/>
                <w:color w:val="000000"/>
                <w:kern w:val="0"/>
                <w:szCs w:val="21"/>
                <w:highlight w:val="none"/>
                <w:lang w:val="en-US" w:eastAsia="zh-CN"/>
              </w:rPr>
              <w:t>②</w:t>
            </w:r>
            <w:r>
              <w:rPr>
                <w:rFonts w:hint="default" w:ascii="Times New Roman" w:hAnsi="Times New Roman" w:eastAsia="宋体" w:cs="Times New Roman"/>
                <w:color w:val="000000"/>
                <w:kern w:val="0"/>
                <w:sz w:val="24"/>
                <w:szCs w:val="24"/>
                <w:lang w:val="en-US" w:eastAsia="zh-CN" w:bidi="ar"/>
              </w:rPr>
              <w:t>乡村会客厅综合体</w:t>
            </w:r>
            <w:r>
              <w:rPr>
                <w:rFonts w:hint="default" w:ascii="Times New Roman" w:hAnsi="Times New Roman" w:eastAsia="宋体" w:cs="Times New Roman"/>
                <w:color w:val="000000"/>
                <w:kern w:val="0"/>
                <w:szCs w:val="21"/>
                <w:highlight w:val="none"/>
                <w:lang w:val="en-US" w:eastAsia="zh-CN"/>
              </w:rPr>
              <w:t>排水：排水量按照用水量80%计算，则</w:t>
            </w:r>
            <w:r>
              <w:rPr>
                <w:rFonts w:hint="default" w:ascii="Times New Roman" w:hAnsi="Times New Roman" w:eastAsia="宋体" w:cs="Times New Roman"/>
                <w:color w:val="000000"/>
                <w:kern w:val="0"/>
                <w:sz w:val="24"/>
                <w:szCs w:val="24"/>
                <w:lang w:val="en-US" w:eastAsia="zh-CN" w:bidi="ar"/>
              </w:rPr>
              <w:t>乡村会客厅综合体</w:t>
            </w:r>
            <w:r>
              <w:rPr>
                <w:rFonts w:hint="default" w:ascii="Times New Roman" w:hAnsi="Times New Roman" w:eastAsia="宋体" w:cs="Times New Roman"/>
                <w:color w:val="000000"/>
                <w:kern w:val="0"/>
                <w:szCs w:val="21"/>
                <w:highlight w:val="none"/>
                <w:lang w:val="en-US" w:eastAsia="zh-CN"/>
              </w:rPr>
              <w:t>排水量为</w:t>
            </w:r>
            <w:r>
              <w:rPr>
                <w:rFonts w:hint="eastAsia" w:ascii="Times New Roman" w:hAnsi="Times New Roman" w:eastAsia="宋体" w:cs="Times New Roman"/>
                <w:color w:val="000000"/>
                <w:kern w:val="0"/>
                <w:szCs w:val="21"/>
                <w:highlight w:val="none"/>
                <w:lang w:val="en-US" w:eastAsia="zh-CN"/>
              </w:rPr>
              <w:t>10.98</w:t>
            </w:r>
            <w:r>
              <w:rPr>
                <w:rFonts w:hint="default" w:ascii="Times New Roman" w:hAnsi="Times New Roman" w:eastAsia="宋体" w:cs="Times New Roman"/>
                <w:color w:val="000000"/>
                <w:kern w:val="0"/>
                <w:szCs w:val="21"/>
                <w:highlight w:val="none"/>
                <w:lang w:val="en-US" w:eastAsia="zh-CN"/>
              </w:rPr>
              <w:t>m</w:t>
            </w:r>
            <w:r>
              <w:rPr>
                <w:rFonts w:hint="default" w:ascii="Times New Roman" w:hAnsi="Times New Roman" w:eastAsia="宋体" w:cs="Times New Roman"/>
                <w:color w:val="000000"/>
                <w:kern w:val="0"/>
                <w:szCs w:val="21"/>
                <w:highlight w:val="none"/>
                <w:vertAlign w:val="superscript"/>
                <w:lang w:val="en-US" w:eastAsia="zh-CN"/>
              </w:rPr>
              <w:t>3</w:t>
            </w:r>
            <w:r>
              <w:rPr>
                <w:rFonts w:hint="default" w:ascii="Times New Roman" w:hAnsi="Times New Roman" w:eastAsia="宋体" w:cs="Times New Roman"/>
                <w:color w:val="000000"/>
                <w:kern w:val="0"/>
                <w:szCs w:val="21"/>
                <w:highlight w:val="none"/>
                <w:lang w:val="en-US" w:eastAsia="zh-CN"/>
              </w:rPr>
              <w:t>/d</w:t>
            </w:r>
            <w:r>
              <w:rPr>
                <w:rFonts w:hint="eastAsia" w:ascii="Times New Roman" w:hAnsi="Times New Roman" w:eastAsia="宋体" w:cs="Times New Roman"/>
                <w:color w:val="000000"/>
                <w:kern w:val="0"/>
                <w:szCs w:val="21"/>
                <w:highlight w:val="none"/>
                <w:lang w:val="en-US" w:eastAsia="zh-CN"/>
              </w:rPr>
              <w:t>（4007.7</w:t>
            </w:r>
            <w:r>
              <w:rPr>
                <w:rFonts w:hint="default" w:ascii="Times New Roman" w:hAnsi="Times New Roman" w:eastAsia="宋体" w:cs="Times New Roman"/>
                <w:color w:val="000000"/>
                <w:kern w:val="0"/>
                <w:szCs w:val="21"/>
                <w:highlight w:val="none"/>
                <w:lang w:val="en-US" w:eastAsia="zh-CN"/>
              </w:rPr>
              <w:t>m</w:t>
            </w:r>
            <w:r>
              <w:rPr>
                <w:rFonts w:hint="default" w:ascii="Times New Roman" w:hAnsi="Times New Roman" w:eastAsia="宋体" w:cs="Times New Roman"/>
                <w:color w:val="000000"/>
                <w:kern w:val="0"/>
                <w:szCs w:val="21"/>
                <w:highlight w:val="none"/>
                <w:vertAlign w:val="superscript"/>
                <w:lang w:val="en-US" w:eastAsia="zh-CN"/>
              </w:rPr>
              <w:t>3</w:t>
            </w:r>
            <w:r>
              <w:rPr>
                <w:rFonts w:hint="default" w:ascii="Times New Roman" w:hAnsi="Times New Roman" w:eastAsia="宋体" w:cs="Times New Roman"/>
                <w:color w:val="000000"/>
                <w:kern w:val="0"/>
                <w:szCs w:val="21"/>
                <w:highlight w:val="none"/>
                <w:lang w:val="en-US" w:eastAsia="zh-CN"/>
              </w:rPr>
              <w:t>/</w:t>
            </w:r>
            <w:r>
              <w:rPr>
                <w:rFonts w:hint="eastAsia" w:ascii="Times New Roman" w:hAnsi="Times New Roman" w:eastAsia="宋体" w:cs="Times New Roman"/>
                <w:color w:val="000000"/>
                <w:kern w:val="0"/>
                <w:szCs w:val="21"/>
                <w:highlight w:val="none"/>
                <w:lang w:val="en-US" w:eastAsia="zh-CN"/>
              </w:rPr>
              <w:t>a）</w:t>
            </w:r>
            <w:r>
              <w:rPr>
                <w:rFonts w:hint="default" w:ascii="Times New Roman" w:hAnsi="Times New Roman" w:eastAsia="宋体" w:cs="Times New Roman"/>
                <w:color w:val="000000"/>
                <w:kern w:val="0"/>
                <w:szCs w:val="21"/>
                <w:highlight w:val="none"/>
                <w:lang w:val="en-US" w:eastAsia="zh-CN"/>
              </w:rPr>
              <w:t>。</w:t>
            </w:r>
          </w:p>
          <w:p w14:paraId="38EE15E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③室外绿化及道路浇洒用水不产生污水。</w:t>
            </w:r>
          </w:p>
          <w:p w14:paraId="124BB4E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④管理及服务人员</w:t>
            </w:r>
            <w:r>
              <w:rPr>
                <w:rFonts w:hint="default" w:ascii="Times New Roman" w:hAnsi="Times New Roman" w:eastAsia="宋体" w:cs="Times New Roman"/>
                <w:color w:val="000000"/>
                <w:kern w:val="0"/>
                <w:szCs w:val="21"/>
                <w:highlight w:val="none"/>
                <w:lang w:val="en-US" w:eastAsia="zh-CN"/>
              </w:rPr>
              <w:t>排水：</w:t>
            </w:r>
            <w:r>
              <w:rPr>
                <w:rFonts w:hint="default" w:ascii="Times New Roman" w:hAnsi="Times New Roman" w:eastAsia="宋体" w:cs="Times New Roman"/>
                <w:color w:val="000000"/>
                <w:kern w:val="0"/>
                <w:sz w:val="24"/>
                <w:szCs w:val="24"/>
                <w:lang w:val="en-US" w:eastAsia="zh-CN" w:bidi="ar"/>
              </w:rPr>
              <w:t>管理及服务人员</w:t>
            </w:r>
            <w:r>
              <w:rPr>
                <w:rFonts w:hint="default" w:ascii="Times New Roman" w:hAnsi="Times New Roman" w:eastAsia="宋体" w:cs="Times New Roman"/>
                <w:color w:val="000000"/>
                <w:kern w:val="0"/>
                <w:szCs w:val="21"/>
                <w:highlight w:val="none"/>
                <w:lang w:val="en-US" w:eastAsia="zh-CN"/>
              </w:rPr>
              <w:t>排水量按照用水量80%计算，则</w:t>
            </w:r>
            <w:r>
              <w:rPr>
                <w:rFonts w:hint="default" w:ascii="Times New Roman" w:hAnsi="Times New Roman" w:eastAsia="宋体" w:cs="Times New Roman"/>
                <w:color w:val="000000"/>
                <w:kern w:val="0"/>
                <w:sz w:val="24"/>
                <w:szCs w:val="24"/>
                <w:lang w:val="en-US" w:eastAsia="zh-CN" w:bidi="ar"/>
              </w:rPr>
              <w:t>管理及服务人员</w:t>
            </w:r>
            <w:r>
              <w:rPr>
                <w:rFonts w:hint="default" w:ascii="Times New Roman" w:hAnsi="Times New Roman" w:eastAsia="宋体" w:cs="Times New Roman"/>
                <w:color w:val="000000"/>
                <w:kern w:val="0"/>
                <w:szCs w:val="21"/>
                <w:highlight w:val="none"/>
                <w:lang w:val="en-US" w:eastAsia="zh-CN"/>
              </w:rPr>
              <w:t>排水量为</w:t>
            </w:r>
            <w:r>
              <w:rPr>
                <w:rFonts w:hint="eastAsia" w:ascii="Times New Roman" w:hAnsi="Times New Roman" w:eastAsia="宋体" w:cs="Times New Roman"/>
                <w:color w:val="000000"/>
                <w:kern w:val="0"/>
                <w:szCs w:val="21"/>
                <w:highlight w:val="none"/>
                <w:lang w:val="en-US" w:eastAsia="zh-CN"/>
              </w:rPr>
              <w:t>1.6</w:t>
            </w:r>
            <w:r>
              <w:rPr>
                <w:rFonts w:hint="default" w:ascii="Times New Roman" w:hAnsi="Times New Roman" w:eastAsia="宋体" w:cs="Times New Roman"/>
                <w:color w:val="000000"/>
                <w:kern w:val="0"/>
                <w:szCs w:val="21"/>
                <w:highlight w:val="none"/>
                <w:lang w:val="en-US" w:eastAsia="zh-CN"/>
              </w:rPr>
              <w:t>m</w:t>
            </w:r>
            <w:r>
              <w:rPr>
                <w:rFonts w:hint="default" w:ascii="Times New Roman" w:hAnsi="Times New Roman" w:eastAsia="宋体" w:cs="Times New Roman"/>
                <w:color w:val="000000"/>
                <w:kern w:val="0"/>
                <w:szCs w:val="21"/>
                <w:highlight w:val="none"/>
                <w:vertAlign w:val="superscript"/>
                <w:lang w:val="en-US" w:eastAsia="zh-CN"/>
              </w:rPr>
              <w:t>3</w:t>
            </w:r>
            <w:r>
              <w:rPr>
                <w:rFonts w:hint="default" w:ascii="Times New Roman" w:hAnsi="Times New Roman" w:eastAsia="宋体" w:cs="Times New Roman"/>
                <w:color w:val="000000"/>
                <w:kern w:val="0"/>
                <w:szCs w:val="21"/>
                <w:highlight w:val="none"/>
                <w:lang w:val="en-US" w:eastAsia="zh-CN"/>
              </w:rPr>
              <w:t>/d</w:t>
            </w:r>
            <w:r>
              <w:rPr>
                <w:rFonts w:hint="eastAsia" w:ascii="Times New Roman" w:hAnsi="Times New Roman" w:eastAsia="宋体" w:cs="Times New Roman"/>
                <w:color w:val="000000"/>
                <w:kern w:val="0"/>
                <w:szCs w:val="21"/>
                <w:highlight w:val="none"/>
                <w:lang w:val="en-US" w:eastAsia="zh-CN"/>
              </w:rPr>
              <w:t>（584</w:t>
            </w:r>
            <w:r>
              <w:rPr>
                <w:rFonts w:hint="default" w:ascii="Times New Roman" w:hAnsi="Times New Roman" w:eastAsia="宋体" w:cs="Times New Roman"/>
                <w:color w:val="000000"/>
                <w:kern w:val="0"/>
                <w:szCs w:val="21"/>
                <w:highlight w:val="none"/>
                <w:lang w:val="en-US" w:eastAsia="zh-CN"/>
              </w:rPr>
              <w:t>m</w:t>
            </w:r>
            <w:r>
              <w:rPr>
                <w:rFonts w:hint="default" w:ascii="Times New Roman" w:hAnsi="Times New Roman" w:eastAsia="宋体" w:cs="Times New Roman"/>
                <w:color w:val="000000"/>
                <w:kern w:val="0"/>
                <w:szCs w:val="21"/>
                <w:highlight w:val="none"/>
                <w:vertAlign w:val="superscript"/>
                <w:lang w:val="en-US" w:eastAsia="zh-CN"/>
              </w:rPr>
              <w:t>3</w:t>
            </w:r>
            <w:r>
              <w:rPr>
                <w:rFonts w:hint="default" w:ascii="Times New Roman" w:hAnsi="Times New Roman" w:eastAsia="宋体" w:cs="Times New Roman"/>
                <w:color w:val="000000"/>
                <w:kern w:val="0"/>
                <w:szCs w:val="21"/>
                <w:highlight w:val="none"/>
                <w:lang w:val="en-US" w:eastAsia="zh-CN"/>
              </w:rPr>
              <w:t>/</w:t>
            </w:r>
            <w:r>
              <w:rPr>
                <w:rFonts w:hint="eastAsia" w:ascii="Times New Roman" w:hAnsi="Times New Roman" w:eastAsia="宋体" w:cs="Times New Roman"/>
                <w:color w:val="000000"/>
                <w:kern w:val="0"/>
                <w:szCs w:val="21"/>
                <w:highlight w:val="none"/>
                <w:lang w:val="en-US" w:eastAsia="zh-CN"/>
              </w:rPr>
              <w:t>a）</w:t>
            </w:r>
            <w:r>
              <w:rPr>
                <w:rFonts w:hint="default" w:ascii="Times New Roman" w:hAnsi="Times New Roman" w:eastAsia="宋体" w:cs="Times New Roman"/>
                <w:color w:val="000000"/>
                <w:kern w:val="0"/>
                <w:szCs w:val="21"/>
                <w:highlight w:val="none"/>
                <w:lang w:val="en-US" w:eastAsia="zh-CN"/>
              </w:rPr>
              <w:t>。</w:t>
            </w:r>
          </w:p>
          <w:p w14:paraId="0936D7E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⑤不可预见排水量：</w:t>
            </w:r>
            <w:r>
              <w:rPr>
                <w:rFonts w:hint="default" w:ascii="Times New Roman" w:hAnsi="Times New Roman" w:eastAsia="宋体" w:cs="Times New Roman"/>
                <w:color w:val="000000"/>
                <w:kern w:val="0"/>
                <w:szCs w:val="21"/>
                <w:highlight w:val="none"/>
                <w:lang w:val="en-US" w:eastAsia="zh-CN"/>
              </w:rPr>
              <w:t>排水量按照用水量80%计算，则</w:t>
            </w:r>
            <w:r>
              <w:rPr>
                <w:rFonts w:hint="default" w:ascii="Times New Roman" w:hAnsi="Times New Roman" w:eastAsia="宋体" w:cs="Times New Roman"/>
                <w:color w:val="000000"/>
                <w:kern w:val="0"/>
                <w:sz w:val="24"/>
                <w:szCs w:val="24"/>
                <w:lang w:val="en-US" w:eastAsia="zh-CN" w:bidi="ar"/>
              </w:rPr>
              <w:t>不可预见排水量为</w:t>
            </w:r>
            <w:r>
              <w:rPr>
                <w:rFonts w:hint="eastAsia" w:ascii="Times New Roman" w:hAnsi="Times New Roman" w:eastAsia="宋体" w:cs="Times New Roman"/>
                <w:color w:val="000000"/>
                <w:kern w:val="0"/>
                <w:szCs w:val="21"/>
                <w:highlight w:val="none"/>
                <w:lang w:val="en-US" w:eastAsia="zh-CN"/>
              </w:rPr>
              <w:t>4.69</w:t>
            </w:r>
            <w:r>
              <w:rPr>
                <w:rFonts w:hint="default" w:ascii="Times New Roman" w:hAnsi="Times New Roman" w:eastAsia="宋体" w:cs="Times New Roman"/>
                <w:color w:val="000000"/>
                <w:kern w:val="0"/>
                <w:szCs w:val="21"/>
                <w:highlight w:val="none"/>
                <w:lang w:val="en-US" w:eastAsia="zh-CN"/>
              </w:rPr>
              <w:t>m</w:t>
            </w:r>
            <w:r>
              <w:rPr>
                <w:rFonts w:hint="default" w:ascii="Times New Roman" w:hAnsi="Times New Roman" w:eastAsia="宋体" w:cs="Times New Roman"/>
                <w:color w:val="000000"/>
                <w:kern w:val="0"/>
                <w:szCs w:val="21"/>
                <w:highlight w:val="none"/>
                <w:vertAlign w:val="superscript"/>
                <w:lang w:val="en-US" w:eastAsia="zh-CN"/>
              </w:rPr>
              <w:t>3</w:t>
            </w:r>
            <w:r>
              <w:rPr>
                <w:rFonts w:hint="default" w:ascii="Times New Roman" w:hAnsi="Times New Roman" w:eastAsia="宋体" w:cs="Times New Roman"/>
                <w:color w:val="000000"/>
                <w:kern w:val="0"/>
                <w:szCs w:val="21"/>
                <w:highlight w:val="none"/>
                <w:lang w:val="en-US" w:eastAsia="zh-CN"/>
              </w:rPr>
              <w:t>/d</w:t>
            </w:r>
            <w:r>
              <w:rPr>
                <w:rFonts w:hint="eastAsia" w:ascii="Times New Roman" w:hAnsi="Times New Roman" w:eastAsia="宋体" w:cs="Times New Roman"/>
                <w:color w:val="000000"/>
                <w:kern w:val="0"/>
                <w:szCs w:val="21"/>
                <w:highlight w:val="none"/>
                <w:lang w:val="en-US" w:eastAsia="zh-CN"/>
              </w:rPr>
              <w:t>（1711.85</w:t>
            </w:r>
            <w:r>
              <w:rPr>
                <w:rFonts w:hint="default" w:ascii="Times New Roman" w:hAnsi="Times New Roman" w:eastAsia="宋体" w:cs="Times New Roman"/>
                <w:color w:val="000000"/>
                <w:kern w:val="0"/>
                <w:szCs w:val="21"/>
                <w:highlight w:val="none"/>
                <w:lang w:val="en-US" w:eastAsia="zh-CN"/>
              </w:rPr>
              <w:t>m</w:t>
            </w:r>
            <w:r>
              <w:rPr>
                <w:rFonts w:hint="default" w:ascii="Times New Roman" w:hAnsi="Times New Roman" w:eastAsia="宋体" w:cs="Times New Roman"/>
                <w:color w:val="000000"/>
                <w:kern w:val="0"/>
                <w:szCs w:val="21"/>
                <w:highlight w:val="none"/>
                <w:vertAlign w:val="superscript"/>
                <w:lang w:val="en-US" w:eastAsia="zh-CN"/>
              </w:rPr>
              <w:t>3</w:t>
            </w:r>
            <w:r>
              <w:rPr>
                <w:rFonts w:hint="default" w:ascii="Times New Roman" w:hAnsi="Times New Roman" w:eastAsia="宋体" w:cs="Times New Roman"/>
                <w:color w:val="000000"/>
                <w:kern w:val="0"/>
                <w:szCs w:val="21"/>
                <w:highlight w:val="none"/>
                <w:lang w:val="en-US" w:eastAsia="zh-CN"/>
              </w:rPr>
              <w:t>/</w:t>
            </w:r>
            <w:r>
              <w:rPr>
                <w:rFonts w:hint="eastAsia" w:ascii="Times New Roman" w:hAnsi="Times New Roman" w:eastAsia="宋体" w:cs="Times New Roman"/>
                <w:color w:val="000000"/>
                <w:kern w:val="0"/>
                <w:szCs w:val="21"/>
                <w:highlight w:val="none"/>
                <w:lang w:val="en-US" w:eastAsia="zh-CN"/>
              </w:rPr>
              <w:t>a）</w:t>
            </w:r>
            <w:r>
              <w:rPr>
                <w:rFonts w:hint="default" w:ascii="Times New Roman" w:hAnsi="Times New Roman" w:eastAsia="宋体" w:cs="Times New Roman"/>
                <w:color w:val="000000"/>
                <w:kern w:val="0"/>
                <w:szCs w:val="21"/>
                <w:highlight w:val="none"/>
                <w:lang w:val="en-US" w:eastAsia="zh-CN"/>
              </w:rPr>
              <w:t>。</w:t>
            </w:r>
          </w:p>
          <w:p w14:paraId="2CAE58B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000000"/>
                <w:kern w:val="0"/>
                <w:szCs w:val="21"/>
                <w:highlight w:val="none"/>
                <w:lang w:val="en-US" w:eastAsia="zh-CN"/>
              </w:rPr>
            </w:pPr>
            <w:r>
              <w:rPr>
                <w:rFonts w:hint="default" w:ascii="Times New Roman" w:hAnsi="Times New Roman" w:eastAsia="宋体" w:cs="Times New Roman"/>
                <w:color w:val="000000"/>
                <w:kern w:val="0"/>
                <w:sz w:val="24"/>
                <w:szCs w:val="24"/>
                <w:lang w:val="en-US" w:eastAsia="zh-CN" w:bidi="ar"/>
              </w:rPr>
              <w:t>综上，本项目的污水排水量为</w:t>
            </w:r>
            <w:r>
              <w:rPr>
                <w:rFonts w:hint="eastAsia" w:ascii="Times New Roman" w:hAnsi="Times New Roman" w:eastAsia="宋体" w:cs="Times New Roman"/>
                <w:color w:val="000000"/>
                <w:kern w:val="0"/>
                <w:sz w:val="24"/>
                <w:szCs w:val="24"/>
                <w:highlight w:val="none"/>
                <w:lang w:val="en-US" w:eastAsia="zh-CN" w:bidi="ar"/>
              </w:rPr>
              <w:t>49.91</w:t>
            </w:r>
            <w:r>
              <w:rPr>
                <w:rFonts w:hint="default" w:ascii="Times New Roman" w:hAnsi="Times New Roman" w:eastAsia="宋体" w:cs="Times New Roman"/>
                <w:color w:val="000000"/>
                <w:kern w:val="0"/>
                <w:szCs w:val="21"/>
                <w:highlight w:val="none"/>
                <w:lang w:val="en-US" w:eastAsia="zh-CN"/>
              </w:rPr>
              <w:t>m</w:t>
            </w:r>
            <w:r>
              <w:rPr>
                <w:rFonts w:hint="default" w:ascii="Times New Roman" w:hAnsi="Times New Roman" w:eastAsia="宋体" w:cs="Times New Roman"/>
                <w:color w:val="000000"/>
                <w:kern w:val="0"/>
                <w:szCs w:val="21"/>
                <w:highlight w:val="none"/>
                <w:vertAlign w:val="superscript"/>
                <w:lang w:val="en-US" w:eastAsia="zh-CN"/>
              </w:rPr>
              <w:t>3</w:t>
            </w:r>
            <w:r>
              <w:rPr>
                <w:rFonts w:hint="default" w:ascii="Times New Roman" w:hAnsi="Times New Roman" w:eastAsia="宋体" w:cs="Times New Roman"/>
                <w:color w:val="000000"/>
                <w:kern w:val="0"/>
                <w:szCs w:val="21"/>
                <w:highlight w:val="none"/>
                <w:lang w:val="en-US" w:eastAsia="zh-CN"/>
              </w:rPr>
              <w:t>/d</w:t>
            </w:r>
            <w:r>
              <w:rPr>
                <w:rFonts w:hint="eastAsia" w:ascii="Times New Roman" w:hAnsi="Times New Roman" w:eastAsia="宋体" w:cs="Times New Roman"/>
                <w:color w:val="000000"/>
                <w:kern w:val="0"/>
                <w:szCs w:val="21"/>
                <w:highlight w:val="none"/>
                <w:lang w:val="en-US" w:eastAsia="zh-CN"/>
              </w:rPr>
              <w:t>（18217.15</w:t>
            </w:r>
            <w:r>
              <w:rPr>
                <w:rFonts w:hint="default" w:ascii="Times New Roman" w:hAnsi="Times New Roman" w:eastAsia="宋体" w:cs="Times New Roman"/>
                <w:color w:val="000000"/>
                <w:kern w:val="0"/>
                <w:szCs w:val="21"/>
                <w:highlight w:val="none"/>
                <w:lang w:val="en-US" w:eastAsia="zh-CN"/>
              </w:rPr>
              <w:t>m</w:t>
            </w:r>
            <w:r>
              <w:rPr>
                <w:rFonts w:hint="default" w:ascii="Times New Roman" w:hAnsi="Times New Roman" w:eastAsia="宋体" w:cs="Times New Roman"/>
                <w:color w:val="000000"/>
                <w:kern w:val="0"/>
                <w:szCs w:val="21"/>
                <w:highlight w:val="none"/>
                <w:vertAlign w:val="superscript"/>
                <w:lang w:val="en-US" w:eastAsia="zh-CN"/>
              </w:rPr>
              <w:t>3</w:t>
            </w:r>
            <w:r>
              <w:rPr>
                <w:rFonts w:hint="default" w:ascii="Times New Roman" w:hAnsi="Times New Roman" w:eastAsia="宋体" w:cs="Times New Roman"/>
                <w:color w:val="000000"/>
                <w:kern w:val="0"/>
                <w:szCs w:val="21"/>
                <w:highlight w:val="none"/>
                <w:lang w:val="en-US" w:eastAsia="zh-CN"/>
              </w:rPr>
              <w:t>/</w:t>
            </w:r>
            <w:r>
              <w:rPr>
                <w:rFonts w:hint="eastAsia" w:ascii="Times New Roman" w:hAnsi="Times New Roman" w:eastAsia="宋体" w:cs="Times New Roman"/>
                <w:color w:val="000000"/>
                <w:kern w:val="0"/>
                <w:szCs w:val="21"/>
                <w:highlight w:val="none"/>
                <w:lang w:val="en-US" w:eastAsia="zh-CN"/>
              </w:rPr>
              <w:t>a）</w:t>
            </w:r>
            <w:r>
              <w:rPr>
                <w:rFonts w:hint="default" w:ascii="Times New Roman" w:hAnsi="Times New Roman" w:eastAsia="宋体" w:cs="Times New Roman"/>
                <w:color w:val="000000"/>
                <w:kern w:val="0"/>
                <w:szCs w:val="21"/>
                <w:highlight w:val="none"/>
                <w:lang w:val="en-US" w:eastAsia="zh-CN"/>
              </w:rPr>
              <w:t>。</w:t>
            </w:r>
          </w:p>
          <w:p w14:paraId="64063EB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Cs w:val="21"/>
                <w:highlight w:val="none"/>
                <w:lang w:val="en-US" w:eastAsia="zh-CN"/>
              </w:rPr>
              <w:t>本项目共设置4座化粪池，分别是乡村会客厅设置1座25m</w:t>
            </w:r>
            <w:r>
              <w:rPr>
                <w:rFonts w:hint="eastAsia" w:ascii="Times New Roman" w:hAnsi="Times New Roman" w:eastAsia="宋体" w:cs="Times New Roman"/>
                <w:color w:val="000000"/>
                <w:kern w:val="0"/>
                <w:szCs w:val="21"/>
                <w:highlight w:val="none"/>
                <w:vertAlign w:val="superscript"/>
                <w:lang w:val="en-US" w:eastAsia="zh-CN"/>
              </w:rPr>
              <w:t>3</w:t>
            </w:r>
            <w:r>
              <w:rPr>
                <w:rFonts w:hint="eastAsia" w:ascii="Times New Roman" w:hAnsi="Times New Roman" w:eastAsia="宋体" w:cs="Times New Roman"/>
                <w:color w:val="000000"/>
                <w:kern w:val="0"/>
                <w:szCs w:val="21"/>
                <w:highlight w:val="none"/>
                <w:lang w:val="en-US" w:eastAsia="zh-CN"/>
              </w:rPr>
              <w:t>化粪池、</w:t>
            </w:r>
            <w:r>
              <w:rPr>
                <w:rFonts w:hint="eastAsia" w:cs="Times New Roman"/>
                <w:color w:val="000000"/>
                <w:kern w:val="0"/>
                <w:szCs w:val="21"/>
                <w:highlight w:val="none"/>
                <w:lang w:val="en-US" w:eastAsia="zh-CN"/>
              </w:rPr>
              <w:t>地块二</w:t>
            </w:r>
            <w:r>
              <w:rPr>
                <w:rFonts w:hint="eastAsia" w:ascii="Times New Roman" w:hAnsi="Times New Roman" w:eastAsia="宋体" w:cs="Times New Roman"/>
                <w:color w:val="000000"/>
                <w:kern w:val="0"/>
                <w:szCs w:val="21"/>
                <w:highlight w:val="none"/>
                <w:lang w:val="en-US" w:eastAsia="zh-CN"/>
              </w:rPr>
              <w:t>设置1座25m</w:t>
            </w:r>
            <w:r>
              <w:rPr>
                <w:rFonts w:hint="eastAsia" w:ascii="Times New Roman" w:hAnsi="Times New Roman" w:eastAsia="宋体" w:cs="Times New Roman"/>
                <w:color w:val="000000"/>
                <w:kern w:val="0"/>
                <w:szCs w:val="21"/>
                <w:highlight w:val="none"/>
                <w:vertAlign w:val="superscript"/>
                <w:lang w:val="en-US" w:eastAsia="zh-CN"/>
              </w:rPr>
              <w:t>3</w:t>
            </w:r>
            <w:r>
              <w:rPr>
                <w:rFonts w:hint="eastAsia" w:ascii="Times New Roman" w:hAnsi="Times New Roman" w:eastAsia="宋体" w:cs="Times New Roman"/>
                <w:color w:val="000000"/>
                <w:kern w:val="0"/>
                <w:szCs w:val="21"/>
                <w:highlight w:val="none"/>
                <w:lang w:val="en-US" w:eastAsia="zh-CN"/>
              </w:rPr>
              <w:t>化粪池、</w:t>
            </w:r>
            <w:r>
              <w:rPr>
                <w:rFonts w:hint="eastAsia" w:cs="Times New Roman"/>
                <w:color w:val="000000"/>
                <w:kern w:val="0"/>
                <w:szCs w:val="21"/>
                <w:highlight w:val="none"/>
                <w:lang w:val="en-US" w:eastAsia="zh-CN"/>
              </w:rPr>
              <w:t>地块五</w:t>
            </w:r>
            <w:r>
              <w:rPr>
                <w:rFonts w:hint="eastAsia" w:ascii="Times New Roman" w:hAnsi="Times New Roman" w:eastAsia="宋体" w:cs="Times New Roman"/>
                <w:color w:val="000000"/>
                <w:kern w:val="0"/>
                <w:szCs w:val="21"/>
                <w:highlight w:val="none"/>
                <w:lang w:val="en-US" w:eastAsia="zh-CN"/>
              </w:rPr>
              <w:t>设置1座20m</w:t>
            </w:r>
            <w:r>
              <w:rPr>
                <w:rFonts w:hint="eastAsia" w:ascii="Times New Roman" w:hAnsi="Times New Roman" w:eastAsia="宋体" w:cs="Times New Roman"/>
                <w:color w:val="000000"/>
                <w:kern w:val="0"/>
                <w:szCs w:val="21"/>
                <w:highlight w:val="none"/>
                <w:vertAlign w:val="superscript"/>
                <w:lang w:val="en-US" w:eastAsia="zh-CN"/>
              </w:rPr>
              <w:t>3</w:t>
            </w:r>
            <w:r>
              <w:rPr>
                <w:rFonts w:hint="eastAsia" w:ascii="Times New Roman" w:hAnsi="Times New Roman" w:eastAsia="宋体" w:cs="Times New Roman"/>
                <w:color w:val="000000"/>
                <w:kern w:val="0"/>
                <w:szCs w:val="21"/>
                <w:highlight w:val="none"/>
                <w:lang w:val="en-US" w:eastAsia="zh-CN"/>
              </w:rPr>
              <w:t>化粪池、</w:t>
            </w:r>
            <w:r>
              <w:rPr>
                <w:rFonts w:hint="eastAsia" w:cs="Times New Roman"/>
                <w:color w:val="000000"/>
                <w:kern w:val="0"/>
                <w:szCs w:val="21"/>
                <w:highlight w:val="none"/>
                <w:lang w:val="en-US" w:eastAsia="zh-CN"/>
              </w:rPr>
              <w:t>地块六和地块七共用1座20m</w:t>
            </w:r>
            <w:r>
              <w:rPr>
                <w:rFonts w:hint="eastAsia" w:cs="Times New Roman"/>
                <w:color w:val="000000"/>
                <w:kern w:val="0"/>
                <w:szCs w:val="21"/>
                <w:highlight w:val="none"/>
                <w:vertAlign w:val="superscript"/>
                <w:lang w:val="en-US" w:eastAsia="zh-CN"/>
              </w:rPr>
              <w:t>3</w:t>
            </w:r>
            <w:r>
              <w:rPr>
                <w:rFonts w:hint="eastAsia" w:cs="Times New Roman"/>
                <w:color w:val="000000"/>
                <w:kern w:val="0"/>
                <w:szCs w:val="21"/>
                <w:highlight w:val="none"/>
                <w:lang w:val="en-US" w:eastAsia="zh-CN"/>
              </w:rPr>
              <w:t>化粪池</w:t>
            </w:r>
            <w:r>
              <w:rPr>
                <w:rFonts w:hint="eastAsia" w:ascii="Times New Roman" w:hAnsi="Times New Roman" w:eastAsia="宋体" w:cs="Times New Roman"/>
                <w:color w:val="000000"/>
                <w:kern w:val="0"/>
                <w:szCs w:val="21"/>
                <w:highlight w:val="none"/>
                <w:lang w:val="en-US" w:eastAsia="zh-CN"/>
              </w:rPr>
              <w:t>，餐饮废水经过隔油池处理后排入化粪池处理。生活污水经过化粪池处理后定期由吸污车抽出运至阜康市污水处理厂处理。</w:t>
            </w:r>
          </w:p>
          <w:p w14:paraId="584313B8">
            <w:pPr>
              <w:keepNext w:val="0"/>
              <w:keepLines w:val="0"/>
              <w:pageBreakBefore w:val="0"/>
              <w:widowControl w:val="0"/>
              <w:kinsoku/>
              <w:wordWrap/>
              <w:overflowPunct/>
              <w:topLinePunct w:val="0"/>
              <w:autoSpaceDE/>
              <w:autoSpaceDN/>
              <w:bidi w:val="0"/>
              <w:adjustRightInd w:val="0"/>
              <w:snapToGrid/>
              <w:spacing w:line="360" w:lineRule="auto"/>
              <w:ind w:firstLine="480" w:firstLineChars="0"/>
              <w:textAlignment w:val="auto"/>
              <w:rPr>
                <w:rFonts w:hint="default" w:ascii="Times New Roman" w:hAnsi="Times New Roman" w:eastAsia="宋体" w:cs="Times New Roman"/>
                <w:b/>
                <w:bCs/>
                <w:color w:val="000000"/>
                <w:kern w:val="0"/>
                <w:szCs w:val="21"/>
                <w:highlight w:val="none"/>
                <w:lang w:val="en-US" w:eastAsia="zh-CN"/>
              </w:rPr>
            </w:pPr>
            <w:r>
              <w:rPr>
                <w:rFonts w:hint="eastAsia" w:ascii="Times New Roman" w:hAnsi="Times New Roman" w:eastAsia="宋体" w:cs="Times New Roman"/>
                <w:b w:val="0"/>
                <w:bCs w:val="0"/>
                <w:color w:val="000000"/>
                <w:kern w:val="0"/>
                <w:szCs w:val="21"/>
                <w:highlight w:val="none"/>
                <w:lang w:val="en-US" w:eastAsia="zh-CN"/>
              </w:rPr>
              <w:t>本项目水平衡表见表2-2，水平衡图见图2-3。</w:t>
            </w:r>
          </w:p>
          <w:p w14:paraId="6B00CA9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bCs/>
                <w:color w:val="000000"/>
                <w:kern w:val="0"/>
                <w:szCs w:val="21"/>
                <w:highlight w:val="none"/>
                <w:lang w:val="en-US" w:eastAsia="zh-CN"/>
              </w:rPr>
            </w:pPr>
            <w:r>
              <w:rPr>
                <w:rFonts w:hint="eastAsia" w:ascii="Times New Roman" w:hAnsi="Times New Roman" w:eastAsia="宋体" w:cs="Times New Roman"/>
                <w:b/>
                <w:bCs/>
                <w:color w:val="000000"/>
                <w:kern w:val="0"/>
                <w:sz w:val="21"/>
                <w:szCs w:val="21"/>
                <w:highlight w:val="none"/>
                <w:lang w:val="en-US" w:eastAsia="zh-CN"/>
              </w:rPr>
              <w:t xml:space="preserve">                    表2-2本项目水平衡表                       单位：m</w:t>
            </w:r>
            <w:r>
              <w:rPr>
                <w:rFonts w:hint="eastAsia" w:ascii="Times New Roman" w:hAnsi="Times New Roman" w:eastAsia="宋体" w:cs="Times New Roman"/>
                <w:b/>
                <w:bCs/>
                <w:color w:val="000000"/>
                <w:kern w:val="0"/>
                <w:sz w:val="21"/>
                <w:szCs w:val="21"/>
                <w:highlight w:val="none"/>
                <w:vertAlign w:val="superscript"/>
                <w:lang w:val="en-US" w:eastAsia="zh-CN"/>
              </w:rPr>
              <w:t>3</w:t>
            </w:r>
            <w:r>
              <w:rPr>
                <w:rFonts w:hint="eastAsia" w:ascii="Times New Roman" w:hAnsi="Times New Roman" w:eastAsia="宋体" w:cs="Times New Roman"/>
                <w:b/>
                <w:bCs/>
                <w:color w:val="000000"/>
                <w:kern w:val="0"/>
                <w:sz w:val="21"/>
                <w:szCs w:val="21"/>
                <w:highlight w:val="none"/>
                <w:lang w:val="en-US" w:eastAsia="zh-CN"/>
              </w:rPr>
              <w:t>/</w:t>
            </w:r>
            <w:r>
              <w:rPr>
                <w:rFonts w:hint="eastAsia" w:cs="Times New Roman"/>
                <w:b/>
                <w:bCs/>
                <w:color w:val="000000"/>
                <w:kern w:val="0"/>
                <w:sz w:val="21"/>
                <w:szCs w:val="21"/>
                <w:highlight w:val="none"/>
                <w:lang w:val="en-US" w:eastAsia="zh-CN"/>
              </w:rPr>
              <w:t>d</w:t>
            </w:r>
          </w:p>
          <w:tbl>
            <w:tblPr>
              <w:tblStyle w:val="32"/>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15" w:type="dxa"/>
                <w:left w:w="15" w:type="dxa"/>
                <w:bottom w:w="15" w:type="dxa"/>
                <w:right w:w="15" w:type="dxa"/>
              </w:tblCellMar>
            </w:tblPr>
            <w:tblGrid>
              <w:gridCol w:w="674"/>
              <w:gridCol w:w="1619"/>
              <w:gridCol w:w="904"/>
              <w:gridCol w:w="904"/>
              <w:gridCol w:w="1356"/>
              <w:gridCol w:w="2388"/>
            </w:tblGrid>
            <w:tr w14:paraId="332C92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blHeader/>
              </w:trPr>
              <w:tc>
                <w:tcPr>
                  <w:tcW w:w="429" w:type="pct"/>
                  <w:tcBorders>
                    <w:bottom w:val="single" w:color="000000" w:sz="12" w:space="0"/>
                  </w:tcBorders>
                  <w:noWrap w:val="0"/>
                  <w:tcMar>
                    <w:top w:w="120" w:type="dxa"/>
                    <w:left w:w="120" w:type="dxa"/>
                    <w:bottom w:w="120" w:type="dxa"/>
                    <w:right w:w="120" w:type="dxa"/>
                  </w:tcMar>
                  <w:vAlign w:val="center"/>
                </w:tcPr>
                <w:p w14:paraId="33CE0C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sz w:val="21"/>
                      <w:szCs w:val="21"/>
                    </w:rPr>
                  </w:pPr>
                  <w:r>
                    <w:rPr>
                      <w:rFonts w:hint="default" w:ascii="Times New Roman" w:hAnsi="Times New Roman" w:eastAsia="宋体" w:cs="Times New Roman"/>
                      <w:b/>
                      <w:bCs/>
                      <w:kern w:val="0"/>
                      <w:sz w:val="21"/>
                      <w:szCs w:val="21"/>
                      <w:lang w:val="en-US" w:eastAsia="zh-CN" w:bidi="ar"/>
                    </w:rPr>
                    <w:t>序号</w:t>
                  </w:r>
                </w:p>
              </w:tc>
              <w:tc>
                <w:tcPr>
                  <w:tcW w:w="1031" w:type="pct"/>
                  <w:tcBorders>
                    <w:bottom w:val="single" w:color="000000" w:sz="12" w:space="0"/>
                  </w:tcBorders>
                  <w:noWrap w:val="0"/>
                  <w:tcMar>
                    <w:top w:w="120" w:type="dxa"/>
                    <w:left w:w="120" w:type="dxa"/>
                    <w:bottom w:w="120" w:type="dxa"/>
                    <w:right w:w="120" w:type="dxa"/>
                  </w:tcMar>
                  <w:vAlign w:val="center"/>
                </w:tcPr>
                <w:p w14:paraId="5E5FF7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sz w:val="21"/>
                      <w:szCs w:val="21"/>
                    </w:rPr>
                  </w:pPr>
                  <w:r>
                    <w:rPr>
                      <w:rFonts w:hint="default" w:ascii="Times New Roman" w:hAnsi="Times New Roman" w:eastAsia="宋体" w:cs="Times New Roman"/>
                      <w:b/>
                      <w:bCs/>
                      <w:kern w:val="0"/>
                      <w:sz w:val="21"/>
                      <w:szCs w:val="21"/>
                      <w:lang w:val="en-US" w:eastAsia="zh-CN" w:bidi="ar"/>
                    </w:rPr>
                    <w:t>用水单元</w:t>
                  </w:r>
                </w:p>
              </w:tc>
              <w:tc>
                <w:tcPr>
                  <w:tcW w:w="576" w:type="pct"/>
                  <w:tcBorders>
                    <w:bottom w:val="single" w:color="000000" w:sz="12" w:space="0"/>
                  </w:tcBorders>
                  <w:noWrap w:val="0"/>
                  <w:tcMar>
                    <w:top w:w="120" w:type="dxa"/>
                    <w:left w:w="120" w:type="dxa"/>
                    <w:bottom w:w="120" w:type="dxa"/>
                    <w:right w:w="120" w:type="dxa"/>
                  </w:tcMar>
                  <w:vAlign w:val="center"/>
                </w:tcPr>
                <w:p w14:paraId="49B976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sz w:val="21"/>
                      <w:szCs w:val="21"/>
                    </w:rPr>
                  </w:pPr>
                  <w:r>
                    <w:rPr>
                      <w:rFonts w:hint="default" w:ascii="Times New Roman" w:hAnsi="Times New Roman" w:eastAsia="宋体" w:cs="Times New Roman"/>
                      <w:b/>
                      <w:bCs/>
                      <w:kern w:val="0"/>
                      <w:sz w:val="21"/>
                      <w:szCs w:val="21"/>
                      <w:lang w:val="en-US" w:eastAsia="zh-CN" w:bidi="ar"/>
                    </w:rPr>
                    <w:t>用水量</w:t>
                  </w:r>
                </w:p>
              </w:tc>
              <w:tc>
                <w:tcPr>
                  <w:tcW w:w="576" w:type="pct"/>
                  <w:tcBorders>
                    <w:bottom w:val="single" w:color="000000" w:sz="12" w:space="0"/>
                  </w:tcBorders>
                  <w:noWrap w:val="0"/>
                  <w:tcMar>
                    <w:top w:w="120" w:type="dxa"/>
                    <w:left w:w="120" w:type="dxa"/>
                    <w:bottom w:w="120" w:type="dxa"/>
                    <w:right w:w="120" w:type="dxa"/>
                  </w:tcMar>
                  <w:vAlign w:val="center"/>
                </w:tcPr>
                <w:p w14:paraId="6208B7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sz w:val="21"/>
                      <w:szCs w:val="21"/>
                    </w:rPr>
                  </w:pPr>
                  <w:r>
                    <w:rPr>
                      <w:rFonts w:hint="default" w:ascii="Times New Roman" w:hAnsi="Times New Roman" w:eastAsia="宋体" w:cs="Times New Roman"/>
                      <w:b/>
                      <w:bCs/>
                      <w:kern w:val="0"/>
                      <w:sz w:val="21"/>
                      <w:szCs w:val="21"/>
                      <w:lang w:val="en-US" w:eastAsia="zh-CN" w:bidi="ar"/>
                    </w:rPr>
                    <w:t>排水量</w:t>
                  </w:r>
                </w:p>
              </w:tc>
              <w:tc>
                <w:tcPr>
                  <w:tcW w:w="864" w:type="pct"/>
                  <w:tcBorders>
                    <w:bottom w:val="single" w:color="000000" w:sz="12" w:space="0"/>
                  </w:tcBorders>
                  <w:noWrap w:val="0"/>
                  <w:tcMar>
                    <w:top w:w="120" w:type="dxa"/>
                    <w:left w:w="120" w:type="dxa"/>
                    <w:bottom w:w="120" w:type="dxa"/>
                    <w:right w:w="120" w:type="dxa"/>
                  </w:tcMar>
                  <w:vAlign w:val="center"/>
                </w:tcPr>
                <w:p w14:paraId="6DB091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sz w:val="21"/>
                      <w:szCs w:val="21"/>
                    </w:rPr>
                  </w:pPr>
                  <w:r>
                    <w:rPr>
                      <w:rFonts w:hint="default" w:ascii="Times New Roman" w:hAnsi="Times New Roman" w:eastAsia="宋体" w:cs="Times New Roman"/>
                      <w:b/>
                      <w:bCs/>
                      <w:kern w:val="0"/>
                      <w:sz w:val="21"/>
                      <w:szCs w:val="21"/>
                      <w:lang w:val="en-US" w:eastAsia="zh-CN" w:bidi="ar"/>
                    </w:rPr>
                    <w:t>损耗/消纳量</w:t>
                  </w:r>
                </w:p>
              </w:tc>
              <w:tc>
                <w:tcPr>
                  <w:tcW w:w="1521" w:type="pct"/>
                  <w:tcBorders>
                    <w:bottom w:val="single" w:color="000000" w:sz="12" w:space="0"/>
                  </w:tcBorders>
                  <w:noWrap w:val="0"/>
                  <w:tcMar>
                    <w:top w:w="120" w:type="dxa"/>
                    <w:left w:w="120" w:type="dxa"/>
                    <w:bottom w:w="120" w:type="dxa"/>
                    <w:right w:w="120" w:type="dxa"/>
                  </w:tcMar>
                  <w:vAlign w:val="center"/>
                </w:tcPr>
                <w:p w14:paraId="514C00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sz w:val="21"/>
                      <w:szCs w:val="21"/>
                    </w:rPr>
                  </w:pPr>
                  <w:r>
                    <w:rPr>
                      <w:rFonts w:hint="default" w:ascii="Times New Roman" w:hAnsi="Times New Roman" w:eastAsia="宋体" w:cs="Times New Roman"/>
                      <w:b/>
                      <w:bCs/>
                      <w:kern w:val="0"/>
                      <w:sz w:val="21"/>
                      <w:szCs w:val="21"/>
                      <w:lang w:val="en-US" w:eastAsia="zh-CN" w:bidi="ar"/>
                    </w:rPr>
                    <w:t>排水去向</w:t>
                  </w:r>
                </w:p>
              </w:tc>
            </w:tr>
            <w:tr w14:paraId="13305C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c>
                <w:tcPr>
                  <w:tcW w:w="429" w:type="pct"/>
                  <w:tcBorders>
                    <w:top w:val="single" w:color="000000" w:sz="12" w:space="0"/>
                    <w:tl2br w:val="nil"/>
                    <w:tr2bl w:val="nil"/>
                  </w:tcBorders>
                  <w:noWrap w:val="0"/>
                  <w:tcMar>
                    <w:top w:w="120" w:type="dxa"/>
                    <w:left w:w="120" w:type="dxa"/>
                    <w:bottom w:w="120" w:type="dxa"/>
                    <w:right w:w="120" w:type="dxa"/>
                  </w:tcMar>
                  <w:vAlign w:val="center"/>
                </w:tcPr>
                <w:p w14:paraId="47F0E2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1</w:t>
                  </w:r>
                </w:p>
              </w:tc>
              <w:tc>
                <w:tcPr>
                  <w:tcW w:w="1031" w:type="pct"/>
                  <w:tcBorders>
                    <w:top w:val="single" w:color="000000" w:sz="12" w:space="0"/>
                    <w:tl2br w:val="nil"/>
                    <w:tr2bl w:val="nil"/>
                  </w:tcBorders>
                  <w:noWrap w:val="0"/>
                  <w:tcMar>
                    <w:top w:w="120" w:type="dxa"/>
                    <w:left w:w="120" w:type="dxa"/>
                    <w:bottom w:w="120" w:type="dxa"/>
                    <w:right w:w="120" w:type="dxa"/>
                  </w:tcMar>
                  <w:vAlign w:val="center"/>
                </w:tcPr>
                <w:p w14:paraId="38A964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民宿客房</w:t>
                  </w:r>
                </w:p>
              </w:tc>
              <w:tc>
                <w:tcPr>
                  <w:tcW w:w="576" w:type="pct"/>
                  <w:tcBorders>
                    <w:top w:val="single" w:color="000000" w:sz="12" w:space="0"/>
                    <w:tl2br w:val="nil"/>
                    <w:tr2bl w:val="nil"/>
                  </w:tcBorders>
                  <w:noWrap w:val="0"/>
                  <w:tcMar>
                    <w:top w:w="120" w:type="dxa"/>
                    <w:left w:w="120" w:type="dxa"/>
                    <w:bottom w:w="120" w:type="dxa"/>
                    <w:right w:w="120" w:type="dxa"/>
                  </w:tcMar>
                  <w:vAlign w:val="center"/>
                </w:tcPr>
                <w:p w14:paraId="24F7BC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40.80</w:t>
                  </w:r>
                </w:p>
              </w:tc>
              <w:tc>
                <w:tcPr>
                  <w:tcW w:w="576" w:type="pct"/>
                  <w:tcBorders>
                    <w:top w:val="single" w:color="000000" w:sz="12" w:space="0"/>
                    <w:tl2br w:val="nil"/>
                    <w:tr2bl w:val="nil"/>
                  </w:tcBorders>
                  <w:noWrap w:val="0"/>
                  <w:tcMar>
                    <w:top w:w="120" w:type="dxa"/>
                    <w:left w:w="120" w:type="dxa"/>
                    <w:bottom w:w="120" w:type="dxa"/>
                    <w:right w:w="120" w:type="dxa"/>
                  </w:tcMar>
                  <w:vAlign w:val="center"/>
                </w:tcPr>
                <w:p w14:paraId="2B6C3E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32.64</w:t>
                  </w:r>
                </w:p>
              </w:tc>
              <w:tc>
                <w:tcPr>
                  <w:tcW w:w="864" w:type="pct"/>
                  <w:tcBorders>
                    <w:top w:val="single" w:color="000000" w:sz="12" w:space="0"/>
                    <w:tl2br w:val="nil"/>
                    <w:tr2bl w:val="nil"/>
                  </w:tcBorders>
                  <w:noWrap w:val="0"/>
                  <w:tcMar>
                    <w:top w:w="120" w:type="dxa"/>
                    <w:left w:w="120" w:type="dxa"/>
                    <w:bottom w:w="120" w:type="dxa"/>
                    <w:right w:w="120" w:type="dxa"/>
                  </w:tcMar>
                  <w:vAlign w:val="center"/>
                </w:tcPr>
                <w:p w14:paraId="54B3F3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8.16</w:t>
                  </w:r>
                </w:p>
              </w:tc>
              <w:tc>
                <w:tcPr>
                  <w:tcW w:w="1521" w:type="pct"/>
                  <w:tcBorders>
                    <w:top w:val="single" w:color="000000" w:sz="12" w:space="0"/>
                    <w:tl2br w:val="nil"/>
                    <w:tr2bl w:val="nil"/>
                  </w:tcBorders>
                  <w:noWrap w:val="0"/>
                  <w:tcMar>
                    <w:top w:w="120" w:type="dxa"/>
                    <w:left w:w="120" w:type="dxa"/>
                    <w:bottom w:w="120" w:type="dxa"/>
                    <w:right w:w="120" w:type="dxa"/>
                  </w:tcMar>
                  <w:vAlign w:val="center"/>
                </w:tcPr>
                <w:p w14:paraId="12761F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生活污水→化粪池→定期由吸污车抽出运至阜康市污水处理厂处理</w:t>
                  </w:r>
                </w:p>
              </w:tc>
            </w:tr>
            <w:tr w14:paraId="65B587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c>
                <w:tcPr>
                  <w:tcW w:w="429" w:type="pct"/>
                  <w:tcBorders>
                    <w:tl2br w:val="nil"/>
                    <w:tr2bl w:val="nil"/>
                  </w:tcBorders>
                  <w:noWrap w:val="0"/>
                  <w:tcMar>
                    <w:top w:w="120" w:type="dxa"/>
                    <w:left w:w="120" w:type="dxa"/>
                    <w:bottom w:w="120" w:type="dxa"/>
                    <w:right w:w="120" w:type="dxa"/>
                  </w:tcMar>
                  <w:vAlign w:val="center"/>
                </w:tcPr>
                <w:p w14:paraId="4AB324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2</w:t>
                  </w:r>
                </w:p>
              </w:tc>
              <w:tc>
                <w:tcPr>
                  <w:tcW w:w="1031" w:type="pct"/>
                  <w:tcBorders>
                    <w:tl2br w:val="nil"/>
                    <w:tr2bl w:val="nil"/>
                  </w:tcBorders>
                  <w:noWrap w:val="0"/>
                  <w:tcMar>
                    <w:top w:w="120" w:type="dxa"/>
                    <w:left w:w="120" w:type="dxa"/>
                    <w:bottom w:w="120" w:type="dxa"/>
                    <w:right w:w="120" w:type="dxa"/>
                  </w:tcMar>
                  <w:vAlign w:val="center"/>
                </w:tcPr>
                <w:p w14:paraId="570934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乡村会客厅综合体</w:t>
                  </w:r>
                </w:p>
              </w:tc>
              <w:tc>
                <w:tcPr>
                  <w:tcW w:w="576" w:type="pct"/>
                  <w:tcBorders>
                    <w:tl2br w:val="nil"/>
                    <w:tr2bl w:val="nil"/>
                  </w:tcBorders>
                  <w:noWrap w:val="0"/>
                  <w:tcMar>
                    <w:top w:w="120" w:type="dxa"/>
                    <w:left w:w="120" w:type="dxa"/>
                    <w:bottom w:w="120" w:type="dxa"/>
                    <w:right w:w="120" w:type="dxa"/>
                  </w:tcMar>
                  <w:vAlign w:val="center"/>
                </w:tcPr>
                <w:p w14:paraId="760C5F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13.72</w:t>
                  </w:r>
                </w:p>
              </w:tc>
              <w:tc>
                <w:tcPr>
                  <w:tcW w:w="576" w:type="pct"/>
                  <w:tcBorders>
                    <w:tl2br w:val="nil"/>
                    <w:tr2bl w:val="nil"/>
                  </w:tcBorders>
                  <w:noWrap w:val="0"/>
                  <w:tcMar>
                    <w:top w:w="120" w:type="dxa"/>
                    <w:left w:w="120" w:type="dxa"/>
                    <w:bottom w:w="120" w:type="dxa"/>
                    <w:right w:w="120" w:type="dxa"/>
                  </w:tcMar>
                  <w:vAlign w:val="center"/>
                </w:tcPr>
                <w:p w14:paraId="612732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10.98</w:t>
                  </w:r>
                </w:p>
              </w:tc>
              <w:tc>
                <w:tcPr>
                  <w:tcW w:w="864" w:type="pct"/>
                  <w:tcBorders>
                    <w:tl2br w:val="nil"/>
                    <w:tr2bl w:val="nil"/>
                  </w:tcBorders>
                  <w:noWrap w:val="0"/>
                  <w:tcMar>
                    <w:top w:w="120" w:type="dxa"/>
                    <w:left w:w="120" w:type="dxa"/>
                    <w:bottom w:w="120" w:type="dxa"/>
                    <w:right w:w="120" w:type="dxa"/>
                  </w:tcMar>
                  <w:vAlign w:val="center"/>
                </w:tcPr>
                <w:p w14:paraId="5987DD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2.74</w:t>
                  </w:r>
                </w:p>
              </w:tc>
              <w:tc>
                <w:tcPr>
                  <w:tcW w:w="1521" w:type="pct"/>
                  <w:tcBorders>
                    <w:tl2br w:val="nil"/>
                    <w:tr2bl w:val="nil"/>
                  </w:tcBorders>
                  <w:noWrap w:val="0"/>
                  <w:tcMar>
                    <w:top w:w="120" w:type="dxa"/>
                    <w:left w:w="120" w:type="dxa"/>
                    <w:bottom w:w="120" w:type="dxa"/>
                    <w:right w:w="120" w:type="dxa"/>
                  </w:tcMar>
                  <w:vAlign w:val="center"/>
                </w:tcPr>
                <w:p w14:paraId="43CCBE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生活污水→化粪池→定期由吸污车抽出运至阜康市污水处理厂处理</w:t>
                  </w:r>
                </w:p>
              </w:tc>
            </w:tr>
            <w:tr w14:paraId="396550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c>
                <w:tcPr>
                  <w:tcW w:w="429" w:type="pct"/>
                  <w:tcBorders>
                    <w:tl2br w:val="nil"/>
                    <w:tr2bl w:val="nil"/>
                  </w:tcBorders>
                  <w:noWrap w:val="0"/>
                  <w:tcMar>
                    <w:top w:w="120" w:type="dxa"/>
                    <w:left w:w="120" w:type="dxa"/>
                    <w:bottom w:w="120" w:type="dxa"/>
                    <w:right w:w="120" w:type="dxa"/>
                  </w:tcMar>
                  <w:vAlign w:val="center"/>
                </w:tcPr>
                <w:p w14:paraId="6AB19D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3</w:t>
                  </w:r>
                </w:p>
              </w:tc>
              <w:tc>
                <w:tcPr>
                  <w:tcW w:w="1031" w:type="pct"/>
                  <w:tcBorders>
                    <w:tl2br w:val="nil"/>
                    <w:tr2bl w:val="nil"/>
                  </w:tcBorders>
                  <w:noWrap w:val="0"/>
                  <w:tcMar>
                    <w:top w:w="120" w:type="dxa"/>
                    <w:left w:w="120" w:type="dxa"/>
                    <w:bottom w:w="120" w:type="dxa"/>
                    <w:right w:w="120" w:type="dxa"/>
                  </w:tcMar>
                  <w:vAlign w:val="center"/>
                </w:tcPr>
                <w:p w14:paraId="5FEFC2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室外绿化及道路浇洒</w:t>
                  </w:r>
                </w:p>
              </w:tc>
              <w:tc>
                <w:tcPr>
                  <w:tcW w:w="576" w:type="pct"/>
                  <w:tcBorders>
                    <w:tl2br w:val="nil"/>
                    <w:tr2bl w:val="nil"/>
                  </w:tcBorders>
                  <w:noWrap w:val="0"/>
                  <w:tcMar>
                    <w:top w:w="120" w:type="dxa"/>
                    <w:left w:w="120" w:type="dxa"/>
                    <w:bottom w:w="120" w:type="dxa"/>
                    <w:right w:w="120" w:type="dxa"/>
                  </w:tcMar>
                  <w:vAlign w:val="center"/>
                </w:tcPr>
                <w:p w14:paraId="0EAEDE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2.05</w:t>
                  </w:r>
                </w:p>
              </w:tc>
              <w:tc>
                <w:tcPr>
                  <w:tcW w:w="576" w:type="pct"/>
                  <w:tcBorders>
                    <w:tl2br w:val="nil"/>
                    <w:tr2bl w:val="nil"/>
                  </w:tcBorders>
                  <w:noWrap w:val="0"/>
                  <w:tcMar>
                    <w:top w:w="120" w:type="dxa"/>
                    <w:left w:w="120" w:type="dxa"/>
                    <w:bottom w:w="120" w:type="dxa"/>
                    <w:right w:w="120" w:type="dxa"/>
                  </w:tcMar>
                  <w:vAlign w:val="center"/>
                </w:tcPr>
                <w:p w14:paraId="52909C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w:t>
                  </w:r>
                </w:p>
              </w:tc>
              <w:tc>
                <w:tcPr>
                  <w:tcW w:w="864" w:type="pct"/>
                  <w:tcBorders>
                    <w:tl2br w:val="nil"/>
                    <w:tr2bl w:val="nil"/>
                  </w:tcBorders>
                  <w:noWrap w:val="0"/>
                  <w:tcMar>
                    <w:top w:w="120" w:type="dxa"/>
                    <w:left w:w="120" w:type="dxa"/>
                    <w:bottom w:w="120" w:type="dxa"/>
                    <w:right w:w="120" w:type="dxa"/>
                  </w:tcMar>
                  <w:vAlign w:val="center"/>
                </w:tcPr>
                <w:p w14:paraId="697391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2.05</w:t>
                  </w:r>
                </w:p>
              </w:tc>
              <w:tc>
                <w:tcPr>
                  <w:tcW w:w="1521" w:type="pct"/>
                  <w:tcBorders>
                    <w:tl2br w:val="nil"/>
                    <w:tr2bl w:val="nil"/>
                  </w:tcBorders>
                  <w:noWrap w:val="0"/>
                  <w:tcMar>
                    <w:top w:w="120" w:type="dxa"/>
                    <w:left w:w="120" w:type="dxa"/>
                    <w:bottom w:w="120" w:type="dxa"/>
                    <w:right w:w="120" w:type="dxa"/>
                  </w:tcMar>
                  <w:vAlign w:val="center"/>
                </w:tcPr>
                <w:p w14:paraId="79F764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全部蒸发、下渗损耗，不产生污水</w:t>
                  </w:r>
                </w:p>
              </w:tc>
            </w:tr>
            <w:tr w14:paraId="22A454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c>
                <w:tcPr>
                  <w:tcW w:w="429" w:type="pct"/>
                  <w:tcBorders>
                    <w:tl2br w:val="nil"/>
                    <w:tr2bl w:val="nil"/>
                  </w:tcBorders>
                  <w:noWrap w:val="0"/>
                  <w:tcMar>
                    <w:top w:w="120" w:type="dxa"/>
                    <w:left w:w="120" w:type="dxa"/>
                    <w:bottom w:w="120" w:type="dxa"/>
                    <w:right w:w="120" w:type="dxa"/>
                  </w:tcMar>
                  <w:vAlign w:val="center"/>
                </w:tcPr>
                <w:p w14:paraId="1D928C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4</w:t>
                  </w:r>
                </w:p>
              </w:tc>
              <w:tc>
                <w:tcPr>
                  <w:tcW w:w="1031" w:type="pct"/>
                  <w:tcBorders>
                    <w:tl2br w:val="nil"/>
                    <w:tr2bl w:val="nil"/>
                  </w:tcBorders>
                  <w:noWrap w:val="0"/>
                  <w:tcMar>
                    <w:top w:w="120" w:type="dxa"/>
                    <w:left w:w="120" w:type="dxa"/>
                    <w:bottom w:w="120" w:type="dxa"/>
                    <w:right w:w="120" w:type="dxa"/>
                  </w:tcMar>
                  <w:vAlign w:val="center"/>
                </w:tcPr>
                <w:p w14:paraId="519B2F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管理及服务人员</w:t>
                  </w:r>
                </w:p>
              </w:tc>
              <w:tc>
                <w:tcPr>
                  <w:tcW w:w="576" w:type="pct"/>
                  <w:tcBorders>
                    <w:tl2br w:val="nil"/>
                    <w:tr2bl w:val="nil"/>
                  </w:tcBorders>
                  <w:noWrap w:val="0"/>
                  <w:tcMar>
                    <w:top w:w="120" w:type="dxa"/>
                    <w:left w:w="120" w:type="dxa"/>
                    <w:bottom w:w="120" w:type="dxa"/>
                    <w:right w:w="120" w:type="dxa"/>
                  </w:tcMar>
                  <w:vAlign w:val="center"/>
                </w:tcPr>
                <w:p w14:paraId="23E0DA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2.00</w:t>
                  </w:r>
                </w:p>
              </w:tc>
              <w:tc>
                <w:tcPr>
                  <w:tcW w:w="576" w:type="pct"/>
                  <w:tcBorders>
                    <w:tl2br w:val="nil"/>
                    <w:tr2bl w:val="nil"/>
                  </w:tcBorders>
                  <w:noWrap w:val="0"/>
                  <w:tcMar>
                    <w:top w:w="120" w:type="dxa"/>
                    <w:left w:w="120" w:type="dxa"/>
                    <w:bottom w:w="120" w:type="dxa"/>
                    <w:right w:w="120" w:type="dxa"/>
                  </w:tcMar>
                  <w:vAlign w:val="center"/>
                </w:tcPr>
                <w:p w14:paraId="72C003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1.6</w:t>
                  </w:r>
                </w:p>
              </w:tc>
              <w:tc>
                <w:tcPr>
                  <w:tcW w:w="864" w:type="pct"/>
                  <w:tcBorders>
                    <w:tl2br w:val="nil"/>
                    <w:tr2bl w:val="nil"/>
                  </w:tcBorders>
                  <w:noWrap w:val="0"/>
                  <w:tcMar>
                    <w:top w:w="120" w:type="dxa"/>
                    <w:left w:w="120" w:type="dxa"/>
                    <w:bottom w:w="120" w:type="dxa"/>
                    <w:right w:w="120" w:type="dxa"/>
                  </w:tcMar>
                  <w:vAlign w:val="center"/>
                </w:tcPr>
                <w:p w14:paraId="25AB2F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0.40</w:t>
                  </w:r>
                </w:p>
              </w:tc>
              <w:tc>
                <w:tcPr>
                  <w:tcW w:w="1521" w:type="pct"/>
                  <w:tcBorders>
                    <w:tl2br w:val="nil"/>
                    <w:tr2bl w:val="nil"/>
                  </w:tcBorders>
                  <w:noWrap w:val="0"/>
                  <w:tcMar>
                    <w:top w:w="120" w:type="dxa"/>
                    <w:left w:w="120" w:type="dxa"/>
                    <w:bottom w:w="120" w:type="dxa"/>
                    <w:right w:w="120" w:type="dxa"/>
                  </w:tcMar>
                  <w:vAlign w:val="center"/>
                </w:tcPr>
                <w:p w14:paraId="5805AB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生活污水→化粪池→定期由吸污车抽出运至阜康市污水处理厂处理</w:t>
                  </w:r>
                </w:p>
              </w:tc>
            </w:tr>
            <w:tr w14:paraId="57025F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c>
                <w:tcPr>
                  <w:tcW w:w="429" w:type="pct"/>
                  <w:tcBorders>
                    <w:tl2br w:val="nil"/>
                    <w:tr2bl w:val="nil"/>
                  </w:tcBorders>
                  <w:noWrap w:val="0"/>
                  <w:tcMar>
                    <w:top w:w="120" w:type="dxa"/>
                    <w:left w:w="120" w:type="dxa"/>
                    <w:bottom w:w="120" w:type="dxa"/>
                    <w:right w:w="120" w:type="dxa"/>
                  </w:tcMar>
                  <w:vAlign w:val="center"/>
                </w:tcPr>
                <w:p w14:paraId="0EA68A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5</w:t>
                  </w:r>
                </w:p>
              </w:tc>
              <w:tc>
                <w:tcPr>
                  <w:tcW w:w="1031" w:type="pct"/>
                  <w:tcBorders>
                    <w:tl2br w:val="nil"/>
                    <w:tr2bl w:val="nil"/>
                  </w:tcBorders>
                  <w:noWrap w:val="0"/>
                  <w:tcMar>
                    <w:top w:w="120" w:type="dxa"/>
                    <w:left w:w="120" w:type="dxa"/>
                    <w:bottom w:w="120" w:type="dxa"/>
                    <w:right w:w="120" w:type="dxa"/>
                  </w:tcMar>
                  <w:vAlign w:val="center"/>
                </w:tcPr>
                <w:p w14:paraId="221B24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不可预见用水</w:t>
                  </w:r>
                </w:p>
              </w:tc>
              <w:tc>
                <w:tcPr>
                  <w:tcW w:w="576" w:type="pct"/>
                  <w:tcBorders>
                    <w:tl2br w:val="nil"/>
                    <w:tr2bl w:val="nil"/>
                  </w:tcBorders>
                  <w:noWrap w:val="0"/>
                  <w:tcMar>
                    <w:top w:w="120" w:type="dxa"/>
                    <w:left w:w="120" w:type="dxa"/>
                    <w:bottom w:w="120" w:type="dxa"/>
                    <w:right w:w="120" w:type="dxa"/>
                  </w:tcMar>
                  <w:vAlign w:val="center"/>
                </w:tcPr>
                <w:p w14:paraId="31AD9A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5.86</w:t>
                  </w:r>
                </w:p>
              </w:tc>
              <w:tc>
                <w:tcPr>
                  <w:tcW w:w="576" w:type="pct"/>
                  <w:tcBorders>
                    <w:tl2br w:val="nil"/>
                    <w:tr2bl w:val="nil"/>
                  </w:tcBorders>
                  <w:noWrap w:val="0"/>
                  <w:tcMar>
                    <w:top w:w="120" w:type="dxa"/>
                    <w:left w:w="120" w:type="dxa"/>
                    <w:bottom w:w="120" w:type="dxa"/>
                    <w:right w:w="120" w:type="dxa"/>
                  </w:tcMar>
                  <w:vAlign w:val="center"/>
                </w:tcPr>
                <w:p w14:paraId="3AF4B3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4.69</w:t>
                  </w:r>
                </w:p>
              </w:tc>
              <w:tc>
                <w:tcPr>
                  <w:tcW w:w="864" w:type="pct"/>
                  <w:tcBorders>
                    <w:tl2br w:val="nil"/>
                    <w:tr2bl w:val="nil"/>
                  </w:tcBorders>
                  <w:noWrap w:val="0"/>
                  <w:tcMar>
                    <w:top w:w="120" w:type="dxa"/>
                    <w:left w:w="120" w:type="dxa"/>
                    <w:bottom w:w="120" w:type="dxa"/>
                    <w:right w:w="120" w:type="dxa"/>
                  </w:tcMar>
                  <w:vAlign w:val="center"/>
                </w:tcPr>
                <w:p w14:paraId="3DBA97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1.17</w:t>
                  </w:r>
                </w:p>
              </w:tc>
              <w:tc>
                <w:tcPr>
                  <w:tcW w:w="1521" w:type="pct"/>
                  <w:tcBorders>
                    <w:tl2br w:val="nil"/>
                    <w:tr2bl w:val="nil"/>
                  </w:tcBorders>
                  <w:noWrap w:val="0"/>
                  <w:tcMar>
                    <w:top w:w="120" w:type="dxa"/>
                    <w:left w:w="120" w:type="dxa"/>
                    <w:bottom w:w="120" w:type="dxa"/>
                    <w:right w:w="120" w:type="dxa"/>
                  </w:tcMar>
                  <w:vAlign w:val="center"/>
                </w:tcPr>
                <w:p w14:paraId="231491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随各单元污水一并收集处理</w:t>
                  </w:r>
                </w:p>
              </w:tc>
            </w:tr>
            <w:tr w14:paraId="0810DB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c>
                <w:tcPr>
                  <w:tcW w:w="429" w:type="pct"/>
                  <w:tcBorders>
                    <w:tl2br w:val="nil"/>
                    <w:tr2bl w:val="nil"/>
                  </w:tcBorders>
                  <w:noWrap w:val="0"/>
                  <w:tcMar>
                    <w:top w:w="120" w:type="dxa"/>
                    <w:left w:w="120" w:type="dxa"/>
                    <w:bottom w:w="120" w:type="dxa"/>
                    <w:right w:w="120" w:type="dxa"/>
                  </w:tcMar>
                  <w:vAlign w:val="center"/>
                </w:tcPr>
                <w:p w14:paraId="0D5AE2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Style w:val="35"/>
                      <w:rFonts w:hint="default" w:ascii="Times New Roman" w:hAnsi="Times New Roman" w:eastAsia="宋体" w:cs="Times New Roman"/>
                      <w:kern w:val="0"/>
                      <w:sz w:val="21"/>
                      <w:szCs w:val="21"/>
                      <w:lang w:val="en-US" w:eastAsia="zh-CN" w:bidi="ar"/>
                    </w:rPr>
                    <w:t>合计</w:t>
                  </w:r>
                </w:p>
              </w:tc>
              <w:tc>
                <w:tcPr>
                  <w:tcW w:w="1031" w:type="pct"/>
                  <w:tcBorders>
                    <w:tl2br w:val="nil"/>
                    <w:tr2bl w:val="nil"/>
                  </w:tcBorders>
                  <w:noWrap w:val="0"/>
                  <w:tcMar>
                    <w:top w:w="120" w:type="dxa"/>
                    <w:left w:w="120" w:type="dxa"/>
                    <w:bottom w:w="120" w:type="dxa"/>
                    <w:right w:w="120" w:type="dxa"/>
                  </w:tcMar>
                  <w:vAlign w:val="center"/>
                </w:tcPr>
                <w:p w14:paraId="530A78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Style w:val="35"/>
                      <w:rFonts w:hint="default" w:ascii="Times New Roman" w:hAnsi="Times New Roman" w:eastAsia="宋体" w:cs="Times New Roman"/>
                      <w:kern w:val="0"/>
                      <w:sz w:val="21"/>
                      <w:szCs w:val="21"/>
                      <w:lang w:val="en-US" w:eastAsia="zh-CN" w:bidi="ar"/>
                    </w:rPr>
                    <w:t>—</w:t>
                  </w:r>
                </w:p>
              </w:tc>
              <w:tc>
                <w:tcPr>
                  <w:tcW w:w="576" w:type="pct"/>
                  <w:tcBorders>
                    <w:tl2br w:val="nil"/>
                    <w:tr2bl w:val="nil"/>
                  </w:tcBorders>
                  <w:noWrap w:val="0"/>
                  <w:tcMar>
                    <w:top w:w="120" w:type="dxa"/>
                    <w:left w:w="120" w:type="dxa"/>
                    <w:bottom w:w="120" w:type="dxa"/>
                    <w:right w:w="120" w:type="dxa"/>
                  </w:tcMar>
                  <w:vAlign w:val="center"/>
                </w:tcPr>
                <w:p w14:paraId="7E0BFD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64.43</w:t>
                  </w:r>
                </w:p>
              </w:tc>
              <w:tc>
                <w:tcPr>
                  <w:tcW w:w="576" w:type="pct"/>
                  <w:tcBorders>
                    <w:tl2br w:val="nil"/>
                    <w:tr2bl w:val="nil"/>
                  </w:tcBorders>
                  <w:noWrap w:val="0"/>
                  <w:tcMar>
                    <w:top w:w="120" w:type="dxa"/>
                    <w:left w:w="120" w:type="dxa"/>
                    <w:bottom w:w="120" w:type="dxa"/>
                    <w:right w:w="120" w:type="dxa"/>
                  </w:tcMar>
                  <w:vAlign w:val="center"/>
                </w:tcPr>
                <w:p w14:paraId="42B407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49.91</w:t>
                  </w:r>
                </w:p>
              </w:tc>
              <w:tc>
                <w:tcPr>
                  <w:tcW w:w="864" w:type="pct"/>
                  <w:tcBorders>
                    <w:tl2br w:val="nil"/>
                    <w:tr2bl w:val="nil"/>
                  </w:tcBorders>
                  <w:noWrap w:val="0"/>
                  <w:tcMar>
                    <w:top w:w="120" w:type="dxa"/>
                    <w:left w:w="120" w:type="dxa"/>
                    <w:bottom w:w="120" w:type="dxa"/>
                    <w:right w:w="120" w:type="dxa"/>
                  </w:tcMar>
                  <w:vAlign w:val="center"/>
                </w:tcPr>
                <w:p w14:paraId="3AFDC4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14.52</w:t>
                  </w:r>
                </w:p>
              </w:tc>
              <w:tc>
                <w:tcPr>
                  <w:tcW w:w="1521" w:type="pct"/>
                  <w:tcBorders>
                    <w:tl2br w:val="nil"/>
                    <w:tr2bl w:val="nil"/>
                  </w:tcBorders>
                  <w:noWrap w:val="0"/>
                  <w:tcMar>
                    <w:top w:w="120" w:type="dxa"/>
                    <w:left w:w="120" w:type="dxa"/>
                    <w:bottom w:w="120" w:type="dxa"/>
                    <w:right w:w="120" w:type="dxa"/>
                  </w:tcMar>
                  <w:vAlign w:val="center"/>
                </w:tcPr>
                <w:p w14:paraId="5C4535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bl>
          <w:p w14:paraId="034914D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left"/>
              <w:textAlignment w:val="auto"/>
              <w:rPr>
                <w:rFonts w:hint="eastAsia" w:ascii="Times New Roman" w:hAnsi="Times New Roman" w:eastAsia="宋体" w:cs="Times New Roman"/>
                <w:b/>
                <w:bCs/>
                <w:color w:val="000000"/>
                <w:kern w:val="0"/>
                <w:szCs w:val="21"/>
                <w:highlight w:val="none"/>
                <w:lang w:val="en-US" w:eastAsia="zh-CN"/>
              </w:rPr>
            </w:pPr>
          </w:p>
          <w:p w14:paraId="6B8B715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left"/>
              <w:textAlignment w:val="auto"/>
              <w:rPr>
                <w:rFonts w:hint="eastAsia" w:ascii="Times New Roman" w:hAnsi="Times New Roman" w:eastAsia="宋体" w:cs="Times New Roman"/>
                <w:b/>
                <w:bCs/>
                <w:color w:val="000000"/>
                <w:kern w:val="0"/>
                <w:szCs w:val="21"/>
                <w:highlight w:val="none"/>
                <w:lang w:val="en-US" w:eastAsia="zh-CN"/>
              </w:rPr>
            </w:pPr>
            <w:r>
              <w:rPr>
                <w:rFonts w:hint="default" w:ascii="Times New Roman" w:hAnsi="Times New Roman" w:cs="Times New Roman"/>
                <w:sz w:val="21"/>
                <w:szCs w:val="21"/>
              </w:rPr>
              <w:drawing>
                <wp:inline distT="0" distB="0" distL="114300" distR="114300">
                  <wp:extent cx="4934585" cy="4246880"/>
                  <wp:effectExtent l="0" t="0" r="18415" b="1270"/>
                  <wp:docPr id="29" name="F360BE8B-6686-4F3D-AEAF-501FE73E4058-1" descr="绘图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360BE8B-6686-4F3D-AEAF-501FE73E4058-1" descr="绘图1(6)"/>
                          <pic:cNvPicPr>
                            <a:picLocks noChangeAspect="1"/>
                          </pic:cNvPicPr>
                        </pic:nvPicPr>
                        <pic:blipFill>
                          <a:blip r:embed="rId19"/>
                          <a:stretch>
                            <a:fillRect/>
                          </a:stretch>
                        </pic:blipFill>
                        <pic:spPr>
                          <a:xfrm>
                            <a:off x="0" y="0"/>
                            <a:ext cx="4934585" cy="4246880"/>
                          </a:xfrm>
                          <a:prstGeom prst="rect">
                            <a:avLst/>
                          </a:prstGeom>
                          <a:noFill/>
                          <a:ln>
                            <a:noFill/>
                          </a:ln>
                        </pic:spPr>
                      </pic:pic>
                    </a:graphicData>
                  </a:graphic>
                </wp:inline>
              </w:drawing>
            </w:r>
          </w:p>
          <w:p w14:paraId="6FBFA2C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bCs/>
                <w:color w:val="000000"/>
                <w:kern w:val="0"/>
                <w:szCs w:val="21"/>
                <w:highlight w:val="none"/>
                <w:lang w:val="en-US" w:eastAsia="zh-CN"/>
              </w:rPr>
            </w:pPr>
            <w:r>
              <w:rPr>
                <w:rFonts w:hint="eastAsia" w:ascii="Times New Roman" w:hAnsi="Times New Roman" w:eastAsia="宋体" w:cs="Times New Roman"/>
                <w:b/>
                <w:bCs/>
                <w:color w:val="000000"/>
                <w:kern w:val="0"/>
                <w:sz w:val="21"/>
                <w:szCs w:val="21"/>
                <w:highlight w:val="none"/>
                <w:lang w:val="en-US" w:eastAsia="zh-CN"/>
              </w:rPr>
              <w:t>图2-3本项目水平衡图   m</w:t>
            </w:r>
            <w:r>
              <w:rPr>
                <w:rFonts w:hint="eastAsia" w:ascii="Times New Roman" w:hAnsi="Times New Roman" w:eastAsia="宋体" w:cs="Times New Roman"/>
                <w:b/>
                <w:bCs/>
                <w:color w:val="000000"/>
                <w:kern w:val="0"/>
                <w:sz w:val="21"/>
                <w:szCs w:val="21"/>
                <w:highlight w:val="none"/>
                <w:vertAlign w:val="superscript"/>
                <w:lang w:val="en-US" w:eastAsia="zh-CN"/>
              </w:rPr>
              <w:t>3</w:t>
            </w:r>
            <w:r>
              <w:rPr>
                <w:rFonts w:hint="eastAsia" w:ascii="Times New Roman" w:hAnsi="Times New Roman" w:eastAsia="宋体" w:cs="Times New Roman"/>
                <w:b/>
                <w:bCs/>
                <w:color w:val="000000"/>
                <w:kern w:val="0"/>
                <w:sz w:val="21"/>
                <w:szCs w:val="21"/>
                <w:highlight w:val="none"/>
                <w:lang w:val="en-US" w:eastAsia="zh-CN"/>
              </w:rPr>
              <w:t>/d</w:t>
            </w:r>
          </w:p>
          <w:p w14:paraId="54FE757B">
            <w:pPr>
              <w:keepNext w:val="0"/>
              <w:keepLines w:val="0"/>
              <w:pageBreakBefore w:val="0"/>
              <w:widowControl w:val="0"/>
              <w:kinsoku/>
              <w:wordWrap/>
              <w:overflowPunct/>
              <w:topLinePunct w:val="0"/>
              <w:autoSpaceDE/>
              <w:autoSpaceDN/>
              <w:bidi w:val="0"/>
              <w:adjustRightInd w:val="0"/>
              <w:snapToGrid/>
              <w:spacing w:line="360" w:lineRule="auto"/>
              <w:ind w:firstLine="480" w:firstLineChars="0"/>
              <w:textAlignment w:val="auto"/>
              <w:rPr>
                <w:rFonts w:hint="default" w:ascii="Times New Roman" w:hAnsi="Times New Roman" w:eastAsia="宋体" w:cs="Times New Roman"/>
                <w:b w:val="0"/>
                <w:bCs w:val="0"/>
                <w:color w:val="000000"/>
                <w:kern w:val="0"/>
                <w:szCs w:val="21"/>
                <w:highlight w:val="none"/>
                <w:lang w:val="en-US" w:eastAsia="zh-CN"/>
              </w:rPr>
            </w:pPr>
            <w:r>
              <w:rPr>
                <w:rFonts w:hint="eastAsia" w:cs="Times New Roman"/>
                <w:b/>
                <w:bCs/>
                <w:color w:val="000000"/>
                <w:kern w:val="0"/>
                <w:szCs w:val="21"/>
                <w:highlight w:val="none"/>
                <w:lang w:val="en-US" w:eastAsia="zh-CN"/>
              </w:rPr>
              <w:t>4.</w:t>
            </w:r>
            <w:r>
              <w:rPr>
                <w:rFonts w:hint="eastAsia" w:ascii="Times New Roman" w:hAnsi="Times New Roman" w:eastAsia="宋体" w:cs="Times New Roman"/>
                <w:b/>
                <w:bCs/>
                <w:color w:val="000000"/>
                <w:kern w:val="0"/>
                <w:szCs w:val="21"/>
                <w:highlight w:val="none"/>
                <w:lang w:val="en-US" w:eastAsia="zh-CN"/>
              </w:rPr>
              <w:t>工程占地</w:t>
            </w:r>
          </w:p>
          <w:p w14:paraId="6E1C4151">
            <w:pPr>
              <w:keepNext w:val="0"/>
              <w:keepLines w:val="0"/>
              <w:pageBreakBefore w:val="0"/>
              <w:widowControl w:val="0"/>
              <w:kinsoku/>
              <w:wordWrap/>
              <w:overflowPunct/>
              <w:topLinePunct w:val="0"/>
              <w:autoSpaceDE/>
              <w:autoSpaceDN/>
              <w:bidi w:val="0"/>
              <w:adjustRightInd w:val="0"/>
              <w:snapToGrid/>
              <w:spacing w:line="360" w:lineRule="auto"/>
              <w:ind w:firstLine="480" w:firstLineChars="0"/>
              <w:textAlignment w:val="auto"/>
              <w:rPr>
                <w:rFonts w:hint="default" w:ascii="Times New Roman" w:hAnsi="Times New Roman" w:eastAsia="宋体" w:cs="Times New Roman"/>
                <w:b w:val="0"/>
                <w:bCs w:val="0"/>
                <w:color w:val="000000"/>
                <w:kern w:val="0"/>
                <w:szCs w:val="21"/>
                <w:highlight w:val="none"/>
                <w:lang w:val="en-US" w:eastAsia="zh-CN"/>
              </w:rPr>
            </w:pPr>
            <w:r>
              <w:rPr>
                <w:rFonts w:hint="eastAsia" w:ascii="Times New Roman" w:hAnsi="Times New Roman" w:eastAsia="宋体" w:cs="Times New Roman"/>
                <w:b w:val="0"/>
                <w:bCs w:val="0"/>
                <w:color w:val="000000"/>
                <w:kern w:val="0"/>
                <w:szCs w:val="21"/>
                <w:highlight w:val="none"/>
                <w:lang w:val="en-US" w:eastAsia="zh-CN"/>
              </w:rPr>
              <w:t>本</w:t>
            </w:r>
            <w:r>
              <w:rPr>
                <w:rFonts w:hint="default" w:ascii="Times New Roman" w:hAnsi="Times New Roman" w:eastAsia="宋体" w:cs="Times New Roman"/>
                <w:b w:val="0"/>
                <w:bCs w:val="0"/>
                <w:color w:val="000000"/>
                <w:kern w:val="0"/>
                <w:szCs w:val="21"/>
                <w:highlight w:val="none"/>
                <w:lang w:val="en-US" w:eastAsia="zh-CN"/>
              </w:rPr>
              <w:t>项目总占地面积</w:t>
            </w:r>
            <w:r>
              <w:rPr>
                <w:rFonts w:hint="eastAsia" w:ascii="Times New Roman" w:hAnsi="Times New Roman" w:eastAsia="宋体" w:cs="Times New Roman"/>
                <w:b w:val="0"/>
                <w:bCs w:val="0"/>
                <w:color w:val="000000"/>
                <w:kern w:val="0"/>
                <w:szCs w:val="21"/>
                <w:highlight w:val="none"/>
                <w:lang w:val="en-US" w:eastAsia="zh-CN"/>
              </w:rPr>
              <w:t>2.4858</w:t>
            </w:r>
            <w:r>
              <w:rPr>
                <w:rFonts w:hint="default" w:ascii="Times New Roman" w:hAnsi="Times New Roman" w:eastAsia="宋体" w:cs="Times New Roman"/>
                <w:b w:val="0"/>
                <w:bCs w:val="0"/>
                <w:color w:val="000000"/>
                <w:kern w:val="0"/>
                <w:szCs w:val="21"/>
                <w:highlight w:val="none"/>
                <w:lang w:val="en-US" w:eastAsia="zh-CN"/>
              </w:rPr>
              <w:t>hm</w:t>
            </w:r>
            <w:r>
              <w:rPr>
                <w:rFonts w:hint="eastAsia" w:ascii="Times New Roman" w:hAnsi="Times New Roman" w:eastAsia="宋体" w:cs="Times New Roman"/>
                <w:b w:val="0"/>
                <w:bCs w:val="0"/>
                <w:color w:val="000000"/>
                <w:kern w:val="0"/>
                <w:szCs w:val="21"/>
                <w:highlight w:val="none"/>
                <w:vertAlign w:val="superscript"/>
                <w:lang w:val="en-US" w:eastAsia="zh-CN"/>
              </w:rPr>
              <w:t>2</w:t>
            </w:r>
            <w:r>
              <w:rPr>
                <w:rFonts w:hint="default" w:ascii="Times New Roman" w:hAnsi="Times New Roman" w:eastAsia="宋体" w:cs="Times New Roman"/>
                <w:b w:val="0"/>
                <w:bCs w:val="0"/>
                <w:color w:val="000000"/>
                <w:kern w:val="0"/>
                <w:szCs w:val="21"/>
                <w:highlight w:val="none"/>
                <w:lang w:val="en-US" w:eastAsia="zh-CN"/>
              </w:rPr>
              <w:t>，其中永久占地</w:t>
            </w:r>
            <w:r>
              <w:rPr>
                <w:rFonts w:hint="eastAsia" w:ascii="Times New Roman" w:hAnsi="Times New Roman" w:eastAsia="宋体" w:cs="Times New Roman"/>
                <w:b w:val="0"/>
                <w:bCs w:val="0"/>
                <w:color w:val="000000"/>
                <w:kern w:val="0"/>
                <w:szCs w:val="21"/>
                <w:highlight w:val="none"/>
                <w:lang w:val="en-US" w:eastAsia="zh-CN"/>
              </w:rPr>
              <w:t>2.4858</w:t>
            </w:r>
            <w:r>
              <w:rPr>
                <w:rFonts w:hint="default" w:ascii="Times New Roman" w:hAnsi="Times New Roman" w:eastAsia="宋体" w:cs="Times New Roman"/>
                <w:b w:val="0"/>
                <w:bCs w:val="0"/>
                <w:color w:val="000000"/>
                <w:kern w:val="0"/>
                <w:szCs w:val="21"/>
                <w:highlight w:val="none"/>
                <w:lang w:val="en-US" w:eastAsia="zh-CN"/>
              </w:rPr>
              <w:t>hm</w:t>
            </w:r>
            <w:r>
              <w:rPr>
                <w:rFonts w:hint="default" w:ascii="Times New Roman" w:hAnsi="Times New Roman" w:eastAsia="宋体" w:cs="Times New Roman"/>
                <w:b w:val="0"/>
                <w:bCs w:val="0"/>
                <w:color w:val="000000"/>
                <w:kern w:val="0"/>
                <w:szCs w:val="21"/>
                <w:highlight w:val="none"/>
                <w:vertAlign w:val="superscript"/>
                <w:lang w:val="en-US" w:eastAsia="zh-CN"/>
              </w:rPr>
              <w:t>2</w:t>
            </w:r>
            <w:r>
              <w:rPr>
                <w:rFonts w:hint="default" w:ascii="Times New Roman" w:hAnsi="Times New Roman" w:eastAsia="宋体" w:cs="Times New Roman"/>
                <w:b w:val="0"/>
                <w:bCs w:val="0"/>
                <w:color w:val="000000"/>
                <w:kern w:val="0"/>
                <w:szCs w:val="21"/>
                <w:highlight w:val="none"/>
                <w:lang w:val="en-US" w:eastAsia="zh-CN"/>
              </w:rPr>
              <w:t>。根据《土地利用现状分类》（GB/</w:t>
            </w:r>
            <w:r>
              <w:rPr>
                <w:rFonts w:hint="eastAsia" w:cs="Times New Roman"/>
                <w:b w:val="0"/>
                <w:bCs w:val="0"/>
                <w:color w:val="000000"/>
                <w:kern w:val="0"/>
                <w:szCs w:val="21"/>
                <w:highlight w:val="none"/>
                <w:lang w:val="en-US" w:eastAsia="zh-CN"/>
              </w:rPr>
              <w:t>T 21010</w:t>
            </w:r>
            <w:r>
              <w:rPr>
                <w:rFonts w:hint="default" w:ascii="Times New Roman" w:hAnsi="Times New Roman" w:eastAsia="宋体" w:cs="Times New Roman"/>
                <w:b w:val="0"/>
                <w:bCs w:val="0"/>
                <w:color w:val="000000"/>
                <w:kern w:val="0"/>
                <w:szCs w:val="21"/>
                <w:highlight w:val="none"/>
                <w:lang w:val="en-US" w:eastAsia="zh-CN"/>
              </w:rPr>
              <w:t>-2017）统计</w:t>
            </w:r>
            <w:r>
              <w:rPr>
                <w:rFonts w:hint="eastAsia" w:cs="Times New Roman"/>
                <w:b w:val="0"/>
                <w:bCs w:val="0"/>
                <w:color w:val="000000"/>
                <w:kern w:val="0"/>
                <w:szCs w:val="21"/>
                <w:highlight w:val="none"/>
                <w:lang w:val="en-US" w:eastAsia="zh-CN"/>
              </w:rPr>
              <w:t>，</w:t>
            </w:r>
            <w:r>
              <w:rPr>
                <w:rFonts w:hint="default" w:ascii="Times New Roman" w:hAnsi="Times New Roman" w:eastAsia="宋体" w:cs="Times New Roman"/>
                <w:b w:val="0"/>
                <w:bCs w:val="0"/>
                <w:color w:val="000000"/>
                <w:kern w:val="0"/>
                <w:szCs w:val="21"/>
                <w:highlight w:val="none"/>
                <w:lang w:val="en-US" w:eastAsia="zh-CN"/>
              </w:rPr>
              <w:t>本工程占地统计见表</w:t>
            </w:r>
            <w:r>
              <w:rPr>
                <w:rFonts w:hint="eastAsia" w:ascii="Times New Roman" w:hAnsi="Times New Roman" w:eastAsia="宋体" w:cs="Times New Roman"/>
                <w:b w:val="0"/>
                <w:bCs w:val="0"/>
                <w:color w:val="000000"/>
                <w:kern w:val="0"/>
                <w:szCs w:val="21"/>
                <w:highlight w:val="none"/>
                <w:lang w:val="en-US" w:eastAsia="zh-CN"/>
              </w:rPr>
              <w:t>2-3</w:t>
            </w:r>
            <w:r>
              <w:rPr>
                <w:rFonts w:hint="eastAsia" w:cs="Times New Roman"/>
                <w:b w:val="0"/>
                <w:bCs w:val="0"/>
                <w:color w:val="000000"/>
                <w:kern w:val="0"/>
                <w:szCs w:val="21"/>
                <w:highlight w:val="none"/>
                <w:lang w:val="en-US" w:eastAsia="zh-CN"/>
              </w:rPr>
              <w:t>、表2-4</w:t>
            </w:r>
            <w:r>
              <w:rPr>
                <w:rFonts w:hint="default" w:ascii="Times New Roman" w:hAnsi="Times New Roman" w:eastAsia="宋体" w:cs="Times New Roman"/>
                <w:b w:val="0"/>
                <w:bCs w:val="0"/>
                <w:color w:val="000000"/>
                <w:kern w:val="0"/>
                <w:szCs w:val="21"/>
                <w:highlight w:val="none"/>
                <w:lang w:val="en-US" w:eastAsia="zh-CN"/>
              </w:rPr>
              <w:t>。</w:t>
            </w:r>
          </w:p>
          <w:p w14:paraId="125C920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Cs w:val="21"/>
                <w:highlight w:val="none"/>
                <w:lang w:val="en-US" w:eastAsia="zh-CN"/>
              </w:rPr>
            </w:pPr>
            <w:r>
              <w:rPr>
                <w:rFonts w:hint="eastAsia" w:ascii="Times New Roman" w:hAnsi="Times New Roman" w:eastAsia="宋体" w:cs="Times New Roman"/>
                <w:b/>
                <w:bCs/>
                <w:color w:val="000000"/>
                <w:kern w:val="0"/>
                <w:sz w:val="21"/>
                <w:szCs w:val="21"/>
                <w:highlight w:val="none"/>
                <w:lang w:val="en-US" w:eastAsia="zh-CN"/>
              </w:rPr>
              <w:t>表2-3</w:t>
            </w:r>
            <w:r>
              <w:rPr>
                <w:rFonts w:hint="default" w:ascii="Times New Roman" w:hAnsi="Times New Roman" w:eastAsia="宋体" w:cs="Times New Roman"/>
                <w:b/>
                <w:bCs/>
                <w:color w:val="000000"/>
                <w:kern w:val="0"/>
                <w:sz w:val="21"/>
                <w:szCs w:val="21"/>
                <w:highlight w:val="none"/>
                <w:lang w:val="en-US" w:eastAsia="zh-CN"/>
              </w:rPr>
              <w:t>本工程占地</w:t>
            </w:r>
            <w:r>
              <w:rPr>
                <w:rFonts w:hint="eastAsia" w:cs="Times New Roman"/>
                <w:b/>
                <w:bCs/>
                <w:color w:val="000000"/>
                <w:kern w:val="0"/>
                <w:sz w:val="21"/>
                <w:szCs w:val="21"/>
                <w:highlight w:val="none"/>
                <w:lang w:val="en-US" w:eastAsia="zh-CN"/>
              </w:rPr>
              <w:t>类型</w:t>
            </w:r>
            <w:r>
              <w:rPr>
                <w:rFonts w:hint="default" w:ascii="Times New Roman" w:hAnsi="Times New Roman" w:eastAsia="宋体" w:cs="Times New Roman"/>
                <w:b/>
                <w:bCs/>
                <w:color w:val="000000"/>
                <w:kern w:val="0"/>
                <w:sz w:val="21"/>
                <w:szCs w:val="21"/>
                <w:highlight w:val="none"/>
                <w:lang w:val="en-US" w:eastAsia="zh-CN"/>
              </w:rPr>
              <w:t>统计</w:t>
            </w:r>
            <w:r>
              <w:rPr>
                <w:rFonts w:hint="eastAsia" w:ascii="Times New Roman" w:hAnsi="Times New Roman" w:eastAsia="宋体" w:cs="Times New Roman"/>
                <w:b/>
                <w:bCs/>
                <w:color w:val="000000"/>
                <w:kern w:val="0"/>
                <w:sz w:val="21"/>
                <w:szCs w:val="21"/>
                <w:highlight w:val="none"/>
                <w:lang w:val="en-US" w:eastAsia="zh-CN"/>
              </w:rPr>
              <w:t>表</w:t>
            </w:r>
            <w:r>
              <w:rPr>
                <w:rFonts w:hint="eastAsia" w:cs="Times New Roman"/>
                <w:b/>
                <w:bCs/>
                <w:color w:val="000000"/>
                <w:kern w:val="0"/>
                <w:sz w:val="21"/>
                <w:szCs w:val="21"/>
                <w:highlight w:val="none"/>
                <w:lang w:val="en-US" w:eastAsia="zh-CN"/>
              </w:rPr>
              <w:t xml:space="preserve">                   单位：</w:t>
            </w:r>
            <w:r>
              <w:rPr>
                <w:rFonts w:hint="default" w:eastAsia="宋体" w:cs="Times New Roman"/>
                <w:b/>
                <w:bCs/>
                <w:color w:val="000000"/>
                <w:kern w:val="0"/>
                <w:sz w:val="21"/>
                <w:szCs w:val="21"/>
                <w:highlight w:val="none"/>
                <w:lang w:val="en-US" w:eastAsia="zh-CN"/>
              </w:rPr>
              <w:t>hm</w:t>
            </w:r>
            <w:r>
              <w:rPr>
                <w:rFonts w:hint="default" w:eastAsia="宋体" w:cs="Times New Roman"/>
                <w:b/>
                <w:bCs/>
                <w:color w:val="000000"/>
                <w:kern w:val="0"/>
                <w:sz w:val="21"/>
                <w:szCs w:val="21"/>
                <w:highlight w:val="none"/>
                <w:vertAlign w:val="superscript"/>
                <w:lang w:val="en-US" w:eastAsia="zh-CN"/>
              </w:rPr>
              <w:t>2</w:t>
            </w:r>
          </w:p>
          <w:tbl>
            <w:tblPr>
              <w:tblStyle w:val="3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979"/>
              <w:gridCol w:w="979"/>
              <w:gridCol w:w="979"/>
              <w:gridCol w:w="980"/>
              <w:gridCol w:w="980"/>
              <w:gridCol w:w="980"/>
              <w:gridCol w:w="980"/>
            </w:tblGrid>
            <w:tr w14:paraId="3FE2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 w:type="dxa"/>
                  <w:tcBorders>
                    <w:top w:val="single" w:color="auto" w:sz="12" w:space="0"/>
                    <w:left w:val="nil"/>
                    <w:bottom w:val="single" w:color="auto" w:sz="12" w:space="0"/>
                  </w:tcBorders>
                  <w:shd w:val="clear" w:color="auto" w:fill="auto"/>
                  <w:vAlign w:val="center"/>
                </w:tcPr>
                <w:p w14:paraId="4AE3033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SA"/>
                    </w:rPr>
                  </w:pPr>
                  <w:r>
                    <w:rPr>
                      <w:rFonts w:hint="eastAsia" w:ascii="Times New Roman" w:hAnsi="Times New Roman" w:eastAsia="宋体" w:cs="Times New Roman"/>
                      <w:b/>
                      <w:bCs/>
                      <w:color w:val="000000"/>
                      <w:kern w:val="0"/>
                      <w:sz w:val="21"/>
                      <w:szCs w:val="21"/>
                      <w:highlight w:val="none"/>
                      <w:vertAlign w:val="baseline"/>
                      <w:lang w:val="en-US" w:eastAsia="zh-CN"/>
                    </w:rPr>
                    <w:t>所有权</w:t>
                  </w:r>
                </w:p>
              </w:tc>
              <w:tc>
                <w:tcPr>
                  <w:tcW w:w="979" w:type="dxa"/>
                  <w:tcBorders>
                    <w:top w:val="single" w:color="auto" w:sz="12" w:space="0"/>
                    <w:bottom w:val="single" w:color="auto" w:sz="12" w:space="0"/>
                  </w:tcBorders>
                  <w:shd w:val="clear" w:color="auto" w:fill="auto"/>
                  <w:vAlign w:val="center"/>
                </w:tcPr>
                <w:p w14:paraId="779F66C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SA"/>
                    </w:rPr>
                  </w:pPr>
                  <w:r>
                    <w:rPr>
                      <w:rFonts w:hint="eastAsia" w:ascii="Times New Roman" w:hAnsi="Times New Roman" w:eastAsia="宋体" w:cs="Times New Roman"/>
                      <w:b/>
                      <w:bCs/>
                      <w:color w:val="000000"/>
                      <w:kern w:val="0"/>
                      <w:sz w:val="21"/>
                      <w:szCs w:val="21"/>
                      <w:highlight w:val="none"/>
                      <w:vertAlign w:val="baseline"/>
                      <w:lang w:val="en-US" w:eastAsia="zh-CN"/>
                    </w:rPr>
                    <w:t>果园0201</w:t>
                  </w:r>
                </w:p>
              </w:tc>
              <w:tc>
                <w:tcPr>
                  <w:tcW w:w="979" w:type="dxa"/>
                  <w:tcBorders>
                    <w:top w:val="single" w:color="auto" w:sz="12" w:space="0"/>
                    <w:bottom w:val="single" w:color="auto" w:sz="12" w:space="0"/>
                  </w:tcBorders>
                  <w:shd w:val="clear" w:color="auto" w:fill="auto"/>
                  <w:vAlign w:val="center"/>
                </w:tcPr>
                <w:p w14:paraId="6B94A81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SA"/>
                    </w:rPr>
                  </w:pPr>
                  <w:r>
                    <w:rPr>
                      <w:rFonts w:hint="eastAsia" w:ascii="Times New Roman" w:hAnsi="Times New Roman" w:eastAsia="宋体" w:cs="Times New Roman"/>
                      <w:b/>
                      <w:bCs/>
                      <w:color w:val="000000"/>
                      <w:kern w:val="0"/>
                      <w:sz w:val="21"/>
                      <w:szCs w:val="21"/>
                      <w:highlight w:val="none"/>
                      <w:vertAlign w:val="baseline"/>
                      <w:lang w:val="en-US" w:eastAsia="zh-CN"/>
                    </w:rPr>
                    <w:t>乔木林地0301</w:t>
                  </w:r>
                </w:p>
              </w:tc>
              <w:tc>
                <w:tcPr>
                  <w:tcW w:w="979" w:type="dxa"/>
                  <w:tcBorders>
                    <w:top w:val="single" w:color="auto" w:sz="12" w:space="0"/>
                    <w:bottom w:val="single" w:color="auto" w:sz="12" w:space="0"/>
                  </w:tcBorders>
                  <w:shd w:val="clear" w:color="auto" w:fill="auto"/>
                  <w:vAlign w:val="center"/>
                </w:tcPr>
                <w:p w14:paraId="4741222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SA"/>
                    </w:rPr>
                  </w:pPr>
                  <w:r>
                    <w:rPr>
                      <w:rFonts w:hint="eastAsia" w:ascii="Times New Roman" w:hAnsi="Times New Roman" w:eastAsia="宋体" w:cs="Times New Roman"/>
                      <w:b/>
                      <w:bCs/>
                      <w:color w:val="000000"/>
                      <w:kern w:val="0"/>
                      <w:sz w:val="21"/>
                      <w:szCs w:val="21"/>
                      <w:highlight w:val="none"/>
                      <w:vertAlign w:val="baseline"/>
                      <w:lang w:val="en-US" w:eastAsia="zh-CN"/>
                    </w:rPr>
                    <w:t>天然牧草地</w:t>
                  </w:r>
                  <w:r>
                    <w:rPr>
                      <w:rFonts w:hint="eastAsia" w:cs="Times New Roman"/>
                      <w:b/>
                      <w:bCs/>
                      <w:color w:val="000000"/>
                      <w:kern w:val="0"/>
                      <w:sz w:val="21"/>
                      <w:szCs w:val="21"/>
                      <w:highlight w:val="none"/>
                      <w:vertAlign w:val="baseline"/>
                      <w:lang w:val="en-US" w:eastAsia="zh-CN"/>
                    </w:rPr>
                    <w:t>0401</w:t>
                  </w:r>
                </w:p>
              </w:tc>
              <w:tc>
                <w:tcPr>
                  <w:tcW w:w="980" w:type="dxa"/>
                  <w:tcBorders>
                    <w:top w:val="single" w:color="auto" w:sz="12" w:space="0"/>
                    <w:bottom w:val="single" w:color="auto" w:sz="12" w:space="0"/>
                  </w:tcBorders>
                  <w:shd w:val="clear" w:color="auto" w:fill="auto"/>
                  <w:vAlign w:val="center"/>
                </w:tcPr>
                <w:p w14:paraId="3AD859D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SA"/>
                    </w:rPr>
                  </w:pPr>
                  <w:r>
                    <w:rPr>
                      <w:rFonts w:hint="eastAsia" w:ascii="Times New Roman" w:hAnsi="Times New Roman" w:eastAsia="宋体" w:cs="Times New Roman"/>
                      <w:b/>
                      <w:bCs/>
                      <w:color w:val="000000"/>
                      <w:kern w:val="0"/>
                      <w:sz w:val="21"/>
                      <w:szCs w:val="21"/>
                      <w:highlight w:val="none"/>
                      <w:vertAlign w:val="baseline"/>
                      <w:lang w:val="en-US" w:eastAsia="zh-CN"/>
                    </w:rPr>
                    <w:t>农村宅基地0702</w:t>
                  </w:r>
                </w:p>
              </w:tc>
              <w:tc>
                <w:tcPr>
                  <w:tcW w:w="980" w:type="dxa"/>
                  <w:tcBorders>
                    <w:top w:val="single" w:color="auto" w:sz="12" w:space="0"/>
                    <w:bottom w:val="single" w:color="auto" w:sz="12" w:space="0"/>
                  </w:tcBorders>
                  <w:shd w:val="clear" w:color="auto" w:fill="auto"/>
                  <w:vAlign w:val="center"/>
                </w:tcPr>
                <w:p w14:paraId="5438974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vertAlign w:val="baseline"/>
                      <w:lang w:val="en-US" w:eastAsia="zh-CN" w:bidi="ar-SA"/>
                    </w:rPr>
                  </w:pPr>
                  <w:r>
                    <w:rPr>
                      <w:rFonts w:hint="eastAsia" w:ascii="Times New Roman" w:hAnsi="Times New Roman" w:eastAsia="宋体" w:cs="Times New Roman"/>
                      <w:b/>
                      <w:bCs/>
                      <w:color w:val="000000"/>
                      <w:kern w:val="0"/>
                      <w:sz w:val="21"/>
                      <w:szCs w:val="21"/>
                      <w:highlight w:val="none"/>
                      <w:vertAlign w:val="baseline"/>
                      <w:lang w:val="en-US" w:eastAsia="zh-CN"/>
                    </w:rPr>
                    <w:t>机关团体用地0801</w:t>
                  </w:r>
                </w:p>
              </w:tc>
              <w:tc>
                <w:tcPr>
                  <w:tcW w:w="980" w:type="dxa"/>
                  <w:tcBorders>
                    <w:top w:val="single" w:color="auto" w:sz="12" w:space="0"/>
                    <w:bottom w:val="single" w:color="auto" w:sz="12" w:space="0"/>
                  </w:tcBorders>
                  <w:shd w:val="clear" w:color="auto" w:fill="auto"/>
                  <w:vAlign w:val="center"/>
                </w:tcPr>
                <w:p w14:paraId="0C23622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SA"/>
                    </w:rPr>
                  </w:pPr>
                  <w:r>
                    <w:rPr>
                      <w:rFonts w:hint="eastAsia" w:ascii="Times New Roman" w:hAnsi="Times New Roman" w:eastAsia="宋体" w:cs="Times New Roman"/>
                      <w:b/>
                      <w:bCs/>
                      <w:color w:val="000000"/>
                      <w:kern w:val="0"/>
                      <w:sz w:val="21"/>
                      <w:szCs w:val="21"/>
                      <w:highlight w:val="none"/>
                      <w:vertAlign w:val="baseline"/>
                      <w:lang w:val="en-US" w:eastAsia="zh-CN"/>
                    </w:rPr>
                    <w:t>农村道路1006</w:t>
                  </w:r>
                </w:p>
              </w:tc>
              <w:tc>
                <w:tcPr>
                  <w:tcW w:w="980" w:type="dxa"/>
                  <w:tcBorders>
                    <w:top w:val="single" w:color="auto" w:sz="12" w:space="0"/>
                    <w:bottom w:val="single" w:color="auto" w:sz="12" w:space="0"/>
                    <w:right w:val="nil"/>
                  </w:tcBorders>
                  <w:shd w:val="clear" w:color="auto" w:fill="auto"/>
                  <w:vAlign w:val="center"/>
                </w:tcPr>
                <w:p w14:paraId="141893F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SA"/>
                    </w:rPr>
                  </w:pPr>
                  <w:r>
                    <w:rPr>
                      <w:rFonts w:hint="eastAsia" w:ascii="Times New Roman" w:hAnsi="Times New Roman" w:eastAsia="宋体" w:cs="Times New Roman"/>
                      <w:b/>
                      <w:bCs/>
                      <w:color w:val="000000"/>
                      <w:kern w:val="0"/>
                      <w:sz w:val="21"/>
                      <w:szCs w:val="21"/>
                      <w:highlight w:val="none"/>
                      <w:vertAlign w:val="baseline"/>
                      <w:lang w:val="en-US" w:eastAsia="zh-CN"/>
                    </w:rPr>
                    <w:t>合计</w:t>
                  </w:r>
                </w:p>
              </w:tc>
            </w:tr>
            <w:tr w14:paraId="1F14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 w:type="dxa"/>
                  <w:tcBorders>
                    <w:top w:val="single" w:color="auto" w:sz="12" w:space="0"/>
                    <w:left w:val="nil"/>
                  </w:tcBorders>
                  <w:shd w:val="clear" w:color="auto" w:fill="auto"/>
                  <w:vAlign w:val="center"/>
                </w:tcPr>
                <w:p w14:paraId="48BC7AB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highlight w:val="none"/>
                      <w:vertAlign w:val="baseline"/>
                      <w:lang w:val="en-US" w:eastAsia="zh-CN" w:bidi="ar-SA"/>
                    </w:rPr>
                  </w:pPr>
                  <w:r>
                    <w:rPr>
                      <w:rFonts w:hint="eastAsia" w:ascii="Times New Roman" w:hAnsi="Times New Roman" w:eastAsia="宋体" w:cs="Times New Roman"/>
                      <w:b w:val="0"/>
                      <w:bCs w:val="0"/>
                      <w:color w:val="000000"/>
                      <w:kern w:val="0"/>
                      <w:sz w:val="21"/>
                      <w:szCs w:val="21"/>
                      <w:highlight w:val="none"/>
                      <w:vertAlign w:val="baseline"/>
                      <w:lang w:val="en-US" w:eastAsia="zh-CN"/>
                    </w:rPr>
                    <w:t>国有</w:t>
                  </w:r>
                </w:p>
              </w:tc>
              <w:tc>
                <w:tcPr>
                  <w:tcW w:w="979" w:type="dxa"/>
                  <w:tcBorders>
                    <w:top w:val="single" w:color="auto" w:sz="12" w:space="0"/>
                  </w:tcBorders>
                  <w:shd w:val="clear" w:color="auto" w:fill="auto"/>
                  <w:vAlign w:val="center"/>
                </w:tcPr>
                <w:p w14:paraId="44535CD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highlight w:val="none"/>
                      <w:vertAlign w:val="baseline"/>
                      <w:lang w:val="en-US" w:eastAsia="zh-CN" w:bidi="ar-SA"/>
                    </w:rPr>
                  </w:pPr>
                  <w:r>
                    <w:rPr>
                      <w:rFonts w:hint="eastAsia" w:ascii="Times New Roman" w:hAnsi="Times New Roman" w:eastAsia="宋体" w:cs="Times New Roman"/>
                      <w:b w:val="0"/>
                      <w:bCs w:val="0"/>
                      <w:color w:val="000000"/>
                      <w:kern w:val="0"/>
                      <w:sz w:val="21"/>
                      <w:szCs w:val="21"/>
                      <w:highlight w:val="none"/>
                      <w:vertAlign w:val="baseline"/>
                      <w:lang w:val="en-US" w:eastAsia="zh-CN"/>
                    </w:rPr>
                    <w:t>0.0578</w:t>
                  </w:r>
                </w:p>
              </w:tc>
              <w:tc>
                <w:tcPr>
                  <w:tcW w:w="979" w:type="dxa"/>
                  <w:tcBorders>
                    <w:top w:val="single" w:color="auto" w:sz="12" w:space="0"/>
                  </w:tcBorders>
                  <w:shd w:val="clear" w:color="auto" w:fill="auto"/>
                  <w:vAlign w:val="center"/>
                </w:tcPr>
                <w:p w14:paraId="7A219D4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highlight w:val="none"/>
                      <w:vertAlign w:val="baseline"/>
                      <w:lang w:val="en-US" w:eastAsia="zh-CN" w:bidi="ar-SA"/>
                    </w:rPr>
                  </w:pPr>
                  <w:r>
                    <w:rPr>
                      <w:rFonts w:hint="eastAsia" w:ascii="Times New Roman" w:hAnsi="Times New Roman" w:eastAsia="宋体" w:cs="Times New Roman"/>
                      <w:b w:val="0"/>
                      <w:bCs w:val="0"/>
                      <w:color w:val="000000"/>
                      <w:kern w:val="0"/>
                      <w:sz w:val="21"/>
                      <w:szCs w:val="21"/>
                      <w:highlight w:val="none"/>
                      <w:vertAlign w:val="baseline"/>
                      <w:lang w:val="en-US" w:eastAsia="zh-CN"/>
                    </w:rPr>
                    <w:t>0.1147</w:t>
                  </w:r>
                </w:p>
              </w:tc>
              <w:tc>
                <w:tcPr>
                  <w:tcW w:w="979" w:type="dxa"/>
                  <w:tcBorders>
                    <w:top w:val="single" w:color="auto" w:sz="12" w:space="0"/>
                  </w:tcBorders>
                  <w:shd w:val="clear" w:color="auto" w:fill="auto"/>
                  <w:vAlign w:val="center"/>
                </w:tcPr>
                <w:p w14:paraId="2840B36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highlight w:val="none"/>
                      <w:vertAlign w:val="baseline"/>
                      <w:lang w:val="en-US" w:eastAsia="zh-CN" w:bidi="ar-SA"/>
                    </w:rPr>
                  </w:pPr>
                  <w:r>
                    <w:rPr>
                      <w:rFonts w:hint="eastAsia" w:ascii="Times New Roman" w:hAnsi="Times New Roman" w:eastAsia="宋体" w:cs="Times New Roman"/>
                      <w:b w:val="0"/>
                      <w:bCs w:val="0"/>
                      <w:color w:val="000000"/>
                      <w:kern w:val="0"/>
                      <w:sz w:val="21"/>
                      <w:szCs w:val="21"/>
                      <w:highlight w:val="none"/>
                      <w:vertAlign w:val="baseline"/>
                      <w:lang w:val="en-US" w:eastAsia="zh-CN"/>
                    </w:rPr>
                    <w:t>0.9101</w:t>
                  </w:r>
                </w:p>
              </w:tc>
              <w:tc>
                <w:tcPr>
                  <w:tcW w:w="980" w:type="dxa"/>
                  <w:tcBorders>
                    <w:top w:val="single" w:color="auto" w:sz="12" w:space="0"/>
                  </w:tcBorders>
                  <w:shd w:val="clear" w:color="auto" w:fill="auto"/>
                  <w:vAlign w:val="center"/>
                </w:tcPr>
                <w:p w14:paraId="78BE056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highlight w:val="none"/>
                      <w:vertAlign w:val="baseline"/>
                      <w:lang w:val="en-US" w:eastAsia="zh-CN" w:bidi="ar-SA"/>
                    </w:rPr>
                  </w:pPr>
                  <w:r>
                    <w:rPr>
                      <w:rFonts w:hint="eastAsia" w:ascii="Times New Roman" w:hAnsi="Times New Roman" w:eastAsia="宋体" w:cs="Times New Roman"/>
                      <w:b w:val="0"/>
                      <w:bCs w:val="0"/>
                      <w:color w:val="000000"/>
                      <w:kern w:val="0"/>
                      <w:sz w:val="21"/>
                      <w:szCs w:val="21"/>
                      <w:highlight w:val="none"/>
                      <w:vertAlign w:val="baseline"/>
                      <w:lang w:val="en-US" w:eastAsia="zh-CN"/>
                    </w:rPr>
                    <w:t>0.5913</w:t>
                  </w:r>
                </w:p>
              </w:tc>
              <w:tc>
                <w:tcPr>
                  <w:tcW w:w="980" w:type="dxa"/>
                  <w:tcBorders>
                    <w:top w:val="single" w:color="auto" w:sz="12" w:space="0"/>
                  </w:tcBorders>
                  <w:shd w:val="clear" w:color="auto" w:fill="auto"/>
                  <w:vAlign w:val="center"/>
                </w:tcPr>
                <w:p w14:paraId="70F2169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highlight w:val="none"/>
                      <w:vertAlign w:val="baseline"/>
                      <w:lang w:val="en-US" w:eastAsia="zh-CN" w:bidi="ar-SA"/>
                    </w:rPr>
                  </w:pPr>
                </w:p>
              </w:tc>
              <w:tc>
                <w:tcPr>
                  <w:tcW w:w="980" w:type="dxa"/>
                  <w:tcBorders>
                    <w:top w:val="single" w:color="auto" w:sz="12" w:space="0"/>
                  </w:tcBorders>
                  <w:shd w:val="clear" w:color="auto" w:fill="auto"/>
                  <w:vAlign w:val="center"/>
                </w:tcPr>
                <w:p w14:paraId="4D48708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highlight w:val="none"/>
                      <w:vertAlign w:val="baseline"/>
                      <w:lang w:val="en-US" w:eastAsia="zh-CN" w:bidi="ar-SA"/>
                    </w:rPr>
                  </w:pPr>
                  <w:r>
                    <w:rPr>
                      <w:rFonts w:hint="eastAsia" w:ascii="Times New Roman" w:hAnsi="Times New Roman" w:eastAsia="宋体" w:cs="Times New Roman"/>
                      <w:b w:val="0"/>
                      <w:bCs w:val="0"/>
                      <w:color w:val="000000"/>
                      <w:kern w:val="0"/>
                      <w:sz w:val="21"/>
                      <w:szCs w:val="21"/>
                      <w:highlight w:val="none"/>
                      <w:vertAlign w:val="baseline"/>
                      <w:lang w:val="en-US" w:eastAsia="zh-CN"/>
                    </w:rPr>
                    <w:t>0.0825</w:t>
                  </w:r>
                </w:p>
              </w:tc>
              <w:tc>
                <w:tcPr>
                  <w:tcW w:w="980" w:type="dxa"/>
                  <w:tcBorders>
                    <w:top w:val="single" w:color="auto" w:sz="12" w:space="0"/>
                    <w:right w:val="nil"/>
                  </w:tcBorders>
                  <w:shd w:val="clear" w:color="auto" w:fill="auto"/>
                  <w:vAlign w:val="center"/>
                </w:tcPr>
                <w:p w14:paraId="62B187B4">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highlight w:val="none"/>
                      <w:vertAlign w:val="baseline"/>
                      <w:lang w:val="en-US" w:eastAsia="zh-CN" w:bidi="ar-SA"/>
                    </w:rPr>
                  </w:pPr>
                  <w:r>
                    <w:rPr>
                      <w:rFonts w:hint="eastAsia" w:ascii="Times New Roman" w:hAnsi="Times New Roman" w:eastAsia="宋体" w:cs="Times New Roman"/>
                      <w:b w:val="0"/>
                      <w:bCs w:val="0"/>
                      <w:color w:val="000000"/>
                      <w:kern w:val="0"/>
                      <w:sz w:val="21"/>
                      <w:szCs w:val="21"/>
                      <w:highlight w:val="none"/>
                      <w:vertAlign w:val="baseline"/>
                      <w:lang w:val="en-US" w:eastAsia="zh-CN"/>
                    </w:rPr>
                    <w:t>1.7564</w:t>
                  </w:r>
                </w:p>
              </w:tc>
            </w:tr>
            <w:tr w14:paraId="01FD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 w:type="dxa"/>
                  <w:tcBorders>
                    <w:left w:val="nil"/>
                  </w:tcBorders>
                  <w:vAlign w:val="center"/>
                </w:tcPr>
                <w:p w14:paraId="7B0DE0CF">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集体</w:t>
                  </w:r>
                </w:p>
              </w:tc>
              <w:tc>
                <w:tcPr>
                  <w:tcW w:w="979" w:type="dxa"/>
                  <w:vAlign w:val="center"/>
                </w:tcPr>
                <w:p w14:paraId="00035274">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highlight w:val="none"/>
                      <w:vertAlign w:val="baseline"/>
                      <w:lang w:val="en-US" w:eastAsia="zh-CN"/>
                    </w:rPr>
                  </w:pPr>
                </w:p>
              </w:tc>
              <w:tc>
                <w:tcPr>
                  <w:tcW w:w="979" w:type="dxa"/>
                  <w:vAlign w:val="center"/>
                </w:tcPr>
                <w:p w14:paraId="27829A0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0.0698</w:t>
                  </w:r>
                </w:p>
              </w:tc>
              <w:tc>
                <w:tcPr>
                  <w:tcW w:w="979" w:type="dxa"/>
                  <w:vAlign w:val="center"/>
                </w:tcPr>
                <w:p w14:paraId="3FCC4E8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0.3152</w:t>
                  </w:r>
                </w:p>
              </w:tc>
              <w:tc>
                <w:tcPr>
                  <w:tcW w:w="980" w:type="dxa"/>
                  <w:vAlign w:val="center"/>
                </w:tcPr>
                <w:p w14:paraId="57268B7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0.2951</w:t>
                  </w:r>
                </w:p>
              </w:tc>
              <w:tc>
                <w:tcPr>
                  <w:tcW w:w="980" w:type="dxa"/>
                  <w:vAlign w:val="center"/>
                </w:tcPr>
                <w:p w14:paraId="759ADEE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0.0328</w:t>
                  </w:r>
                </w:p>
              </w:tc>
              <w:tc>
                <w:tcPr>
                  <w:tcW w:w="980" w:type="dxa"/>
                  <w:vAlign w:val="center"/>
                </w:tcPr>
                <w:p w14:paraId="624A986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0.0165</w:t>
                  </w:r>
                </w:p>
              </w:tc>
              <w:tc>
                <w:tcPr>
                  <w:tcW w:w="980" w:type="dxa"/>
                  <w:tcBorders>
                    <w:right w:val="nil"/>
                  </w:tcBorders>
                  <w:vAlign w:val="center"/>
                </w:tcPr>
                <w:p w14:paraId="0B85A38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0.7294</w:t>
                  </w:r>
                </w:p>
              </w:tc>
            </w:tr>
            <w:tr w14:paraId="2FD3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 w:type="dxa"/>
                  <w:tcBorders>
                    <w:left w:val="nil"/>
                    <w:bottom w:val="single" w:color="auto" w:sz="12" w:space="0"/>
                  </w:tcBorders>
                  <w:vAlign w:val="center"/>
                </w:tcPr>
                <w:p w14:paraId="3BF0D45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合计</w:t>
                  </w:r>
                </w:p>
              </w:tc>
              <w:tc>
                <w:tcPr>
                  <w:tcW w:w="979" w:type="dxa"/>
                  <w:tcBorders>
                    <w:bottom w:val="single" w:color="auto" w:sz="12" w:space="0"/>
                  </w:tcBorders>
                  <w:vAlign w:val="center"/>
                </w:tcPr>
                <w:p w14:paraId="37CA4A8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0.0578</w:t>
                  </w:r>
                </w:p>
              </w:tc>
              <w:tc>
                <w:tcPr>
                  <w:tcW w:w="979" w:type="dxa"/>
                  <w:tcBorders>
                    <w:bottom w:val="single" w:color="auto" w:sz="12" w:space="0"/>
                  </w:tcBorders>
                  <w:vAlign w:val="center"/>
                </w:tcPr>
                <w:p w14:paraId="7F80982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0.1845</w:t>
                  </w:r>
                </w:p>
              </w:tc>
              <w:tc>
                <w:tcPr>
                  <w:tcW w:w="979" w:type="dxa"/>
                  <w:tcBorders>
                    <w:bottom w:val="single" w:color="auto" w:sz="12" w:space="0"/>
                  </w:tcBorders>
                  <w:vAlign w:val="center"/>
                </w:tcPr>
                <w:p w14:paraId="3A3882A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1.2253</w:t>
                  </w:r>
                </w:p>
              </w:tc>
              <w:tc>
                <w:tcPr>
                  <w:tcW w:w="980" w:type="dxa"/>
                  <w:tcBorders>
                    <w:bottom w:val="single" w:color="auto" w:sz="12" w:space="0"/>
                  </w:tcBorders>
                  <w:vAlign w:val="center"/>
                </w:tcPr>
                <w:p w14:paraId="3C64714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0.8864</w:t>
                  </w:r>
                </w:p>
              </w:tc>
              <w:tc>
                <w:tcPr>
                  <w:tcW w:w="980" w:type="dxa"/>
                  <w:tcBorders>
                    <w:bottom w:val="single" w:color="auto" w:sz="12" w:space="0"/>
                  </w:tcBorders>
                  <w:vAlign w:val="center"/>
                </w:tcPr>
                <w:p w14:paraId="191BB31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0.0328</w:t>
                  </w:r>
                </w:p>
              </w:tc>
              <w:tc>
                <w:tcPr>
                  <w:tcW w:w="980" w:type="dxa"/>
                  <w:tcBorders>
                    <w:bottom w:val="single" w:color="auto" w:sz="12" w:space="0"/>
                  </w:tcBorders>
                  <w:vAlign w:val="center"/>
                </w:tcPr>
                <w:p w14:paraId="7456DA5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0.0990</w:t>
                  </w:r>
                </w:p>
              </w:tc>
              <w:tc>
                <w:tcPr>
                  <w:tcW w:w="980" w:type="dxa"/>
                  <w:tcBorders>
                    <w:bottom w:val="single" w:color="auto" w:sz="12" w:space="0"/>
                    <w:right w:val="nil"/>
                  </w:tcBorders>
                  <w:vAlign w:val="center"/>
                </w:tcPr>
                <w:p w14:paraId="50042CD1">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2.4858</w:t>
                  </w:r>
                </w:p>
              </w:tc>
            </w:tr>
          </w:tbl>
          <w:p w14:paraId="28B24F2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Cs w:val="21"/>
                <w:highlight w:val="none"/>
                <w:lang w:val="en-US" w:eastAsia="zh-CN"/>
              </w:rPr>
            </w:pPr>
            <w:r>
              <w:rPr>
                <w:rFonts w:hint="eastAsia" w:cs="Times New Roman"/>
                <w:b/>
                <w:bCs/>
                <w:color w:val="000000"/>
                <w:kern w:val="0"/>
                <w:sz w:val="21"/>
                <w:szCs w:val="21"/>
                <w:highlight w:val="none"/>
                <w:lang w:val="en-US" w:eastAsia="zh-CN"/>
              </w:rPr>
              <w:t xml:space="preserve">表 2-4  </w:t>
            </w:r>
            <w:r>
              <w:rPr>
                <w:rFonts w:hint="default" w:ascii="Times New Roman" w:hAnsi="Times New Roman" w:eastAsia="宋体" w:cs="Times New Roman"/>
                <w:b/>
                <w:bCs/>
                <w:color w:val="000000"/>
                <w:kern w:val="0"/>
                <w:sz w:val="21"/>
                <w:szCs w:val="21"/>
                <w:highlight w:val="none"/>
                <w:lang w:val="en-US" w:eastAsia="zh-CN"/>
              </w:rPr>
              <w:t>本工程占地</w:t>
            </w:r>
            <w:r>
              <w:rPr>
                <w:rFonts w:hint="eastAsia" w:cs="Times New Roman"/>
                <w:b/>
                <w:bCs/>
                <w:color w:val="000000"/>
                <w:kern w:val="0"/>
                <w:sz w:val="21"/>
                <w:szCs w:val="21"/>
                <w:highlight w:val="none"/>
                <w:lang w:val="en-US" w:eastAsia="zh-CN"/>
              </w:rPr>
              <w:t>一览表                   单位：</w:t>
            </w:r>
            <w:r>
              <w:rPr>
                <w:rFonts w:hint="default" w:eastAsia="宋体" w:cs="Times New Roman"/>
                <w:b/>
                <w:bCs/>
                <w:color w:val="000000"/>
                <w:kern w:val="0"/>
                <w:sz w:val="21"/>
                <w:szCs w:val="21"/>
                <w:highlight w:val="none"/>
                <w:lang w:val="en-US" w:eastAsia="zh-CN"/>
              </w:rPr>
              <w:t>hm</w:t>
            </w:r>
            <w:r>
              <w:rPr>
                <w:rFonts w:hint="default" w:eastAsia="宋体" w:cs="Times New Roman"/>
                <w:b/>
                <w:bCs/>
                <w:color w:val="000000"/>
                <w:kern w:val="0"/>
                <w:sz w:val="21"/>
                <w:szCs w:val="21"/>
                <w:highlight w:val="none"/>
                <w:vertAlign w:val="superscript"/>
                <w:lang w:val="en-US" w:eastAsia="zh-CN"/>
              </w:rPr>
              <w:t>2</w:t>
            </w:r>
          </w:p>
          <w:tbl>
            <w:tblPr>
              <w:tblStyle w:val="3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8"/>
              <w:gridCol w:w="1959"/>
              <w:gridCol w:w="1959"/>
              <w:gridCol w:w="1960"/>
            </w:tblGrid>
            <w:tr w14:paraId="22C6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top w:val="single" w:color="auto" w:sz="12" w:space="0"/>
                    <w:left w:val="nil"/>
                    <w:bottom w:val="single" w:color="auto" w:sz="12" w:space="0"/>
                  </w:tcBorders>
                </w:tcPr>
                <w:p w14:paraId="07509CC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bCs/>
                      <w:color w:val="000000"/>
                      <w:kern w:val="0"/>
                      <w:sz w:val="21"/>
                      <w:szCs w:val="21"/>
                      <w:highlight w:val="none"/>
                      <w:vertAlign w:val="baseline"/>
                      <w:lang w:val="en-US" w:eastAsia="zh-CN"/>
                    </w:rPr>
                  </w:pPr>
                  <w:r>
                    <w:rPr>
                      <w:rFonts w:hint="eastAsia" w:cs="Times New Roman"/>
                      <w:b/>
                      <w:bCs/>
                      <w:color w:val="000000"/>
                      <w:kern w:val="0"/>
                      <w:sz w:val="21"/>
                      <w:szCs w:val="21"/>
                      <w:highlight w:val="none"/>
                      <w:vertAlign w:val="baseline"/>
                      <w:lang w:val="en-US" w:eastAsia="zh-CN"/>
                    </w:rPr>
                    <w:t>行政区划</w:t>
                  </w:r>
                </w:p>
              </w:tc>
              <w:tc>
                <w:tcPr>
                  <w:tcW w:w="1959" w:type="dxa"/>
                  <w:tcBorders>
                    <w:top w:val="single" w:color="auto" w:sz="12" w:space="0"/>
                    <w:bottom w:val="single" w:color="auto" w:sz="12" w:space="0"/>
                  </w:tcBorders>
                </w:tcPr>
                <w:p w14:paraId="6D566FA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bCs/>
                      <w:color w:val="000000"/>
                      <w:kern w:val="0"/>
                      <w:sz w:val="21"/>
                      <w:szCs w:val="21"/>
                      <w:highlight w:val="none"/>
                      <w:vertAlign w:val="baseline"/>
                      <w:lang w:val="en-US" w:eastAsia="zh-CN"/>
                    </w:rPr>
                  </w:pPr>
                  <w:r>
                    <w:rPr>
                      <w:rFonts w:hint="eastAsia" w:cs="Times New Roman"/>
                      <w:b/>
                      <w:bCs/>
                      <w:color w:val="000000"/>
                      <w:kern w:val="0"/>
                      <w:sz w:val="21"/>
                      <w:szCs w:val="21"/>
                      <w:highlight w:val="none"/>
                      <w:vertAlign w:val="baseline"/>
                      <w:lang w:val="en-US" w:eastAsia="zh-CN"/>
                    </w:rPr>
                    <w:t>占地性质</w:t>
                  </w:r>
                </w:p>
              </w:tc>
              <w:tc>
                <w:tcPr>
                  <w:tcW w:w="1959" w:type="dxa"/>
                  <w:tcBorders>
                    <w:top w:val="single" w:color="auto" w:sz="12" w:space="0"/>
                    <w:bottom w:val="single" w:color="auto" w:sz="12" w:space="0"/>
                  </w:tcBorders>
                </w:tcPr>
                <w:p w14:paraId="608CBB7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bCs/>
                      <w:color w:val="000000"/>
                      <w:kern w:val="0"/>
                      <w:sz w:val="21"/>
                      <w:szCs w:val="21"/>
                      <w:highlight w:val="none"/>
                      <w:vertAlign w:val="baseline"/>
                      <w:lang w:val="en-US" w:eastAsia="zh-CN"/>
                    </w:rPr>
                  </w:pPr>
                  <w:r>
                    <w:rPr>
                      <w:rFonts w:hint="eastAsia" w:cs="Times New Roman"/>
                      <w:b/>
                      <w:bCs/>
                      <w:color w:val="000000"/>
                      <w:kern w:val="0"/>
                      <w:sz w:val="21"/>
                      <w:szCs w:val="21"/>
                      <w:highlight w:val="none"/>
                      <w:vertAlign w:val="baseline"/>
                      <w:lang w:val="en-US" w:eastAsia="zh-CN"/>
                    </w:rPr>
                    <w:t>防治分区</w:t>
                  </w:r>
                </w:p>
              </w:tc>
              <w:tc>
                <w:tcPr>
                  <w:tcW w:w="1960" w:type="dxa"/>
                  <w:tcBorders>
                    <w:top w:val="single" w:color="auto" w:sz="12" w:space="0"/>
                    <w:bottom w:val="single" w:color="auto" w:sz="12" w:space="0"/>
                    <w:right w:val="nil"/>
                  </w:tcBorders>
                </w:tcPr>
                <w:p w14:paraId="10D2855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bCs/>
                      <w:color w:val="000000"/>
                      <w:kern w:val="0"/>
                      <w:sz w:val="21"/>
                      <w:szCs w:val="21"/>
                      <w:highlight w:val="none"/>
                      <w:vertAlign w:val="baseline"/>
                      <w:lang w:val="en-US" w:eastAsia="zh-CN"/>
                    </w:rPr>
                  </w:pPr>
                  <w:r>
                    <w:rPr>
                      <w:rFonts w:hint="eastAsia" w:cs="Times New Roman"/>
                      <w:b/>
                      <w:bCs/>
                      <w:color w:val="000000"/>
                      <w:kern w:val="0"/>
                      <w:sz w:val="21"/>
                      <w:szCs w:val="21"/>
                      <w:highlight w:val="none"/>
                      <w:vertAlign w:val="baseline"/>
                      <w:lang w:val="en-US" w:eastAsia="zh-CN"/>
                    </w:rPr>
                    <w:t>占地面积</w:t>
                  </w:r>
                </w:p>
              </w:tc>
            </w:tr>
            <w:tr w14:paraId="3CD2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vMerge w:val="restart"/>
                  <w:tcBorders>
                    <w:top w:val="single" w:color="auto" w:sz="12" w:space="0"/>
                    <w:left w:val="nil"/>
                  </w:tcBorders>
                  <w:vAlign w:val="center"/>
                </w:tcPr>
                <w:p w14:paraId="58AC7B6F">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r>
                    <w:rPr>
                      <w:rFonts w:hint="eastAsia" w:cs="Times New Roman"/>
                      <w:b w:val="0"/>
                      <w:bCs w:val="0"/>
                      <w:color w:val="000000"/>
                      <w:kern w:val="0"/>
                      <w:sz w:val="21"/>
                      <w:szCs w:val="21"/>
                      <w:highlight w:val="none"/>
                      <w:vertAlign w:val="baseline"/>
                      <w:lang w:val="en-US" w:eastAsia="zh-CN"/>
                    </w:rPr>
                    <w:t>阜康市</w:t>
                  </w:r>
                </w:p>
              </w:tc>
              <w:tc>
                <w:tcPr>
                  <w:tcW w:w="1959" w:type="dxa"/>
                  <w:vMerge w:val="restart"/>
                  <w:tcBorders>
                    <w:top w:val="single" w:color="auto" w:sz="12" w:space="0"/>
                  </w:tcBorders>
                  <w:vAlign w:val="center"/>
                </w:tcPr>
                <w:p w14:paraId="6920CEA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r>
                    <w:rPr>
                      <w:rFonts w:hint="eastAsia" w:cs="Times New Roman"/>
                      <w:b w:val="0"/>
                      <w:bCs w:val="0"/>
                      <w:color w:val="000000"/>
                      <w:kern w:val="0"/>
                      <w:sz w:val="21"/>
                      <w:szCs w:val="21"/>
                      <w:highlight w:val="none"/>
                      <w:vertAlign w:val="baseline"/>
                      <w:lang w:val="en-US" w:eastAsia="zh-CN"/>
                    </w:rPr>
                    <w:t>永久占地</w:t>
                  </w:r>
                </w:p>
              </w:tc>
              <w:tc>
                <w:tcPr>
                  <w:tcW w:w="1959" w:type="dxa"/>
                  <w:tcBorders>
                    <w:top w:val="single" w:color="auto" w:sz="12" w:space="0"/>
                  </w:tcBorders>
                </w:tcPr>
                <w:p w14:paraId="27AA942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r>
                    <w:rPr>
                      <w:rFonts w:hint="eastAsia" w:cs="Times New Roman"/>
                      <w:b w:val="0"/>
                      <w:bCs w:val="0"/>
                      <w:color w:val="000000"/>
                      <w:kern w:val="0"/>
                      <w:sz w:val="21"/>
                      <w:szCs w:val="21"/>
                      <w:highlight w:val="none"/>
                      <w:vertAlign w:val="baseline"/>
                      <w:lang w:val="en-US" w:eastAsia="zh-CN"/>
                    </w:rPr>
                    <w:t>建构筑物区</w:t>
                  </w:r>
                </w:p>
              </w:tc>
              <w:tc>
                <w:tcPr>
                  <w:tcW w:w="1960" w:type="dxa"/>
                  <w:tcBorders>
                    <w:top w:val="single" w:color="auto" w:sz="12" w:space="0"/>
                    <w:right w:val="nil"/>
                  </w:tcBorders>
                </w:tcPr>
                <w:p w14:paraId="28C0BCB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r>
                    <w:rPr>
                      <w:rFonts w:hint="eastAsia" w:cs="Times New Roman"/>
                      <w:b w:val="0"/>
                      <w:bCs w:val="0"/>
                      <w:color w:val="000000"/>
                      <w:kern w:val="0"/>
                      <w:sz w:val="21"/>
                      <w:szCs w:val="21"/>
                      <w:highlight w:val="none"/>
                      <w:vertAlign w:val="baseline"/>
                      <w:lang w:val="en-US" w:eastAsia="zh-CN"/>
                    </w:rPr>
                    <w:t>0.24</w:t>
                  </w:r>
                </w:p>
              </w:tc>
            </w:tr>
            <w:tr w14:paraId="48FD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vMerge w:val="continue"/>
                  <w:tcBorders>
                    <w:left w:val="nil"/>
                  </w:tcBorders>
                </w:tcPr>
                <w:p w14:paraId="46B7D0C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p>
              </w:tc>
              <w:tc>
                <w:tcPr>
                  <w:tcW w:w="1959" w:type="dxa"/>
                  <w:vMerge w:val="continue"/>
                </w:tcPr>
                <w:p w14:paraId="54C3FA3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p>
              </w:tc>
              <w:tc>
                <w:tcPr>
                  <w:tcW w:w="1959" w:type="dxa"/>
                </w:tcPr>
                <w:p w14:paraId="1FE67E8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r>
                    <w:rPr>
                      <w:rFonts w:hint="eastAsia" w:cs="Times New Roman"/>
                      <w:b w:val="0"/>
                      <w:bCs w:val="0"/>
                      <w:color w:val="000000"/>
                      <w:kern w:val="0"/>
                      <w:sz w:val="21"/>
                      <w:szCs w:val="21"/>
                      <w:highlight w:val="none"/>
                      <w:vertAlign w:val="baseline"/>
                      <w:lang w:val="en-US" w:eastAsia="zh-CN"/>
                    </w:rPr>
                    <w:t>道路及硬化场地区</w:t>
                  </w:r>
                </w:p>
              </w:tc>
              <w:tc>
                <w:tcPr>
                  <w:tcW w:w="1960" w:type="dxa"/>
                  <w:tcBorders>
                    <w:right w:val="nil"/>
                  </w:tcBorders>
                </w:tcPr>
                <w:p w14:paraId="01E7329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r>
                    <w:rPr>
                      <w:rFonts w:hint="eastAsia" w:cs="Times New Roman"/>
                      <w:b w:val="0"/>
                      <w:bCs w:val="0"/>
                      <w:color w:val="000000"/>
                      <w:kern w:val="0"/>
                      <w:sz w:val="21"/>
                      <w:szCs w:val="21"/>
                      <w:highlight w:val="none"/>
                      <w:vertAlign w:val="baseline"/>
                      <w:lang w:val="en-US" w:eastAsia="zh-CN"/>
                    </w:rPr>
                    <w:t>1.77</w:t>
                  </w:r>
                </w:p>
              </w:tc>
            </w:tr>
            <w:tr w14:paraId="5665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vMerge w:val="continue"/>
                  <w:tcBorders>
                    <w:left w:val="nil"/>
                  </w:tcBorders>
                </w:tcPr>
                <w:p w14:paraId="74FCCD6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p>
              </w:tc>
              <w:tc>
                <w:tcPr>
                  <w:tcW w:w="1959" w:type="dxa"/>
                  <w:vMerge w:val="continue"/>
                </w:tcPr>
                <w:p w14:paraId="7920411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p>
              </w:tc>
              <w:tc>
                <w:tcPr>
                  <w:tcW w:w="1959" w:type="dxa"/>
                </w:tcPr>
                <w:p w14:paraId="403028F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r>
                    <w:rPr>
                      <w:rFonts w:hint="eastAsia" w:cs="Times New Roman"/>
                      <w:b w:val="0"/>
                      <w:bCs w:val="0"/>
                      <w:color w:val="000000"/>
                      <w:kern w:val="0"/>
                      <w:sz w:val="21"/>
                      <w:szCs w:val="21"/>
                      <w:highlight w:val="none"/>
                      <w:vertAlign w:val="baseline"/>
                      <w:lang w:val="en-US" w:eastAsia="zh-CN"/>
                    </w:rPr>
                    <w:t>绿化工程区</w:t>
                  </w:r>
                </w:p>
              </w:tc>
              <w:tc>
                <w:tcPr>
                  <w:tcW w:w="1960" w:type="dxa"/>
                  <w:tcBorders>
                    <w:right w:val="nil"/>
                  </w:tcBorders>
                </w:tcPr>
                <w:p w14:paraId="73758B9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r>
                    <w:rPr>
                      <w:rFonts w:hint="eastAsia" w:cs="Times New Roman"/>
                      <w:b w:val="0"/>
                      <w:bCs w:val="0"/>
                      <w:color w:val="000000"/>
                      <w:kern w:val="0"/>
                      <w:sz w:val="21"/>
                      <w:szCs w:val="21"/>
                      <w:highlight w:val="none"/>
                      <w:vertAlign w:val="baseline"/>
                      <w:lang w:val="en-US" w:eastAsia="zh-CN"/>
                    </w:rPr>
                    <w:t>0.10</w:t>
                  </w:r>
                </w:p>
              </w:tc>
            </w:tr>
            <w:tr w14:paraId="1569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vMerge w:val="continue"/>
                  <w:tcBorders>
                    <w:left w:val="nil"/>
                  </w:tcBorders>
                </w:tcPr>
                <w:p w14:paraId="710BA69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p>
              </w:tc>
              <w:tc>
                <w:tcPr>
                  <w:tcW w:w="1959" w:type="dxa"/>
                  <w:vMerge w:val="continue"/>
                </w:tcPr>
                <w:p w14:paraId="2B358EC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p>
              </w:tc>
              <w:tc>
                <w:tcPr>
                  <w:tcW w:w="1959" w:type="dxa"/>
                </w:tcPr>
                <w:p w14:paraId="1253B49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r>
                    <w:rPr>
                      <w:rFonts w:hint="eastAsia" w:cs="Times New Roman"/>
                      <w:b w:val="0"/>
                      <w:bCs w:val="0"/>
                      <w:color w:val="000000"/>
                      <w:kern w:val="0"/>
                      <w:sz w:val="21"/>
                      <w:szCs w:val="21"/>
                      <w:highlight w:val="none"/>
                      <w:vertAlign w:val="baseline"/>
                      <w:lang w:val="en-US" w:eastAsia="zh-CN"/>
                    </w:rPr>
                    <w:t>附属设施区</w:t>
                  </w:r>
                </w:p>
              </w:tc>
              <w:tc>
                <w:tcPr>
                  <w:tcW w:w="1960" w:type="dxa"/>
                  <w:tcBorders>
                    <w:right w:val="nil"/>
                  </w:tcBorders>
                </w:tcPr>
                <w:p w14:paraId="4ADBB9A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r>
                    <w:rPr>
                      <w:rFonts w:hint="eastAsia" w:cs="Times New Roman"/>
                      <w:b w:val="0"/>
                      <w:bCs w:val="0"/>
                      <w:color w:val="000000"/>
                      <w:kern w:val="0"/>
                      <w:sz w:val="21"/>
                      <w:szCs w:val="21"/>
                      <w:highlight w:val="none"/>
                      <w:vertAlign w:val="baseline"/>
                      <w:lang w:val="en-US" w:eastAsia="zh-CN"/>
                    </w:rPr>
                    <w:t>0.38</w:t>
                  </w:r>
                </w:p>
              </w:tc>
            </w:tr>
            <w:tr w14:paraId="1CB6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vMerge w:val="continue"/>
                  <w:tcBorders>
                    <w:left w:val="nil"/>
                  </w:tcBorders>
                </w:tcPr>
                <w:p w14:paraId="6CC3AB11">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p>
              </w:tc>
              <w:tc>
                <w:tcPr>
                  <w:tcW w:w="1959" w:type="dxa"/>
                  <w:vMerge w:val="continue"/>
                </w:tcPr>
                <w:p w14:paraId="34ECFC7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p>
              </w:tc>
              <w:tc>
                <w:tcPr>
                  <w:tcW w:w="1959" w:type="dxa"/>
                </w:tcPr>
                <w:p w14:paraId="6B00C29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r>
                    <w:rPr>
                      <w:rFonts w:hint="eastAsia" w:cs="Times New Roman"/>
                      <w:b w:val="0"/>
                      <w:bCs w:val="0"/>
                      <w:color w:val="000000"/>
                      <w:kern w:val="0"/>
                      <w:sz w:val="21"/>
                      <w:szCs w:val="21"/>
                      <w:highlight w:val="none"/>
                      <w:vertAlign w:val="baseline"/>
                      <w:lang w:val="en-US" w:eastAsia="zh-CN"/>
                    </w:rPr>
                    <w:t>管线工程区</w:t>
                  </w:r>
                </w:p>
              </w:tc>
              <w:tc>
                <w:tcPr>
                  <w:tcW w:w="1960" w:type="dxa"/>
                  <w:tcBorders>
                    <w:right w:val="nil"/>
                  </w:tcBorders>
                </w:tcPr>
                <w:p w14:paraId="530A8E0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r>
                    <w:rPr>
                      <w:rFonts w:hint="eastAsia" w:cs="Times New Roman"/>
                      <w:b w:val="0"/>
                      <w:bCs w:val="0"/>
                      <w:color w:val="000000"/>
                      <w:kern w:val="0"/>
                      <w:sz w:val="21"/>
                      <w:szCs w:val="21"/>
                      <w:highlight w:val="none"/>
                      <w:vertAlign w:val="baseline"/>
                      <w:lang w:val="en-US" w:eastAsia="zh-CN"/>
                    </w:rPr>
                    <w:t>（0.59）</w:t>
                  </w:r>
                </w:p>
              </w:tc>
            </w:tr>
            <w:tr w14:paraId="0F88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vMerge w:val="continue"/>
                  <w:tcBorders>
                    <w:left w:val="nil"/>
                    <w:bottom w:val="single" w:color="auto" w:sz="12" w:space="0"/>
                  </w:tcBorders>
                </w:tcPr>
                <w:p w14:paraId="7003991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p>
              </w:tc>
              <w:tc>
                <w:tcPr>
                  <w:tcW w:w="3918" w:type="dxa"/>
                  <w:gridSpan w:val="2"/>
                  <w:tcBorders>
                    <w:bottom w:val="single" w:color="auto" w:sz="12" w:space="0"/>
                  </w:tcBorders>
                </w:tcPr>
                <w:p w14:paraId="45F9818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r>
                    <w:rPr>
                      <w:rFonts w:hint="eastAsia" w:cs="Times New Roman"/>
                      <w:b w:val="0"/>
                      <w:bCs w:val="0"/>
                      <w:color w:val="000000"/>
                      <w:kern w:val="0"/>
                      <w:sz w:val="21"/>
                      <w:szCs w:val="21"/>
                      <w:highlight w:val="none"/>
                      <w:vertAlign w:val="baseline"/>
                      <w:lang w:val="en-US" w:eastAsia="zh-CN"/>
                    </w:rPr>
                    <w:t>合计（扣除重复）</w:t>
                  </w:r>
                </w:p>
              </w:tc>
              <w:tc>
                <w:tcPr>
                  <w:tcW w:w="1960" w:type="dxa"/>
                  <w:tcBorders>
                    <w:bottom w:val="single" w:color="auto" w:sz="12" w:space="0"/>
                    <w:right w:val="nil"/>
                  </w:tcBorders>
                </w:tcPr>
                <w:p w14:paraId="68F2D28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cs="Times New Roman"/>
                      <w:b w:val="0"/>
                      <w:bCs w:val="0"/>
                      <w:color w:val="000000"/>
                      <w:kern w:val="0"/>
                      <w:sz w:val="21"/>
                      <w:szCs w:val="21"/>
                      <w:highlight w:val="none"/>
                      <w:vertAlign w:val="baseline"/>
                      <w:lang w:val="en-US" w:eastAsia="zh-CN"/>
                    </w:rPr>
                  </w:pPr>
                  <w:r>
                    <w:rPr>
                      <w:rFonts w:hint="eastAsia" w:cs="Times New Roman"/>
                      <w:b w:val="0"/>
                      <w:bCs w:val="0"/>
                      <w:color w:val="000000"/>
                      <w:kern w:val="0"/>
                      <w:sz w:val="21"/>
                      <w:szCs w:val="21"/>
                      <w:highlight w:val="none"/>
                      <w:vertAlign w:val="baseline"/>
                      <w:lang w:val="en-US" w:eastAsia="zh-CN"/>
                    </w:rPr>
                    <w:t>2.49</w:t>
                  </w:r>
                </w:p>
              </w:tc>
            </w:tr>
          </w:tbl>
          <w:p w14:paraId="3FB74664">
            <w:pPr>
              <w:keepNext w:val="0"/>
              <w:keepLines w:val="0"/>
              <w:pageBreakBefore w:val="0"/>
              <w:widowControl w:val="0"/>
              <w:kinsoku/>
              <w:wordWrap/>
              <w:overflowPunct/>
              <w:topLinePunct w:val="0"/>
              <w:autoSpaceDE/>
              <w:autoSpaceDN/>
              <w:bidi w:val="0"/>
              <w:adjustRightInd w:val="0"/>
              <w:snapToGrid/>
              <w:spacing w:line="360" w:lineRule="auto"/>
              <w:ind w:firstLine="480" w:firstLineChars="0"/>
              <w:textAlignment w:val="auto"/>
              <w:rPr>
                <w:rFonts w:hint="default" w:cs="Times New Roman"/>
                <w:b/>
                <w:bCs/>
                <w:color w:val="000000"/>
                <w:kern w:val="0"/>
                <w:sz w:val="21"/>
                <w:szCs w:val="21"/>
                <w:highlight w:val="none"/>
                <w:lang w:val="en-US" w:eastAsia="zh-CN"/>
              </w:rPr>
            </w:pPr>
            <w:r>
              <w:rPr>
                <w:rFonts w:hint="eastAsia" w:cs="Times New Roman"/>
                <w:b/>
                <w:bCs/>
                <w:color w:val="000000"/>
                <w:kern w:val="0"/>
                <w:sz w:val="21"/>
                <w:szCs w:val="21"/>
                <w:highlight w:val="none"/>
                <w:lang w:val="en-US" w:eastAsia="zh-CN"/>
              </w:rPr>
              <w:t>注：管线工程位于道路及硬化场地内，面积不重复计算。</w:t>
            </w:r>
          </w:p>
          <w:p w14:paraId="23CA86CE">
            <w:pPr>
              <w:keepNext w:val="0"/>
              <w:keepLines w:val="0"/>
              <w:pageBreakBefore w:val="0"/>
              <w:widowControl w:val="0"/>
              <w:kinsoku/>
              <w:wordWrap/>
              <w:overflowPunct/>
              <w:topLinePunct w:val="0"/>
              <w:autoSpaceDE/>
              <w:autoSpaceDN/>
              <w:bidi w:val="0"/>
              <w:adjustRightInd w:val="0"/>
              <w:snapToGrid/>
              <w:spacing w:line="360" w:lineRule="auto"/>
              <w:ind w:firstLine="480" w:firstLineChars="0"/>
              <w:textAlignment w:val="auto"/>
              <w:rPr>
                <w:rFonts w:hint="default" w:ascii="Times New Roman" w:hAnsi="Times New Roman" w:eastAsia="宋体" w:cs="Times New Roman"/>
                <w:b/>
                <w:bCs/>
                <w:color w:val="000000"/>
                <w:kern w:val="0"/>
                <w:szCs w:val="21"/>
                <w:highlight w:val="none"/>
                <w:lang w:val="en-US" w:eastAsia="zh-CN"/>
              </w:rPr>
            </w:pPr>
            <w:r>
              <w:rPr>
                <w:rFonts w:hint="eastAsia" w:cs="Times New Roman"/>
                <w:b/>
                <w:bCs/>
                <w:color w:val="000000"/>
                <w:kern w:val="0"/>
                <w:szCs w:val="21"/>
                <w:highlight w:val="none"/>
                <w:lang w:val="en-US" w:eastAsia="zh-CN"/>
              </w:rPr>
              <w:t>5.</w:t>
            </w:r>
            <w:r>
              <w:rPr>
                <w:rFonts w:hint="eastAsia" w:ascii="Times New Roman" w:hAnsi="Times New Roman" w:eastAsia="宋体" w:cs="Times New Roman"/>
                <w:b/>
                <w:bCs/>
                <w:color w:val="000000"/>
                <w:kern w:val="0"/>
                <w:szCs w:val="21"/>
                <w:highlight w:val="none"/>
                <w:lang w:val="en-US" w:eastAsia="zh-CN"/>
              </w:rPr>
              <w:t>土石方平衡</w:t>
            </w:r>
          </w:p>
          <w:p w14:paraId="2CC558A4">
            <w:pPr>
              <w:keepNext w:val="0"/>
              <w:keepLines w:val="0"/>
              <w:pageBreakBefore w:val="0"/>
              <w:widowControl w:val="0"/>
              <w:kinsoku/>
              <w:wordWrap/>
              <w:overflowPunct/>
              <w:topLinePunct w:val="0"/>
              <w:autoSpaceDE/>
              <w:autoSpaceDN/>
              <w:bidi w:val="0"/>
              <w:adjustRightInd w:val="0"/>
              <w:snapToGrid/>
              <w:spacing w:line="360" w:lineRule="auto"/>
              <w:ind w:firstLine="480" w:firstLineChars="0"/>
              <w:textAlignment w:val="auto"/>
              <w:rPr>
                <w:rFonts w:hint="default" w:ascii="Times New Roman" w:hAnsi="Times New Roman" w:eastAsia="宋体" w:cs="Times New Roman"/>
                <w:b w:val="0"/>
                <w:bCs w:val="0"/>
                <w:color w:val="000000"/>
                <w:kern w:val="0"/>
                <w:szCs w:val="21"/>
                <w:highlight w:val="none"/>
                <w:lang w:val="en-US" w:eastAsia="zh-CN"/>
              </w:rPr>
            </w:pPr>
            <w:r>
              <w:rPr>
                <w:rFonts w:hint="eastAsia" w:ascii="Times New Roman" w:hAnsi="Times New Roman" w:eastAsia="宋体" w:cs="Times New Roman"/>
                <w:b w:val="0"/>
                <w:bCs w:val="0"/>
                <w:color w:val="000000"/>
                <w:kern w:val="0"/>
                <w:szCs w:val="21"/>
                <w:highlight w:val="none"/>
                <w:lang w:val="en-US" w:eastAsia="zh-CN"/>
              </w:rPr>
              <w:t>本</w:t>
            </w:r>
            <w:r>
              <w:rPr>
                <w:rFonts w:hint="default" w:ascii="Times New Roman" w:hAnsi="Times New Roman" w:eastAsia="宋体" w:cs="Times New Roman"/>
                <w:b w:val="0"/>
                <w:bCs w:val="0"/>
                <w:color w:val="000000"/>
                <w:kern w:val="0"/>
                <w:szCs w:val="21"/>
                <w:highlight w:val="none"/>
                <w:lang w:val="en-US" w:eastAsia="zh-CN"/>
              </w:rPr>
              <w:t>项目挖填方总量为1.63万m</w:t>
            </w:r>
            <w:r>
              <w:rPr>
                <w:rFonts w:hint="default" w:ascii="Times New Roman" w:hAnsi="Times New Roman" w:eastAsia="宋体" w:cs="Times New Roman"/>
                <w:b w:val="0"/>
                <w:bCs w:val="0"/>
                <w:color w:val="000000"/>
                <w:kern w:val="0"/>
                <w:szCs w:val="21"/>
                <w:highlight w:val="none"/>
                <w:vertAlign w:val="superscript"/>
                <w:lang w:val="en-US" w:eastAsia="zh-CN"/>
              </w:rPr>
              <w:t>3</w:t>
            </w:r>
            <w:r>
              <w:rPr>
                <w:rFonts w:hint="default" w:ascii="Times New Roman" w:hAnsi="Times New Roman" w:eastAsia="宋体" w:cs="Times New Roman"/>
                <w:b w:val="0"/>
                <w:bCs w:val="0"/>
                <w:color w:val="000000"/>
                <w:kern w:val="0"/>
                <w:szCs w:val="21"/>
                <w:highlight w:val="none"/>
                <w:lang w:val="en-US" w:eastAsia="zh-CN"/>
              </w:rPr>
              <w:t>，均为自然方，其中挖方总量为0.71万m</w:t>
            </w:r>
            <w:r>
              <w:rPr>
                <w:rFonts w:hint="default" w:ascii="Times New Roman" w:hAnsi="Times New Roman" w:eastAsia="宋体" w:cs="Times New Roman"/>
                <w:b w:val="0"/>
                <w:bCs w:val="0"/>
                <w:color w:val="000000"/>
                <w:kern w:val="0"/>
                <w:szCs w:val="21"/>
                <w:highlight w:val="none"/>
                <w:vertAlign w:val="superscript"/>
                <w:lang w:val="en-US" w:eastAsia="zh-CN"/>
              </w:rPr>
              <w:t>3</w:t>
            </w:r>
            <w:r>
              <w:rPr>
                <w:rFonts w:hint="default" w:ascii="Times New Roman" w:hAnsi="Times New Roman" w:eastAsia="宋体" w:cs="Times New Roman"/>
                <w:b w:val="0"/>
                <w:bCs w:val="0"/>
                <w:color w:val="000000"/>
                <w:kern w:val="0"/>
                <w:szCs w:val="21"/>
                <w:highlight w:val="none"/>
                <w:lang w:val="en-US" w:eastAsia="zh-CN"/>
              </w:rPr>
              <w:t>，填方总量为0.92万m</w:t>
            </w:r>
            <w:r>
              <w:rPr>
                <w:rFonts w:hint="default" w:ascii="Times New Roman" w:hAnsi="Times New Roman" w:eastAsia="宋体" w:cs="Times New Roman"/>
                <w:b w:val="0"/>
                <w:bCs w:val="0"/>
                <w:color w:val="000000"/>
                <w:kern w:val="0"/>
                <w:szCs w:val="21"/>
                <w:highlight w:val="none"/>
                <w:vertAlign w:val="superscript"/>
                <w:lang w:val="en-US" w:eastAsia="zh-CN"/>
              </w:rPr>
              <w:t>3</w:t>
            </w:r>
            <w:r>
              <w:rPr>
                <w:rFonts w:hint="default" w:ascii="Times New Roman" w:hAnsi="Times New Roman" w:eastAsia="宋体" w:cs="Times New Roman"/>
                <w:b w:val="0"/>
                <w:bCs w:val="0"/>
                <w:color w:val="000000"/>
                <w:kern w:val="0"/>
                <w:szCs w:val="21"/>
                <w:highlight w:val="none"/>
                <w:lang w:val="en-US" w:eastAsia="zh-CN"/>
              </w:rPr>
              <w:t>（其中利用方0.71万m</w:t>
            </w:r>
            <w:r>
              <w:rPr>
                <w:rFonts w:hint="default" w:ascii="Times New Roman" w:hAnsi="Times New Roman" w:eastAsia="宋体" w:cs="Times New Roman"/>
                <w:b w:val="0"/>
                <w:bCs w:val="0"/>
                <w:color w:val="000000"/>
                <w:kern w:val="0"/>
                <w:szCs w:val="21"/>
                <w:highlight w:val="none"/>
                <w:vertAlign w:val="superscript"/>
                <w:lang w:val="en-US" w:eastAsia="zh-CN"/>
              </w:rPr>
              <w:t>3</w:t>
            </w:r>
            <w:r>
              <w:rPr>
                <w:rFonts w:hint="default" w:ascii="Times New Roman" w:hAnsi="Times New Roman" w:eastAsia="宋体" w:cs="Times New Roman"/>
                <w:b w:val="0"/>
                <w:bCs w:val="0"/>
                <w:color w:val="000000"/>
                <w:kern w:val="0"/>
                <w:szCs w:val="21"/>
                <w:highlight w:val="none"/>
                <w:lang w:val="en-US" w:eastAsia="zh-CN"/>
              </w:rPr>
              <w:t>，外借0.21万m</w:t>
            </w:r>
            <w:r>
              <w:rPr>
                <w:rFonts w:hint="default" w:ascii="Times New Roman" w:hAnsi="Times New Roman" w:eastAsia="宋体" w:cs="Times New Roman"/>
                <w:b w:val="0"/>
                <w:bCs w:val="0"/>
                <w:color w:val="000000"/>
                <w:kern w:val="0"/>
                <w:szCs w:val="21"/>
                <w:highlight w:val="none"/>
                <w:vertAlign w:val="superscript"/>
                <w:lang w:val="en-US" w:eastAsia="zh-CN"/>
              </w:rPr>
              <w:t>3</w:t>
            </w:r>
            <w:r>
              <w:rPr>
                <w:rFonts w:hint="default" w:ascii="Times New Roman" w:hAnsi="Times New Roman" w:eastAsia="宋体" w:cs="Times New Roman"/>
                <w:b w:val="0"/>
                <w:bCs w:val="0"/>
                <w:color w:val="000000"/>
                <w:kern w:val="0"/>
                <w:szCs w:val="21"/>
                <w:highlight w:val="none"/>
                <w:lang w:val="en-US" w:eastAsia="zh-CN"/>
              </w:rPr>
              <w:t>，外购于阜康市商品料场，土石方均用于项目区自身回填，无弃方</w:t>
            </w:r>
            <w:r>
              <w:rPr>
                <w:rFonts w:hint="eastAsia" w:cs="Times New Roman"/>
                <w:b w:val="0"/>
                <w:bCs w:val="0"/>
                <w:color w:val="000000"/>
                <w:kern w:val="0"/>
                <w:szCs w:val="21"/>
                <w:highlight w:val="none"/>
                <w:lang w:val="en-US" w:eastAsia="zh-CN"/>
              </w:rPr>
              <w:t>）。</w:t>
            </w:r>
          </w:p>
          <w:p w14:paraId="1FEB4746">
            <w:pPr>
              <w:keepNext w:val="0"/>
              <w:keepLines w:val="0"/>
              <w:pageBreakBefore w:val="0"/>
              <w:widowControl w:val="0"/>
              <w:kinsoku/>
              <w:wordWrap/>
              <w:overflowPunct/>
              <w:topLinePunct w:val="0"/>
              <w:autoSpaceDE/>
              <w:autoSpaceDN/>
              <w:bidi w:val="0"/>
              <w:adjustRightInd w:val="0"/>
              <w:snapToGrid/>
              <w:spacing w:line="360" w:lineRule="auto"/>
              <w:ind w:firstLine="480" w:firstLineChars="0"/>
              <w:textAlignment w:val="auto"/>
              <w:rPr>
                <w:rFonts w:hint="default" w:ascii="Times New Roman" w:hAnsi="Times New Roman" w:eastAsia="宋体" w:cs="Times New Roman"/>
                <w:b w:val="0"/>
                <w:bCs w:val="0"/>
                <w:color w:val="000000"/>
                <w:kern w:val="0"/>
                <w:szCs w:val="21"/>
                <w:highlight w:val="none"/>
                <w:lang w:val="en-US" w:eastAsia="zh-CN"/>
              </w:rPr>
            </w:pPr>
            <w:r>
              <w:rPr>
                <w:rFonts w:hint="default" w:ascii="Times New Roman" w:hAnsi="Times New Roman" w:eastAsia="宋体" w:cs="Times New Roman"/>
                <w:b w:val="0"/>
                <w:bCs w:val="0"/>
                <w:color w:val="000000"/>
                <w:kern w:val="0"/>
                <w:szCs w:val="21"/>
                <w:highlight w:val="none"/>
                <w:lang w:val="en-US" w:eastAsia="zh-CN"/>
              </w:rPr>
              <w:t>土石方工程量见表</w:t>
            </w:r>
            <w:r>
              <w:rPr>
                <w:rFonts w:hint="eastAsia" w:ascii="Times New Roman" w:hAnsi="Times New Roman" w:eastAsia="宋体" w:cs="Times New Roman"/>
                <w:b w:val="0"/>
                <w:bCs w:val="0"/>
                <w:color w:val="000000"/>
                <w:kern w:val="0"/>
                <w:szCs w:val="21"/>
                <w:highlight w:val="none"/>
                <w:lang w:val="en-US" w:eastAsia="zh-CN"/>
              </w:rPr>
              <w:t>2-</w:t>
            </w:r>
            <w:r>
              <w:rPr>
                <w:rFonts w:hint="eastAsia" w:cs="Times New Roman"/>
                <w:b w:val="0"/>
                <w:bCs w:val="0"/>
                <w:color w:val="000000"/>
                <w:kern w:val="0"/>
                <w:szCs w:val="21"/>
                <w:highlight w:val="none"/>
                <w:lang w:val="en-US" w:eastAsia="zh-CN"/>
              </w:rPr>
              <w:t>5</w:t>
            </w:r>
            <w:r>
              <w:rPr>
                <w:rFonts w:hint="default" w:ascii="Times New Roman" w:hAnsi="Times New Roman" w:eastAsia="宋体" w:cs="Times New Roman"/>
                <w:b w:val="0"/>
                <w:bCs w:val="0"/>
                <w:color w:val="000000"/>
                <w:kern w:val="0"/>
                <w:szCs w:val="21"/>
                <w:highlight w:val="none"/>
                <w:lang w:val="en-US" w:eastAsia="zh-CN"/>
              </w:rPr>
              <w:t>，土石方平衡图见图</w:t>
            </w:r>
            <w:r>
              <w:rPr>
                <w:rFonts w:hint="eastAsia" w:ascii="Times New Roman" w:hAnsi="Times New Roman" w:eastAsia="宋体" w:cs="Times New Roman"/>
                <w:b w:val="0"/>
                <w:bCs w:val="0"/>
                <w:color w:val="000000"/>
                <w:kern w:val="0"/>
                <w:szCs w:val="21"/>
                <w:highlight w:val="none"/>
                <w:lang w:val="en-US" w:eastAsia="zh-CN"/>
              </w:rPr>
              <w:t>2-4</w:t>
            </w:r>
            <w:r>
              <w:rPr>
                <w:rFonts w:hint="default" w:ascii="Times New Roman" w:hAnsi="Times New Roman" w:eastAsia="宋体" w:cs="Times New Roman"/>
                <w:b w:val="0"/>
                <w:bCs w:val="0"/>
                <w:color w:val="000000"/>
                <w:kern w:val="0"/>
                <w:szCs w:val="21"/>
                <w:highlight w:val="none"/>
                <w:lang w:val="en-US" w:eastAsia="zh-CN"/>
              </w:rPr>
              <w:t>。</w:t>
            </w:r>
          </w:p>
          <w:p w14:paraId="47A66BE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Cs w:val="21"/>
                <w:highlight w:val="none"/>
                <w:lang w:val="en-US" w:eastAsia="zh-CN"/>
              </w:rPr>
            </w:pPr>
            <w:r>
              <w:rPr>
                <w:rFonts w:hint="eastAsia" w:ascii="Times New Roman" w:hAnsi="Times New Roman" w:eastAsia="宋体" w:cs="Times New Roman"/>
                <w:b/>
                <w:bCs/>
                <w:color w:val="000000"/>
                <w:kern w:val="0"/>
                <w:sz w:val="21"/>
                <w:szCs w:val="21"/>
                <w:highlight w:val="none"/>
                <w:lang w:val="en-US" w:eastAsia="zh-CN"/>
              </w:rPr>
              <w:t>表2-</w:t>
            </w:r>
            <w:r>
              <w:rPr>
                <w:rFonts w:hint="eastAsia" w:cs="Times New Roman"/>
                <w:b/>
                <w:bCs/>
                <w:color w:val="000000"/>
                <w:kern w:val="0"/>
                <w:sz w:val="21"/>
                <w:szCs w:val="21"/>
                <w:highlight w:val="none"/>
                <w:lang w:val="en-US" w:eastAsia="zh-CN"/>
              </w:rPr>
              <w:t>5</w:t>
            </w:r>
            <w:r>
              <w:rPr>
                <w:rFonts w:hint="eastAsia" w:ascii="Times New Roman" w:hAnsi="Times New Roman" w:eastAsia="宋体" w:cs="Times New Roman"/>
                <w:b/>
                <w:bCs/>
                <w:color w:val="000000"/>
                <w:kern w:val="0"/>
                <w:sz w:val="21"/>
                <w:szCs w:val="21"/>
                <w:highlight w:val="none"/>
                <w:lang w:val="en-US" w:eastAsia="zh-CN"/>
              </w:rPr>
              <w:t xml:space="preserve"> </w:t>
            </w:r>
            <w:r>
              <w:rPr>
                <w:rFonts w:hint="default" w:ascii="Times New Roman" w:hAnsi="Times New Roman" w:eastAsia="宋体" w:cs="Times New Roman"/>
                <w:b/>
                <w:bCs/>
                <w:color w:val="000000"/>
                <w:kern w:val="0"/>
                <w:sz w:val="21"/>
                <w:szCs w:val="21"/>
                <w:highlight w:val="none"/>
                <w:lang w:val="en-US" w:eastAsia="zh-CN"/>
              </w:rPr>
              <w:t>土石方工程量</w:t>
            </w:r>
            <w:r>
              <w:rPr>
                <w:rFonts w:hint="eastAsia" w:ascii="Times New Roman" w:hAnsi="Times New Roman" w:eastAsia="宋体" w:cs="Times New Roman"/>
                <w:b/>
                <w:bCs/>
                <w:color w:val="000000"/>
                <w:kern w:val="0"/>
                <w:sz w:val="21"/>
                <w:szCs w:val="21"/>
                <w:highlight w:val="none"/>
                <w:lang w:val="en-US" w:eastAsia="zh-CN"/>
              </w:rPr>
              <w:t xml:space="preserve"> 单位：万m</w:t>
            </w:r>
            <w:r>
              <w:rPr>
                <w:rFonts w:hint="eastAsia" w:ascii="Times New Roman" w:hAnsi="Times New Roman" w:eastAsia="宋体" w:cs="Times New Roman"/>
                <w:b/>
                <w:bCs/>
                <w:color w:val="000000"/>
                <w:kern w:val="0"/>
                <w:sz w:val="21"/>
                <w:szCs w:val="21"/>
                <w:highlight w:val="none"/>
                <w:vertAlign w:val="superscript"/>
                <w:lang w:val="en-US" w:eastAsia="zh-CN"/>
              </w:rPr>
              <w:t>3</w:t>
            </w:r>
          </w:p>
          <w:tbl>
            <w:tblPr>
              <w:tblStyle w:val="33"/>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714"/>
              <w:gridCol w:w="584"/>
              <w:gridCol w:w="584"/>
              <w:gridCol w:w="584"/>
              <w:gridCol w:w="584"/>
              <w:gridCol w:w="584"/>
              <w:gridCol w:w="518"/>
              <w:gridCol w:w="584"/>
              <w:gridCol w:w="519"/>
              <w:gridCol w:w="584"/>
              <w:gridCol w:w="521"/>
              <w:gridCol w:w="519"/>
              <w:gridCol w:w="522"/>
            </w:tblGrid>
            <w:tr w14:paraId="28D8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 w:type="pct"/>
                  <w:vMerge w:val="restart"/>
                  <w:tcBorders>
                    <w:top w:val="single" w:color="auto" w:sz="12" w:space="0"/>
                    <w:left w:val="nil"/>
                  </w:tcBorders>
                  <w:noWrap w:val="0"/>
                  <w:vAlign w:val="center"/>
                </w:tcPr>
                <w:p w14:paraId="513D2A24">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r>
                    <w:rPr>
                      <w:rFonts w:hint="default" w:ascii="Times New Roman" w:hAnsi="Times New Roman" w:eastAsia="宋体" w:cs="Times New Roman"/>
                      <w:b w:val="0"/>
                      <w:bCs w:val="0"/>
                      <w:color w:val="000000"/>
                      <w:kern w:val="0"/>
                      <w:sz w:val="21"/>
                      <w:szCs w:val="21"/>
                      <w:highlight w:val="none"/>
                      <w:vertAlign w:val="baseline"/>
                      <w:lang w:val="en-US" w:eastAsia="zh-CN"/>
                    </w:rPr>
                    <w:t>编号</w:t>
                  </w:r>
                </w:p>
              </w:tc>
              <w:tc>
                <w:tcPr>
                  <w:tcW w:w="457" w:type="pct"/>
                  <w:vMerge w:val="restart"/>
                  <w:tcBorders>
                    <w:top w:val="single" w:color="auto" w:sz="12" w:space="0"/>
                  </w:tcBorders>
                  <w:noWrap w:val="0"/>
                  <w:vAlign w:val="center"/>
                </w:tcPr>
                <w:p w14:paraId="2EF179E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r>
                    <w:rPr>
                      <w:rFonts w:hint="eastAsia" w:ascii="Times New Roman" w:hAnsi="Times New Roman" w:eastAsia="宋体" w:cs="Times New Roman"/>
                      <w:b w:val="0"/>
                      <w:bCs w:val="0"/>
                      <w:color w:val="000000"/>
                      <w:kern w:val="0"/>
                      <w:sz w:val="21"/>
                      <w:szCs w:val="21"/>
                      <w:highlight w:val="none"/>
                      <w:vertAlign w:val="baseline"/>
                      <w:lang w:val="en-US" w:eastAsia="zh-CN"/>
                    </w:rPr>
                    <w:t>工程项目</w:t>
                  </w:r>
                </w:p>
              </w:tc>
              <w:tc>
                <w:tcPr>
                  <w:tcW w:w="372" w:type="pct"/>
                  <w:vMerge w:val="restart"/>
                  <w:tcBorders>
                    <w:top w:val="single" w:color="auto" w:sz="12" w:space="0"/>
                  </w:tcBorders>
                  <w:noWrap w:val="0"/>
                  <w:vAlign w:val="center"/>
                </w:tcPr>
                <w:p w14:paraId="22203DA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r>
                    <w:rPr>
                      <w:rFonts w:hint="eastAsia" w:ascii="Times New Roman" w:hAnsi="Times New Roman" w:eastAsia="宋体" w:cs="Times New Roman"/>
                      <w:b w:val="0"/>
                      <w:bCs w:val="0"/>
                      <w:color w:val="000000"/>
                      <w:kern w:val="0"/>
                      <w:sz w:val="21"/>
                      <w:szCs w:val="21"/>
                      <w:highlight w:val="none"/>
                      <w:vertAlign w:val="baseline"/>
                      <w:lang w:val="en-US" w:eastAsia="zh-CN"/>
                    </w:rPr>
                    <w:t>土石方开挖</w:t>
                  </w:r>
                </w:p>
              </w:tc>
              <w:tc>
                <w:tcPr>
                  <w:tcW w:w="372" w:type="pct"/>
                  <w:vMerge w:val="restart"/>
                  <w:tcBorders>
                    <w:top w:val="single" w:color="auto" w:sz="12" w:space="0"/>
                  </w:tcBorders>
                  <w:noWrap w:val="0"/>
                  <w:vAlign w:val="center"/>
                </w:tcPr>
                <w:p w14:paraId="576FFD5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r>
                    <w:rPr>
                      <w:rFonts w:hint="eastAsia" w:ascii="Times New Roman" w:hAnsi="Times New Roman" w:eastAsia="宋体" w:cs="Times New Roman"/>
                      <w:b w:val="0"/>
                      <w:bCs w:val="0"/>
                      <w:color w:val="000000"/>
                      <w:kern w:val="0"/>
                      <w:sz w:val="21"/>
                      <w:szCs w:val="21"/>
                      <w:highlight w:val="none"/>
                      <w:vertAlign w:val="baseline"/>
                      <w:lang w:val="en-US" w:eastAsia="zh-CN"/>
                    </w:rPr>
                    <w:t>利用方</w:t>
                  </w:r>
                </w:p>
              </w:tc>
              <w:tc>
                <w:tcPr>
                  <w:tcW w:w="372" w:type="pct"/>
                  <w:vMerge w:val="restart"/>
                  <w:tcBorders>
                    <w:top w:val="single" w:color="auto" w:sz="12" w:space="0"/>
                  </w:tcBorders>
                  <w:noWrap w:val="0"/>
                  <w:vAlign w:val="center"/>
                </w:tcPr>
                <w:p w14:paraId="182A6EE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r>
                    <w:rPr>
                      <w:rFonts w:hint="eastAsia" w:ascii="Times New Roman" w:hAnsi="Times New Roman" w:eastAsia="宋体" w:cs="Times New Roman"/>
                      <w:b w:val="0"/>
                      <w:bCs w:val="0"/>
                      <w:color w:val="000000"/>
                      <w:kern w:val="0"/>
                      <w:sz w:val="21"/>
                      <w:szCs w:val="21"/>
                      <w:highlight w:val="none"/>
                      <w:vertAlign w:val="baseline"/>
                      <w:lang w:val="en-US" w:eastAsia="zh-CN"/>
                    </w:rPr>
                    <w:t>回填方</w:t>
                  </w:r>
                </w:p>
              </w:tc>
              <w:tc>
                <w:tcPr>
                  <w:tcW w:w="372" w:type="pct"/>
                  <w:vMerge w:val="restart"/>
                  <w:tcBorders>
                    <w:top w:val="single" w:color="auto" w:sz="12" w:space="0"/>
                  </w:tcBorders>
                  <w:noWrap w:val="0"/>
                  <w:vAlign w:val="center"/>
                </w:tcPr>
                <w:p w14:paraId="02E714C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r>
                    <w:rPr>
                      <w:rFonts w:hint="eastAsia" w:ascii="Times New Roman" w:hAnsi="Times New Roman" w:eastAsia="宋体" w:cs="Times New Roman"/>
                      <w:b w:val="0"/>
                      <w:bCs w:val="0"/>
                      <w:color w:val="000000"/>
                      <w:kern w:val="0"/>
                      <w:sz w:val="21"/>
                      <w:szCs w:val="21"/>
                      <w:highlight w:val="none"/>
                      <w:vertAlign w:val="baseline"/>
                      <w:lang w:val="en-US" w:eastAsia="zh-CN"/>
                    </w:rPr>
                    <w:t>合计</w:t>
                  </w:r>
                </w:p>
              </w:tc>
              <w:tc>
                <w:tcPr>
                  <w:tcW w:w="704" w:type="pct"/>
                  <w:gridSpan w:val="2"/>
                  <w:tcBorders>
                    <w:top w:val="single" w:color="auto" w:sz="12" w:space="0"/>
                  </w:tcBorders>
                  <w:noWrap w:val="0"/>
                  <w:vAlign w:val="center"/>
                </w:tcPr>
                <w:p w14:paraId="269B423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调入</w:t>
                  </w:r>
                </w:p>
              </w:tc>
              <w:tc>
                <w:tcPr>
                  <w:tcW w:w="704" w:type="pct"/>
                  <w:gridSpan w:val="2"/>
                  <w:tcBorders>
                    <w:top w:val="single" w:color="auto" w:sz="12" w:space="0"/>
                  </w:tcBorders>
                  <w:noWrap w:val="0"/>
                  <w:vAlign w:val="center"/>
                </w:tcPr>
                <w:p w14:paraId="6A965DA4">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调出</w:t>
                  </w:r>
                </w:p>
              </w:tc>
              <w:tc>
                <w:tcPr>
                  <w:tcW w:w="705" w:type="pct"/>
                  <w:gridSpan w:val="2"/>
                  <w:tcBorders>
                    <w:top w:val="single" w:color="auto" w:sz="12" w:space="0"/>
                  </w:tcBorders>
                  <w:noWrap w:val="0"/>
                  <w:vAlign w:val="center"/>
                </w:tcPr>
                <w:p w14:paraId="0B733D5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外借</w:t>
                  </w:r>
                </w:p>
              </w:tc>
              <w:tc>
                <w:tcPr>
                  <w:tcW w:w="666" w:type="pct"/>
                  <w:gridSpan w:val="2"/>
                  <w:tcBorders>
                    <w:top w:val="single" w:color="auto" w:sz="12" w:space="0"/>
                    <w:right w:val="nil"/>
                  </w:tcBorders>
                  <w:noWrap w:val="0"/>
                  <w:vAlign w:val="center"/>
                </w:tcPr>
                <w:p w14:paraId="7653798F">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废弃</w:t>
                  </w:r>
                </w:p>
              </w:tc>
            </w:tr>
            <w:tr w14:paraId="6C14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 w:type="pct"/>
                  <w:vMerge w:val="continue"/>
                  <w:tcBorders>
                    <w:left w:val="nil"/>
                    <w:bottom w:val="single" w:color="auto" w:sz="12" w:space="0"/>
                  </w:tcBorders>
                  <w:noWrap w:val="0"/>
                  <w:vAlign w:val="center"/>
                </w:tcPr>
                <w:p w14:paraId="3AC103B1">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p>
              </w:tc>
              <w:tc>
                <w:tcPr>
                  <w:tcW w:w="457" w:type="pct"/>
                  <w:vMerge w:val="continue"/>
                  <w:tcBorders>
                    <w:bottom w:val="single" w:color="auto" w:sz="12" w:space="0"/>
                  </w:tcBorders>
                  <w:noWrap w:val="0"/>
                  <w:vAlign w:val="center"/>
                </w:tcPr>
                <w:p w14:paraId="40E1CCF1">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p>
              </w:tc>
              <w:tc>
                <w:tcPr>
                  <w:tcW w:w="372" w:type="pct"/>
                  <w:vMerge w:val="continue"/>
                  <w:tcBorders>
                    <w:bottom w:val="single" w:color="auto" w:sz="12" w:space="0"/>
                  </w:tcBorders>
                  <w:noWrap w:val="0"/>
                  <w:vAlign w:val="center"/>
                </w:tcPr>
                <w:p w14:paraId="1A2C801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p>
              </w:tc>
              <w:tc>
                <w:tcPr>
                  <w:tcW w:w="372" w:type="pct"/>
                  <w:vMerge w:val="continue"/>
                  <w:tcBorders>
                    <w:bottom w:val="single" w:color="auto" w:sz="12" w:space="0"/>
                  </w:tcBorders>
                  <w:noWrap w:val="0"/>
                  <w:vAlign w:val="center"/>
                </w:tcPr>
                <w:p w14:paraId="52D06124">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p>
              </w:tc>
              <w:tc>
                <w:tcPr>
                  <w:tcW w:w="372" w:type="pct"/>
                  <w:vMerge w:val="continue"/>
                  <w:tcBorders>
                    <w:bottom w:val="single" w:color="auto" w:sz="12" w:space="0"/>
                  </w:tcBorders>
                  <w:noWrap w:val="0"/>
                  <w:vAlign w:val="center"/>
                </w:tcPr>
                <w:p w14:paraId="34F28AC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p>
              </w:tc>
              <w:tc>
                <w:tcPr>
                  <w:tcW w:w="372" w:type="pct"/>
                  <w:vMerge w:val="continue"/>
                  <w:tcBorders>
                    <w:bottom w:val="single" w:color="auto" w:sz="12" w:space="0"/>
                  </w:tcBorders>
                  <w:noWrap w:val="0"/>
                  <w:vAlign w:val="center"/>
                </w:tcPr>
                <w:p w14:paraId="4194374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p>
              </w:tc>
              <w:tc>
                <w:tcPr>
                  <w:tcW w:w="372" w:type="pct"/>
                  <w:tcBorders>
                    <w:bottom w:val="single" w:color="auto" w:sz="12" w:space="0"/>
                  </w:tcBorders>
                  <w:noWrap w:val="0"/>
                  <w:vAlign w:val="center"/>
                </w:tcPr>
                <w:p w14:paraId="7BBB3F8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数量</w:t>
                  </w:r>
                </w:p>
              </w:tc>
              <w:tc>
                <w:tcPr>
                  <w:tcW w:w="332" w:type="pct"/>
                  <w:tcBorders>
                    <w:bottom w:val="single" w:color="auto" w:sz="12" w:space="0"/>
                  </w:tcBorders>
                  <w:noWrap w:val="0"/>
                  <w:vAlign w:val="center"/>
                </w:tcPr>
                <w:p w14:paraId="4F7FDD5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来源</w:t>
                  </w:r>
                </w:p>
              </w:tc>
              <w:tc>
                <w:tcPr>
                  <w:tcW w:w="372" w:type="pct"/>
                  <w:tcBorders>
                    <w:bottom w:val="single" w:color="auto" w:sz="12" w:space="0"/>
                  </w:tcBorders>
                  <w:noWrap w:val="0"/>
                  <w:vAlign w:val="center"/>
                </w:tcPr>
                <w:p w14:paraId="3C1D3B3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数量</w:t>
                  </w:r>
                </w:p>
              </w:tc>
              <w:tc>
                <w:tcPr>
                  <w:tcW w:w="332" w:type="pct"/>
                  <w:tcBorders>
                    <w:bottom w:val="single" w:color="auto" w:sz="12" w:space="0"/>
                  </w:tcBorders>
                  <w:noWrap w:val="0"/>
                  <w:vAlign w:val="center"/>
                </w:tcPr>
                <w:p w14:paraId="18BC2A2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去向</w:t>
                  </w:r>
                </w:p>
              </w:tc>
              <w:tc>
                <w:tcPr>
                  <w:tcW w:w="372" w:type="pct"/>
                  <w:tcBorders>
                    <w:bottom w:val="single" w:color="auto" w:sz="12" w:space="0"/>
                  </w:tcBorders>
                  <w:noWrap w:val="0"/>
                  <w:vAlign w:val="center"/>
                </w:tcPr>
                <w:p w14:paraId="334B1111">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数量</w:t>
                  </w:r>
                </w:p>
              </w:tc>
              <w:tc>
                <w:tcPr>
                  <w:tcW w:w="332" w:type="pct"/>
                  <w:tcBorders>
                    <w:bottom w:val="single" w:color="auto" w:sz="12" w:space="0"/>
                  </w:tcBorders>
                  <w:noWrap w:val="0"/>
                  <w:vAlign w:val="center"/>
                </w:tcPr>
                <w:p w14:paraId="6C84253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来源</w:t>
                  </w:r>
                </w:p>
              </w:tc>
              <w:tc>
                <w:tcPr>
                  <w:tcW w:w="332" w:type="pct"/>
                  <w:tcBorders>
                    <w:bottom w:val="single" w:color="auto" w:sz="12" w:space="0"/>
                  </w:tcBorders>
                  <w:noWrap w:val="0"/>
                  <w:vAlign w:val="center"/>
                </w:tcPr>
                <w:p w14:paraId="34CFA8D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数量</w:t>
                  </w:r>
                </w:p>
              </w:tc>
              <w:tc>
                <w:tcPr>
                  <w:tcW w:w="334" w:type="pct"/>
                  <w:tcBorders>
                    <w:bottom w:val="single" w:color="auto" w:sz="12" w:space="0"/>
                    <w:right w:val="nil"/>
                  </w:tcBorders>
                  <w:noWrap w:val="0"/>
                  <w:vAlign w:val="center"/>
                </w:tcPr>
                <w:p w14:paraId="5BC434A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去向</w:t>
                  </w:r>
                </w:p>
              </w:tc>
            </w:tr>
            <w:tr w14:paraId="2D83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 w:type="pct"/>
                  <w:tcBorders>
                    <w:top w:val="single" w:color="auto" w:sz="12" w:space="0"/>
                    <w:left w:val="nil"/>
                  </w:tcBorders>
                  <w:noWrap w:val="0"/>
                  <w:vAlign w:val="center"/>
                </w:tcPr>
                <w:p w14:paraId="0AA9E47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①</w:t>
                  </w:r>
                </w:p>
              </w:tc>
              <w:tc>
                <w:tcPr>
                  <w:tcW w:w="457" w:type="pct"/>
                  <w:tcBorders>
                    <w:top w:val="single" w:color="auto" w:sz="12" w:space="0"/>
                  </w:tcBorders>
                  <w:noWrap w:val="0"/>
                  <w:vAlign w:val="center"/>
                </w:tcPr>
                <w:p w14:paraId="36FAAD21">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建构筑物区</w:t>
                  </w:r>
                </w:p>
              </w:tc>
              <w:tc>
                <w:tcPr>
                  <w:tcW w:w="372" w:type="pct"/>
                  <w:tcBorders>
                    <w:top w:val="single" w:color="auto" w:sz="12" w:space="0"/>
                  </w:tcBorders>
                  <w:noWrap w:val="0"/>
                  <w:vAlign w:val="center"/>
                </w:tcPr>
                <w:p w14:paraId="02AA255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0.19</w:t>
                  </w:r>
                </w:p>
              </w:tc>
              <w:tc>
                <w:tcPr>
                  <w:tcW w:w="372" w:type="pct"/>
                  <w:tcBorders>
                    <w:top w:val="single" w:color="auto" w:sz="12" w:space="0"/>
                  </w:tcBorders>
                  <w:noWrap w:val="0"/>
                  <w:vAlign w:val="center"/>
                </w:tcPr>
                <w:p w14:paraId="4EC4562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0.12</w:t>
                  </w:r>
                </w:p>
              </w:tc>
              <w:tc>
                <w:tcPr>
                  <w:tcW w:w="372" w:type="pct"/>
                  <w:tcBorders>
                    <w:top w:val="single" w:color="auto" w:sz="12" w:space="0"/>
                  </w:tcBorders>
                  <w:noWrap w:val="0"/>
                  <w:vAlign w:val="center"/>
                </w:tcPr>
                <w:p w14:paraId="7773C02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0.02</w:t>
                  </w:r>
                </w:p>
              </w:tc>
              <w:tc>
                <w:tcPr>
                  <w:tcW w:w="372" w:type="pct"/>
                  <w:tcBorders>
                    <w:top w:val="single" w:color="auto" w:sz="12" w:space="0"/>
                  </w:tcBorders>
                  <w:noWrap w:val="0"/>
                  <w:vAlign w:val="center"/>
                </w:tcPr>
                <w:p w14:paraId="2793813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0.14</w:t>
                  </w:r>
                </w:p>
              </w:tc>
              <w:tc>
                <w:tcPr>
                  <w:tcW w:w="372" w:type="pct"/>
                  <w:tcBorders>
                    <w:top w:val="single" w:color="auto" w:sz="12" w:space="0"/>
                  </w:tcBorders>
                  <w:noWrap w:val="0"/>
                  <w:vAlign w:val="center"/>
                </w:tcPr>
                <w:p w14:paraId="3506801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2" w:type="pct"/>
                  <w:tcBorders>
                    <w:top w:val="single" w:color="auto" w:sz="12" w:space="0"/>
                  </w:tcBorders>
                  <w:noWrap w:val="0"/>
                  <w:vAlign w:val="center"/>
                </w:tcPr>
                <w:p w14:paraId="0F1EB0A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72" w:type="pct"/>
                  <w:tcBorders>
                    <w:top w:val="single" w:color="auto" w:sz="12" w:space="0"/>
                  </w:tcBorders>
                  <w:noWrap w:val="0"/>
                  <w:vAlign w:val="center"/>
                </w:tcPr>
                <w:p w14:paraId="51595C4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0.07</w:t>
                  </w:r>
                </w:p>
              </w:tc>
              <w:tc>
                <w:tcPr>
                  <w:tcW w:w="332" w:type="pct"/>
                  <w:tcBorders>
                    <w:top w:val="single" w:color="auto" w:sz="12" w:space="0"/>
                  </w:tcBorders>
                  <w:noWrap w:val="0"/>
                  <w:vAlign w:val="center"/>
                </w:tcPr>
                <w:p w14:paraId="7154220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②</w:t>
                  </w:r>
                </w:p>
              </w:tc>
              <w:tc>
                <w:tcPr>
                  <w:tcW w:w="372" w:type="pct"/>
                  <w:tcBorders>
                    <w:top w:val="single" w:color="auto" w:sz="12" w:space="0"/>
                  </w:tcBorders>
                  <w:noWrap w:val="0"/>
                  <w:vAlign w:val="center"/>
                </w:tcPr>
                <w:p w14:paraId="4D61942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0.02</w:t>
                  </w:r>
                </w:p>
              </w:tc>
              <w:tc>
                <w:tcPr>
                  <w:tcW w:w="332" w:type="pct"/>
                  <w:vMerge w:val="restart"/>
                  <w:tcBorders>
                    <w:top w:val="single" w:color="auto" w:sz="12" w:space="0"/>
                  </w:tcBorders>
                  <w:noWrap w:val="0"/>
                  <w:vAlign w:val="center"/>
                </w:tcPr>
                <w:p w14:paraId="42B936B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外购</w:t>
                  </w:r>
                </w:p>
              </w:tc>
              <w:tc>
                <w:tcPr>
                  <w:tcW w:w="332" w:type="pct"/>
                  <w:tcBorders>
                    <w:top w:val="single" w:color="auto" w:sz="12" w:space="0"/>
                  </w:tcBorders>
                  <w:noWrap w:val="0"/>
                  <w:vAlign w:val="center"/>
                </w:tcPr>
                <w:p w14:paraId="241A247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4" w:type="pct"/>
                  <w:tcBorders>
                    <w:top w:val="single" w:color="auto" w:sz="12" w:space="0"/>
                    <w:right w:val="nil"/>
                  </w:tcBorders>
                  <w:noWrap w:val="0"/>
                  <w:vAlign w:val="center"/>
                </w:tcPr>
                <w:p w14:paraId="3D3912A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r>
            <w:tr w14:paraId="55E9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 w:type="pct"/>
                  <w:tcBorders>
                    <w:left w:val="nil"/>
                  </w:tcBorders>
                  <w:noWrap w:val="0"/>
                  <w:vAlign w:val="center"/>
                </w:tcPr>
                <w:p w14:paraId="45DD334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②</w:t>
                  </w:r>
                </w:p>
              </w:tc>
              <w:tc>
                <w:tcPr>
                  <w:tcW w:w="457" w:type="pct"/>
                  <w:noWrap w:val="0"/>
                  <w:vAlign w:val="center"/>
                </w:tcPr>
                <w:p w14:paraId="7569B57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道路及硬化场地区</w:t>
                  </w:r>
                </w:p>
              </w:tc>
              <w:tc>
                <w:tcPr>
                  <w:tcW w:w="372" w:type="pct"/>
                  <w:noWrap w:val="0"/>
                  <w:vAlign w:val="center"/>
                </w:tcPr>
                <w:p w14:paraId="0E77176F">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0.16</w:t>
                  </w:r>
                </w:p>
              </w:tc>
              <w:tc>
                <w:tcPr>
                  <w:tcW w:w="372" w:type="pct"/>
                  <w:noWrap w:val="0"/>
                  <w:vAlign w:val="center"/>
                </w:tcPr>
                <w:p w14:paraId="1532925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0.23</w:t>
                  </w:r>
                </w:p>
              </w:tc>
              <w:tc>
                <w:tcPr>
                  <w:tcW w:w="372" w:type="pct"/>
                  <w:noWrap w:val="0"/>
                  <w:vAlign w:val="center"/>
                </w:tcPr>
                <w:p w14:paraId="0A284E0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0.16</w:t>
                  </w:r>
                </w:p>
              </w:tc>
              <w:tc>
                <w:tcPr>
                  <w:tcW w:w="372" w:type="pct"/>
                  <w:noWrap w:val="0"/>
                  <w:vAlign w:val="center"/>
                </w:tcPr>
                <w:p w14:paraId="5B92FE1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0.39</w:t>
                  </w:r>
                </w:p>
              </w:tc>
              <w:tc>
                <w:tcPr>
                  <w:tcW w:w="372" w:type="pct"/>
                  <w:noWrap w:val="0"/>
                  <w:vAlign w:val="center"/>
                </w:tcPr>
                <w:p w14:paraId="3B0C8F1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0.07</w:t>
                  </w:r>
                </w:p>
              </w:tc>
              <w:tc>
                <w:tcPr>
                  <w:tcW w:w="332" w:type="pct"/>
                  <w:noWrap w:val="0"/>
                  <w:vAlign w:val="center"/>
                </w:tcPr>
                <w:p w14:paraId="31CDEBE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①</w:t>
                  </w:r>
                </w:p>
              </w:tc>
              <w:tc>
                <w:tcPr>
                  <w:tcW w:w="372" w:type="pct"/>
                  <w:noWrap w:val="0"/>
                  <w:vAlign w:val="center"/>
                </w:tcPr>
                <w:p w14:paraId="1CD3E2E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2" w:type="pct"/>
                  <w:noWrap w:val="0"/>
                  <w:vAlign w:val="center"/>
                </w:tcPr>
                <w:p w14:paraId="13A7F17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72" w:type="pct"/>
                  <w:noWrap w:val="0"/>
                  <w:vAlign w:val="center"/>
                </w:tcPr>
                <w:p w14:paraId="61B1567F">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0.16</w:t>
                  </w:r>
                </w:p>
              </w:tc>
              <w:tc>
                <w:tcPr>
                  <w:tcW w:w="332" w:type="pct"/>
                  <w:vMerge w:val="continue"/>
                  <w:noWrap w:val="0"/>
                  <w:vAlign w:val="center"/>
                </w:tcPr>
                <w:p w14:paraId="20C9F4A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2" w:type="pct"/>
                  <w:noWrap w:val="0"/>
                  <w:vAlign w:val="center"/>
                </w:tcPr>
                <w:p w14:paraId="0701205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4" w:type="pct"/>
                  <w:tcBorders>
                    <w:right w:val="nil"/>
                  </w:tcBorders>
                  <w:noWrap w:val="0"/>
                  <w:vAlign w:val="center"/>
                </w:tcPr>
                <w:p w14:paraId="11CE9D0F">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r>
            <w:tr w14:paraId="2A19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 w:type="pct"/>
                  <w:tcBorders>
                    <w:left w:val="nil"/>
                  </w:tcBorders>
                  <w:noWrap w:val="0"/>
                  <w:vAlign w:val="center"/>
                </w:tcPr>
                <w:p w14:paraId="0117ACF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③</w:t>
                  </w:r>
                </w:p>
              </w:tc>
              <w:tc>
                <w:tcPr>
                  <w:tcW w:w="457" w:type="pct"/>
                  <w:noWrap w:val="0"/>
                  <w:vAlign w:val="center"/>
                </w:tcPr>
                <w:p w14:paraId="52FC5BC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绿化工程区</w:t>
                  </w:r>
                </w:p>
              </w:tc>
              <w:tc>
                <w:tcPr>
                  <w:tcW w:w="372" w:type="pct"/>
                  <w:noWrap w:val="0"/>
                  <w:vAlign w:val="center"/>
                </w:tcPr>
                <w:p w14:paraId="6D26259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0.03</w:t>
                  </w:r>
                </w:p>
              </w:tc>
              <w:tc>
                <w:tcPr>
                  <w:tcW w:w="372" w:type="pct"/>
                  <w:noWrap w:val="0"/>
                  <w:vAlign w:val="center"/>
                </w:tcPr>
                <w:p w14:paraId="35ADEE6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0.03</w:t>
                  </w:r>
                </w:p>
              </w:tc>
              <w:tc>
                <w:tcPr>
                  <w:tcW w:w="372" w:type="pct"/>
                  <w:noWrap w:val="0"/>
                  <w:vAlign w:val="center"/>
                </w:tcPr>
                <w:p w14:paraId="2C6620A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0.03</w:t>
                  </w:r>
                </w:p>
              </w:tc>
              <w:tc>
                <w:tcPr>
                  <w:tcW w:w="372" w:type="pct"/>
                  <w:noWrap w:val="0"/>
                  <w:vAlign w:val="center"/>
                </w:tcPr>
                <w:p w14:paraId="0737203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0.06</w:t>
                  </w:r>
                </w:p>
              </w:tc>
              <w:tc>
                <w:tcPr>
                  <w:tcW w:w="372" w:type="pct"/>
                  <w:noWrap w:val="0"/>
                  <w:vAlign w:val="center"/>
                </w:tcPr>
                <w:p w14:paraId="4397A08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2" w:type="pct"/>
                  <w:noWrap w:val="0"/>
                  <w:vAlign w:val="center"/>
                </w:tcPr>
                <w:p w14:paraId="65D6730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72" w:type="pct"/>
                  <w:noWrap w:val="0"/>
                  <w:vAlign w:val="center"/>
                </w:tcPr>
                <w:p w14:paraId="74CC032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2" w:type="pct"/>
                  <w:noWrap w:val="0"/>
                  <w:vAlign w:val="center"/>
                </w:tcPr>
                <w:p w14:paraId="30616FE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72" w:type="pct"/>
                  <w:noWrap w:val="0"/>
                  <w:vAlign w:val="center"/>
                </w:tcPr>
                <w:p w14:paraId="0488271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0.03</w:t>
                  </w:r>
                </w:p>
              </w:tc>
              <w:tc>
                <w:tcPr>
                  <w:tcW w:w="332" w:type="pct"/>
                  <w:vMerge w:val="continue"/>
                  <w:noWrap w:val="0"/>
                  <w:vAlign w:val="center"/>
                </w:tcPr>
                <w:p w14:paraId="2B4DC10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2" w:type="pct"/>
                  <w:noWrap w:val="0"/>
                  <w:vAlign w:val="center"/>
                </w:tcPr>
                <w:p w14:paraId="4D54E63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4" w:type="pct"/>
                  <w:tcBorders>
                    <w:right w:val="nil"/>
                  </w:tcBorders>
                  <w:noWrap w:val="0"/>
                  <w:vAlign w:val="center"/>
                </w:tcPr>
                <w:p w14:paraId="1FDD7324">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r>
            <w:tr w14:paraId="3111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 w:type="pct"/>
                  <w:tcBorders>
                    <w:left w:val="nil"/>
                  </w:tcBorders>
                  <w:noWrap w:val="0"/>
                  <w:vAlign w:val="center"/>
                </w:tcPr>
                <w:p w14:paraId="70D94FB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④</w:t>
                  </w:r>
                </w:p>
              </w:tc>
              <w:tc>
                <w:tcPr>
                  <w:tcW w:w="457" w:type="pct"/>
                  <w:noWrap w:val="0"/>
                  <w:vAlign w:val="center"/>
                </w:tcPr>
                <w:p w14:paraId="36F9781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管线工程区</w:t>
                  </w:r>
                </w:p>
              </w:tc>
              <w:tc>
                <w:tcPr>
                  <w:tcW w:w="372" w:type="pct"/>
                  <w:noWrap w:val="0"/>
                  <w:vAlign w:val="center"/>
                </w:tcPr>
                <w:p w14:paraId="7BE7610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0.32</w:t>
                  </w:r>
                </w:p>
              </w:tc>
              <w:tc>
                <w:tcPr>
                  <w:tcW w:w="372" w:type="pct"/>
                  <w:noWrap w:val="0"/>
                  <w:vAlign w:val="center"/>
                </w:tcPr>
                <w:p w14:paraId="7881A98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0.32</w:t>
                  </w:r>
                </w:p>
              </w:tc>
              <w:tc>
                <w:tcPr>
                  <w:tcW w:w="372" w:type="pct"/>
                  <w:noWrap w:val="0"/>
                  <w:vAlign w:val="center"/>
                </w:tcPr>
                <w:p w14:paraId="653486D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72" w:type="pct"/>
                  <w:noWrap w:val="0"/>
                  <w:vAlign w:val="center"/>
                </w:tcPr>
                <w:p w14:paraId="409D986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0.31</w:t>
                  </w:r>
                </w:p>
              </w:tc>
              <w:tc>
                <w:tcPr>
                  <w:tcW w:w="372" w:type="pct"/>
                  <w:noWrap w:val="0"/>
                  <w:vAlign w:val="center"/>
                </w:tcPr>
                <w:p w14:paraId="2FBA2041">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2" w:type="pct"/>
                  <w:noWrap w:val="0"/>
                  <w:vAlign w:val="center"/>
                </w:tcPr>
                <w:p w14:paraId="3943CCE4">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72" w:type="pct"/>
                  <w:noWrap w:val="0"/>
                  <w:vAlign w:val="center"/>
                </w:tcPr>
                <w:p w14:paraId="2C58CB9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2" w:type="pct"/>
                  <w:noWrap w:val="0"/>
                  <w:vAlign w:val="center"/>
                </w:tcPr>
                <w:p w14:paraId="4A0475D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72" w:type="pct"/>
                  <w:noWrap w:val="0"/>
                  <w:vAlign w:val="center"/>
                </w:tcPr>
                <w:p w14:paraId="77E0ACF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2" w:type="pct"/>
                  <w:vMerge w:val="continue"/>
                  <w:noWrap w:val="0"/>
                  <w:vAlign w:val="center"/>
                </w:tcPr>
                <w:p w14:paraId="6E20D16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2" w:type="pct"/>
                  <w:noWrap w:val="0"/>
                  <w:vAlign w:val="center"/>
                </w:tcPr>
                <w:p w14:paraId="201CC8E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4" w:type="pct"/>
                  <w:tcBorders>
                    <w:right w:val="nil"/>
                  </w:tcBorders>
                  <w:noWrap w:val="0"/>
                  <w:vAlign w:val="center"/>
                </w:tcPr>
                <w:p w14:paraId="4D2775D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r>
            <w:tr w14:paraId="0841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 w:type="pct"/>
                  <w:tcBorders>
                    <w:left w:val="nil"/>
                  </w:tcBorders>
                  <w:noWrap w:val="0"/>
                  <w:vAlign w:val="center"/>
                </w:tcPr>
                <w:p w14:paraId="79C7872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⑤</w:t>
                  </w:r>
                </w:p>
              </w:tc>
              <w:tc>
                <w:tcPr>
                  <w:tcW w:w="457" w:type="pct"/>
                  <w:noWrap w:val="0"/>
                  <w:vAlign w:val="center"/>
                </w:tcPr>
                <w:p w14:paraId="2E9E849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附属设施区</w:t>
                  </w:r>
                </w:p>
              </w:tc>
              <w:tc>
                <w:tcPr>
                  <w:tcW w:w="372" w:type="pct"/>
                  <w:noWrap w:val="0"/>
                  <w:vAlign w:val="center"/>
                </w:tcPr>
                <w:p w14:paraId="020548D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0.01</w:t>
                  </w:r>
                </w:p>
              </w:tc>
              <w:tc>
                <w:tcPr>
                  <w:tcW w:w="372" w:type="pct"/>
                  <w:noWrap w:val="0"/>
                  <w:vAlign w:val="center"/>
                </w:tcPr>
                <w:p w14:paraId="4A49249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0.01</w:t>
                  </w:r>
                </w:p>
              </w:tc>
              <w:tc>
                <w:tcPr>
                  <w:tcW w:w="372" w:type="pct"/>
                  <w:noWrap w:val="0"/>
                  <w:vAlign w:val="center"/>
                </w:tcPr>
                <w:p w14:paraId="3772B64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72" w:type="pct"/>
                  <w:noWrap w:val="0"/>
                  <w:vAlign w:val="center"/>
                </w:tcPr>
                <w:p w14:paraId="6FAF8F5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72" w:type="pct"/>
                  <w:noWrap w:val="0"/>
                  <w:vAlign w:val="center"/>
                </w:tcPr>
                <w:p w14:paraId="29301BA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2" w:type="pct"/>
                  <w:noWrap w:val="0"/>
                  <w:vAlign w:val="center"/>
                </w:tcPr>
                <w:p w14:paraId="77686AE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72" w:type="pct"/>
                  <w:noWrap w:val="0"/>
                  <w:vAlign w:val="center"/>
                </w:tcPr>
                <w:p w14:paraId="0B85246F">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2" w:type="pct"/>
                  <w:noWrap w:val="0"/>
                  <w:vAlign w:val="center"/>
                </w:tcPr>
                <w:p w14:paraId="305B74F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72" w:type="pct"/>
                  <w:noWrap w:val="0"/>
                  <w:vAlign w:val="center"/>
                </w:tcPr>
                <w:p w14:paraId="4518F50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2" w:type="pct"/>
                  <w:vMerge w:val="continue"/>
                  <w:noWrap w:val="0"/>
                  <w:vAlign w:val="center"/>
                </w:tcPr>
                <w:p w14:paraId="422B54F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2" w:type="pct"/>
                  <w:noWrap w:val="0"/>
                  <w:vAlign w:val="center"/>
                </w:tcPr>
                <w:p w14:paraId="20A4AAA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4" w:type="pct"/>
                  <w:tcBorders>
                    <w:right w:val="nil"/>
                  </w:tcBorders>
                  <w:noWrap w:val="0"/>
                  <w:vAlign w:val="center"/>
                </w:tcPr>
                <w:p w14:paraId="26CCA11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r>
            <w:tr w14:paraId="42B9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pct"/>
                  <w:gridSpan w:val="2"/>
                  <w:tcBorders>
                    <w:left w:val="nil"/>
                    <w:bottom w:val="single" w:color="auto" w:sz="12" w:space="0"/>
                  </w:tcBorders>
                  <w:noWrap w:val="0"/>
                  <w:vAlign w:val="center"/>
                </w:tcPr>
                <w:p w14:paraId="11627A3F">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合计</w:t>
                  </w:r>
                </w:p>
              </w:tc>
              <w:tc>
                <w:tcPr>
                  <w:tcW w:w="372" w:type="pct"/>
                  <w:tcBorders>
                    <w:bottom w:val="single" w:color="auto" w:sz="12" w:space="0"/>
                  </w:tcBorders>
                  <w:noWrap w:val="0"/>
                  <w:vAlign w:val="center"/>
                </w:tcPr>
                <w:p w14:paraId="0ED4316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0.71</w:t>
                  </w:r>
                </w:p>
              </w:tc>
              <w:tc>
                <w:tcPr>
                  <w:tcW w:w="372" w:type="pct"/>
                  <w:tcBorders>
                    <w:bottom w:val="single" w:color="auto" w:sz="12" w:space="0"/>
                  </w:tcBorders>
                  <w:noWrap w:val="0"/>
                  <w:vAlign w:val="center"/>
                </w:tcPr>
                <w:p w14:paraId="28510C4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0.71</w:t>
                  </w:r>
                </w:p>
              </w:tc>
              <w:tc>
                <w:tcPr>
                  <w:tcW w:w="372" w:type="pct"/>
                  <w:tcBorders>
                    <w:bottom w:val="single" w:color="auto" w:sz="12" w:space="0"/>
                  </w:tcBorders>
                  <w:noWrap w:val="0"/>
                  <w:vAlign w:val="center"/>
                </w:tcPr>
                <w:p w14:paraId="7379609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0.21</w:t>
                  </w:r>
                </w:p>
              </w:tc>
              <w:tc>
                <w:tcPr>
                  <w:tcW w:w="372" w:type="pct"/>
                  <w:tcBorders>
                    <w:bottom w:val="single" w:color="auto" w:sz="12" w:space="0"/>
                  </w:tcBorders>
                  <w:noWrap w:val="0"/>
                  <w:vAlign w:val="center"/>
                </w:tcPr>
                <w:p w14:paraId="1E51EE0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0.92</w:t>
                  </w:r>
                </w:p>
              </w:tc>
              <w:tc>
                <w:tcPr>
                  <w:tcW w:w="372" w:type="pct"/>
                  <w:tcBorders>
                    <w:bottom w:val="single" w:color="auto" w:sz="12" w:space="0"/>
                  </w:tcBorders>
                  <w:noWrap w:val="0"/>
                  <w:vAlign w:val="center"/>
                </w:tcPr>
                <w:p w14:paraId="126A09F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0.07</w:t>
                  </w:r>
                </w:p>
              </w:tc>
              <w:tc>
                <w:tcPr>
                  <w:tcW w:w="332" w:type="pct"/>
                  <w:tcBorders>
                    <w:bottom w:val="single" w:color="auto" w:sz="12" w:space="0"/>
                  </w:tcBorders>
                  <w:noWrap w:val="0"/>
                  <w:vAlign w:val="center"/>
                </w:tcPr>
                <w:p w14:paraId="44A1DE7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72" w:type="pct"/>
                  <w:tcBorders>
                    <w:bottom w:val="single" w:color="auto" w:sz="12" w:space="0"/>
                  </w:tcBorders>
                  <w:noWrap w:val="0"/>
                  <w:vAlign w:val="center"/>
                </w:tcPr>
                <w:p w14:paraId="3234E01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0.07</w:t>
                  </w:r>
                </w:p>
              </w:tc>
              <w:tc>
                <w:tcPr>
                  <w:tcW w:w="332" w:type="pct"/>
                  <w:tcBorders>
                    <w:bottom w:val="single" w:color="auto" w:sz="12" w:space="0"/>
                  </w:tcBorders>
                  <w:noWrap w:val="0"/>
                  <w:vAlign w:val="center"/>
                </w:tcPr>
                <w:p w14:paraId="0416B64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72" w:type="pct"/>
                  <w:tcBorders>
                    <w:bottom w:val="single" w:color="auto" w:sz="12" w:space="0"/>
                  </w:tcBorders>
                  <w:noWrap w:val="0"/>
                  <w:vAlign w:val="center"/>
                </w:tcPr>
                <w:p w14:paraId="346E7D6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vertAlign w:val="baseline"/>
                      <w:lang w:val="en-US" w:eastAsia="zh-CN"/>
                    </w:rPr>
                    <w:t>0.21</w:t>
                  </w:r>
                </w:p>
              </w:tc>
              <w:tc>
                <w:tcPr>
                  <w:tcW w:w="332" w:type="pct"/>
                  <w:vMerge w:val="continue"/>
                  <w:tcBorders>
                    <w:bottom w:val="single" w:color="auto" w:sz="12" w:space="0"/>
                  </w:tcBorders>
                  <w:noWrap w:val="0"/>
                  <w:vAlign w:val="center"/>
                </w:tcPr>
                <w:p w14:paraId="164B509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2" w:type="pct"/>
                  <w:tcBorders>
                    <w:bottom w:val="single" w:color="auto" w:sz="12" w:space="0"/>
                  </w:tcBorders>
                  <w:noWrap w:val="0"/>
                  <w:vAlign w:val="center"/>
                </w:tcPr>
                <w:p w14:paraId="7F7CD56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334" w:type="pct"/>
                  <w:tcBorders>
                    <w:bottom w:val="single" w:color="auto" w:sz="12" w:space="0"/>
                    <w:right w:val="nil"/>
                  </w:tcBorders>
                  <w:noWrap w:val="0"/>
                  <w:vAlign w:val="center"/>
                </w:tcPr>
                <w:p w14:paraId="19B9435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r>
          </w:tbl>
          <w:p w14:paraId="41C69F90">
            <w:pPr>
              <w:keepNext w:val="0"/>
              <w:keepLines w:val="0"/>
              <w:pageBreakBefore w:val="0"/>
              <w:widowControl w:val="0"/>
              <w:kinsoku/>
              <w:wordWrap/>
              <w:overflowPunct/>
              <w:topLinePunct w:val="0"/>
              <w:autoSpaceDE/>
              <w:autoSpaceDN/>
              <w:bidi w:val="0"/>
              <w:adjustRightInd w:val="0"/>
              <w:snapToGrid/>
              <w:spacing w:line="360" w:lineRule="auto"/>
              <w:ind w:firstLine="0" w:firstLineChars="0"/>
              <w:textAlignment w:val="auto"/>
              <w:rPr>
                <w:rFonts w:hint="eastAsia" w:ascii="Times New Roman" w:hAnsi="Times New Roman" w:eastAsia="宋体" w:cs="Times New Roman"/>
                <w:b w:val="0"/>
                <w:bCs w:val="0"/>
                <w:color w:val="000000"/>
                <w:kern w:val="0"/>
                <w:szCs w:val="21"/>
                <w:highlight w:val="none"/>
                <w:lang w:val="en-US" w:eastAsia="zh-CN"/>
              </w:rPr>
            </w:pPr>
            <w:r>
              <w:drawing>
                <wp:inline distT="0" distB="0" distL="114300" distR="114300">
                  <wp:extent cx="4996815" cy="2261870"/>
                  <wp:effectExtent l="0" t="0" r="13335" b="5080"/>
                  <wp:docPr id="1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5"/>
                          <pic:cNvPicPr>
                            <a:picLocks noChangeAspect="1"/>
                          </pic:cNvPicPr>
                        </pic:nvPicPr>
                        <pic:blipFill>
                          <a:blip r:embed="rId20"/>
                          <a:stretch>
                            <a:fillRect/>
                          </a:stretch>
                        </pic:blipFill>
                        <pic:spPr>
                          <a:xfrm>
                            <a:off x="0" y="0"/>
                            <a:ext cx="4996815" cy="2261870"/>
                          </a:xfrm>
                          <a:prstGeom prst="rect">
                            <a:avLst/>
                          </a:prstGeom>
                          <a:noFill/>
                          <a:ln>
                            <a:noFill/>
                          </a:ln>
                        </pic:spPr>
                      </pic:pic>
                    </a:graphicData>
                  </a:graphic>
                </wp:inline>
              </w:drawing>
            </w:r>
          </w:p>
          <w:p w14:paraId="2AE96AB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b w:val="0"/>
                <w:bCs w:val="0"/>
                <w:color w:val="000000"/>
                <w:kern w:val="0"/>
                <w:szCs w:val="21"/>
                <w:highlight w:val="none"/>
                <w:lang w:val="en-US" w:eastAsia="zh-CN"/>
              </w:rPr>
            </w:pPr>
            <w:r>
              <w:rPr>
                <w:rFonts w:hint="default" w:ascii="Times New Roman" w:hAnsi="Times New Roman" w:eastAsia="宋体" w:cs="Times New Roman"/>
                <w:b/>
                <w:bCs/>
                <w:color w:val="000000"/>
                <w:kern w:val="0"/>
                <w:sz w:val="21"/>
                <w:szCs w:val="18"/>
                <w:highlight w:val="none"/>
                <w:lang w:val="en-US" w:eastAsia="zh-CN"/>
              </w:rPr>
              <w:t>图</w:t>
            </w:r>
            <w:r>
              <w:rPr>
                <w:rFonts w:hint="eastAsia" w:ascii="Times New Roman" w:hAnsi="Times New Roman" w:eastAsia="宋体" w:cs="Times New Roman"/>
                <w:b/>
                <w:bCs/>
                <w:color w:val="000000"/>
                <w:kern w:val="0"/>
                <w:sz w:val="21"/>
                <w:szCs w:val="18"/>
                <w:highlight w:val="none"/>
                <w:lang w:val="en-US" w:eastAsia="zh-CN"/>
              </w:rPr>
              <w:t xml:space="preserve">2-4  </w:t>
            </w:r>
            <w:r>
              <w:rPr>
                <w:rFonts w:hint="default" w:ascii="Times New Roman" w:hAnsi="Times New Roman" w:eastAsia="宋体" w:cs="Times New Roman"/>
                <w:b/>
                <w:bCs/>
                <w:color w:val="000000"/>
                <w:kern w:val="0"/>
                <w:sz w:val="21"/>
                <w:szCs w:val="18"/>
                <w:highlight w:val="none"/>
                <w:lang w:val="en-US" w:eastAsia="zh-CN"/>
              </w:rPr>
              <w:t>土石方平衡图</w:t>
            </w:r>
          </w:p>
          <w:p w14:paraId="26DB9A91">
            <w:pPr>
              <w:keepNext w:val="0"/>
              <w:keepLines w:val="0"/>
              <w:pageBreakBefore w:val="0"/>
              <w:widowControl w:val="0"/>
              <w:kinsoku/>
              <w:wordWrap/>
              <w:overflowPunct/>
              <w:topLinePunct w:val="0"/>
              <w:autoSpaceDE/>
              <w:autoSpaceDN/>
              <w:bidi w:val="0"/>
              <w:adjustRightInd w:val="0"/>
              <w:snapToGrid/>
              <w:spacing w:line="360" w:lineRule="auto"/>
              <w:ind w:firstLine="480" w:firstLineChars="0"/>
              <w:textAlignment w:val="auto"/>
              <w:rPr>
                <w:rFonts w:hint="default" w:ascii="Times New Roman" w:hAnsi="Times New Roman" w:eastAsia="宋体" w:cs="Times New Roman"/>
                <w:b/>
                <w:bCs/>
                <w:color w:val="000000"/>
                <w:kern w:val="0"/>
                <w:szCs w:val="21"/>
                <w:highlight w:val="none"/>
                <w:lang w:val="en-US" w:eastAsia="zh-CN"/>
              </w:rPr>
            </w:pPr>
            <w:r>
              <w:rPr>
                <w:rFonts w:hint="eastAsia" w:cs="Times New Roman"/>
                <w:b/>
                <w:bCs/>
                <w:color w:val="000000"/>
                <w:kern w:val="0"/>
                <w:szCs w:val="21"/>
                <w:highlight w:val="none"/>
                <w:lang w:val="en-US" w:eastAsia="zh-CN"/>
              </w:rPr>
              <w:t>6.</w:t>
            </w:r>
            <w:r>
              <w:rPr>
                <w:rFonts w:hint="default" w:ascii="Times New Roman" w:hAnsi="Times New Roman" w:eastAsia="宋体" w:cs="Times New Roman"/>
                <w:b/>
                <w:bCs/>
                <w:color w:val="000000"/>
                <w:kern w:val="0"/>
                <w:szCs w:val="21"/>
                <w:highlight w:val="none"/>
                <w:lang w:val="en-US" w:eastAsia="zh-CN"/>
              </w:rPr>
              <w:t xml:space="preserve">劳动定员及运行规模 </w:t>
            </w:r>
          </w:p>
          <w:p w14:paraId="78057842">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eastAsia"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项目劳动</w:t>
            </w:r>
            <w:r>
              <w:rPr>
                <w:rFonts w:hint="eastAsia" w:ascii="Times New Roman" w:hAnsi="Times New Roman" w:eastAsia="宋体" w:cs="Times New Roman"/>
                <w:color w:val="000000"/>
                <w:kern w:val="0"/>
                <w:sz w:val="24"/>
                <w:szCs w:val="24"/>
                <w:lang w:val="en-US" w:eastAsia="zh-CN" w:bidi="ar"/>
              </w:rPr>
              <w:t>定员</w:t>
            </w:r>
            <w:r>
              <w:rPr>
                <w:rFonts w:hint="eastAsia" w:ascii="Times New Roman" w:hAnsi="Times New Roman" w:eastAsia="宋体" w:cs="Times New Roman"/>
                <w:color w:val="000000"/>
                <w:kern w:val="0"/>
                <w:sz w:val="24"/>
                <w:szCs w:val="24"/>
                <w:highlight w:val="none"/>
                <w:lang w:val="en-US" w:eastAsia="zh-CN" w:bidi="ar"/>
              </w:rPr>
              <w:t>20</w:t>
            </w:r>
            <w:r>
              <w:rPr>
                <w:rFonts w:hint="default" w:ascii="Times New Roman" w:hAnsi="Times New Roman" w:eastAsia="宋体" w:cs="Times New Roman"/>
                <w:color w:val="000000"/>
                <w:kern w:val="0"/>
                <w:sz w:val="24"/>
                <w:szCs w:val="24"/>
                <w:lang w:val="en-US" w:eastAsia="zh-CN" w:bidi="ar"/>
              </w:rPr>
              <w:t>人</w:t>
            </w:r>
            <w:r>
              <w:rPr>
                <w:rFonts w:hint="eastAsia"/>
                <w:lang w:eastAsia="zh-CN"/>
              </w:rPr>
              <w:t>，项目运营周期为全年无间断经营，年运营天数365天，日常全天候对外开放接待旅客，配套住宿、休闲等功能持续运行</w:t>
            </w:r>
            <w:r>
              <w:rPr>
                <w:rFonts w:hint="eastAsia" w:ascii="Times New Roman" w:hAnsi="Times New Roman" w:eastAsia="宋体" w:cs="Times New Roman"/>
                <w:color w:val="000000"/>
                <w:kern w:val="0"/>
                <w:sz w:val="24"/>
                <w:szCs w:val="24"/>
                <w:lang w:val="en-US" w:eastAsia="zh-CN" w:bidi="ar"/>
              </w:rPr>
              <w:t>。</w:t>
            </w:r>
          </w:p>
          <w:p w14:paraId="39539300">
            <w:pPr>
              <w:keepNext w:val="0"/>
              <w:keepLines w:val="0"/>
              <w:pageBreakBefore w:val="0"/>
              <w:widowControl/>
              <w:numPr>
                <w:ilvl w:val="0"/>
                <w:numId w:val="0"/>
              </w:numPr>
              <w:suppressLineNumbers w:val="0"/>
              <w:kinsoku/>
              <w:wordWrap/>
              <w:overflowPunct/>
              <w:topLinePunct w:val="0"/>
              <w:autoSpaceDE/>
              <w:autoSpaceDN/>
              <w:bidi w:val="0"/>
              <w:adjustRightInd/>
              <w:snapToGrid w:val="0"/>
              <w:ind w:firstLine="482" w:firstLineChars="200"/>
              <w:jc w:val="both"/>
              <w:textAlignment w:val="auto"/>
              <w:rPr>
                <w:rFonts w:hint="eastAsia" w:cs="Times New Roman"/>
                <w:b/>
                <w:bCs/>
                <w:color w:val="000000"/>
                <w:kern w:val="0"/>
                <w:sz w:val="24"/>
                <w:szCs w:val="24"/>
                <w:lang w:val="en-US" w:eastAsia="zh-CN" w:bidi="ar"/>
              </w:rPr>
            </w:pPr>
            <w:r>
              <w:rPr>
                <w:rFonts w:hint="eastAsia" w:cs="Times New Roman"/>
                <w:b/>
                <w:bCs/>
                <w:color w:val="000000"/>
                <w:kern w:val="0"/>
                <w:sz w:val="24"/>
                <w:szCs w:val="24"/>
                <w:lang w:val="en-US" w:eastAsia="zh-CN" w:bidi="ar"/>
              </w:rPr>
              <w:t>7.依托可行性分析</w:t>
            </w:r>
          </w:p>
          <w:p w14:paraId="29F3650F">
            <w:pPr>
              <w:keepNext w:val="0"/>
              <w:keepLines w:val="0"/>
              <w:pageBreakBefore w:val="0"/>
              <w:widowControl/>
              <w:numPr>
                <w:ilvl w:val="0"/>
                <w:numId w:val="0"/>
              </w:numPr>
              <w:suppressLineNumbers w:val="0"/>
              <w:kinsoku/>
              <w:wordWrap/>
              <w:overflowPunct/>
              <w:topLinePunct w:val="0"/>
              <w:autoSpaceDE/>
              <w:autoSpaceDN/>
              <w:bidi w:val="0"/>
              <w:adjustRightInd/>
              <w:snapToGrid w:val="0"/>
              <w:ind w:firstLine="480"/>
              <w:jc w:val="both"/>
              <w:textAlignment w:val="auto"/>
              <w:rPr>
                <w:rFonts w:hint="default" w:cs="Times New Roman"/>
                <w:color w:val="000000"/>
                <w:kern w:val="0"/>
                <w:sz w:val="24"/>
                <w:szCs w:val="24"/>
                <w:lang w:val="en-US" w:eastAsia="zh-CN" w:bidi="ar"/>
              </w:rPr>
            </w:pPr>
            <w:r>
              <w:rPr>
                <w:rFonts w:hint="eastAsia" w:cs="Times New Roman"/>
                <w:color w:val="000000"/>
                <w:kern w:val="0"/>
                <w:sz w:val="24"/>
                <w:szCs w:val="24"/>
                <w:lang w:val="en-US" w:eastAsia="zh-CN" w:bidi="ar"/>
              </w:rPr>
              <w:t>（1）建筑垃圾填埋场依托可行性分析</w:t>
            </w:r>
          </w:p>
          <w:p w14:paraId="6F2B425F">
            <w:pPr>
              <w:keepNext w:val="0"/>
              <w:keepLines w:val="0"/>
              <w:pageBreakBefore w:val="0"/>
              <w:widowControl/>
              <w:numPr>
                <w:ilvl w:val="0"/>
                <w:numId w:val="0"/>
              </w:numPr>
              <w:suppressLineNumbers w:val="0"/>
              <w:kinsoku/>
              <w:wordWrap/>
              <w:overflowPunct/>
              <w:topLinePunct w:val="0"/>
              <w:autoSpaceDE/>
              <w:autoSpaceDN/>
              <w:bidi w:val="0"/>
              <w:adjustRightInd/>
              <w:snapToGrid w:val="0"/>
              <w:ind w:firstLine="480"/>
              <w:jc w:val="both"/>
              <w:textAlignment w:val="auto"/>
              <w:rPr>
                <w:rFonts w:hint="default" w:cs="Times New Roman"/>
                <w:color w:val="000000"/>
                <w:kern w:val="0"/>
                <w:sz w:val="24"/>
                <w:szCs w:val="24"/>
                <w:lang w:val="en-US" w:eastAsia="zh-CN" w:bidi="ar"/>
              </w:rPr>
            </w:pPr>
            <w:r>
              <w:rPr>
                <w:rFonts w:hint="default" w:ascii="Times New Roman" w:hAnsi="Times New Roman" w:eastAsia="宋体" w:cs="Times New Roman"/>
                <w:sz w:val="24"/>
                <w:szCs w:val="24"/>
              </w:rPr>
              <w:t>新疆阜康产业园固废综合处置静脉园（一期工程）</w:t>
            </w:r>
            <w:r>
              <w:rPr>
                <w:rFonts w:hint="default" w:ascii="Times New Roman" w:hAnsi="Times New Roman" w:cs="Times New Roman"/>
                <w:sz w:val="24"/>
                <w:szCs w:val="24"/>
                <w:lang w:val="en-US" w:eastAsia="zh-CN"/>
              </w:rPr>
              <w:t>于2015年2月9日</w:t>
            </w:r>
            <w:r>
              <w:rPr>
                <w:rFonts w:hint="eastAsia" w:ascii="Times New Roman" w:hAnsi="Times New Roman" w:cs="Times New Roman"/>
                <w:sz w:val="24"/>
                <w:szCs w:val="24"/>
                <w:lang w:val="en-US" w:eastAsia="zh-CN"/>
              </w:rPr>
              <w:t>由</w:t>
            </w:r>
            <w:r>
              <w:rPr>
                <w:rFonts w:hint="default" w:ascii="Times New Roman" w:hAnsi="Times New Roman" w:cs="Times New Roman"/>
                <w:sz w:val="24"/>
                <w:szCs w:val="24"/>
                <w:lang w:val="en-US" w:eastAsia="zh-CN"/>
              </w:rPr>
              <w:t>昌吉回族自治州生态环境局批复的《</w:t>
            </w:r>
            <w:r>
              <w:rPr>
                <w:rFonts w:hint="eastAsia" w:ascii="Times New Roman" w:hAnsi="Times New Roman" w:cs="Times New Roman"/>
                <w:sz w:val="24"/>
                <w:szCs w:val="24"/>
                <w:lang w:val="en-US" w:eastAsia="zh-CN"/>
              </w:rPr>
              <w:t>关于&lt;</w:t>
            </w:r>
            <w:r>
              <w:rPr>
                <w:rFonts w:hint="default" w:ascii="Times New Roman" w:hAnsi="Times New Roman" w:cs="Times New Roman"/>
                <w:sz w:val="24"/>
                <w:szCs w:val="24"/>
                <w:lang w:val="en-US" w:eastAsia="zh-CN"/>
              </w:rPr>
              <w:t>新疆阜康产业园固废综合处置静脉园项目一期工程环境影响报告书</w:t>
            </w:r>
            <w:r>
              <w:rPr>
                <w:rFonts w:hint="eastAsia" w:ascii="Times New Roman" w:hAnsi="Times New Roman" w:cs="Times New Roman"/>
                <w:sz w:val="24"/>
                <w:szCs w:val="24"/>
                <w:lang w:val="en-US" w:eastAsia="zh-CN"/>
              </w:rPr>
              <w:t>&gt;</w:t>
            </w:r>
            <w:r>
              <w:rPr>
                <w:rFonts w:hint="eastAsia" w:cs="Times New Roman"/>
                <w:sz w:val="24"/>
                <w:szCs w:val="24"/>
                <w:lang w:val="en-US" w:eastAsia="zh-CN"/>
              </w:rPr>
              <w:t>的批复</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w:t>
            </w:r>
            <w:r>
              <w:rPr>
                <w:rFonts w:hint="default" w:ascii="Times New Roman" w:hAnsi="Times New Roman" w:eastAsia="宋体" w:cs="Times New Roman"/>
                <w:sz w:val="24"/>
                <w:szCs w:val="24"/>
              </w:rPr>
              <w:t>昌州环评〔2015〕7号</w:t>
            </w:r>
            <w:r>
              <w:rPr>
                <w:rFonts w:hint="eastAsia" w:ascii="Times New Roman" w:hAnsi="Times New Roman" w:cs="Times New Roman"/>
                <w:sz w:val="24"/>
                <w:szCs w:val="24"/>
                <w:lang w:val="en-US" w:eastAsia="zh-CN"/>
              </w:rPr>
              <w:t>）</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2015年批复开工，2017年建成进入试运营</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2018年10月完成竣工环境保护自主验收并在昌吉州生态环境局备案公示</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一期设计总库容：120万m³</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当前剩余有效库容：约113.19万m³</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本项目施工期产生的建筑垃圾约为7.32t，</w:t>
            </w:r>
            <w:r>
              <w:rPr>
                <w:rFonts w:hint="eastAsia" w:cs="Times New Roman"/>
                <w:b w:val="0"/>
                <w:bCs w:val="0"/>
                <w:color w:val="000000" w:themeColor="text1"/>
                <w:sz w:val="24"/>
                <w:lang w:val="en-US" w:eastAsia="zh-CN"/>
                <w14:textFill>
                  <w14:solidFill>
                    <w14:schemeClr w14:val="tx1"/>
                  </w14:solidFill>
                </w14:textFill>
              </w:rPr>
              <w:t>产生量较小，远远小于</w:t>
            </w:r>
            <w:r>
              <w:rPr>
                <w:rFonts w:hint="default" w:ascii="Times New Roman" w:hAnsi="Times New Roman" w:eastAsia="宋体" w:cs="Times New Roman"/>
                <w:sz w:val="24"/>
                <w:szCs w:val="24"/>
              </w:rPr>
              <w:t>新疆阜康产业园固废综合处置静脉园（一期工程）</w:t>
            </w:r>
            <w:r>
              <w:rPr>
                <w:rFonts w:hint="eastAsia" w:cs="Times New Roman"/>
                <w:b w:val="0"/>
                <w:bCs w:val="0"/>
                <w:color w:val="000000" w:themeColor="text1"/>
                <w:sz w:val="24"/>
                <w:lang w:val="en-US" w:eastAsia="zh-CN"/>
                <w14:textFill>
                  <w14:solidFill>
                    <w14:schemeClr w14:val="tx1"/>
                  </w14:solidFill>
                </w14:textFill>
              </w:rPr>
              <w:t>的剩余处理能力，因此本项目建筑垃圾交由</w:t>
            </w:r>
            <w:r>
              <w:rPr>
                <w:rFonts w:hint="default" w:ascii="Times New Roman" w:hAnsi="Times New Roman" w:eastAsia="宋体" w:cs="Times New Roman"/>
                <w:sz w:val="24"/>
                <w:szCs w:val="24"/>
              </w:rPr>
              <w:t>新疆阜康产业园固废综合处置静脉园（一期工程）</w:t>
            </w:r>
            <w:r>
              <w:rPr>
                <w:rFonts w:hint="eastAsia" w:cs="Times New Roman"/>
                <w:b w:val="0"/>
                <w:bCs w:val="0"/>
                <w:color w:val="000000" w:themeColor="text1"/>
                <w:sz w:val="24"/>
                <w:lang w:val="en-US" w:eastAsia="zh-CN"/>
                <w14:textFill>
                  <w14:solidFill>
                    <w14:schemeClr w14:val="tx1"/>
                  </w14:solidFill>
                </w14:textFill>
              </w:rPr>
              <w:t>处理是可行的。</w:t>
            </w:r>
          </w:p>
          <w:p w14:paraId="5EBD52EF">
            <w:pPr>
              <w:keepNext w:val="0"/>
              <w:keepLines w:val="0"/>
              <w:pageBreakBefore w:val="0"/>
              <w:widowControl/>
              <w:numPr>
                <w:ilvl w:val="0"/>
                <w:numId w:val="0"/>
              </w:numPr>
              <w:suppressLineNumbers w:val="0"/>
              <w:kinsoku/>
              <w:wordWrap/>
              <w:overflowPunct/>
              <w:topLinePunct w:val="0"/>
              <w:autoSpaceDE/>
              <w:autoSpaceDN/>
              <w:bidi w:val="0"/>
              <w:adjustRightInd/>
              <w:snapToGrid w:val="0"/>
              <w:ind w:firstLine="480"/>
              <w:jc w:val="both"/>
              <w:textAlignment w:val="auto"/>
              <w:rPr>
                <w:rFonts w:hint="default" w:cs="Times New Roman"/>
                <w:color w:val="000000"/>
                <w:kern w:val="0"/>
                <w:sz w:val="24"/>
                <w:szCs w:val="24"/>
                <w:lang w:val="en-US" w:eastAsia="zh-CN" w:bidi="ar"/>
              </w:rPr>
            </w:pPr>
            <w:r>
              <w:rPr>
                <w:rFonts w:hint="eastAsia" w:cs="Times New Roman"/>
                <w:color w:val="000000"/>
                <w:kern w:val="0"/>
                <w:sz w:val="24"/>
                <w:szCs w:val="24"/>
                <w:lang w:val="en-US" w:eastAsia="zh-CN" w:bidi="ar"/>
              </w:rPr>
              <w:t>（2）生活垃圾填埋场依托可行性分析</w:t>
            </w:r>
          </w:p>
          <w:p w14:paraId="5B6DA8DC">
            <w:pPr>
              <w:keepNext w:val="0"/>
              <w:keepLines w:val="0"/>
              <w:pageBreakBefore w:val="0"/>
              <w:widowControl/>
              <w:numPr>
                <w:ilvl w:val="0"/>
                <w:numId w:val="0"/>
              </w:numPr>
              <w:suppressLineNumbers w:val="0"/>
              <w:kinsoku/>
              <w:wordWrap/>
              <w:overflowPunct/>
              <w:topLinePunct w:val="0"/>
              <w:autoSpaceDE/>
              <w:autoSpaceDN/>
              <w:bidi w:val="0"/>
              <w:adjustRightInd/>
              <w:snapToGrid w:val="0"/>
              <w:ind w:firstLine="480"/>
              <w:jc w:val="both"/>
              <w:textAlignment w:val="auto"/>
              <w:rPr>
                <w:rFonts w:hint="default" w:cs="Times New Roman"/>
                <w:color w:val="000000"/>
                <w:kern w:val="0"/>
                <w:sz w:val="24"/>
                <w:szCs w:val="24"/>
                <w:lang w:val="en-US" w:eastAsia="zh-CN" w:bidi="ar"/>
              </w:rPr>
            </w:pPr>
            <w:r>
              <w:rPr>
                <w:rFonts w:hint="default" w:ascii="Times New Roman" w:hAnsi="Times New Roman" w:eastAsia="宋体" w:cs="Times New Roman"/>
                <w:sz w:val="24"/>
                <w:szCs w:val="24"/>
              </w:rPr>
              <w:t>阜康市生活垃圾分类收集处理工程（生活垃圾填埋场二期）</w:t>
            </w:r>
            <w:r>
              <w:rPr>
                <w:rFonts w:hint="eastAsia" w:ascii="Times New Roman" w:hAnsi="Times New Roman" w:eastAsia="宋体" w:cs="Times New Roman"/>
                <w:sz w:val="24"/>
                <w:szCs w:val="24"/>
                <w:lang w:val="en-US" w:eastAsia="zh-CN"/>
              </w:rPr>
              <w:t>于</w:t>
            </w:r>
            <w:r>
              <w:rPr>
                <w:rFonts w:hint="default" w:ascii="Times New Roman" w:hAnsi="Times New Roman" w:eastAsia="宋体" w:cs="Times New Roman"/>
                <w:sz w:val="24"/>
                <w:szCs w:val="24"/>
              </w:rPr>
              <w:t>2012年由新疆维吾尔自治区环境保护厅批示的《关于</w:t>
            </w:r>
            <w:r>
              <w:rPr>
                <w:rFonts w:hint="eastAsia" w:ascii="Times New Roman" w:hAnsi="Times New Roman" w:eastAsia="宋体" w:cs="Times New Roman"/>
                <w:sz w:val="24"/>
                <w:szCs w:val="24"/>
                <w:lang w:val="en-US" w:eastAsia="zh-CN"/>
              </w:rPr>
              <w:t>&lt;</w:t>
            </w:r>
            <w:r>
              <w:rPr>
                <w:rFonts w:hint="default" w:ascii="Times New Roman" w:hAnsi="Times New Roman" w:eastAsia="宋体" w:cs="Times New Roman"/>
                <w:sz w:val="24"/>
                <w:szCs w:val="24"/>
              </w:rPr>
              <w:t>阜康市生活垃圾分类收集处理工程环境影响报告书</w:t>
            </w:r>
            <w:r>
              <w:rPr>
                <w:rFonts w:hint="eastAsia" w:ascii="Times New Roman" w:hAnsi="Times New Roman" w:eastAsia="宋体" w:cs="Times New Roman"/>
                <w:sz w:val="24"/>
                <w:szCs w:val="24"/>
                <w:lang w:val="en-US" w:eastAsia="zh-CN"/>
              </w:rPr>
              <w:t>&gt;</w:t>
            </w:r>
            <w:r>
              <w:rPr>
                <w:rFonts w:hint="default" w:ascii="Times New Roman" w:hAnsi="Times New Roman" w:eastAsia="宋体" w:cs="Times New Roman"/>
                <w:sz w:val="24"/>
                <w:szCs w:val="24"/>
              </w:rPr>
              <w:t>的批复》（新环评价〔2012〕619号）</w:t>
            </w:r>
            <w:r>
              <w:rPr>
                <w:rFonts w:hint="eastAsia" w:ascii="Times New Roman" w:hAnsi="Times New Roman" w:eastAsia="宋体" w:cs="Times New Roman"/>
                <w:sz w:val="24"/>
                <w:szCs w:val="24"/>
                <w:lang w:val="en-US" w:eastAsia="zh-CN"/>
              </w:rPr>
              <w:t>,2016年建成完工,2019年已</w:t>
            </w:r>
            <w:r>
              <w:rPr>
                <w:rFonts w:hint="default" w:ascii="Times New Roman" w:hAnsi="Times New Roman" w:eastAsia="宋体" w:cs="Times New Roman"/>
                <w:sz w:val="24"/>
                <w:szCs w:val="24"/>
              </w:rPr>
              <w:t>完成自主竣工环保验收</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二期总设计有效库容：152.55万m³</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剩余有效库容约128万m³</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本项目施工期生活垃圾产生量为</w:t>
            </w:r>
            <w:r>
              <w:rPr>
                <w:rFonts w:hint="eastAsia" w:cs="Times New Roman"/>
                <w:sz w:val="24"/>
                <w:szCs w:val="24"/>
                <w:lang w:val="en-US" w:eastAsia="zh-CN"/>
              </w:rPr>
              <w:t>20</w:t>
            </w:r>
            <w:r>
              <w:rPr>
                <w:rFonts w:hint="eastAsia" w:ascii="Times New Roman" w:hAnsi="Times New Roman" w:eastAsia="宋体" w:cs="Times New Roman"/>
                <w:sz w:val="24"/>
                <w:szCs w:val="24"/>
                <w:lang w:val="en-US" w:eastAsia="zh-CN"/>
              </w:rPr>
              <w:t>t，运营期</w:t>
            </w:r>
            <w:r>
              <w:rPr>
                <w:rFonts w:hint="eastAsia" w:eastAsia="宋体" w:cs="Times New Roman"/>
                <w:sz w:val="24"/>
                <w:szCs w:val="24"/>
                <w:lang w:val="en-US" w:eastAsia="zh-CN"/>
              </w:rPr>
              <w:t>为</w:t>
            </w:r>
            <w:r>
              <w:rPr>
                <w:rFonts w:hint="eastAsia" w:cs="Times New Roman"/>
                <w:sz w:val="24"/>
                <w:szCs w:val="24"/>
                <w:lang w:val="en-US" w:eastAsia="zh-CN"/>
              </w:rPr>
              <w:t>60.106</w:t>
            </w:r>
            <w:r>
              <w:rPr>
                <w:rFonts w:hint="eastAsia" w:ascii="Times New Roman" w:hAnsi="Times New Roman" w:eastAsia="宋体" w:cs="Times New Roman"/>
                <w:sz w:val="24"/>
                <w:szCs w:val="24"/>
                <w:lang w:val="en-US" w:eastAsia="zh-CN"/>
              </w:rPr>
              <w:t>t/a，</w:t>
            </w:r>
            <w:r>
              <w:rPr>
                <w:rFonts w:hint="eastAsia" w:cs="Times New Roman"/>
                <w:b w:val="0"/>
                <w:bCs w:val="0"/>
                <w:color w:val="000000" w:themeColor="text1"/>
                <w:sz w:val="24"/>
                <w:lang w:val="en-US" w:eastAsia="zh-CN"/>
                <w14:textFill>
                  <w14:solidFill>
                    <w14:schemeClr w14:val="tx1"/>
                  </w14:solidFill>
                </w14:textFill>
              </w:rPr>
              <w:t>产生量较小，远远小于</w:t>
            </w:r>
            <w:r>
              <w:rPr>
                <w:rFonts w:hint="default" w:ascii="Times New Roman" w:hAnsi="Times New Roman" w:eastAsia="宋体" w:cs="Times New Roman"/>
                <w:sz w:val="24"/>
                <w:szCs w:val="24"/>
              </w:rPr>
              <w:t>生活垃圾填埋场二期</w:t>
            </w:r>
            <w:r>
              <w:rPr>
                <w:rFonts w:hint="eastAsia" w:cs="Times New Roman"/>
                <w:b w:val="0"/>
                <w:bCs w:val="0"/>
                <w:color w:val="000000" w:themeColor="text1"/>
                <w:sz w:val="24"/>
                <w:lang w:val="en-US" w:eastAsia="zh-CN"/>
                <w14:textFill>
                  <w14:solidFill>
                    <w14:schemeClr w14:val="tx1"/>
                  </w14:solidFill>
                </w14:textFill>
              </w:rPr>
              <w:t>的剩余处理能力，因此本项目生活垃圾交由</w:t>
            </w:r>
            <w:r>
              <w:rPr>
                <w:rFonts w:hint="default" w:ascii="Times New Roman" w:hAnsi="Times New Roman" w:eastAsia="宋体" w:cs="Times New Roman"/>
                <w:sz w:val="24"/>
                <w:szCs w:val="24"/>
              </w:rPr>
              <w:t>生活垃圾填埋场二期</w:t>
            </w:r>
            <w:r>
              <w:rPr>
                <w:rFonts w:hint="eastAsia" w:cs="Times New Roman"/>
                <w:b w:val="0"/>
                <w:bCs w:val="0"/>
                <w:color w:val="000000" w:themeColor="text1"/>
                <w:sz w:val="24"/>
                <w:lang w:val="en-US" w:eastAsia="zh-CN"/>
                <w14:textFill>
                  <w14:solidFill>
                    <w14:schemeClr w14:val="tx1"/>
                  </w14:solidFill>
                </w14:textFill>
              </w:rPr>
              <w:t>处理是可行的。</w:t>
            </w:r>
          </w:p>
          <w:p w14:paraId="5D9A41C2">
            <w:pPr>
              <w:keepNext w:val="0"/>
              <w:keepLines w:val="0"/>
              <w:pageBreakBefore w:val="0"/>
              <w:widowControl/>
              <w:numPr>
                <w:ilvl w:val="0"/>
                <w:numId w:val="0"/>
              </w:numPr>
              <w:suppressLineNumbers w:val="0"/>
              <w:kinsoku/>
              <w:wordWrap/>
              <w:overflowPunct/>
              <w:topLinePunct w:val="0"/>
              <w:autoSpaceDE/>
              <w:autoSpaceDN/>
              <w:bidi w:val="0"/>
              <w:adjustRightInd/>
              <w:snapToGrid w:val="0"/>
              <w:ind w:firstLine="480"/>
              <w:jc w:val="both"/>
              <w:textAlignment w:val="auto"/>
              <w:rPr>
                <w:rFonts w:hint="default" w:cs="Times New Roman"/>
                <w:color w:val="000000"/>
                <w:kern w:val="0"/>
                <w:sz w:val="24"/>
                <w:szCs w:val="24"/>
                <w:lang w:val="en-US" w:eastAsia="zh-CN" w:bidi="ar"/>
              </w:rPr>
            </w:pPr>
            <w:r>
              <w:rPr>
                <w:rFonts w:hint="eastAsia" w:cs="Times New Roman"/>
                <w:color w:val="000000"/>
                <w:kern w:val="0"/>
                <w:sz w:val="24"/>
                <w:szCs w:val="24"/>
                <w:lang w:val="en-US" w:eastAsia="zh-CN" w:bidi="ar"/>
              </w:rPr>
              <w:t>（3）生活污水处理厂依托可行性分析</w:t>
            </w:r>
          </w:p>
          <w:p w14:paraId="4CBF01CF">
            <w:pPr>
              <w:keepNext w:val="0"/>
              <w:keepLines w:val="0"/>
              <w:pageBreakBefore w:val="0"/>
              <w:widowControl/>
              <w:numPr>
                <w:ilvl w:val="0"/>
                <w:numId w:val="0"/>
              </w:numPr>
              <w:suppressLineNumbers w:val="0"/>
              <w:kinsoku/>
              <w:wordWrap/>
              <w:overflowPunct/>
              <w:topLinePunct w:val="0"/>
              <w:autoSpaceDE/>
              <w:autoSpaceDN/>
              <w:bidi w:val="0"/>
              <w:adjustRightInd/>
              <w:snapToGrid w:val="0"/>
              <w:ind w:firstLine="480"/>
              <w:jc w:val="both"/>
              <w:textAlignment w:val="auto"/>
              <w:rPr>
                <w:rFonts w:hint="default" w:cs="Times New Roman"/>
                <w:color w:val="000000"/>
                <w:kern w:val="0"/>
                <w:sz w:val="24"/>
                <w:szCs w:val="24"/>
                <w:lang w:val="en-US" w:eastAsia="zh-CN" w:bidi="ar"/>
              </w:rPr>
            </w:pPr>
            <w:r>
              <w:rPr>
                <w:rFonts w:hint="eastAsia" w:ascii="Times New Roman" w:hAnsi="Times New Roman" w:eastAsia="宋体" w:cs="Times New Roman"/>
                <w:sz w:val="24"/>
                <w:szCs w:val="24"/>
                <w:lang w:val="en-US" w:eastAsia="zh-CN"/>
              </w:rPr>
              <w:t>阜康市城市污水处理厂</w:t>
            </w:r>
            <w:r>
              <w:rPr>
                <w:rFonts w:hint="eastAsia" w:eastAsia="宋体" w:cs="Times New Roman"/>
                <w:sz w:val="24"/>
                <w:szCs w:val="24"/>
                <w:lang w:val="en-US" w:eastAsia="zh-CN"/>
              </w:rPr>
              <w:t>于</w:t>
            </w:r>
            <w:r>
              <w:rPr>
                <w:rFonts w:hint="eastAsia" w:ascii="Times New Roman" w:hAnsi="Times New Roman" w:eastAsia="宋体" w:cs="Times New Roman"/>
                <w:sz w:val="24"/>
                <w:szCs w:val="24"/>
                <w:lang w:val="en-US" w:eastAsia="zh-CN"/>
              </w:rPr>
              <w:t>2001年</w:t>
            </w:r>
            <w:r>
              <w:rPr>
                <w:rFonts w:hint="eastAsia" w:eastAsia="宋体" w:cs="Times New Roman"/>
                <w:sz w:val="24"/>
                <w:szCs w:val="24"/>
                <w:lang w:val="en-US" w:eastAsia="zh-CN"/>
              </w:rPr>
              <w:t>取得由</w:t>
            </w:r>
            <w:r>
              <w:rPr>
                <w:rFonts w:hint="eastAsia" w:ascii="Times New Roman" w:hAnsi="Times New Roman" w:eastAsia="宋体" w:cs="Times New Roman"/>
                <w:sz w:val="24"/>
                <w:szCs w:val="24"/>
                <w:lang w:val="en-US" w:eastAsia="zh-CN"/>
              </w:rPr>
              <w:t>原新疆维吾尔自治区环境保护局</w:t>
            </w:r>
            <w:r>
              <w:rPr>
                <w:rFonts w:hint="eastAsia" w:eastAsia="宋体" w:cs="Times New Roman"/>
                <w:sz w:val="24"/>
                <w:szCs w:val="24"/>
                <w:lang w:val="en-US" w:eastAsia="zh-CN"/>
              </w:rPr>
              <w:t>批示的批复，文号为</w:t>
            </w:r>
            <w:r>
              <w:rPr>
                <w:rFonts w:hint="eastAsia" w:ascii="Times New Roman" w:hAnsi="Times New Roman" w:eastAsia="宋体" w:cs="Times New Roman"/>
                <w:sz w:val="24"/>
                <w:szCs w:val="24"/>
                <w:lang w:val="en-US" w:eastAsia="zh-CN"/>
              </w:rPr>
              <w:t>新环监函〔2001〕316号，</w:t>
            </w:r>
            <w:r>
              <w:rPr>
                <w:rFonts w:hint="eastAsia" w:eastAsia="宋体" w:cs="Times New Roman"/>
                <w:sz w:val="24"/>
                <w:szCs w:val="24"/>
                <w:lang w:val="en-US" w:eastAsia="zh-CN"/>
              </w:rPr>
              <w:t>于</w:t>
            </w:r>
            <w:r>
              <w:rPr>
                <w:rFonts w:hint="eastAsia" w:ascii="Times New Roman" w:hAnsi="Times New Roman" w:eastAsia="宋体" w:cs="Times New Roman"/>
                <w:sz w:val="24"/>
                <w:szCs w:val="24"/>
                <w:lang w:val="en-US" w:eastAsia="zh-CN"/>
              </w:rPr>
              <w:t>2003年完成竣工环保验收，2014年4月</w:t>
            </w:r>
            <w:r>
              <w:rPr>
                <w:rFonts w:hint="eastAsia" w:eastAsia="宋体" w:cs="Times New Roman"/>
                <w:sz w:val="24"/>
                <w:szCs w:val="24"/>
                <w:lang w:val="en-US" w:eastAsia="zh-CN"/>
              </w:rPr>
              <w:t>提标改造，取得</w:t>
            </w:r>
            <w:r>
              <w:rPr>
                <w:rFonts w:hint="eastAsia" w:ascii="Times New Roman" w:hAnsi="Times New Roman" w:eastAsia="宋体" w:cs="Times New Roman"/>
                <w:sz w:val="24"/>
                <w:szCs w:val="24"/>
                <w:lang w:val="en-US" w:eastAsia="zh-CN"/>
              </w:rPr>
              <w:t>昌吉州生态环境局</w:t>
            </w:r>
            <w:r>
              <w:rPr>
                <w:rFonts w:hint="eastAsia" w:eastAsia="宋体" w:cs="Times New Roman"/>
                <w:sz w:val="24"/>
                <w:szCs w:val="24"/>
                <w:lang w:val="en-US" w:eastAsia="zh-CN"/>
              </w:rPr>
              <w:t>批示《关于&lt;</w:t>
            </w:r>
            <w:r>
              <w:rPr>
                <w:rFonts w:hint="eastAsia" w:ascii="Times New Roman" w:hAnsi="Times New Roman" w:eastAsia="宋体" w:cs="Times New Roman"/>
                <w:sz w:val="24"/>
                <w:szCs w:val="24"/>
                <w:lang w:val="en-US" w:eastAsia="zh-CN"/>
              </w:rPr>
              <w:t>昌吉州阜康市污水处理厂技术改造项目环境影响报告表</w:t>
            </w:r>
            <w:r>
              <w:rPr>
                <w:rFonts w:hint="eastAsia" w:eastAsia="宋体" w:cs="Times New Roman"/>
                <w:sz w:val="24"/>
                <w:szCs w:val="24"/>
                <w:lang w:val="en-US" w:eastAsia="zh-CN"/>
              </w:rPr>
              <w:t>&gt;</w:t>
            </w:r>
            <w:r>
              <w:rPr>
                <w:rFonts w:hint="eastAsia" w:ascii="Times New Roman" w:hAnsi="Times New Roman" w:eastAsia="宋体" w:cs="Times New Roman"/>
                <w:sz w:val="24"/>
                <w:szCs w:val="24"/>
                <w:lang w:val="en-US" w:eastAsia="zh-CN"/>
              </w:rPr>
              <w:t>的批复</w:t>
            </w:r>
            <w:r>
              <w:rPr>
                <w:rFonts w:hint="eastAsia" w:eastAsia="宋体" w:cs="Times New Roman"/>
                <w:sz w:val="24"/>
                <w:szCs w:val="24"/>
                <w:lang w:val="en-US" w:eastAsia="zh-CN"/>
              </w:rPr>
              <w:t>》</w:t>
            </w:r>
            <w:r>
              <w:rPr>
                <w:rFonts w:hint="eastAsia" w:ascii="Times New Roman" w:hAnsi="Times New Roman" w:eastAsia="宋体" w:cs="Times New Roman"/>
                <w:sz w:val="24"/>
                <w:szCs w:val="24"/>
                <w:lang w:val="en-US" w:eastAsia="zh-CN"/>
              </w:rPr>
              <w:t>（昌州环审〔2014〕11号），</w:t>
            </w:r>
            <w:r>
              <w:rPr>
                <w:rFonts w:hint="eastAsia" w:eastAsia="宋体" w:cs="Times New Roman"/>
                <w:sz w:val="24"/>
                <w:szCs w:val="24"/>
                <w:lang w:val="en-US" w:eastAsia="zh-CN"/>
              </w:rPr>
              <w:t>并于</w:t>
            </w:r>
            <w:r>
              <w:rPr>
                <w:rFonts w:hint="eastAsia" w:ascii="Times New Roman" w:hAnsi="Times New Roman" w:eastAsia="宋体" w:cs="Times New Roman"/>
                <w:sz w:val="24"/>
                <w:szCs w:val="24"/>
                <w:lang w:val="en-US" w:eastAsia="zh-CN"/>
              </w:rPr>
              <w:t>2015年8月通过昌吉州生态环境局竣工环保验收备案</w:t>
            </w:r>
            <w:r>
              <w:rPr>
                <w:rFonts w:hint="eastAsia" w:eastAsia="宋体" w:cs="Times New Roman"/>
                <w:sz w:val="24"/>
                <w:szCs w:val="24"/>
                <w:lang w:val="en-US" w:eastAsia="zh-CN"/>
              </w:rPr>
              <w:t>。污水处理厂</w:t>
            </w:r>
            <w:r>
              <w:rPr>
                <w:rFonts w:hint="eastAsia" w:ascii="Times New Roman" w:hAnsi="Times New Roman" w:eastAsia="宋体" w:cs="Times New Roman"/>
                <w:sz w:val="24"/>
                <w:szCs w:val="24"/>
                <w:lang w:val="en-US" w:eastAsia="zh-CN"/>
              </w:rPr>
              <w:t>总设计处理规模1.5万立方米/日，现状日均接纳污水量9200~9800m³/d，每日剩余可接纳余量约5200m³/d，处理工艺为倒置A²/O氧化沟工艺（厌氧+缺氧+好氧氧化沟深度生化处理）+深度过滤+次氯酸钠消毒，出水</w:t>
            </w:r>
            <w:r>
              <w:rPr>
                <w:rFonts w:hint="eastAsia" w:eastAsia="宋体" w:cs="Times New Roman"/>
                <w:sz w:val="24"/>
                <w:szCs w:val="24"/>
                <w:lang w:val="en-US" w:eastAsia="zh-CN"/>
              </w:rPr>
              <w:t>水质达到</w:t>
            </w:r>
            <w:r>
              <w:rPr>
                <w:rFonts w:hint="eastAsia" w:ascii="Times New Roman" w:hAnsi="Times New Roman" w:eastAsia="宋体" w:cs="Times New Roman"/>
                <w:sz w:val="24"/>
                <w:szCs w:val="24"/>
                <w:lang w:val="en-US" w:eastAsia="zh-CN"/>
              </w:rPr>
              <w:t>《城镇污水处理厂污染物排放标准》（GB18918-2002）一级A标准</w:t>
            </w:r>
            <w:r>
              <w:rPr>
                <w:rFonts w:hint="eastAsia" w:eastAsia="宋体" w:cs="Times New Roman"/>
                <w:sz w:val="24"/>
                <w:szCs w:val="24"/>
                <w:lang w:val="en-US" w:eastAsia="zh-CN"/>
              </w:rPr>
              <w:t>。本项目施工期生活污水产生量为8t/d，运营期为64.43t/d，</w:t>
            </w:r>
            <w:r>
              <w:rPr>
                <w:rFonts w:hint="eastAsia" w:cs="Times New Roman"/>
                <w:b w:val="0"/>
                <w:bCs w:val="0"/>
                <w:color w:val="000000" w:themeColor="text1"/>
                <w:sz w:val="24"/>
                <w:lang w:val="en-US" w:eastAsia="zh-CN"/>
                <w14:textFill>
                  <w14:solidFill>
                    <w14:schemeClr w14:val="tx1"/>
                  </w14:solidFill>
                </w14:textFill>
              </w:rPr>
              <w:t>产生量较小，远远小于</w:t>
            </w:r>
            <w:r>
              <w:rPr>
                <w:rFonts w:hint="eastAsia" w:ascii="Times New Roman" w:hAnsi="Times New Roman" w:eastAsia="宋体" w:cs="Times New Roman"/>
                <w:sz w:val="24"/>
                <w:szCs w:val="24"/>
                <w:lang w:val="en-US" w:eastAsia="zh-CN"/>
              </w:rPr>
              <w:t>阜康市城市污水处理厂</w:t>
            </w:r>
            <w:r>
              <w:rPr>
                <w:rFonts w:hint="eastAsia" w:cs="Times New Roman"/>
                <w:b w:val="0"/>
                <w:bCs w:val="0"/>
                <w:color w:val="000000" w:themeColor="text1"/>
                <w:sz w:val="24"/>
                <w:lang w:val="en-US" w:eastAsia="zh-CN"/>
                <w14:textFill>
                  <w14:solidFill>
                    <w14:schemeClr w14:val="tx1"/>
                  </w14:solidFill>
                </w14:textFill>
              </w:rPr>
              <w:t>的剩余</w:t>
            </w:r>
            <w:r>
              <w:rPr>
                <w:rFonts w:hint="eastAsia" w:ascii="Times New Roman" w:hAnsi="Times New Roman" w:eastAsia="宋体" w:cs="Times New Roman"/>
                <w:sz w:val="24"/>
                <w:szCs w:val="24"/>
                <w:lang w:val="en-US" w:eastAsia="zh-CN"/>
              </w:rPr>
              <w:t>可接纳余量</w:t>
            </w:r>
            <w:r>
              <w:rPr>
                <w:rFonts w:hint="eastAsia" w:cs="Times New Roman"/>
                <w:b w:val="0"/>
                <w:bCs w:val="0"/>
                <w:color w:val="000000" w:themeColor="text1"/>
                <w:sz w:val="24"/>
                <w:lang w:val="en-US" w:eastAsia="zh-CN"/>
                <w14:textFill>
                  <w14:solidFill>
                    <w14:schemeClr w14:val="tx1"/>
                  </w14:solidFill>
                </w14:textFill>
              </w:rPr>
              <w:t>，因此本项目生活污水交由</w:t>
            </w:r>
            <w:r>
              <w:rPr>
                <w:rFonts w:hint="eastAsia" w:ascii="Times New Roman" w:hAnsi="Times New Roman" w:eastAsia="宋体" w:cs="Times New Roman"/>
                <w:sz w:val="24"/>
                <w:szCs w:val="24"/>
                <w:lang w:val="en-US" w:eastAsia="zh-CN"/>
              </w:rPr>
              <w:t>阜康市城市污水处理厂</w:t>
            </w:r>
            <w:r>
              <w:rPr>
                <w:rFonts w:hint="eastAsia" w:cs="Times New Roman"/>
                <w:b w:val="0"/>
                <w:bCs w:val="0"/>
                <w:color w:val="000000" w:themeColor="text1"/>
                <w:sz w:val="24"/>
                <w:lang w:val="en-US" w:eastAsia="zh-CN"/>
                <w14:textFill>
                  <w14:solidFill>
                    <w14:schemeClr w14:val="tx1"/>
                  </w14:solidFill>
                </w14:textFill>
              </w:rPr>
              <w:t>处理是可行的。</w:t>
            </w:r>
          </w:p>
        </w:tc>
      </w:tr>
      <w:tr w14:paraId="3FEFAF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6" w:type="pct"/>
            <w:noWrap w:val="0"/>
            <w:vAlign w:val="center"/>
          </w:tcPr>
          <w:p w14:paraId="446BDA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Cs w:val="21"/>
                <w:highlight w:val="none"/>
              </w:rPr>
            </w:pPr>
            <w:r>
              <w:rPr>
                <w:rFonts w:hint="default" w:ascii="Times New Roman" w:hAnsi="Times New Roman" w:eastAsia="宋体" w:cs="Times New Roman"/>
                <w:color w:val="000000"/>
                <w:kern w:val="0"/>
                <w:szCs w:val="21"/>
                <w:highlight w:val="none"/>
              </w:rPr>
              <w:t>总平面及现场布置</w:t>
            </w:r>
          </w:p>
        </w:tc>
        <w:tc>
          <w:tcPr>
            <w:tcW w:w="4733" w:type="pct"/>
            <w:noWrap w:val="0"/>
            <w:vAlign w:val="center"/>
          </w:tcPr>
          <w:p w14:paraId="2F49DEE0">
            <w:pPr>
              <w:keepNext w:val="0"/>
              <w:keepLines w:val="0"/>
              <w:pageBreakBefore w:val="0"/>
              <w:widowControl/>
              <w:numPr>
                <w:ilvl w:val="0"/>
                <w:numId w:val="8"/>
              </w:numPr>
              <w:suppressLineNumbers w:val="0"/>
              <w:kinsoku/>
              <w:wordWrap/>
              <w:overflowPunct/>
              <w:topLinePunct w:val="0"/>
              <w:autoSpaceDE/>
              <w:autoSpaceDN/>
              <w:bidi w:val="0"/>
              <w:adjustRightInd/>
              <w:snapToGrid w:val="0"/>
              <w:jc w:val="both"/>
              <w:textAlignment w:val="auto"/>
              <w:rPr>
                <w:rFonts w:hint="eastAsia" w:ascii="Times New Roman" w:hAnsi="Times New Roman" w:eastAsia="宋体" w:cs="Times New Roman"/>
                <w:b/>
                <w:bCs/>
                <w:color w:val="000000"/>
                <w:kern w:val="0"/>
                <w:sz w:val="24"/>
                <w:szCs w:val="24"/>
                <w:lang w:val="en-US" w:eastAsia="zh-CN" w:bidi="ar"/>
              </w:rPr>
            </w:pPr>
            <w:r>
              <w:rPr>
                <w:rFonts w:hint="eastAsia" w:ascii="Times New Roman" w:hAnsi="Times New Roman" w:eastAsia="宋体" w:cs="Times New Roman"/>
                <w:b/>
                <w:bCs/>
                <w:color w:val="000000"/>
                <w:kern w:val="0"/>
                <w:sz w:val="24"/>
                <w:szCs w:val="24"/>
                <w:lang w:val="en-US" w:eastAsia="zh-CN" w:bidi="ar"/>
              </w:rPr>
              <w:t>总平面布置</w:t>
            </w:r>
          </w:p>
          <w:p w14:paraId="0328993E">
            <w:pPr>
              <w:keepNext w:val="0"/>
              <w:keepLines w:val="0"/>
              <w:pageBreakBefore w:val="0"/>
              <w:widowControl/>
              <w:numPr>
                <w:ilvl w:val="0"/>
                <w:numId w:val="0"/>
              </w:numPr>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新疆天山天池文化旅游投资有限公司实施阜康市花儿沟村整村运营示范项目位于阜康市三工河哈萨克乡花儿沟村，西北距阜康市约15km。场区整体呈多边形，红线范围内占地面积</w:t>
            </w:r>
            <w:r>
              <w:rPr>
                <w:rFonts w:hint="eastAsia" w:ascii="Times New Roman" w:hAnsi="Times New Roman" w:eastAsia="宋体" w:cs="Times New Roman"/>
                <w:b w:val="0"/>
                <w:bCs w:val="0"/>
                <w:color w:val="000000"/>
                <w:kern w:val="0"/>
                <w:sz w:val="24"/>
                <w:szCs w:val="24"/>
                <w:lang w:val="en-US" w:eastAsia="zh-CN" w:bidi="ar"/>
              </w:rPr>
              <w:t>2.4858h</w:t>
            </w:r>
            <w:r>
              <w:rPr>
                <w:rFonts w:hint="default" w:ascii="Times New Roman" w:hAnsi="Times New Roman" w:eastAsia="宋体" w:cs="Times New Roman"/>
                <w:b w:val="0"/>
                <w:bCs w:val="0"/>
                <w:color w:val="000000"/>
                <w:kern w:val="0"/>
                <w:sz w:val="24"/>
                <w:szCs w:val="24"/>
                <w:lang w:val="en-US" w:eastAsia="zh-CN" w:bidi="ar"/>
              </w:rPr>
              <w:t>m</w:t>
            </w:r>
            <w:r>
              <w:rPr>
                <w:rFonts w:hint="default" w:ascii="Times New Roman" w:hAnsi="Times New Roman" w:eastAsia="宋体" w:cs="Times New Roman"/>
                <w:b w:val="0"/>
                <w:bCs w:val="0"/>
                <w:color w:val="000000"/>
                <w:kern w:val="0"/>
                <w:sz w:val="24"/>
                <w:szCs w:val="24"/>
                <w:vertAlign w:val="superscript"/>
                <w:lang w:val="en-US" w:eastAsia="zh-CN" w:bidi="ar"/>
              </w:rPr>
              <w:t>2</w:t>
            </w:r>
            <w:r>
              <w:rPr>
                <w:rFonts w:hint="default" w:ascii="Times New Roman" w:hAnsi="Times New Roman" w:eastAsia="宋体" w:cs="Times New Roman"/>
                <w:b w:val="0"/>
                <w:bCs w:val="0"/>
                <w:color w:val="000000"/>
                <w:kern w:val="0"/>
                <w:sz w:val="24"/>
                <w:szCs w:val="24"/>
                <w:lang w:val="en-US" w:eastAsia="zh-CN" w:bidi="ar"/>
              </w:rPr>
              <w:t>。项目区内采取多维度、多层次、规整对称</w:t>
            </w:r>
            <w:r>
              <w:rPr>
                <w:rFonts w:hint="eastAsia" w:cs="Times New Roman"/>
                <w:b w:val="0"/>
                <w:bCs w:val="0"/>
                <w:color w:val="000000"/>
                <w:kern w:val="0"/>
                <w:sz w:val="24"/>
                <w:szCs w:val="24"/>
                <w:lang w:val="en-US" w:eastAsia="zh-CN" w:bidi="ar"/>
              </w:rPr>
              <w:t>的组团绿化和建筑周边绿化布局</w:t>
            </w:r>
            <w:r>
              <w:rPr>
                <w:rFonts w:hint="default" w:ascii="Times New Roman" w:hAnsi="Times New Roman" w:eastAsia="宋体" w:cs="Times New Roman"/>
                <w:b w:val="0"/>
                <w:bCs w:val="0"/>
                <w:color w:val="000000"/>
                <w:kern w:val="0"/>
                <w:sz w:val="24"/>
                <w:szCs w:val="24"/>
                <w:lang w:val="en-US" w:eastAsia="zh-CN" w:bidi="ar"/>
              </w:rPr>
              <w:t>。建筑周边绿化结合建筑外形，选择适宜当地气候和土壤条件的乡土植物，且采用乔、灌、草复层绿化。</w:t>
            </w:r>
          </w:p>
          <w:p w14:paraId="4F9136F0">
            <w:pPr>
              <w:keepNext w:val="0"/>
              <w:keepLines w:val="0"/>
              <w:pageBreakBefore w:val="0"/>
              <w:widowControl/>
              <w:numPr>
                <w:ilvl w:val="0"/>
                <w:numId w:val="0"/>
              </w:numPr>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精品民宿位于场区块一、地块五、地块六、地块七西部、南部；6座风情院落位于场区块二南部，研学与文创电商位于地块一北部</w:t>
            </w:r>
            <w:r>
              <w:rPr>
                <w:rFonts w:hint="eastAsia" w:cs="Times New Roman"/>
                <w:b w:val="0"/>
                <w:bCs w:val="0"/>
                <w:color w:val="000000"/>
                <w:kern w:val="0"/>
                <w:sz w:val="24"/>
                <w:szCs w:val="24"/>
                <w:lang w:val="en-US" w:eastAsia="zh-CN" w:bidi="ar"/>
              </w:rPr>
              <w:t>，翻新的乡村会客厅位于地块一的北侧，化粪池分别位于乡村会客厅1座、地块二1座、地块五1座，地块六和地块七共用一座</w:t>
            </w:r>
            <w:r>
              <w:rPr>
                <w:rFonts w:hint="default" w:ascii="Times New Roman" w:hAnsi="Times New Roman" w:eastAsia="宋体" w:cs="Times New Roman"/>
                <w:b w:val="0"/>
                <w:bCs w:val="0"/>
                <w:color w:val="000000"/>
                <w:kern w:val="0"/>
                <w:sz w:val="24"/>
                <w:szCs w:val="24"/>
                <w:lang w:val="en-US" w:eastAsia="zh-CN" w:bidi="ar"/>
              </w:rPr>
              <w:t>。场区无需布设进场道路，由项目区已建道路构成。平面布置共布设</w:t>
            </w:r>
            <w:r>
              <w:rPr>
                <w:rFonts w:hint="eastAsia" w:ascii="Times New Roman" w:hAnsi="Times New Roman" w:eastAsia="宋体" w:cs="Times New Roman"/>
                <w:b w:val="0"/>
                <w:bCs w:val="0"/>
                <w:color w:val="000000"/>
                <w:kern w:val="0"/>
                <w:sz w:val="24"/>
                <w:szCs w:val="24"/>
                <w:lang w:val="en-US" w:eastAsia="zh-CN" w:bidi="ar"/>
              </w:rPr>
              <w:t>2</w:t>
            </w:r>
            <w:r>
              <w:rPr>
                <w:rFonts w:hint="default" w:ascii="Times New Roman" w:hAnsi="Times New Roman" w:eastAsia="宋体" w:cs="Times New Roman"/>
                <w:b w:val="0"/>
                <w:bCs w:val="0"/>
                <w:color w:val="000000"/>
                <w:kern w:val="0"/>
                <w:sz w:val="24"/>
                <w:szCs w:val="24"/>
                <w:lang w:val="en-US" w:eastAsia="zh-CN" w:bidi="ar"/>
              </w:rPr>
              <w:t>个进出口。</w:t>
            </w:r>
          </w:p>
          <w:p w14:paraId="06F45F16">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b/>
                <w:bCs/>
                <w:color w:val="000000"/>
                <w:kern w:val="0"/>
                <w:sz w:val="24"/>
                <w:szCs w:val="24"/>
                <w:lang w:val="en-US" w:eastAsia="zh-CN" w:bidi="ar"/>
              </w:rPr>
            </w:pPr>
            <w:r>
              <w:rPr>
                <w:rFonts w:hint="eastAsia" w:cs="Times New Roman"/>
                <w:b/>
                <w:bCs/>
                <w:color w:val="000000"/>
                <w:kern w:val="0"/>
                <w:sz w:val="24"/>
                <w:szCs w:val="24"/>
                <w:lang w:val="en-US" w:eastAsia="zh-CN" w:bidi="ar"/>
              </w:rPr>
              <w:t>2.</w:t>
            </w:r>
            <w:r>
              <w:rPr>
                <w:rFonts w:hint="eastAsia" w:ascii="Times New Roman" w:hAnsi="Times New Roman" w:eastAsia="宋体" w:cs="Times New Roman"/>
                <w:b/>
                <w:bCs/>
                <w:color w:val="000000"/>
                <w:kern w:val="0"/>
                <w:sz w:val="24"/>
                <w:szCs w:val="24"/>
                <w:lang w:val="en-US" w:eastAsia="zh-CN" w:bidi="ar"/>
              </w:rPr>
              <w:t>竖向布置</w:t>
            </w:r>
          </w:p>
          <w:p w14:paraId="23A2589C">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项目区地貌单元属冲洪积平原区，地势北高南低，由北向南倾斜，原地貌高程1008m～1024m。</w:t>
            </w:r>
          </w:p>
          <w:p w14:paraId="65C670B3">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作为后期竖向设计的基础，规划区内的路网规划应经济合理，与外围道路衔接良好，确保对外交通顺畅。结合现状地形，并综合考虑利于排水和减少土石方工程量等因素，确定道路控制点的标高、道路纵坡坡向及坡度，利用横坡，尽量将路面雨水、雪水排入绿化带。</w:t>
            </w:r>
            <w:r>
              <w:rPr>
                <w:rFonts w:hint="eastAsia" w:cs="Times New Roman"/>
                <w:color w:val="000000"/>
                <w:kern w:val="0"/>
                <w:sz w:val="24"/>
                <w:szCs w:val="24"/>
                <w:lang w:val="en-US" w:eastAsia="zh-CN" w:bidi="ar"/>
              </w:rPr>
              <w:t>采取</w:t>
            </w:r>
            <w:r>
              <w:rPr>
                <w:rFonts w:hint="default" w:ascii="Times New Roman" w:hAnsi="Times New Roman" w:eastAsia="宋体" w:cs="Times New Roman"/>
                <w:color w:val="000000"/>
                <w:kern w:val="0"/>
                <w:sz w:val="24"/>
                <w:szCs w:val="24"/>
                <w:lang w:val="en-US" w:eastAsia="zh-CN" w:bidi="ar"/>
              </w:rPr>
              <w:t>北高南</w:t>
            </w:r>
            <w:r>
              <w:rPr>
                <w:rFonts w:hint="eastAsia" w:cs="Times New Roman"/>
                <w:color w:val="000000"/>
                <w:kern w:val="0"/>
                <w:sz w:val="24"/>
                <w:szCs w:val="24"/>
                <w:lang w:val="en-US" w:eastAsia="zh-CN" w:bidi="ar"/>
              </w:rPr>
              <w:t>低的平坡</w:t>
            </w:r>
            <w:r>
              <w:rPr>
                <w:rFonts w:hint="default" w:ascii="Times New Roman" w:hAnsi="Times New Roman" w:eastAsia="宋体" w:cs="Times New Roman"/>
                <w:color w:val="000000"/>
                <w:kern w:val="0"/>
                <w:sz w:val="24"/>
                <w:szCs w:val="24"/>
                <w:lang w:val="en-US" w:eastAsia="zh-CN" w:bidi="ar"/>
              </w:rPr>
              <w:t>设计，场地设计坡度为0.5%。建构筑物开挖多余的土方回填场地工程区。主体竖向设计充分利用基坑开挖土方用于场地回填，多余土方调入地势较低区域进行回填，挖填相对合理。</w:t>
            </w:r>
          </w:p>
          <w:p w14:paraId="163EF876">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建筑的主要出入口及疏散口的位置符合相关规划的要求，平面布置图见</w:t>
            </w:r>
            <w:r>
              <w:rPr>
                <w:rFonts w:hint="default" w:ascii="Times New Roman" w:hAnsi="Times New Roman" w:eastAsia="宋体" w:cs="Times New Roman"/>
                <w:b/>
                <w:bCs/>
                <w:color w:val="000000"/>
                <w:kern w:val="0"/>
                <w:sz w:val="24"/>
                <w:szCs w:val="24"/>
                <w:lang w:val="en-US" w:eastAsia="zh-CN" w:bidi="ar"/>
              </w:rPr>
              <w:t>附图2-</w:t>
            </w:r>
            <w:r>
              <w:rPr>
                <w:rFonts w:hint="eastAsia" w:ascii="Times New Roman" w:hAnsi="Times New Roman" w:eastAsia="宋体" w:cs="Times New Roman"/>
                <w:b/>
                <w:bCs/>
                <w:color w:val="000000"/>
                <w:kern w:val="0"/>
                <w:sz w:val="24"/>
                <w:szCs w:val="24"/>
                <w:lang w:val="en-US" w:eastAsia="zh-CN" w:bidi="ar"/>
              </w:rPr>
              <w:t>5</w:t>
            </w:r>
            <w:r>
              <w:rPr>
                <w:rFonts w:hint="default" w:ascii="Times New Roman" w:hAnsi="Times New Roman" w:eastAsia="宋体" w:cs="Times New Roman"/>
                <w:color w:val="000000"/>
                <w:kern w:val="0"/>
                <w:sz w:val="24"/>
                <w:szCs w:val="24"/>
                <w:lang w:val="en-US" w:eastAsia="zh-CN" w:bidi="ar"/>
              </w:rPr>
              <w:t>。</w:t>
            </w:r>
          </w:p>
          <w:p w14:paraId="327A669C">
            <w:pPr>
              <w:keepNext w:val="0"/>
              <w:keepLines w:val="0"/>
              <w:pageBreakBefore w:val="0"/>
              <w:widowControl/>
              <w:numPr>
                <w:ilvl w:val="0"/>
                <w:numId w:val="9"/>
              </w:numPr>
              <w:suppressLineNumbers w:val="0"/>
              <w:kinsoku/>
              <w:wordWrap/>
              <w:overflowPunct/>
              <w:topLinePunct w:val="0"/>
              <w:autoSpaceDE/>
              <w:autoSpaceDN/>
              <w:bidi w:val="0"/>
              <w:adjustRightInd/>
              <w:snapToGrid w:val="0"/>
              <w:ind w:left="0" w:leftChars="0" w:firstLine="482" w:firstLineChars="200"/>
              <w:jc w:val="left"/>
              <w:textAlignment w:val="auto"/>
              <w:rPr>
                <w:rFonts w:hint="eastAsia" w:ascii="Times New Roman" w:hAnsi="Times New Roman" w:eastAsia="宋体" w:cs="Times New Roman"/>
                <w:b/>
                <w:bCs/>
                <w:color w:val="000000"/>
                <w:kern w:val="0"/>
                <w:sz w:val="24"/>
                <w:szCs w:val="24"/>
                <w:lang w:val="en-US" w:eastAsia="zh-CN" w:bidi="ar"/>
              </w:rPr>
            </w:pPr>
            <w:r>
              <w:rPr>
                <w:rFonts w:hint="eastAsia" w:ascii="Times New Roman" w:hAnsi="Times New Roman" w:eastAsia="宋体" w:cs="Times New Roman"/>
                <w:b/>
                <w:bCs/>
                <w:color w:val="000000"/>
                <w:kern w:val="0"/>
                <w:sz w:val="24"/>
                <w:szCs w:val="24"/>
                <w:lang w:val="en-US" w:eastAsia="zh-CN" w:bidi="ar"/>
              </w:rPr>
              <w:t>施工布置</w:t>
            </w:r>
          </w:p>
          <w:p w14:paraId="74A7217E">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left"/>
              <w:textAlignment w:val="auto"/>
              <w:rPr>
                <w:rFonts w:hint="default"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3.1施工生产生活区</w:t>
            </w:r>
          </w:p>
          <w:p w14:paraId="708FD244">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left"/>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本工程施工营地采用自建临时集装箱房，位于场区征地范围内，未新增占地。</w:t>
            </w:r>
          </w:p>
          <w:p w14:paraId="0477D1C0">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left"/>
              <w:textAlignment w:val="auto"/>
              <w:rPr>
                <w:rFonts w:hint="default"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3.2</w:t>
            </w:r>
            <w:r>
              <w:rPr>
                <w:rFonts w:hint="default" w:ascii="Times New Roman" w:hAnsi="Times New Roman" w:eastAsia="宋体" w:cs="Times New Roman"/>
                <w:b w:val="0"/>
                <w:bCs w:val="0"/>
                <w:color w:val="000000"/>
                <w:kern w:val="0"/>
                <w:sz w:val="24"/>
                <w:szCs w:val="24"/>
                <w:lang w:val="en-US" w:eastAsia="zh-CN" w:bidi="ar"/>
              </w:rPr>
              <w:t>临时堆土区</w:t>
            </w:r>
          </w:p>
          <w:p w14:paraId="18642E5E">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left"/>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项目建构筑物区临时堆土主要为建构筑物开挖回填基坑土石方，堆放在建构筑物旁，共计0.12万m</w:t>
            </w:r>
            <w:r>
              <w:rPr>
                <w:rFonts w:hint="default" w:ascii="Times New Roman" w:hAnsi="Times New Roman" w:eastAsia="宋体" w:cs="Times New Roman"/>
                <w:b w:val="0"/>
                <w:bCs w:val="0"/>
                <w:color w:val="000000"/>
                <w:kern w:val="0"/>
                <w:sz w:val="24"/>
                <w:szCs w:val="24"/>
                <w:vertAlign w:val="superscript"/>
                <w:lang w:val="en-US" w:eastAsia="zh-CN" w:bidi="ar"/>
              </w:rPr>
              <w:t>3</w:t>
            </w:r>
            <w:r>
              <w:rPr>
                <w:rFonts w:hint="default" w:ascii="Times New Roman" w:hAnsi="Times New Roman" w:eastAsia="宋体" w:cs="Times New Roman"/>
                <w:b w:val="0"/>
                <w:bCs w:val="0"/>
                <w:color w:val="000000"/>
                <w:kern w:val="0"/>
                <w:sz w:val="24"/>
                <w:szCs w:val="24"/>
                <w:lang w:val="en-US" w:eastAsia="zh-CN" w:bidi="ar"/>
              </w:rPr>
              <w:t>，最大堆土高度2.0m，堆土边坡1:1，堆土面积0.06hm</w:t>
            </w:r>
            <w:r>
              <w:rPr>
                <w:rFonts w:hint="default" w:ascii="Times New Roman" w:hAnsi="Times New Roman" w:eastAsia="宋体" w:cs="Times New Roman"/>
                <w:b w:val="0"/>
                <w:bCs w:val="0"/>
                <w:color w:val="000000"/>
                <w:kern w:val="0"/>
                <w:sz w:val="24"/>
                <w:szCs w:val="24"/>
                <w:vertAlign w:val="superscript"/>
                <w:lang w:val="en-US" w:eastAsia="zh-CN" w:bidi="ar"/>
              </w:rPr>
              <w:t>2</w:t>
            </w:r>
            <w:r>
              <w:rPr>
                <w:rFonts w:hint="default" w:ascii="Times New Roman" w:hAnsi="Times New Roman" w:eastAsia="宋体" w:cs="Times New Roman"/>
                <w:b w:val="0"/>
                <w:bCs w:val="0"/>
                <w:color w:val="000000"/>
                <w:kern w:val="0"/>
                <w:sz w:val="24"/>
                <w:szCs w:val="24"/>
                <w:lang w:val="en-US" w:eastAsia="zh-CN" w:bidi="ar"/>
              </w:rPr>
              <w:t>，用于后期建筑回填。</w:t>
            </w:r>
          </w:p>
          <w:p w14:paraId="0D59A9EC">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left"/>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管沟开挖时的土料暂时堆放在管沟一侧，施工结束</w:t>
            </w:r>
            <w:r>
              <w:rPr>
                <w:rFonts w:hint="eastAsia" w:cs="Times New Roman"/>
                <w:b w:val="0"/>
                <w:bCs w:val="0"/>
                <w:color w:val="000000"/>
                <w:kern w:val="0"/>
                <w:sz w:val="24"/>
                <w:szCs w:val="24"/>
                <w:lang w:val="en-US" w:eastAsia="zh-CN" w:bidi="ar"/>
              </w:rPr>
              <w:t>后</w:t>
            </w:r>
            <w:r>
              <w:rPr>
                <w:rFonts w:hint="default" w:ascii="Times New Roman" w:hAnsi="Times New Roman" w:eastAsia="宋体" w:cs="Times New Roman"/>
                <w:b w:val="0"/>
                <w:bCs w:val="0"/>
                <w:color w:val="000000"/>
                <w:kern w:val="0"/>
                <w:sz w:val="24"/>
                <w:szCs w:val="24"/>
                <w:lang w:val="en-US" w:eastAsia="zh-CN" w:bidi="ar"/>
              </w:rPr>
              <w:t>立即回填，以减少土方和开挖面的暴露时间，临时堆土断面尺寸为：高2m，底宽2m～2.5m，边坡1:1，堆土占地纳入管线工程区内。</w:t>
            </w:r>
          </w:p>
          <w:p w14:paraId="493CACEC">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left"/>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上述堆土均</w:t>
            </w:r>
            <w:r>
              <w:rPr>
                <w:rFonts w:hint="eastAsia" w:ascii="Times New Roman" w:hAnsi="Times New Roman" w:eastAsia="宋体" w:cs="Times New Roman"/>
                <w:b w:val="0"/>
                <w:bCs w:val="0"/>
                <w:color w:val="000000"/>
                <w:kern w:val="0"/>
                <w:sz w:val="24"/>
                <w:szCs w:val="24"/>
                <w:lang w:val="en-US" w:eastAsia="zh-CN" w:bidi="ar"/>
              </w:rPr>
              <w:t>统一就近</w:t>
            </w:r>
            <w:r>
              <w:rPr>
                <w:rFonts w:hint="default" w:ascii="Times New Roman" w:hAnsi="Times New Roman" w:eastAsia="宋体" w:cs="Times New Roman"/>
                <w:b w:val="0"/>
                <w:bCs w:val="0"/>
                <w:color w:val="000000"/>
                <w:kern w:val="0"/>
                <w:sz w:val="24"/>
                <w:szCs w:val="24"/>
                <w:lang w:val="en-US" w:eastAsia="zh-CN" w:bidi="ar"/>
              </w:rPr>
              <w:t>堆放，因此不再单独进行临时堆土分区。</w:t>
            </w:r>
          </w:p>
          <w:p w14:paraId="55B050DB">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left"/>
              <w:textAlignment w:val="auto"/>
              <w:rPr>
                <w:rFonts w:hint="default"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3.3</w:t>
            </w:r>
            <w:r>
              <w:rPr>
                <w:rFonts w:hint="default" w:ascii="Times New Roman" w:hAnsi="Times New Roman" w:eastAsia="宋体" w:cs="Times New Roman"/>
                <w:b w:val="0"/>
                <w:bCs w:val="0"/>
                <w:color w:val="000000"/>
                <w:kern w:val="0"/>
                <w:sz w:val="24"/>
                <w:szCs w:val="24"/>
                <w:lang w:val="en-US" w:eastAsia="zh-CN" w:bidi="ar"/>
              </w:rPr>
              <w:t>取料场</w:t>
            </w:r>
          </w:p>
          <w:p w14:paraId="05E20240">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left"/>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本工程外借方为外购，外购于阜康市商品料场，未设置取料场。</w:t>
            </w:r>
          </w:p>
          <w:p w14:paraId="043DA722">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left"/>
              <w:textAlignment w:val="auto"/>
              <w:rPr>
                <w:rFonts w:hint="default"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3.4</w:t>
            </w:r>
            <w:r>
              <w:rPr>
                <w:rFonts w:hint="default" w:ascii="Times New Roman" w:hAnsi="Times New Roman" w:eastAsia="宋体" w:cs="Times New Roman"/>
                <w:b w:val="0"/>
                <w:bCs w:val="0"/>
                <w:color w:val="000000"/>
                <w:kern w:val="0"/>
                <w:sz w:val="24"/>
                <w:szCs w:val="24"/>
                <w:lang w:val="en-US" w:eastAsia="zh-CN" w:bidi="ar"/>
              </w:rPr>
              <w:t>弃渣场</w:t>
            </w:r>
          </w:p>
          <w:p w14:paraId="13782429">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left"/>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本工程无弃渣，土石方工程主要为建筑物基础开挖土方，挖方集中堆放在临时堆土区内，基础施工完毕后回填基坑，合理利用土方，绝不发生乱堆乱弃现象。</w:t>
            </w:r>
          </w:p>
          <w:p w14:paraId="759922ED">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left"/>
              <w:textAlignment w:val="auto"/>
              <w:rPr>
                <w:rFonts w:hint="eastAsia" w:cs="Times New Roman"/>
                <w:b w:val="0"/>
                <w:bCs w:val="0"/>
                <w:color w:val="000000"/>
                <w:kern w:val="0"/>
                <w:sz w:val="24"/>
                <w:szCs w:val="24"/>
                <w:lang w:val="en-US" w:eastAsia="zh-CN" w:bidi="ar"/>
              </w:rPr>
            </w:pPr>
            <w:r>
              <w:rPr>
                <w:rFonts w:hint="eastAsia" w:cs="Times New Roman"/>
                <w:b w:val="0"/>
                <w:bCs w:val="0"/>
                <w:color w:val="000000"/>
                <w:kern w:val="0"/>
                <w:sz w:val="24"/>
                <w:szCs w:val="24"/>
                <w:lang w:val="en-US" w:eastAsia="zh-CN" w:bidi="ar"/>
              </w:rPr>
              <w:t xml:space="preserve">3.5施工便道 </w:t>
            </w:r>
          </w:p>
          <w:p w14:paraId="5602B7AA">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left"/>
              <w:textAlignment w:val="auto"/>
              <w:rPr>
                <w:rFonts w:hint="default" w:ascii="Times New Roman" w:hAnsi="Times New Roman" w:eastAsia="宋体" w:cs="Times New Roman"/>
                <w:b w:val="0"/>
                <w:bCs w:val="0"/>
                <w:color w:val="000000"/>
                <w:kern w:val="0"/>
                <w:sz w:val="24"/>
                <w:szCs w:val="24"/>
                <w:lang w:val="en-US" w:eastAsia="zh-CN" w:bidi="ar"/>
              </w:rPr>
            </w:pPr>
            <w:r>
              <w:rPr>
                <w:rFonts w:hint="eastAsia" w:cs="Times New Roman"/>
                <w:b w:val="0"/>
                <w:bCs w:val="0"/>
                <w:color w:val="000000"/>
                <w:kern w:val="0"/>
                <w:sz w:val="24"/>
                <w:szCs w:val="24"/>
                <w:lang w:val="en-US" w:eastAsia="zh-CN" w:bidi="ar"/>
              </w:rPr>
              <w:t>本项目利用现有道路，不设置临时施工便道。</w:t>
            </w:r>
          </w:p>
        </w:tc>
      </w:tr>
      <w:tr w14:paraId="141E12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6" w:type="pct"/>
            <w:noWrap w:val="0"/>
            <w:vAlign w:val="center"/>
          </w:tcPr>
          <w:p w14:paraId="6B8C66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Cs w:val="21"/>
                <w:highlight w:val="none"/>
              </w:rPr>
            </w:pPr>
            <w:r>
              <w:rPr>
                <w:rFonts w:hint="default" w:ascii="Times New Roman" w:hAnsi="Times New Roman" w:eastAsia="宋体" w:cs="Times New Roman"/>
                <w:color w:val="000000"/>
                <w:kern w:val="0"/>
                <w:szCs w:val="21"/>
                <w:highlight w:val="none"/>
              </w:rPr>
              <w:t>施工方案</w:t>
            </w:r>
          </w:p>
        </w:tc>
        <w:tc>
          <w:tcPr>
            <w:tcW w:w="4733" w:type="pct"/>
            <w:noWrap w:val="0"/>
            <w:vAlign w:val="center"/>
          </w:tcPr>
          <w:p w14:paraId="5DFFF7F4">
            <w:pPr>
              <w:keepNext w:val="0"/>
              <w:keepLines w:val="0"/>
              <w:pageBreakBefore w:val="0"/>
              <w:widowControl/>
              <w:numPr>
                <w:ilvl w:val="0"/>
                <w:numId w:val="10"/>
              </w:numPr>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b/>
                <w:bCs/>
                <w:color w:val="000000"/>
                <w:kern w:val="0"/>
                <w:sz w:val="24"/>
                <w:szCs w:val="24"/>
                <w:lang w:val="en-US" w:eastAsia="zh-CN" w:bidi="ar"/>
              </w:rPr>
            </w:pPr>
            <w:r>
              <w:rPr>
                <w:rFonts w:hint="eastAsia" w:cs="Times New Roman"/>
                <w:b/>
                <w:bCs/>
                <w:color w:val="000000"/>
                <w:kern w:val="0"/>
                <w:sz w:val="24"/>
                <w:szCs w:val="24"/>
                <w:lang w:val="en-US" w:eastAsia="zh-CN" w:bidi="ar"/>
              </w:rPr>
              <w:t>施工</w:t>
            </w:r>
            <w:r>
              <w:rPr>
                <w:rFonts w:hint="default" w:ascii="Times New Roman" w:hAnsi="Times New Roman" w:eastAsia="宋体" w:cs="Times New Roman"/>
                <w:b/>
                <w:bCs/>
                <w:color w:val="000000"/>
                <w:kern w:val="0"/>
                <w:sz w:val="24"/>
                <w:szCs w:val="24"/>
                <w:lang w:val="en-US" w:eastAsia="zh-CN" w:bidi="ar"/>
              </w:rPr>
              <w:t>工艺流程及产污环节</w:t>
            </w:r>
          </w:p>
          <w:p w14:paraId="250574BD">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left"/>
              <w:textAlignment w:val="auto"/>
              <w:rPr>
                <w:rFonts w:hint="eastAsia"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本项目的施工内容包括：</w:t>
            </w:r>
          </w:p>
          <w:p w14:paraId="46B919A8">
            <w:pPr>
              <w:keepNext w:val="0"/>
              <w:keepLines w:val="0"/>
              <w:pageBreakBefore w:val="0"/>
              <w:widowControl/>
              <w:numPr>
                <w:ilvl w:val="0"/>
                <w:numId w:val="11"/>
              </w:numPr>
              <w:suppressLineNumbers w:val="0"/>
              <w:kinsoku/>
              <w:wordWrap/>
              <w:overflowPunct/>
              <w:topLinePunct w:val="0"/>
              <w:autoSpaceDE/>
              <w:autoSpaceDN/>
              <w:bidi w:val="0"/>
              <w:adjustRightInd/>
              <w:snapToGrid w:val="0"/>
              <w:ind w:leftChars="0" w:firstLine="480" w:firstLineChars="200"/>
              <w:jc w:val="left"/>
              <w:textAlignment w:val="auto"/>
              <w:rPr>
                <w:rFonts w:hint="eastAsia"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土建新建工程：集装箱民宿基础、砖混院落、研学文创框架楼、轻钢景观平台；</w:t>
            </w:r>
          </w:p>
          <w:p w14:paraId="4320BFDF">
            <w:pPr>
              <w:keepNext w:val="0"/>
              <w:keepLines w:val="0"/>
              <w:pageBreakBefore w:val="0"/>
              <w:widowControl/>
              <w:numPr>
                <w:ilvl w:val="0"/>
                <w:numId w:val="11"/>
              </w:numPr>
              <w:suppressLineNumbers w:val="0"/>
              <w:kinsoku/>
              <w:wordWrap/>
              <w:overflowPunct/>
              <w:topLinePunct w:val="0"/>
              <w:autoSpaceDE/>
              <w:autoSpaceDN/>
              <w:bidi w:val="0"/>
              <w:adjustRightInd/>
              <w:snapToGrid w:val="0"/>
              <w:ind w:left="0" w:leftChars="0" w:firstLine="480" w:firstLineChars="200"/>
              <w:jc w:val="left"/>
              <w:textAlignment w:val="auto"/>
              <w:rPr>
                <w:rFonts w:hint="eastAsia"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改造修缮工程：原有建筑外立面改造、乡村会客厅内部改造、食堂翻新；</w:t>
            </w:r>
          </w:p>
          <w:p w14:paraId="254A7E36">
            <w:pPr>
              <w:keepNext w:val="0"/>
              <w:keepLines w:val="0"/>
              <w:pageBreakBefore w:val="0"/>
              <w:widowControl/>
              <w:numPr>
                <w:ilvl w:val="0"/>
                <w:numId w:val="11"/>
              </w:numPr>
              <w:suppressLineNumbers w:val="0"/>
              <w:kinsoku/>
              <w:wordWrap/>
              <w:overflowPunct/>
              <w:topLinePunct w:val="0"/>
              <w:autoSpaceDE/>
              <w:autoSpaceDN/>
              <w:bidi w:val="0"/>
              <w:adjustRightInd/>
              <w:snapToGrid w:val="0"/>
              <w:ind w:left="0" w:leftChars="0" w:firstLine="480" w:firstLineChars="200"/>
              <w:jc w:val="left"/>
              <w:textAlignment w:val="auto"/>
              <w:rPr>
                <w:rFonts w:hint="eastAsia"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配套景观工程：景观平台铺装、绿化、花海露营场地平整；</w:t>
            </w:r>
          </w:p>
          <w:p w14:paraId="7A6AD8D6">
            <w:pPr>
              <w:keepNext w:val="0"/>
              <w:keepLines w:val="0"/>
              <w:pageBreakBefore w:val="0"/>
              <w:widowControl/>
              <w:numPr>
                <w:ilvl w:val="0"/>
                <w:numId w:val="11"/>
              </w:numPr>
              <w:suppressLineNumbers w:val="0"/>
              <w:kinsoku/>
              <w:wordWrap/>
              <w:overflowPunct/>
              <w:topLinePunct w:val="0"/>
              <w:autoSpaceDE/>
              <w:autoSpaceDN/>
              <w:bidi w:val="0"/>
              <w:adjustRightInd/>
              <w:snapToGrid w:val="0"/>
              <w:ind w:left="0" w:leftChars="0" w:firstLine="480" w:firstLineChars="200"/>
              <w:jc w:val="left"/>
              <w:textAlignment w:val="auto"/>
              <w:rPr>
                <w:rFonts w:hint="eastAsia"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配套附属：管线敷设、场地平整、小型硬化、数字化配套基础施工。</w:t>
            </w:r>
          </w:p>
          <w:p w14:paraId="1899DBBA">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200"/>
              <w:jc w:val="left"/>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施工</w:t>
            </w:r>
            <w:r>
              <w:rPr>
                <w:rFonts w:hint="eastAsia" w:ascii="Times New Roman" w:hAnsi="Times New Roman" w:eastAsia="宋体" w:cs="Times New Roman"/>
                <w:b w:val="0"/>
                <w:bCs w:val="0"/>
                <w:color w:val="000000"/>
                <w:kern w:val="0"/>
                <w:sz w:val="24"/>
                <w:szCs w:val="24"/>
                <w:lang w:val="en-US" w:eastAsia="zh-CN" w:bidi="ar"/>
              </w:rPr>
              <w:t>工艺流程及</w:t>
            </w:r>
            <w:r>
              <w:rPr>
                <w:rFonts w:hint="default" w:ascii="Times New Roman" w:hAnsi="Times New Roman" w:eastAsia="宋体" w:cs="Times New Roman"/>
                <w:b w:val="0"/>
                <w:bCs w:val="0"/>
                <w:color w:val="000000"/>
                <w:kern w:val="0"/>
                <w:sz w:val="24"/>
                <w:szCs w:val="24"/>
                <w:lang w:val="en-US" w:eastAsia="zh-CN" w:bidi="ar"/>
              </w:rPr>
              <w:t>产污</w:t>
            </w:r>
            <w:r>
              <w:rPr>
                <w:rFonts w:hint="eastAsia" w:ascii="Times New Roman" w:hAnsi="Times New Roman" w:eastAsia="宋体" w:cs="Times New Roman"/>
                <w:b w:val="0"/>
                <w:bCs w:val="0"/>
                <w:color w:val="000000"/>
                <w:kern w:val="0"/>
                <w:sz w:val="24"/>
                <w:szCs w:val="24"/>
                <w:lang w:val="en-US" w:eastAsia="zh-CN" w:bidi="ar"/>
              </w:rPr>
              <w:t>环节见</w:t>
            </w:r>
            <w:r>
              <w:rPr>
                <w:rFonts w:hint="default" w:ascii="Times New Roman" w:hAnsi="Times New Roman" w:eastAsia="宋体" w:cs="Times New Roman"/>
                <w:b w:val="0"/>
                <w:bCs w:val="0"/>
                <w:color w:val="000000"/>
                <w:kern w:val="0"/>
                <w:sz w:val="24"/>
                <w:szCs w:val="24"/>
                <w:lang w:val="en-US" w:eastAsia="zh-CN" w:bidi="ar"/>
              </w:rPr>
              <w:t>图</w:t>
            </w:r>
            <w:r>
              <w:rPr>
                <w:rFonts w:hint="eastAsia" w:ascii="Times New Roman" w:hAnsi="Times New Roman" w:eastAsia="宋体" w:cs="Times New Roman"/>
                <w:b w:val="0"/>
                <w:bCs w:val="0"/>
                <w:color w:val="000000"/>
                <w:kern w:val="0"/>
                <w:sz w:val="24"/>
                <w:szCs w:val="24"/>
                <w:lang w:val="en-US" w:eastAsia="zh-CN" w:bidi="ar"/>
              </w:rPr>
              <w:t>2-6。</w:t>
            </w:r>
          </w:p>
          <w:p w14:paraId="20E274A1">
            <w:pPr>
              <w:pStyle w:val="88"/>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ascii="Times New Roman" w:hAnsi="Times New Roman" w:eastAsia="宋体" w:cs="Times New Roman"/>
                <w:b/>
                <w:bCs/>
                <w:spacing w:val="-3"/>
                <w:lang w:eastAsia="zh-CN"/>
              </w:rPr>
            </w:pPr>
            <w:r>
              <w:rPr>
                <w:rFonts w:hint="eastAsia" w:ascii="Times New Roman" w:hAnsi="Times New Roman" w:eastAsia="宋体" w:cs="Times New Roman"/>
                <w:b/>
                <w:bCs/>
                <w:spacing w:val="-3"/>
                <w:lang w:eastAsia="zh-CN"/>
              </w:rPr>
              <w:drawing>
                <wp:inline distT="0" distB="0" distL="114300" distR="114300">
                  <wp:extent cx="4983480" cy="3404870"/>
                  <wp:effectExtent l="0" t="0" r="7620" b="5080"/>
                  <wp:docPr id="32" name="F360BE8B-6686-4F3D-AEAF-501FE73E4058-2" descr="绘图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360BE8B-6686-4F3D-AEAF-501FE73E4058-2" descr="绘图1(7)"/>
                          <pic:cNvPicPr>
                            <a:picLocks noChangeAspect="1"/>
                          </pic:cNvPicPr>
                        </pic:nvPicPr>
                        <pic:blipFill>
                          <a:blip r:embed="rId21"/>
                          <a:stretch>
                            <a:fillRect/>
                          </a:stretch>
                        </pic:blipFill>
                        <pic:spPr>
                          <a:xfrm>
                            <a:off x="0" y="0"/>
                            <a:ext cx="4983480" cy="3404870"/>
                          </a:xfrm>
                          <a:prstGeom prst="rect">
                            <a:avLst/>
                          </a:prstGeom>
                        </pic:spPr>
                      </pic:pic>
                    </a:graphicData>
                  </a:graphic>
                </wp:inline>
              </w:drawing>
            </w:r>
          </w:p>
          <w:p w14:paraId="57772A48">
            <w:pPr>
              <w:pStyle w:val="88"/>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default" w:ascii="Times New Roman" w:hAnsi="Times New Roman" w:eastAsia="宋体" w:cs="Times New Roman"/>
              </w:rPr>
            </w:pPr>
            <w:r>
              <w:rPr>
                <w:rFonts w:hint="default" w:ascii="Times New Roman" w:hAnsi="Times New Roman" w:eastAsia="宋体" w:cs="Times New Roman"/>
                <w:b/>
                <w:bCs/>
                <w:spacing w:val="-3"/>
              </w:rPr>
              <w:t>图</w:t>
            </w:r>
            <w:r>
              <w:rPr>
                <w:rFonts w:hint="default" w:ascii="Times New Roman" w:hAnsi="Times New Roman" w:eastAsia="宋体" w:cs="Times New Roman"/>
                <w:spacing w:val="-27"/>
              </w:rPr>
              <w:t xml:space="preserve"> </w:t>
            </w:r>
            <w:r>
              <w:rPr>
                <w:rFonts w:hint="eastAsia" w:ascii="Times New Roman" w:hAnsi="Times New Roman" w:cs="Times New Roman"/>
                <w:b/>
                <w:bCs/>
                <w:spacing w:val="-3"/>
                <w:lang w:val="en-US" w:eastAsia="zh-CN"/>
              </w:rPr>
              <w:t>2-6</w:t>
            </w:r>
            <w:r>
              <w:rPr>
                <w:rFonts w:hint="default" w:ascii="Times New Roman" w:hAnsi="Times New Roman" w:eastAsia="宋体" w:cs="Times New Roman"/>
                <w:b/>
                <w:bCs/>
                <w:spacing w:val="-3"/>
              </w:rPr>
              <w:t xml:space="preserve">    施工</w:t>
            </w:r>
            <w:r>
              <w:rPr>
                <w:rFonts w:hint="eastAsia" w:ascii="Times New Roman" w:hAnsi="Times New Roman" w:cs="Times New Roman"/>
                <w:b/>
                <w:bCs/>
                <w:spacing w:val="-3"/>
                <w:lang w:val="en-US" w:eastAsia="zh-CN"/>
              </w:rPr>
              <w:t>工艺流程及</w:t>
            </w:r>
            <w:r>
              <w:rPr>
                <w:rFonts w:hint="default" w:ascii="Times New Roman" w:hAnsi="Times New Roman" w:eastAsia="宋体" w:cs="Times New Roman"/>
                <w:b/>
                <w:bCs/>
                <w:spacing w:val="-3"/>
              </w:rPr>
              <w:t>产污</w:t>
            </w:r>
            <w:r>
              <w:rPr>
                <w:rFonts w:hint="eastAsia" w:ascii="Times New Roman" w:hAnsi="Times New Roman" w:cs="Times New Roman"/>
                <w:b/>
                <w:bCs/>
                <w:spacing w:val="-3"/>
                <w:lang w:val="en-US" w:eastAsia="zh-CN"/>
              </w:rPr>
              <w:t>环节</w:t>
            </w:r>
            <w:r>
              <w:rPr>
                <w:rFonts w:hint="default" w:ascii="Times New Roman" w:hAnsi="Times New Roman" w:eastAsia="宋体" w:cs="Times New Roman"/>
                <w:b/>
                <w:bCs/>
                <w:spacing w:val="-3"/>
              </w:rPr>
              <w:t>图</w:t>
            </w:r>
          </w:p>
          <w:p w14:paraId="57C1435A">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b/>
                <w:bCs/>
                <w:color w:val="000000"/>
                <w:kern w:val="0"/>
                <w:sz w:val="24"/>
                <w:szCs w:val="24"/>
                <w:lang w:val="en-US" w:eastAsia="zh-CN" w:bidi="ar"/>
              </w:rPr>
            </w:pPr>
            <w:r>
              <w:rPr>
                <w:rFonts w:hint="eastAsia" w:cs="Times New Roman"/>
                <w:b/>
                <w:bCs/>
                <w:color w:val="000000"/>
                <w:kern w:val="0"/>
                <w:sz w:val="24"/>
                <w:szCs w:val="24"/>
                <w:lang w:val="en-US" w:eastAsia="zh-CN" w:bidi="ar"/>
              </w:rPr>
              <w:t>2.</w:t>
            </w:r>
            <w:r>
              <w:rPr>
                <w:rFonts w:hint="default" w:ascii="Times New Roman" w:hAnsi="Times New Roman" w:eastAsia="宋体" w:cs="Times New Roman"/>
                <w:b/>
                <w:bCs/>
                <w:color w:val="000000"/>
                <w:kern w:val="0"/>
                <w:sz w:val="24"/>
                <w:szCs w:val="24"/>
                <w:lang w:val="en-US" w:eastAsia="zh-CN" w:bidi="ar"/>
              </w:rPr>
              <w:t>建设周期</w:t>
            </w:r>
          </w:p>
          <w:p w14:paraId="3095A6DF">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2026年7月</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2027年6月，共12个月。</w:t>
            </w:r>
          </w:p>
        </w:tc>
      </w:tr>
      <w:tr w14:paraId="4EE791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85" w:hRule="atLeast"/>
          <w:jc w:val="center"/>
        </w:trPr>
        <w:tc>
          <w:tcPr>
            <w:tcW w:w="266" w:type="pct"/>
            <w:noWrap w:val="0"/>
            <w:vAlign w:val="center"/>
          </w:tcPr>
          <w:p w14:paraId="1F194B96">
            <w:pPr>
              <w:adjustRightInd w:val="0"/>
              <w:snapToGrid w:val="0"/>
              <w:ind w:firstLine="0" w:firstLineChars="0"/>
              <w:jc w:val="center"/>
              <w:rPr>
                <w:rFonts w:hint="default" w:ascii="Times New Roman" w:hAnsi="Times New Roman" w:eastAsia="宋体" w:cs="Times New Roman"/>
                <w:color w:val="000000"/>
                <w:kern w:val="0"/>
                <w:szCs w:val="21"/>
                <w:highlight w:val="none"/>
              </w:rPr>
            </w:pPr>
            <w:r>
              <w:rPr>
                <w:rFonts w:hint="default" w:ascii="Times New Roman" w:hAnsi="Times New Roman" w:eastAsia="宋体" w:cs="Times New Roman"/>
                <w:color w:val="000000"/>
                <w:kern w:val="0"/>
                <w:szCs w:val="21"/>
                <w:highlight w:val="none"/>
              </w:rPr>
              <w:t>其他</w:t>
            </w:r>
          </w:p>
        </w:tc>
        <w:tc>
          <w:tcPr>
            <w:tcW w:w="4733" w:type="pct"/>
            <w:noWrap w:val="0"/>
            <w:vAlign w:val="center"/>
          </w:tcPr>
          <w:p w14:paraId="083F0C0D">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color w:val="000000"/>
                <w:sz w:val="24"/>
                <w:highlight w:val="none"/>
                <w:lang w:val="en-US" w:eastAsia="zh-CN"/>
              </w:rPr>
            </w:pPr>
          </w:p>
          <w:p w14:paraId="61982351">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color w:val="000000"/>
                <w:sz w:val="24"/>
                <w:highlight w:val="none"/>
                <w:lang w:val="en-US" w:eastAsia="zh-CN"/>
              </w:rPr>
            </w:pPr>
          </w:p>
          <w:p w14:paraId="326988EF">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color w:val="000000"/>
                <w:sz w:val="24"/>
                <w:highlight w:val="none"/>
                <w:lang w:val="en-US" w:eastAsia="zh-CN"/>
              </w:rPr>
            </w:pPr>
          </w:p>
          <w:p w14:paraId="3545F7B9">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color w:val="000000"/>
                <w:sz w:val="24"/>
                <w:highlight w:val="none"/>
                <w:lang w:val="en-US" w:eastAsia="zh-CN"/>
              </w:rPr>
            </w:pPr>
          </w:p>
          <w:p w14:paraId="33210C0A">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color w:val="000000"/>
                <w:sz w:val="24"/>
                <w:highlight w:val="none"/>
                <w:lang w:val="en-US" w:eastAsia="zh-CN"/>
              </w:rPr>
            </w:pPr>
            <w:r>
              <w:rPr>
                <w:rFonts w:hint="default" w:ascii="Times New Roman" w:hAnsi="Times New Roman" w:eastAsia="宋体" w:cs="Times New Roman"/>
                <w:color w:val="000000"/>
                <w:sz w:val="24"/>
                <w:highlight w:val="none"/>
                <w:lang w:val="en-US" w:eastAsia="zh-CN"/>
              </w:rPr>
              <w:t>无</w:t>
            </w:r>
          </w:p>
          <w:p w14:paraId="5BFB7FA4">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color w:val="000000"/>
                <w:sz w:val="24"/>
                <w:highlight w:val="none"/>
                <w:lang w:val="en-US" w:eastAsia="zh-CN"/>
              </w:rPr>
            </w:pPr>
          </w:p>
          <w:p w14:paraId="75986D6F">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color w:val="000000"/>
                <w:sz w:val="24"/>
                <w:highlight w:val="none"/>
                <w:lang w:val="en-US" w:eastAsia="zh-CN"/>
              </w:rPr>
            </w:pPr>
          </w:p>
          <w:p w14:paraId="09B0C1B5">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color w:val="000000"/>
                <w:sz w:val="24"/>
                <w:highlight w:val="none"/>
                <w:lang w:val="en-US" w:eastAsia="zh-CN"/>
              </w:rPr>
            </w:pPr>
          </w:p>
          <w:p w14:paraId="347C76A9">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color w:val="000000"/>
                <w:sz w:val="24"/>
                <w:highlight w:val="none"/>
                <w:lang w:val="en-US" w:eastAsia="zh-CN"/>
              </w:rPr>
            </w:pPr>
          </w:p>
          <w:p w14:paraId="23B74BE8">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color w:val="000000"/>
                <w:sz w:val="24"/>
                <w:highlight w:val="none"/>
                <w:lang w:val="en-US" w:eastAsia="zh-CN"/>
              </w:rPr>
            </w:pPr>
          </w:p>
        </w:tc>
      </w:tr>
    </w:tbl>
    <w:p w14:paraId="503BAD6E">
      <w:pPr>
        <w:pStyle w:val="28"/>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outlineLvl w:val="0"/>
        <w:rPr>
          <w:rFonts w:hint="default" w:ascii="Times New Roman" w:hAnsi="Times New Roman" w:eastAsia="宋体" w:cs="Times New Roman"/>
          <w:snapToGrid w:val="0"/>
          <w:color w:val="000000"/>
          <w:sz w:val="30"/>
          <w:szCs w:val="30"/>
          <w:highlight w:val="none"/>
        </w:rPr>
      </w:pPr>
      <w:r>
        <w:rPr>
          <w:rFonts w:hint="default" w:ascii="Times New Roman" w:hAnsi="Times New Roman" w:eastAsia="宋体" w:cs="Times New Roman"/>
          <w:b/>
          <w:bCs/>
          <w:color w:val="000000"/>
          <w:highlight w:val="none"/>
        </w:rPr>
        <w:br w:type="page"/>
      </w:r>
      <w:bookmarkStart w:id="13" w:name="_Toc29160"/>
      <w:bookmarkStart w:id="14" w:name="_Toc9973"/>
      <w:bookmarkStart w:id="15" w:name="_Toc879"/>
      <w:bookmarkStart w:id="16" w:name="_Toc31617"/>
      <w:r>
        <w:rPr>
          <w:rFonts w:hint="default" w:ascii="Times New Roman" w:hAnsi="Times New Roman" w:eastAsia="宋体" w:cs="Times New Roman"/>
          <w:snapToGrid w:val="0"/>
          <w:color w:val="000000"/>
          <w:sz w:val="30"/>
          <w:szCs w:val="30"/>
          <w:highlight w:val="none"/>
        </w:rPr>
        <w:t>三、生态环境现状、保护目标及评价标准</w:t>
      </w:r>
      <w:bookmarkEnd w:id="13"/>
      <w:bookmarkEnd w:id="14"/>
      <w:bookmarkEnd w:id="15"/>
      <w:bookmarkEnd w:id="16"/>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7868"/>
      </w:tblGrid>
      <w:tr w14:paraId="4BC2B7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654" w:type="dxa"/>
            <w:noWrap w:val="0"/>
            <w:vAlign w:val="center"/>
          </w:tcPr>
          <w:p w14:paraId="4A372D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Cs w:val="21"/>
                <w:highlight w:val="none"/>
              </w:rPr>
            </w:pPr>
            <w:r>
              <w:rPr>
                <w:rFonts w:hint="default" w:ascii="Times New Roman" w:hAnsi="Times New Roman" w:eastAsia="宋体" w:cs="Times New Roman"/>
                <w:color w:val="000000"/>
                <w:kern w:val="0"/>
                <w:szCs w:val="21"/>
                <w:highlight w:val="none"/>
              </w:rPr>
              <w:t>生态环境现状</w:t>
            </w:r>
          </w:p>
        </w:tc>
        <w:tc>
          <w:tcPr>
            <w:tcW w:w="7868" w:type="dxa"/>
            <w:noWrap w:val="0"/>
            <w:vAlign w:val="center"/>
          </w:tcPr>
          <w:p w14:paraId="001A75C9">
            <w:pPr>
              <w:keepNext w:val="0"/>
              <w:keepLines w:val="0"/>
              <w:pageBreakBefore w:val="0"/>
              <w:shd w:val="clear" w:color="auto" w:fill="auto"/>
              <w:kinsoku/>
              <w:wordWrap/>
              <w:overflowPunct/>
              <w:topLinePunct w:val="0"/>
              <w:autoSpaceDE/>
              <w:autoSpaceDN/>
              <w:bidi w:val="0"/>
              <w:adjustRightInd/>
              <w:snapToGrid w:val="0"/>
              <w:ind w:firstLine="480"/>
              <w:textAlignment w:val="auto"/>
              <w:rPr>
                <w:rFonts w:hint="default" w:ascii="Times New Roman" w:hAnsi="Times New Roman" w:eastAsia="宋体" w:cs="Times New Roman"/>
                <w:b/>
                <w:bCs/>
                <w:color w:val="000000"/>
                <w:highlight w:val="none"/>
                <w:lang w:val="en-US" w:eastAsia="zh-CN"/>
              </w:rPr>
            </w:pPr>
            <w:r>
              <w:rPr>
                <w:rFonts w:hint="eastAsia" w:cs="Times New Roman"/>
                <w:b/>
                <w:bCs/>
                <w:color w:val="000000"/>
                <w:highlight w:val="none"/>
                <w:lang w:val="en-US" w:eastAsia="zh-CN"/>
              </w:rPr>
              <w:t>1.</w:t>
            </w:r>
            <w:r>
              <w:rPr>
                <w:rFonts w:hint="default" w:ascii="Times New Roman" w:hAnsi="Times New Roman" w:eastAsia="宋体" w:cs="Times New Roman"/>
                <w:b/>
                <w:bCs/>
                <w:color w:val="000000"/>
                <w:highlight w:val="none"/>
                <w:lang w:val="en-US" w:eastAsia="zh-CN"/>
              </w:rPr>
              <w:t>新疆维吾尔自治区主体功能区规划</w:t>
            </w:r>
          </w:p>
          <w:p w14:paraId="0DD69529">
            <w:pPr>
              <w:keepNext w:val="0"/>
              <w:keepLines w:val="0"/>
              <w:pageBreakBefore w:val="0"/>
              <w:widowControl/>
              <w:suppressLineNumbers w:val="0"/>
              <w:shd w:val="clear" w:color="auto" w:fill="auto"/>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kern w:val="0"/>
                <w:sz w:val="24"/>
                <w:szCs w:val="24"/>
                <w:highlight w:val="none"/>
                <w:lang w:val="en-US" w:eastAsia="zh-CN" w:bidi="ar"/>
              </w:rPr>
              <w:t>根据《新疆维吾尔自治区主体功能区规划》，根据国家对主体功能区规划编制的要求，结合新疆独特的自然地理状况和新时期跨越式发展的需要，本规划将新疆国土空间划分为重点开发区域、限制开发区域和禁止开发区域3类主体功能区；按开发内容分为城市化地区、农产品生产区和重点生态功能区；按层级分为国家和自治区两个层面。</w:t>
            </w:r>
          </w:p>
          <w:p w14:paraId="10DF5426">
            <w:pPr>
              <w:keepNext w:val="0"/>
              <w:keepLines w:val="0"/>
              <w:pageBreakBefore w:val="0"/>
              <w:widowControl/>
              <w:suppressLineNumbers w:val="0"/>
              <w:shd w:val="clear" w:color="auto" w:fill="auto"/>
              <w:kinsoku/>
              <w:wordWrap/>
              <w:overflowPunct/>
              <w:topLinePunct w:val="0"/>
              <w:autoSpaceDE/>
              <w:autoSpaceDN/>
              <w:bidi w:val="0"/>
              <w:adjustRightInd/>
              <w:snapToGrid w:val="0"/>
              <w:ind w:firstLine="480"/>
              <w:jc w:val="both"/>
              <w:textAlignment w:val="auto"/>
              <w:rPr>
                <w:rFonts w:hint="default" w:ascii="Times New Roman" w:hAnsi="Times New Roman" w:eastAsia="宋体" w:cs="Times New Roman"/>
                <w:color w:val="000000"/>
                <w:highlight w:val="none"/>
              </w:rPr>
            </w:pPr>
            <w:r>
              <w:rPr>
                <w:rFonts w:hint="eastAsia" w:cs="Times New Roman"/>
                <w:color w:val="000000"/>
                <w:kern w:val="0"/>
                <w:sz w:val="24"/>
                <w:szCs w:val="24"/>
                <w:highlight w:val="none"/>
                <w:lang w:val="en-US" w:eastAsia="zh-CN" w:bidi="ar"/>
              </w:rPr>
              <w:t>本</w:t>
            </w:r>
            <w:r>
              <w:rPr>
                <w:rFonts w:hint="default" w:ascii="Times New Roman" w:hAnsi="Times New Roman" w:eastAsia="宋体" w:cs="Times New Roman"/>
                <w:color w:val="000000"/>
                <w:kern w:val="0"/>
                <w:sz w:val="24"/>
                <w:szCs w:val="24"/>
                <w:highlight w:val="none"/>
                <w:lang w:val="en-US" w:eastAsia="zh-CN" w:bidi="ar"/>
              </w:rPr>
              <w:t>项目所在的阜康市位于国家</w:t>
            </w:r>
            <w:r>
              <w:rPr>
                <w:rFonts w:hint="eastAsia" w:cs="Times New Roman"/>
                <w:color w:val="000000"/>
                <w:kern w:val="0"/>
                <w:sz w:val="24"/>
                <w:szCs w:val="24"/>
                <w:highlight w:val="none"/>
                <w:lang w:val="en-US" w:eastAsia="zh-CN" w:bidi="ar"/>
              </w:rPr>
              <w:t>级</w:t>
            </w:r>
            <w:r>
              <w:rPr>
                <w:rFonts w:hint="default" w:ascii="Times New Roman" w:hAnsi="Times New Roman" w:eastAsia="宋体" w:cs="Times New Roman"/>
                <w:color w:val="000000"/>
                <w:kern w:val="0"/>
                <w:sz w:val="24"/>
                <w:szCs w:val="24"/>
                <w:highlight w:val="none"/>
                <w:lang w:val="en-US" w:eastAsia="zh-CN" w:bidi="ar"/>
              </w:rPr>
              <w:t>重点开发区，国家层面重点开发区域是对全国区域经济协调发展具有重大意义的城市化地区，是支撑全国经济增长的重要增长极。</w:t>
            </w:r>
            <w:r>
              <w:rPr>
                <w:rFonts w:hint="eastAsia" w:cs="Times New Roman"/>
                <w:color w:val="000000"/>
                <w:kern w:val="0"/>
                <w:sz w:val="24"/>
                <w:szCs w:val="24"/>
                <w:highlight w:val="none"/>
                <w:lang w:val="en-US" w:eastAsia="zh-CN" w:bidi="ar"/>
              </w:rPr>
              <w:t>该</w:t>
            </w:r>
            <w:r>
              <w:rPr>
                <w:rFonts w:hint="default" w:ascii="Times New Roman" w:hAnsi="Times New Roman" w:eastAsia="宋体" w:cs="Times New Roman"/>
                <w:color w:val="000000"/>
                <w:kern w:val="0"/>
                <w:sz w:val="24"/>
                <w:szCs w:val="24"/>
                <w:highlight w:val="none"/>
                <w:lang w:val="en-US" w:eastAsia="zh-CN" w:bidi="ar"/>
              </w:rPr>
              <w:t>区域的功能定位是：我国面向中亚、西亚地区对外开放的陆路交通枢纽和重要门户，全国重要的能源基地，我国进口资源的国际大通道，西北地区重要的国际商贸中心、物流中心和对外合作加工基地，石油天然气化工、煤电、煤化工、机电工业及纺织工业基地。推进乌昌一体化建设，提升贸易枢纽功能和制造业功能，建设西北地区重要的国际商贸中心、制造业中心、出口商品加工基地，将乌昌地区打造为西北地区新型城镇化和新型工业化的核心载体。发展壮大石河子、克拉玛依、奎屯、博乐、伊宁、五家渠、阜康、吐鲁番、哈密等节点城市。</w:t>
            </w:r>
          </w:p>
          <w:p w14:paraId="57CC3430">
            <w:pPr>
              <w:keepNext w:val="0"/>
              <w:keepLines w:val="0"/>
              <w:pageBreakBefore w:val="0"/>
              <w:widowControl/>
              <w:suppressLineNumbers w:val="0"/>
              <w:shd w:val="clear" w:color="auto" w:fill="auto"/>
              <w:kinsoku/>
              <w:wordWrap/>
              <w:overflowPunct/>
              <w:topLinePunct w:val="0"/>
              <w:autoSpaceDE/>
              <w:autoSpaceDN/>
              <w:bidi w:val="0"/>
              <w:adjustRightInd/>
              <w:snapToGrid w:val="0"/>
              <w:ind w:firstLine="480"/>
              <w:jc w:val="both"/>
              <w:textAlignment w:val="auto"/>
              <w:rPr>
                <w:rFonts w:hint="default" w:ascii="Times New Roman" w:hAnsi="Times New Roman" w:eastAsia="宋体" w:cs="Times New Roman"/>
                <w:color w:val="000000"/>
                <w:highlight w:val="none"/>
                <w:lang w:val="en-US"/>
              </w:rPr>
            </w:pPr>
            <w:r>
              <w:rPr>
                <w:rFonts w:hint="default" w:ascii="Times New Roman" w:hAnsi="Times New Roman" w:eastAsia="宋体" w:cs="Times New Roman"/>
                <w:color w:val="000000"/>
                <w:kern w:val="0"/>
                <w:sz w:val="24"/>
                <w:szCs w:val="24"/>
                <w:highlight w:val="none"/>
                <w:lang w:val="en-US" w:eastAsia="zh-CN" w:bidi="ar"/>
              </w:rPr>
              <w:t>本项目为乡村精品民宿文旅项目，属于旅游配套服务业。符合重点开发区域适度推进新型城镇化、发展现代服务业的总体开发方向</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因此项目建设与《新疆维吾尔自治区主体功能区规划》功能定位不冲突。本项目在新疆维吾尔自治区主体功能区划图中的位置见</w:t>
            </w:r>
            <w:r>
              <w:rPr>
                <w:rFonts w:hint="default" w:ascii="Times New Roman" w:hAnsi="Times New Roman" w:eastAsia="宋体" w:cs="Times New Roman"/>
                <w:b/>
                <w:bCs/>
                <w:color w:val="000000"/>
                <w:kern w:val="0"/>
                <w:sz w:val="24"/>
                <w:szCs w:val="24"/>
                <w:highlight w:val="none"/>
                <w:lang w:val="en-US" w:eastAsia="zh-CN" w:bidi="ar"/>
              </w:rPr>
              <w:t>附图3-1</w:t>
            </w:r>
            <w:r>
              <w:rPr>
                <w:rFonts w:hint="default" w:ascii="Times New Roman" w:hAnsi="Times New Roman" w:eastAsia="宋体" w:cs="Times New Roman"/>
                <w:color w:val="000000"/>
                <w:kern w:val="0"/>
                <w:sz w:val="24"/>
                <w:szCs w:val="24"/>
                <w:highlight w:val="none"/>
                <w:lang w:val="en-US" w:eastAsia="zh-CN" w:bidi="ar"/>
              </w:rPr>
              <w:t>。</w:t>
            </w:r>
          </w:p>
          <w:p w14:paraId="7D38EE1E">
            <w:pPr>
              <w:keepNext w:val="0"/>
              <w:keepLines w:val="0"/>
              <w:pageBreakBefore w:val="0"/>
              <w:widowControl/>
              <w:suppressLineNumbers w:val="0"/>
              <w:kinsoku/>
              <w:wordWrap/>
              <w:overflowPunct/>
              <w:topLinePunct w:val="0"/>
              <w:autoSpaceDE/>
              <w:autoSpaceDN/>
              <w:bidi w:val="0"/>
              <w:adjustRightInd/>
              <w:snapToGrid/>
              <w:ind w:firstLine="480"/>
              <w:jc w:val="left"/>
              <w:textAlignment w:val="auto"/>
              <w:rPr>
                <w:rFonts w:hint="default" w:ascii="Times New Roman" w:hAnsi="Times New Roman" w:eastAsia="宋体" w:cs="Times New Roman"/>
                <w:b/>
                <w:bCs/>
                <w:color w:val="000000"/>
                <w:sz w:val="24"/>
                <w:szCs w:val="24"/>
                <w:highlight w:val="none"/>
                <w:lang w:val="en-US" w:eastAsia="zh-CN"/>
              </w:rPr>
            </w:pPr>
            <w:r>
              <w:rPr>
                <w:rFonts w:hint="eastAsia" w:cs="Times New Roman"/>
                <w:b/>
                <w:bCs/>
                <w:color w:val="000000"/>
                <w:sz w:val="24"/>
                <w:szCs w:val="24"/>
                <w:highlight w:val="none"/>
                <w:lang w:val="en-US" w:eastAsia="zh-CN"/>
              </w:rPr>
              <w:t>2.</w:t>
            </w:r>
            <w:r>
              <w:rPr>
                <w:rFonts w:hint="default" w:ascii="Times New Roman" w:hAnsi="Times New Roman" w:eastAsia="宋体" w:cs="Times New Roman"/>
                <w:b/>
                <w:bCs/>
                <w:color w:val="000000"/>
                <w:sz w:val="24"/>
                <w:szCs w:val="24"/>
                <w:highlight w:val="none"/>
                <w:lang w:val="en-US" w:eastAsia="zh-CN"/>
              </w:rPr>
              <w:t>新疆维吾尔自治区生态功能区划</w:t>
            </w:r>
          </w:p>
          <w:p w14:paraId="60F8519B">
            <w:pPr>
              <w:keepNext w:val="0"/>
              <w:keepLines w:val="0"/>
              <w:pageBreakBefore w:val="0"/>
              <w:widowControl/>
              <w:suppressLineNumbers w:val="0"/>
              <w:kinsoku/>
              <w:wordWrap/>
              <w:overflowPunct/>
              <w:topLinePunct w:val="0"/>
              <w:autoSpaceDE/>
              <w:autoSpaceDN/>
              <w:bidi w:val="0"/>
              <w:adjustRightInd/>
              <w:snapToGrid w:val="0"/>
              <w:ind w:firstLine="480"/>
              <w:jc w:val="both"/>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本项目位于阜康市，根据《新疆维吾尔自治区生态功能区划》，项目区属于“Ⅲ天山山地干旱草原—针叶林生态区——Ⅲ1天山北坡森林、草原水源涵养生态亚区——32．天山北坡东段博格达峰及天池自然景观保护生态功能区”，生态功能区特征见表3-1，新疆生态功能区划见</w:t>
            </w:r>
            <w:r>
              <w:rPr>
                <w:rFonts w:hint="default" w:ascii="Times New Roman" w:hAnsi="Times New Roman" w:eastAsia="宋体" w:cs="Times New Roman"/>
                <w:b/>
                <w:bCs/>
                <w:color w:val="000000"/>
                <w:highlight w:val="none"/>
                <w:lang w:val="en-US" w:eastAsia="zh-CN"/>
              </w:rPr>
              <w:t>附图3-2</w:t>
            </w:r>
            <w:r>
              <w:rPr>
                <w:rFonts w:hint="default" w:ascii="Times New Roman" w:hAnsi="Times New Roman" w:eastAsia="宋体" w:cs="Times New Roman"/>
                <w:color w:val="000000"/>
                <w:highlight w:val="none"/>
                <w:lang w:val="en-US" w:eastAsia="zh-CN"/>
              </w:rPr>
              <w:t>。</w:t>
            </w:r>
          </w:p>
          <w:p w14:paraId="1B9A451D">
            <w:pPr>
              <w:pStyle w:val="87"/>
              <w:keepNext w:val="0"/>
              <w:keepLines w:val="0"/>
              <w:pageBreakBefore w:val="0"/>
              <w:widowControl w:val="0"/>
              <w:kinsoku/>
              <w:wordWrap/>
              <w:overflowPunct/>
              <w:topLinePunct/>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val="0"/>
                <w:color w:val="000000"/>
                <w:sz w:val="21"/>
                <w:szCs w:val="21"/>
                <w:highlight w:val="none"/>
              </w:rPr>
            </w:pPr>
            <w:bookmarkStart w:id="17" w:name="_Toc30001_WPSOffice_Level2"/>
            <w:bookmarkStart w:id="18" w:name="_Toc4595_WPSOffice_Level2"/>
            <w:r>
              <w:rPr>
                <w:rFonts w:hint="default" w:ascii="Times New Roman" w:hAnsi="Times New Roman" w:eastAsia="宋体" w:cs="Times New Roman"/>
                <w:b/>
                <w:bCs w:val="0"/>
                <w:color w:val="000000"/>
                <w:sz w:val="21"/>
                <w:szCs w:val="21"/>
                <w:highlight w:val="none"/>
              </w:rPr>
              <w:t>表</w:t>
            </w:r>
            <w:r>
              <w:rPr>
                <w:rFonts w:hint="default" w:ascii="Times New Roman" w:hAnsi="Times New Roman" w:eastAsia="宋体" w:cs="Times New Roman"/>
                <w:b/>
                <w:bCs w:val="0"/>
                <w:color w:val="000000"/>
                <w:sz w:val="21"/>
                <w:szCs w:val="21"/>
                <w:highlight w:val="none"/>
                <w:lang w:val="en-US" w:eastAsia="zh-CN"/>
              </w:rPr>
              <w:t>3-1</w:t>
            </w:r>
            <w:r>
              <w:rPr>
                <w:rFonts w:hint="default" w:ascii="Times New Roman" w:hAnsi="Times New Roman" w:eastAsia="宋体" w:cs="Times New Roman"/>
                <w:b/>
                <w:bCs w:val="0"/>
                <w:color w:val="000000"/>
                <w:sz w:val="21"/>
                <w:szCs w:val="21"/>
                <w:highlight w:val="none"/>
              </w:rPr>
              <w:t xml:space="preserve">     区域生态功能区划简表</w:t>
            </w:r>
            <w:bookmarkEnd w:id="17"/>
            <w:bookmarkEnd w:id="18"/>
          </w:p>
          <w:tbl>
            <w:tblPr>
              <w:tblStyle w:val="3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232"/>
              <w:gridCol w:w="5562"/>
            </w:tblGrid>
            <w:tr w14:paraId="6852E8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59" w:type="pct"/>
                  <w:vMerge w:val="restart"/>
                  <w:noWrap w:val="0"/>
                  <w:vAlign w:val="center"/>
                </w:tcPr>
                <w:p w14:paraId="31DADB9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bookmarkStart w:id="19" w:name="_Hlk101519455"/>
                  <w:r>
                    <w:rPr>
                      <w:rFonts w:hint="default" w:ascii="Times New Roman" w:hAnsi="Times New Roman" w:eastAsia="宋体" w:cs="Times New Roman"/>
                      <w:b w:val="0"/>
                      <w:bCs w:val="0"/>
                      <w:snapToGrid w:val="0"/>
                      <w:color w:val="000000"/>
                      <w:kern w:val="0"/>
                      <w:sz w:val="21"/>
                      <w:szCs w:val="21"/>
                      <w:highlight w:val="none"/>
                    </w:rPr>
                    <w:t>生态功能分区单元</w:t>
                  </w:r>
                </w:p>
              </w:tc>
              <w:tc>
                <w:tcPr>
                  <w:tcW w:w="805" w:type="pct"/>
                  <w:noWrap w:val="0"/>
                  <w:vAlign w:val="center"/>
                </w:tcPr>
                <w:p w14:paraId="07AFD3E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r>
                    <w:rPr>
                      <w:rFonts w:hint="default" w:ascii="Times New Roman" w:hAnsi="Times New Roman" w:eastAsia="宋体" w:cs="Times New Roman"/>
                      <w:b w:val="0"/>
                      <w:bCs w:val="0"/>
                      <w:snapToGrid w:val="0"/>
                      <w:color w:val="000000"/>
                      <w:kern w:val="0"/>
                      <w:sz w:val="21"/>
                      <w:szCs w:val="21"/>
                      <w:highlight w:val="none"/>
                    </w:rPr>
                    <w:t>生态区</w:t>
                  </w:r>
                </w:p>
              </w:tc>
              <w:tc>
                <w:tcPr>
                  <w:tcW w:w="3635" w:type="pct"/>
                  <w:noWrap w:val="0"/>
                  <w:vAlign w:val="center"/>
                </w:tcPr>
                <w:p w14:paraId="0779A08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r>
                    <w:rPr>
                      <w:rFonts w:hint="default" w:ascii="Times New Roman" w:hAnsi="Times New Roman" w:eastAsia="宋体" w:cs="Times New Roman"/>
                      <w:b w:val="0"/>
                      <w:bCs w:val="0"/>
                      <w:snapToGrid w:val="0"/>
                      <w:color w:val="000000"/>
                      <w:kern w:val="0"/>
                      <w:sz w:val="21"/>
                      <w:szCs w:val="21"/>
                      <w:highlight w:val="none"/>
                    </w:rPr>
                    <w:t>Ⅲ天山山地干旱草原—针叶林生态区</w:t>
                  </w:r>
                </w:p>
              </w:tc>
            </w:tr>
            <w:tr w14:paraId="7F8FF2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9" w:type="pct"/>
                  <w:vMerge w:val="continue"/>
                  <w:noWrap w:val="0"/>
                  <w:vAlign w:val="center"/>
                </w:tcPr>
                <w:p w14:paraId="2B9D73C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p>
              </w:tc>
              <w:tc>
                <w:tcPr>
                  <w:tcW w:w="805" w:type="pct"/>
                  <w:noWrap w:val="0"/>
                  <w:vAlign w:val="center"/>
                </w:tcPr>
                <w:p w14:paraId="6F5CFFF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r>
                    <w:rPr>
                      <w:rFonts w:hint="default" w:ascii="Times New Roman" w:hAnsi="Times New Roman" w:eastAsia="宋体" w:cs="Times New Roman"/>
                      <w:b w:val="0"/>
                      <w:bCs w:val="0"/>
                      <w:snapToGrid w:val="0"/>
                      <w:color w:val="000000"/>
                      <w:kern w:val="0"/>
                      <w:sz w:val="21"/>
                      <w:szCs w:val="21"/>
                      <w:highlight w:val="none"/>
                    </w:rPr>
                    <w:t>生态亚区</w:t>
                  </w:r>
                </w:p>
              </w:tc>
              <w:tc>
                <w:tcPr>
                  <w:tcW w:w="3635" w:type="pct"/>
                  <w:noWrap w:val="0"/>
                  <w:vAlign w:val="center"/>
                </w:tcPr>
                <w:p w14:paraId="5B36EAD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r>
                    <w:rPr>
                      <w:rFonts w:hint="default" w:ascii="Times New Roman" w:hAnsi="Times New Roman" w:eastAsia="宋体" w:cs="Times New Roman"/>
                      <w:b w:val="0"/>
                      <w:bCs w:val="0"/>
                      <w:snapToGrid w:val="0"/>
                      <w:color w:val="000000"/>
                      <w:kern w:val="0"/>
                      <w:sz w:val="21"/>
                      <w:szCs w:val="21"/>
                      <w:highlight w:val="none"/>
                    </w:rPr>
                    <w:t>Ⅲ1天山北坡森林、草原水源涵养生态亚区</w:t>
                  </w:r>
                </w:p>
              </w:tc>
            </w:tr>
            <w:tr w14:paraId="6BC86D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559" w:type="pct"/>
                  <w:vMerge w:val="continue"/>
                  <w:noWrap w:val="0"/>
                  <w:vAlign w:val="center"/>
                </w:tcPr>
                <w:p w14:paraId="2A56C38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p>
              </w:tc>
              <w:tc>
                <w:tcPr>
                  <w:tcW w:w="805" w:type="pct"/>
                  <w:noWrap w:val="0"/>
                  <w:vAlign w:val="center"/>
                </w:tcPr>
                <w:p w14:paraId="63907EC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r>
                    <w:rPr>
                      <w:rFonts w:hint="default" w:ascii="Times New Roman" w:hAnsi="Times New Roman" w:eastAsia="宋体" w:cs="Times New Roman"/>
                      <w:b w:val="0"/>
                      <w:bCs w:val="0"/>
                      <w:snapToGrid w:val="0"/>
                      <w:color w:val="000000"/>
                      <w:kern w:val="0"/>
                      <w:sz w:val="21"/>
                      <w:szCs w:val="21"/>
                      <w:highlight w:val="none"/>
                    </w:rPr>
                    <w:t>生态功能区</w:t>
                  </w:r>
                </w:p>
              </w:tc>
              <w:tc>
                <w:tcPr>
                  <w:tcW w:w="3635" w:type="pct"/>
                  <w:noWrap w:val="0"/>
                  <w:vAlign w:val="center"/>
                </w:tcPr>
                <w:p w14:paraId="230895B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r>
                    <w:rPr>
                      <w:rFonts w:hint="eastAsia" w:cs="Times New Roman"/>
                      <w:b w:val="0"/>
                      <w:bCs w:val="0"/>
                      <w:snapToGrid w:val="0"/>
                      <w:color w:val="000000"/>
                      <w:kern w:val="0"/>
                      <w:sz w:val="21"/>
                      <w:szCs w:val="21"/>
                      <w:highlight w:val="none"/>
                      <w:lang w:eastAsia="zh-CN"/>
                    </w:rPr>
                    <w:t>32.</w:t>
                  </w:r>
                  <w:r>
                    <w:rPr>
                      <w:rFonts w:hint="default" w:ascii="Times New Roman" w:hAnsi="Times New Roman" w:eastAsia="宋体" w:cs="Times New Roman"/>
                      <w:b w:val="0"/>
                      <w:bCs w:val="0"/>
                      <w:snapToGrid w:val="0"/>
                      <w:color w:val="000000"/>
                      <w:kern w:val="0"/>
                      <w:sz w:val="21"/>
                      <w:szCs w:val="21"/>
                      <w:highlight w:val="none"/>
                    </w:rPr>
                    <w:t>天山北坡东段博格达峰及天池自然景观保护生态功能区</w:t>
                  </w:r>
                </w:p>
              </w:tc>
            </w:tr>
            <w:tr w14:paraId="7A9C9F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364" w:type="pct"/>
                  <w:gridSpan w:val="2"/>
                  <w:noWrap w:val="0"/>
                  <w:vAlign w:val="center"/>
                </w:tcPr>
                <w:p w14:paraId="0578F12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主要生态服务功能</w:t>
                  </w:r>
                </w:p>
              </w:tc>
              <w:tc>
                <w:tcPr>
                  <w:tcW w:w="3635" w:type="pct"/>
                  <w:noWrap w:val="0"/>
                  <w:vAlign w:val="center"/>
                </w:tcPr>
                <w:p w14:paraId="29D7A20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水源涵养、水文调蓄、景观多样性与</w:t>
                  </w:r>
                  <w:r>
                    <w:rPr>
                      <w:rFonts w:hint="default" w:ascii="Times New Roman" w:hAnsi="Times New Roman" w:eastAsia="宋体" w:cs="Times New Roman"/>
                      <w:snapToGrid w:val="0"/>
                      <w:color w:val="000000"/>
                      <w:kern w:val="0"/>
                      <w:sz w:val="21"/>
                      <w:szCs w:val="21"/>
                      <w:highlight w:val="none"/>
                      <w:lang w:eastAsia="zh-CN"/>
                    </w:rPr>
                    <w:t>生物多样性保护</w:t>
                  </w:r>
                  <w:r>
                    <w:rPr>
                      <w:rFonts w:hint="default" w:ascii="Times New Roman" w:hAnsi="Times New Roman" w:eastAsia="宋体" w:cs="Times New Roman"/>
                      <w:snapToGrid w:val="0"/>
                      <w:color w:val="000000"/>
                      <w:kern w:val="0"/>
                      <w:sz w:val="21"/>
                      <w:szCs w:val="21"/>
                      <w:highlight w:val="none"/>
                    </w:rPr>
                    <w:t>、旅游</w:t>
                  </w:r>
                </w:p>
              </w:tc>
            </w:tr>
            <w:tr w14:paraId="2EE77A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4" w:type="pct"/>
                  <w:gridSpan w:val="2"/>
                  <w:noWrap w:val="0"/>
                  <w:vAlign w:val="center"/>
                </w:tcPr>
                <w:p w14:paraId="08BA28C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主要生态环境问题</w:t>
                  </w:r>
                </w:p>
              </w:tc>
              <w:tc>
                <w:tcPr>
                  <w:tcW w:w="3635" w:type="pct"/>
                  <w:noWrap w:val="0"/>
                  <w:vAlign w:val="center"/>
                </w:tcPr>
                <w:p w14:paraId="2D87157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旅游建设引起景观及水质破坏与污染、森林过伐、草场退化、水土流失</w:t>
                  </w:r>
                </w:p>
              </w:tc>
            </w:tr>
            <w:tr w14:paraId="4A2311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364" w:type="pct"/>
                  <w:gridSpan w:val="2"/>
                  <w:noWrap w:val="0"/>
                  <w:vAlign w:val="center"/>
                </w:tcPr>
                <w:p w14:paraId="2E49A47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生态敏感因子敏感程度</w:t>
                  </w:r>
                </w:p>
              </w:tc>
              <w:tc>
                <w:tcPr>
                  <w:tcW w:w="3635" w:type="pct"/>
                  <w:noWrap w:val="0"/>
                  <w:vAlign w:val="center"/>
                </w:tcPr>
                <w:p w14:paraId="4E9033A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color w:val="000000"/>
                      <w:sz w:val="21"/>
                      <w:szCs w:val="21"/>
                    </w:rPr>
                    <w:t>生物多样性和生境极度敏感，土壤侵蚀、土地沙漠化、土壤盐渍化不敏感</w:t>
                  </w:r>
                </w:p>
              </w:tc>
            </w:tr>
            <w:tr w14:paraId="46B647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364" w:type="pct"/>
                  <w:gridSpan w:val="2"/>
                  <w:noWrap w:val="0"/>
                  <w:vAlign w:val="center"/>
                </w:tcPr>
                <w:p w14:paraId="15CD937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保护目标</w:t>
                  </w:r>
                </w:p>
              </w:tc>
              <w:tc>
                <w:tcPr>
                  <w:tcW w:w="3635" w:type="pct"/>
                  <w:noWrap w:val="0"/>
                  <w:vAlign w:val="center"/>
                </w:tcPr>
                <w:p w14:paraId="7361ECC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color w:val="000000"/>
                      <w:sz w:val="21"/>
                      <w:szCs w:val="21"/>
                    </w:rPr>
                    <w:t>保护高山冰川和湖泊、保护山地森林和草原、保护高山雪莲</w:t>
                  </w:r>
                </w:p>
              </w:tc>
            </w:tr>
            <w:tr w14:paraId="14015F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64" w:type="pct"/>
                  <w:gridSpan w:val="2"/>
                  <w:noWrap w:val="0"/>
                  <w:vAlign w:val="center"/>
                </w:tcPr>
                <w:p w14:paraId="613C167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保护措施</w:t>
                  </w:r>
                </w:p>
              </w:tc>
              <w:tc>
                <w:tcPr>
                  <w:tcW w:w="3635" w:type="pct"/>
                  <w:noWrap w:val="0"/>
                  <w:vAlign w:val="center"/>
                </w:tcPr>
                <w:p w14:paraId="38D23C2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color w:val="000000"/>
                      <w:sz w:val="21"/>
                      <w:szCs w:val="21"/>
                    </w:rPr>
                    <w:t>合理规划旅游景点建设与规范旅游、风景区禁牧、综合治理三工河</w:t>
                  </w:r>
                </w:p>
              </w:tc>
            </w:tr>
            <w:tr w14:paraId="0549AC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364" w:type="pct"/>
                  <w:gridSpan w:val="2"/>
                  <w:noWrap w:val="0"/>
                  <w:vAlign w:val="center"/>
                </w:tcPr>
                <w:p w14:paraId="6820BAB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发展方向</w:t>
                  </w:r>
                </w:p>
              </w:tc>
              <w:tc>
                <w:tcPr>
                  <w:tcW w:w="3635" w:type="pct"/>
                  <w:noWrap w:val="0"/>
                  <w:vAlign w:val="center"/>
                </w:tcPr>
                <w:p w14:paraId="44D37E1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color w:val="000000"/>
                      <w:sz w:val="21"/>
                      <w:szCs w:val="21"/>
                    </w:rPr>
                    <w:t>加强保护与管理，建好国际人与生物圈保护示范区</w:t>
                  </w:r>
                </w:p>
              </w:tc>
            </w:tr>
            <w:bookmarkEnd w:id="19"/>
          </w:tbl>
          <w:p w14:paraId="3F7CE373">
            <w:pPr>
              <w:keepNext w:val="0"/>
              <w:keepLines w:val="0"/>
              <w:pageBreakBefore w:val="0"/>
              <w:widowControl/>
              <w:suppressLineNumbers w:val="0"/>
              <w:kinsoku/>
              <w:wordWrap/>
              <w:overflowPunct/>
              <w:topLinePunct w:val="0"/>
              <w:autoSpaceDE/>
              <w:autoSpaceDN/>
              <w:bidi w:val="0"/>
              <w:adjustRightInd/>
              <w:snapToGrid w:val="0"/>
              <w:spacing w:line="360" w:lineRule="auto"/>
              <w:ind w:firstLine="48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3.</w:t>
            </w:r>
            <w:r>
              <w:rPr>
                <w:rFonts w:hint="default" w:ascii="Times New Roman" w:hAnsi="Times New Roman" w:eastAsia="宋体" w:cs="Times New Roman"/>
                <w:b/>
                <w:bCs/>
                <w:color w:val="000000"/>
                <w:kern w:val="0"/>
                <w:sz w:val="24"/>
                <w:szCs w:val="24"/>
                <w:highlight w:val="none"/>
                <w:lang w:val="en-US" w:eastAsia="zh-CN" w:bidi="ar"/>
              </w:rPr>
              <w:t>生态环境现状</w:t>
            </w:r>
          </w:p>
          <w:p w14:paraId="2D8BB9DF">
            <w:pPr>
              <w:keepNext w:val="0"/>
              <w:keepLines w:val="0"/>
              <w:pageBreakBefore w:val="0"/>
              <w:tabs>
                <w:tab w:val="left" w:pos="9524"/>
              </w:tabs>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color w:val="000000"/>
                <w:sz w:val="24"/>
                <w:lang w:val="en-US" w:eastAsia="zh-CN"/>
              </w:rPr>
            </w:pPr>
            <w:r>
              <w:rPr>
                <w:rFonts w:hint="default" w:ascii="Times New Roman" w:hAnsi="Times New Roman" w:eastAsia="宋体" w:cs="Times New Roman"/>
                <w:b w:val="0"/>
                <w:bCs w:val="0"/>
                <w:color w:val="000000"/>
                <w:kern w:val="2"/>
                <w:sz w:val="24"/>
                <w:szCs w:val="24"/>
                <w:lang w:val="en-US" w:eastAsia="zh-CN" w:bidi="ar-SA"/>
              </w:rPr>
              <w:t>根据《环境影响评价技术导则 生态环境》（HJ19-2022）中7.3生态现状调查要求</w:t>
            </w:r>
            <w:r>
              <w:rPr>
                <w:rFonts w:hint="eastAsia" w:cs="Times New Roman"/>
                <w:b w:val="0"/>
                <w:bCs w:val="0"/>
                <w:color w:val="000000"/>
                <w:kern w:val="2"/>
                <w:sz w:val="24"/>
                <w:szCs w:val="24"/>
                <w:lang w:val="en-US" w:eastAsia="zh-CN" w:bidi="ar-SA"/>
              </w:rPr>
              <w:t>，</w:t>
            </w:r>
            <w:r>
              <w:rPr>
                <w:rFonts w:hint="default" w:ascii="Times New Roman" w:hAnsi="Times New Roman" w:eastAsia="宋体" w:cs="Times New Roman"/>
                <w:b w:val="0"/>
                <w:bCs w:val="0"/>
                <w:color w:val="000000"/>
                <w:kern w:val="2"/>
                <w:sz w:val="24"/>
                <w:szCs w:val="24"/>
                <w:lang w:val="en-US" w:eastAsia="zh-CN" w:bidi="ar-SA"/>
              </w:rPr>
              <w:t>本次生态现状调查引用位于项目区东</w:t>
            </w:r>
            <w:r>
              <w:rPr>
                <w:rFonts w:hint="eastAsia" w:ascii="Times New Roman" w:hAnsi="Times New Roman" w:eastAsia="宋体" w:cs="Times New Roman"/>
                <w:b w:val="0"/>
                <w:bCs w:val="0"/>
                <w:color w:val="000000"/>
                <w:kern w:val="2"/>
                <w:sz w:val="24"/>
                <w:szCs w:val="24"/>
                <w:lang w:val="en-US" w:eastAsia="zh-CN" w:bidi="ar-SA"/>
              </w:rPr>
              <w:t>南</w:t>
            </w:r>
            <w:r>
              <w:rPr>
                <w:rFonts w:hint="default" w:ascii="Times New Roman" w:hAnsi="Times New Roman" w:eastAsia="宋体" w:cs="Times New Roman"/>
                <w:b w:val="0"/>
                <w:bCs w:val="0"/>
                <w:color w:val="000000"/>
                <w:kern w:val="2"/>
                <w:sz w:val="24"/>
                <w:szCs w:val="24"/>
                <w:lang w:val="en-US" w:eastAsia="zh-CN" w:bidi="ar-SA"/>
              </w:rPr>
              <w:t>侧</w:t>
            </w:r>
            <w:r>
              <w:rPr>
                <w:rFonts w:hint="eastAsia" w:ascii="Times New Roman" w:hAnsi="Times New Roman" w:eastAsia="宋体" w:cs="Times New Roman"/>
                <w:b w:val="0"/>
                <w:bCs w:val="0"/>
                <w:color w:val="000000"/>
                <w:kern w:val="2"/>
                <w:sz w:val="24"/>
                <w:szCs w:val="24"/>
                <w:lang w:val="en-US" w:eastAsia="zh-CN" w:bidi="ar-SA"/>
              </w:rPr>
              <w:t>5</w:t>
            </w:r>
            <w:r>
              <w:rPr>
                <w:rFonts w:hint="default" w:ascii="Times New Roman" w:hAnsi="Times New Roman" w:eastAsia="宋体" w:cs="Times New Roman"/>
                <w:b w:val="0"/>
                <w:bCs w:val="0"/>
                <w:color w:val="000000"/>
                <w:kern w:val="2"/>
                <w:sz w:val="24"/>
                <w:szCs w:val="24"/>
                <w:lang w:val="en-US" w:eastAsia="zh-CN" w:bidi="ar-SA"/>
              </w:rPr>
              <w:t>km处《阜康国有林管理局新建三工管护所项目》生态现状资料。该项目已于2025年12月31日取得昌吉州生态环境局批复，批复文号：昌州环评〔2025〕296号。该项目与本项目属于同一区域，地形地貌、生态系统相似，具有引用的时效性、可行性。</w:t>
            </w:r>
          </w:p>
          <w:p w14:paraId="66350C4D">
            <w:pPr>
              <w:keepNext w:val="0"/>
              <w:keepLines w:val="0"/>
              <w:pageBreakBefore w:val="0"/>
              <w:tabs>
                <w:tab w:val="left" w:pos="9524"/>
              </w:tabs>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sz w:val="24"/>
                <w:lang w:val="en-US" w:eastAsia="zh-CN"/>
              </w:rPr>
            </w:pPr>
            <w:r>
              <w:rPr>
                <w:rFonts w:hint="eastAsia" w:cs="Times New Roman"/>
                <w:b/>
                <w:bCs/>
                <w:color w:val="000000"/>
                <w:sz w:val="24"/>
                <w:lang w:val="en-US" w:eastAsia="zh-CN"/>
              </w:rPr>
              <w:t>3.1植被现状</w:t>
            </w:r>
          </w:p>
          <w:p w14:paraId="6C085000">
            <w:pPr>
              <w:keepNext w:val="0"/>
              <w:keepLines w:val="0"/>
              <w:widowControl/>
              <w:suppressLineNumbers w:val="0"/>
              <w:jc w:val="left"/>
              <w:rPr>
                <w:rFonts w:hint="eastAsia" w:cs="Times New Roman"/>
                <w:color w:val="000000"/>
                <w:sz w:val="24"/>
                <w:lang w:val="en-US" w:eastAsia="zh-CN"/>
              </w:rPr>
            </w:pPr>
            <w:r>
              <w:rPr>
                <w:rFonts w:ascii="宋体" w:hAnsi="宋体" w:eastAsia="宋体" w:cs="宋体"/>
                <w:kern w:val="0"/>
                <w:sz w:val="24"/>
                <w:szCs w:val="24"/>
                <w:lang w:val="en-US" w:eastAsia="zh-CN" w:bidi="ar"/>
              </w:rPr>
              <w:t>通过样方、样线法系统调查，评价区共记录维</w:t>
            </w:r>
            <w:r>
              <w:rPr>
                <w:rFonts w:hint="default" w:ascii="Times New Roman" w:hAnsi="Times New Roman" w:eastAsia="宋体" w:cs="Times New Roman"/>
                <w:kern w:val="0"/>
                <w:sz w:val="24"/>
                <w:szCs w:val="24"/>
                <w:lang w:val="en-US" w:eastAsia="zh-CN" w:bidi="ar"/>
              </w:rPr>
              <w:t>管束植物15科27属35种，无国家及自治区重点保护野生植物、无濒危易危物种及古树名木；</w:t>
            </w:r>
            <w:r>
              <w:rPr>
                <w:rFonts w:ascii="宋体" w:hAnsi="宋体" w:eastAsia="宋体" w:cs="宋体"/>
                <w:kern w:val="0"/>
                <w:sz w:val="24"/>
                <w:szCs w:val="24"/>
                <w:lang w:val="en-US" w:eastAsia="zh-CN" w:bidi="ar"/>
              </w:rPr>
              <w:t>区域植被主要由阔叶林、灌丛、草原、半灌木荒漠等典型天山北坡山地植被类型构成，群落结构简单、稳定性一般。</w:t>
            </w:r>
            <w:r>
              <w:rPr>
                <w:rFonts w:hint="eastAsia" w:ascii="宋体" w:hAnsi="宋体" w:eastAsia="宋体" w:cs="宋体"/>
                <w:kern w:val="0"/>
                <w:sz w:val="24"/>
                <w:szCs w:val="24"/>
                <w:lang w:val="en-US" w:eastAsia="zh-CN" w:bidi="ar"/>
              </w:rPr>
              <w:t>详见“生态环境专</w:t>
            </w:r>
            <w:r>
              <w:rPr>
                <w:rFonts w:hint="eastAsia" w:ascii="宋体" w:hAnsi="宋体" w:cs="宋体"/>
                <w:kern w:val="0"/>
                <w:sz w:val="24"/>
                <w:szCs w:val="24"/>
                <w:lang w:val="en-US" w:eastAsia="zh-CN" w:bidi="ar"/>
              </w:rPr>
              <w:t>项</w:t>
            </w:r>
            <w:r>
              <w:rPr>
                <w:rFonts w:hint="eastAsia" w:ascii="宋体" w:hAnsi="宋体" w:eastAsia="宋体" w:cs="宋体"/>
                <w:kern w:val="0"/>
                <w:sz w:val="24"/>
                <w:szCs w:val="24"/>
                <w:lang w:val="en-US" w:eastAsia="zh-CN" w:bidi="ar"/>
              </w:rPr>
              <w:t>评价</w:t>
            </w:r>
            <w:r>
              <w:rPr>
                <w:rFonts w:hint="eastAsia" w:ascii="宋体" w:hAnsi="宋体" w:cs="宋体"/>
                <w:kern w:val="0"/>
                <w:sz w:val="24"/>
                <w:szCs w:val="24"/>
                <w:lang w:val="en-US" w:eastAsia="zh-CN" w:bidi="ar"/>
              </w:rPr>
              <w:t>章节</w:t>
            </w:r>
            <w:r>
              <w:rPr>
                <w:rFonts w:hint="eastAsia" w:ascii="宋体" w:hAnsi="宋体" w:eastAsia="宋体" w:cs="宋体"/>
                <w:kern w:val="0"/>
                <w:sz w:val="24"/>
                <w:szCs w:val="24"/>
                <w:lang w:val="en-US" w:eastAsia="zh-CN" w:bidi="ar"/>
              </w:rPr>
              <w:t>”。</w:t>
            </w:r>
          </w:p>
          <w:p w14:paraId="12D561A5">
            <w:pPr>
              <w:keepNext w:val="0"/>
              <w:keepLines w:val="0"/>
              <w:pageBreakBefore w:val="0"/>
              <w:tabs>
                <w:tab w:val="left" w:pos="9524"/>
              </w:tabs>
              <w:kinsoku/>
              <w:wordWrap/>
              <w:overflowPunct/>
              <w:topLinePunct w:val="0"/>
              <w:autoSpaceDE/>
              <w:autoSpaceDN/>
              <w:bidi w:val="0"/>
              <w:adjustRightInd w:val="0"/>
              <w:snapToGrid w:val="0"/>
              <w:spacing w:line="360" w:lineRule="auto"/>
              <w:ind w:firstLine="482" w:firstLineChars="200"/>
              <w:jc w:val="both"/>
              <w:textAlignment w:val="auto"/>
              <w:rPr>
                <w:rFonts w:hint="eastAsia" w:cs="Times New Roman"/>
                <w:b/>
                <w:bCs/>
                <w:color w:val="000000"/>
                <w:sz w:val="24"/>
                <w:lang w:val="en-US" w:eastAsia="zh-CN"/>
              </w:rPr>
            </w:pPr>
            <w:r>
              <w:rPr>
                <w:rFonts w:hint="eastAsia" w:cs="Times New Roman"/>
                <w:b/>
                <w:bCs/>
                <w:color w:val="000000"/>
                <w:sz w:val="24"/>
                <w:lang w:val="en-US" w:eastAsia="zh-CN"/>
              </w:rPr>
              <w:t>3.2野生动物现状</w:t>
            </w:r>
          </w:p>
          <w:p w14:paraId="76B8A202">
            <w:pPr>
              <w:keepNext w:val="0"/>
              <w:keepLines w:val="0"/>
              <w:pageBreakBefore w:val="0"/>
              <w:tabs>
                <w:tab w:val="left" w:pos="9524"/>
              </w:tabs>
              <w:kinsoku/>
              <w:wordWrap/>
              <w:overflowPunct/>
              <w:topLinePunct w:val="0"/>
              <w:autoSpaceDE/>
              <w:autoSpaceDN/>
              <w:bidi w:val="0"/>
              <w:adjustRightInd w:val="0"/>
              <w:snapToGrid w:val="0"/>
              <w:spacing w:line="360" w:lineRule="auto"/>
              <w:ind w:firstLine="480" w:firstLineChars="200"/>
              <w:jc w:val="both"/>
              <w:textAlignment w:val="auto"/>
              <w:rPr>
                <w:rFonts w:hint="default" w:cs="Times New Roman"/>
                <w:color w:val="000000"/>
                <w:sz w:val="24"/>
                <w:lang w:val="en-US" w:eastAsia="zh-CN"/>
              </w:rPr>
            </w:pPr>
            <w:r>
              <w:rPr>
                <w:rFonts w:hint="default" w:cs="Times New Roman"/>
                <w:color w:val="000000"/>
                <w:sz w:val="24"/>
                <w:lang w:val="en-US" w:eastAsia="zh-CN"/>
              </w:rPr>
              <w:t>经四季野外调查，评价区共分布陆生野生脊椎动物26种，含爬行类、哺乳类、鸟类；区内仅分布1种国家二级保护动物长耳鸮，1种近危物种黄兔尾鼠，无其他珍稀濒危、特有保护物种，野生动物整体资源较为普通。</w:t>
            </w:r>
          </w:p>
          <w:p w14:paraId="2F6E47EA">
            <w:pPr>
              <w:keepNext w:val="0"/>
              <w:keepLines w:val="0"/>
              <w:widowControl/>
              <w:suppressLineNumbers w:val="0"/>
              <w:jc w:val="left"/>
              <w:rPr>
                <w:rFonts w:hint="default" w:cs="Times New Roman"/>
                <w:color w:val="000000"/>
                <w:sz w:val="24"/>
                <w:lang w:val="en-US" w:eastAsia="zh-CN"/>
              </w:rPr>
            </w:pPr>
            <w:r>
              <w:rPr>
                <w:rFonts w:ascii="宋体" w:hAnsi="宋体" w:eastAsia="宋体" w:cs="宋体"/>
                <w:kern w:val="0"/>
                <w:sz w:val="24"/>
                <w:szCs w:val="24"/>
                <w:lang w:val="en-US" w:eastAsia="zh-CN" w:bidi="ar"/>
              </w:rPr>
              <w:t>评价区重点保护物种仅长耳鸮和近危物种黄兔尾鼠，均为区域偶见物种，主要活动于远处山林及草原区域，项目建设区域不占用其核心栖息、繁殖生境。</w:t>
            </w:r>
            <w:r>
              <w:rPr>
                <w:rFonts w:hint="eastAsia" w:ascii="宋体" w:hAnsi="宋体" w:eastAsia="宋体" w:cs="宋体"/>
                <w:kern w:val="0"/>
                <w:sz w:val="24"/>
                <w:szCs w:val="24"/>
                <w:lang w:val="en-US" w:eastAsia="zh-CN" w:bidi="ar"/>
              </w:rPr>
              <w:t>详见“生态环境专</w:t>
            </w:r>
            <w:r>
              <w:rPr>
                <w:rFonts w:hint="eastAsia" w:ascii="宋体" w:hAnsi="宋体" w:cs="宋体"/>
                <w:kern w:val="0"/>
                <w:sz w:val="24"/>
                <w:szCs w:val="24"/>
                <w:lang w:val="en-US" w:eastAsia="zh-CN" w:bidi="ar"/>
              </w:rPr>
              <w:t>项</w:t>
            </w:r>
            <w:r>
              <w:rPr>
                <w:rFonts w:hint="eastAsia" w:ascii="宋体" w:hAnsi="宋体" w:eastAsia="宋体" w:cs="宋体"/>
                <w:kern w:val="0"/>
                <w:sz w:val="24"/>
                <w:szCs w:val="24"/>
                <w:lang w:val="en-US" w:eastAsia="zh-CN" w:bidi="ar"/>
              </w:rPr>
              <w:t>评价</w:t>
            </w:r>
            <w:r>
              <w:rPr>
                <w:rFonts w:hint="eastAsia" w:ascii="宋体" w:hAnsi="宋体" w:cs="宋体"/>
                <w:kern w:val="0"/>
                <w:sz w:val="24"/>
                <w:szCs w:val="24"/>
                <w:lang w:val="en-US" w:eastAsia="zh-CN" w:bidi="ar"/>
              </w:rPr>
              <w:t>章节</w:t>
            </w:r>
            <w:r>
              <w:rPr>
                <w:rFonts w:hint="eastAsia" w:ascii="宋体" w:hAnsi="宋体" w:eastAsia="宋体" w:cs="宋体"/>
                <w:kern w:val="0"/>
                <w:sz w:val="24"/>
                <w:szCs w:val="24"/>
                <w:lang w:val="en-US" w:eastAsia="zh-CN" w:bidi="ar"/>
              </w:rPr>
              <w:t>”。</w:t>
            </w:r>
          </w:p>
          <w:p w14:paraId="224BBEA7">
            <w:pPr>
              <w:keepNext w:val="0"/>
              <w:keepLines w:val="0"/>
              <w:pageBreakBefore w:val="0"/>
              <w:widowControl w:val="0"/>
              <w:tabs>
                <w:tab w:val="left" w:pos="1100"/>
              </w:tabs>
              <w:kinsoku/>
              <w:wordWrap/>
              <w:overflowPunct/>
              <w:topLinePunct w:val="0"/>
              <w:autoSpaceDE/>
              <w:autoSpaceDN/>
              <w:bidi w:val="0"/>
              <w:adjustRightInd/>
              <w:snapToGrid w:val="0"/>
              <w:spacing w:line="360" w:lineRule="auto"/>
              <w:ind w:left="0" w:firstLine="482" w:firstLineChars="200"/>
              <w:textAlignment w:val="auto"/>
              <w:rPr>
                <w:rFonts w:hint="default" w:ascii="Times New Roman" w:hAnsi="Times New Roman" w:eastAsia="宋体" w:cs="Times New Roman"/>
                <w:b/>
                <w:bCs/>
                <w:color w:val="000000"/>
                <w:sz w:val="24"/>
                <w:lang w:val="en-US" w:eastAsia="zh-CN"/>
              </w:rPr>
            </w:pPr>
            <w:r>
              <w:rPr>
                <w:rFonts w:hint="eastAsia" w:cs="Times New Roman"/>
                <w:b/>
                <w:bCs/>
                <w:iCs w:val="0"/>
                <w:color w:val="000000"/>
                <w:kern w:val="0"/>
                <w:sz w:val="24"/>
                <w:szCs w:val="24"/>
                <w:highlight w:val="none"/>
                <w:lang w:val="en-US" w:eastAsia="zh-CN" w:bidi="ar"/>
              </w:rPr>
              <w:t>3.3</w:t>
            </w:r>
            <w:r>
              <w:rPr>
                <w:rFonts w:hint="default" w:ascii="Times New Roman" w:hAnsi="Times New Roman" w:eastAsia="宋体" w:cs="Times New Roman"/>
                <w:b/>
                <w:bCs/>
                <w:color w:val="000000"/>
                <w:sz w:val="24"/>
                <w:lang w:val="en-US" w:eastAsia="zh-CN"/>
              </w:rPr>
              <w:t>土地沙化现状调查</w:t>
            </w:r>
          </w:p>
          <w:p w14:paraId="62C72CE0">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480" w:firstLineChars="200"/>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根据《新疆第</w:t>
            </w:r>
            <w:r>
              <w:rPr>
                <w:rFonts w:hint="default" w:ascii="Times New Roman" w:hAnsi="Times New Roman" w:eastAsia="宋体" w:cs="Times New Roman"/>
                <w:b w:val="0"/>
                <w:bCs w:val="0"/>
                <w:color w:val="000000"/>
                <w:sz w:val="24"/>
                <w:szCs w:val="24"/>
                <w:lang w:val="en-US" w:eastAsia="zh-CN"/>
              </w:rPr>
              <w:t>六</w:t>
            </w:r>
            <w:r>
              <w:rPr>
                <w:rFonts w:hint="default" w:ascii="Times New Roman" w:hAnsi="Times New Roman" w:eastAsia="宋体" w:cs="Times New Roman"/>
                <w:b w:val="0"/>
                <w:bCs w:val="0"/>
                <w:color w:val="000000"/>
                <w:sz w:val="24"/>
                <w:szCs w:val="24"/>
              </w:rPr>
              <w:t xml:space="preserve">次沙化土地监测报告》，全疆沙化土地总面积为74706422.77公顷，占新疆国土总面积的44.87%，其中：耕地413740.64公顷，占沙化土地总面积的0.55%；林地7595952.82公顷，占10.17%；草地22060101.86公顷，占29.53%；未利用地44636627.45公顷，占59.75%。 </w:t>
            </w:r>
          </w:p>
          <w:p w14:paraId="0955A3CA">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480" w:firstLineChars="200"/>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 xml:space="preserve">有明显沙化趋势的土地为4707775.14公顷，占新疆国土总面积的2.83%，其中：耕地2052264.16公顷，占有明显沙化趋势的土地总面积的43.59%；林地1396504.50公顷，占29.67%；草地1126183.93公顷，占23.92%，未利用地132822.55公顷，占2.82%。 </w:t>
            </w:r>
          </w:p>
          <w:p w14:paraId="380134D0">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480" w:firstLineChars="200"/>
              <w:textAlignment w:val="auto"/>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b w:val="0"/>
                <w:bCs w:val="0"/>
                <w:color w:val="000000"/>
                <w:sz w:val="24"/>
                <w:szCs w:val="24"/>
              </w:rPr>
              <w:t>非沙化土地为77711761.00公顷，占新疆国土总面积的46.68%，其中：耕地5318277.48公顷，占非沙化土地总面积的6.84%；林地5793920.43公顷，占7.46%；草地42185067.02公顷，占54.28%；居民工矿交通用地949593.53公顷，占1.22%；水域4973613.78公顷，占6.40%；未利用地18491288.7</w:t>
            </w:r>
            <w:r>
              <w:rPr>
                <w:rFonts w:hint="default" w:ascii="Times New Roman" w:hAnsi="Times New Roman" w:eastAsia="宋体" w:cs="Times New Roman"/>
                <w:b w:val="0"/>
                <w:bCs w:val="0"/>
                <w:color w:val="000000"/>
                <w:sz w:val="24"/>
                <w:szCs w:val="24"/>
                <w:lang w:val="en-US" w:eastAsia="zh-CN"/>
              </w:rPr>
              <w:t>6</w:t>
            </w:r>
            <w:r>
              <w:rPr>
                <w:rFonts w:hint="default" w:ascii="Times New Roman" w:hAnsi="Times New Roman" w:eastAsia="宋体" w:cs="Times New Roman"/>
                <w:b w:val="0"/>
                <w:bCs w:val="0"/>
                <w:color w:val="000000"/>
                <w:sz w:val="24"/>
                <w:szCs w:val="24"/>
              </w:rPr>
              <w:t>公顷，占23.80%。</w:t>
            </w:r>
          </w:p>
          <w:p w14:paraId="6902E661">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480" w:firstLineChars="200"/>
              <w:textAlignment w:val="auto"/>
              <w:rPr>
                <w:rFonts w:hint="default" w:ascii="Times New Roman" w:hAnsi="Times New Roman" w:eastAsia="宋体" w:cs="Times New Roman"/>
                <w:color w:val="000000"/>
                <w:kern w:val="0"/>
                <w:sz w:val="24"/>
                <w:szCs w:val="24"/>
                <w:lang w:val="en-US" w:eastAsia="zh-CN"/>
              </w:rPr>
            </w:pPr>
            <w:r>
              <w:rPr>
                <w:rFonts w:hint="default" w:ascii="Times New Roman" w:hAnsi="Times New Roman" w:eastAsia="宋体" w:cs="Times New Roman"/>
                <w:color w:val="000000"/>
                <w:sz w:val="24"/>
                <w:szCs w:val="24"/>
                <w:lang w:val="en-US" w:eastAsia="zh-CN"/>
              </w:rPr>
              <w:t>本项目位于昌吉回族自治州阜康市。根据《关于加强沙区建设项目环境影响评价工作的通知》（新环环评发〔2020〕138号）、《新疆第六次沙化土地监测报告》，本项目不在土地沙化生态保护红线区</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本项目</w:t>
            </w:r>
            <w:r>
              <w:rPr>
                <w:rFonts w:hint="eastAsia" w:cs="Times New Roman"/>
                <w:color w:val="000000"/>
                <w:sz w:val="24"/>
                <w:szCs w:val="24"/>
                <w:lang w:val="en-US" w:eastAsia="zh-CN"/>
              </w:rPr>
              <w:t>占用</w:t>
            </w:r>
            <w:r>
              <w:rPr>
                <w:rFonts w:hint="default" w:ascii="Times New Roman" w:hAnsi="Times New Roman" w:eastAsia="宋体" w:cs="Times New Roman"/>
                <w:color w:val="000000"/>
                <w:sz w:val="24"/>
                <w:szCs w:val="24"/>
                <w:lang w:val="en-US" w:eastAsia="zh-CN"/>
              </w:rPr>
              <w:t>土地类型为非沙化土地，该地区有一定量的野生植被，生态荒漠生态系统较为稳定</w:t>
            </w:r>
            <w:r>
              <w:rPr>
                <w:rFonts w:hint="default" w:ascii="Times New Roman" w:hAnsi="Times New Roman" w:eastAsia="宋体" w:cs="Times New Roman"/>
                <w:color w:val="000000"/>
                <w:kern w:val="0"/>
                <w:sz w:val="24"/>
                <w:szCs w:val="24"/>
                <w:lang w:val="en-US" w:eastAsia="zh-CN"/>
              </w:rPr>
              <w:t>。</w:t>
            </w:r>
          </w:p>
          <w:p w14:paraId="377B67D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00" w:right="0" w:rightChars="0"/>
              <w:textAlignment w:val="auto"/>
              <w:rPr>
                <w:rFonts w:hint="eastAsia" w:ascii="Times New Roman" w:hAnsi="Times New Roman" w:eastAsia="宋体" w:cs="Times New Roman"/>
                <w:b/>
                <w:bCs/>
                <w:color w:val="000000"/>
                <w:kern w:val="0"/>
                <w:sz w:val="24"/>
                <w:szCs w:val="24"/>
                <w:lang w:val="en-US" w:eastAsia="zh-CN"/>
              </w:rPr>
            </w:pPr>
            <w:r>
              <w:rPr>
                <w:rFonts w:hint="eastAsia" w:cs="Times New Roman"/>
                <w:b/>
                <w:bCs/>
                <w:color w:val="000000"/>
                <w:kern w:val="0"/>
                <w:sz w:val="24"/>
                <w:szCs w:val="24"/>
                <w:lang w:val="en-US" w:eastAsia="zh-CN"/>
              </w:rPr>
              <w:t>3.4</w:t>
            </w:r>
            <w:r>
              <w:rPr>
                <w:rFonts w:hint="eastAsia" w:ascii="Times New Roman" w:hAnsi="Times New Roman" w:eastAsia="宋体" w:cs="Times New Roman"/>
                <w:b/>
                <w:bCs/>
                <w:color w:val="000000"/>
                <w:kern w:val="0"/>
                <w:sz w:val="24"/>
                <w:szCs w:val="24"/>
                <w:lang w:val="en-US" w:eastAsia="zh-CN"/>
              </w:rPr>
              <w:t>水土流失现状</w:t>
            </w:r>
          </w:p>
          <w:p w14:paraId="392D3A0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textAlignment w:val="auto"/>
              <w:rPr>
                <w:rFonts w:hint="default" w:ascii="Times New Roman" w:hAnsi="Times New Roman" w:eastAsia="宋体" w:cs="Times New Roman"/>
                <w:b w:val="0"/>
                <w:bCs w:val="0"/>
                <w:color w:val="000000"/>
                <w:kern w:val="0"/>
                <w:sz w:val="24"/>
                <w:szCs w:val="24"/>
                <w:lang w:val="en-US" w:eastAsia="zh-CN"/>
              </w:rPr>
            </w:pPr>
            <w:r>
              <w:rPr>
                <w:rFonts w:hint="default" w:ascii="Times New Roman" w:hAnsi="Times New Roman" w:eastAsia="宋体" w:cs="Times New Roman"/>
                <w:b w:val="0"/>
                <w:bCs w:val="0"/>
                <w:color w:val="000000"/>
                <w:kern w:val="0"/>
                <w:sz w:val="24"/>
                <w:szCs w:val="24"/>
                <w:lang w:val="en-US" w:eastAsia="zh-CN"/>
              </w:rPr>
              <w:t>根据《水利部办公厅关于做好国家级水土流失重点预防区和重点治理区落地上图成果应用的通知》（办水保〔2025〕170号），结合《</w:t>
            </w:r>
            <w:r>
              <w:rPr>
                <w:rFonts w:hint="eastAsia" w:ascii="Times New Roman" w:hAnsi="Times New Roman" w:eastAsia="宋体" w:cs="Times New Roman"/>
                <w:b w:val="0"/>
                <w:bCs w:val="0"/>
                <w:color w:val="000000"/>
                <w:kern w:val="0"/>
                <w:sz w:val="24"/>
                <w:szCs w:val="24"/>
                <w:lang w:val="en-US" w:eastAsia="zh-CN"/>
              </w:rPr>
              <w:t>新疆维吾尔自治区</w:t>
            </w:r>
            <w:r>
              <w:rPr>
                <w:rFonts w:hint="default" w:ascii="Times New Roman" w:hAnsi="Times New Roman" w:eastAsia="宋体" w:cs="Times New Roman"/>
                <w:b w:val="0"/>
                <w:bCs w:val="0"/>
                <w:color w:val="000000"/>
                <w:kern w:val="0"/>
                <w:sz w:val="24"/>
                <w:szCs w:val="24"/>
                <w:lang w:val="en-US" w:eastAsia="zh-CN"/>
              </w:rPr>
              <w:t>级水土流失重点预防区和治理区复核划分成果的通知》（新水〔2019〕4号），</w:t>
            </w:r>
            <w:r>
              <w:rPr>
                <w:rFonts w:hint="eastAsia" w:ascii="Times New Roman" w:hAnsi="Times New Roman" w:eastAsia="宋体" w:cs="Times New Roman"/>
                <w:b w:val="0"/>
                <w:bCs w:val="0"/>
                <w:color w:val="000000"/>
                <w:kern w:val="0"/>
                <w:sz w:val="24"/>
                <w:szCs w:val="24"/>
                <w:lang w:val="en-US" w:eastAsia="zh-CN"/>
              </w:rPr>
              <w:t>本</w:t>
            </w:r>
            <w:r>
              <w:rPr>
                <w:rFonts w:hint="default" w:ascii="Times New Roman" w:hAnsi="Times New Roman" w:eastAsia="宋体" w:cs="Times New Roman"/>
                <w:b w:val="0"/>
                <w:bCs w:val="0"/>
                <w:color w:val="000000"/>
                <w:kern w:val="0"/>
                <w:sz w:val="24"/>
                <w:szCs w:val="24"/>
                <w:lang w:val="en-US" w:eastAsia="zh-CN"/>
              </w:rPr>
              <w:t>项目</w:t>
            </w:r>
            <w:r>
              <w:rPr>
                <w:rFonts w:hint="eastAsia" w:ascii="Times New Roman" w:hAnsi="Times New Roman" w:eastAsia="宋体" w:cs="Times New Roman"/>
                <w:b w:val="0"/>
                <w:bCs w:val="0"/>
                <w:color w:val="000000"/>
                <w:kern w:val="0"/>
                <w:sz w:val="24"/>
                <w:szCs w:val="24"/>
                <w:lang w:val="en-US" w:eastAsia="zh-CN"/>
              </w:rPr>
              <w:t>位于</w:t>
            </w:r>
            <w:r>
              <w:rPr>
                <w:rFonts w:hint="default" w:ascii="Times New Roman" w:hAnsi="Times New Roman" w:eastAsia="宋体" w:cs="Times New Roman"/>
                <w:b w:val="0"/>
                <w:bCs w:val="0"/>
                <w:color w:val="000000"/>
                <w:kern w:val="0"/>
                <w:sz w:val="24"/>
                <w:szCs w:val="24"/>
                <w:lang w:val="en-US" w:eastAsia="zh-CN"/>
              </w:rPr>
              <w:t>II2天山北坡诸小河流域重点治理区。</w:t>
            </w:r>
          </w:p>
          <w:p w14:paraId="4FFD7C3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textAlignment w:val="auto"/>
              <w:rPr>
                <w:rFonts w:hint="default" w:ascii="Times New Roman" w:hAnsi="Times New Roman" w:eastAsia="宋体" w:cs="Times New Roman"/>
                <w:b w:val="0"/>
                <w:bCs w:val="0"/>
                <w:color w:val="000000"/>
                <w:kern w:val="0"/>
                <w:sz w:val="24"/>
                <w:szCs w:val="24"/>
                <w:lang w:val="en-US" w:eastAsia="zh-CN"/>
              </w:rPr>
            </w:pPr>
            <w:r>
              <w:rPr>
                <w:rFonts w:hint="default" w:ascii="Times New Roman" w:hAnsi="Times New Roman" w:eastAsia="宋体" w:cs="Times New Roman"/>
                <w:b w:val="0"/>
                <w:bCs w:val="0"/>
                <w:color w:val="000000"/>
                <w:kern w:val="0"/>
                <w:sz w:val="24"/>
                <w:szCs w:val="24"/>
                <w:lang w:val="en-US" w:eastAsia="zh-CN"/>
              </w:rPr>
              <w:t>根据《新疆维吾尔自治区2025年度水土流失动态监测年报》，阜康市水土保持情况：2025年阜康市水土流失面积6567.37km</w:t>
            </w:r>
            <w:r>
              <w:rPr>
                <w:rFonts w:hint="default" w:ascii="Times New Roman" w:hAnsi="Times New Roman" w:eastAsia="宋体" w:cs="Times New Roman"/>
                <w:b w:val="0"/>
                <w:bCs w:val="0"/>
                <w:color w:val="000000"/>
                <w:kern w:val="0"/>
                <w:sz w:val="24"/>
                <w:szCs w:val="24"/>
                <w:vertAlign w:val="superscript"/>
                <w:lang w:val="en-US" w:eastAsia="zh-CN"/>
              </w:rPr>
              <w:t>2</w:t>
            </w:r>
            <w:r>
              <w:rPr>
                <w:rFonts w:hint="default" w:ascii="Times New Roman" w:hAnsi="Times New Roman" w:eastAsia="宋体" w:cs="Times New Roman"/>
                <w:b w:val="0"/>
                <w:bCs w:val="0"/>
                <w:color w:val="000000"/>
                <w:kern w:val="0"/>
                <w:sz w:val="24"/>
                <w:szCs w:val="24"/>
                <w:lang w:val="en-US" w:eastAsia="zh-CN"/>
              </w:rPr>
              <w:t>，占全市土地总面积的76.86%；其中水力侵蚀面积为664.12km</w:t>
            </w:r>
            <w:r>
              <w:rPr>
                <w:rFonts w:hint="default" w:ascii="Times New Roman" w:hAnsi="Times New Roman" w:eastAsia="宋体" w:cs="Times New Roman"/>
                <w:b w:val="0"/>
                <w:bCs w:val="0"/>
                <w:color w:val="000000"/>
                <w:kern w:val="0"/>
                <w:sz w:val="24"/>
                <w:szCs w:val="24"/>
                <w:vertAlign w:val="superscript"/>
                <w:lang w:val="en-US" w:eastAsia="zh-CN"/>
              </w:rPr>
              <w:t>2</w:t>
            </w:r>
            <w:r>
              <w:rPr>
                <w:rFonts w:hint="default" w:ascii="Times New Roman" w:hAnsi="Times New Roman" w:eastAsia="宋体" w:cs="Times New Roman"/>
                <w:b w:val="0"/>
                <w:bCs w:val="0"/>
                <w:color w:val="000000"/>
                <w:kern w:val="0"/>
                <w:sz w:val="24"/>
                <w:szCs w:val="24"/>
                <w:lang w:val="en-US" w:eastAsia="zh-CN"/>
              </w:rPr>
              <w:t>，占水土流失面积的10.11%；风力侵蚀面积为5903.25km</w:t>
            </w:r>
            <w:r>
              <w:rPr>
                <w:rFonts w:hint="default" w:ascii="Times New Roman" w:hAnsi="Times New Roman" w:eastAsia="宋体" w:cs="Times New Roman"/>
                <w:b w:val="0"/>
                <w:bCs w:val="0"/>
                <w:color w:val="000000"/>
                <w:kern w:val="0"/>
                <w:sz w:val="24"/>
                <w:szCs w:val="24"/>
                <w:vertAlign w:val="superscript"/>
                <w:lang w:val="en-US" w:eastAsia="zh-CN"/>
              </w:rPr>
              <w:t>2</w:t>
            </w:r>
            <w:r>
              <w:rPr>
                <w:rFonts w:hint="default" w:ascii="Times New Roman" w:hAnsi="Times New Roman" w:eastAsia="宋体" w:cs="Times New Roman"/>
                <w:b w:val="0"/>
                <w:bCs w:val="0"/>
                <w:color w:val="000000"/>
                <w:kern w:val="0"/>
                <w:sz w:val="24"/>
                <w:szCs w:val="24"/>
                <w:lang w:val="en-US" w:eastAsia="zh-CN"/>
              </w:rPr>
              <w:t>，占水土流失面积的89.89%。阜康市2025年水土流失面积比2024年减少了15.99km</w:t>
            </w:r>
            <w:r>
              <w:rPr>
                <w:rFonts w:hint="default" w:ascii="Times New Roman" w:hAnsi="Times New Roman" w:eastAsia="宋体" w:cs="Times New Roman"/>
                <w:b w:val="0"/>
                <w:bCs w:val="0"/>
                <w:color w:val="000000"/>
                <w:kern w:val="0"/>
                <w:sz w:val="24"/>
                <w:szCs w:val="24"/>
                <w:vertAlign w:val="superscript"/>
                <w:lang w:val="en-US" w:eastAsia="zh-CN"/>
              </w:rPr>
              <w:t>2</w:t>
            </w:r>
            <w:r>
              <w:rPr>
                <w:rFonts w:hint="default" w:ascii="Times New Roman" w:hAnsi="Times New Roman" w:eastAsia="宋体" w:cs="Times New Roman"/>
                <w:b w:val="0"/>
                <w:bCs w:val="0"/>
                <w:color w:val="000000"/>
                <w:kern w:val="0"/>
                <w:sz w:val="24"/>
                <w:szCs w:val="24"/>
                <w:lang w:val="en-US" w:eastAsia="zh-CN"/>
              </w:rPr>
              <w:t>。</w:t>
            </w:r>
          </w:p>
          <w:p w14:paraId="56D44F4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textAlignment w:val="auto"/>
              <w:rPr>
                <w:rFonts w:hint="default" w:ascii="Times New Roman" w:hAnsi="Times New Roman" w:eastAsia="宋体" w:cs="Times New Roman"/>
                <w:b w:val="0"/>
                <w:bCs w:val="0"/>
                <w:color w:val="000000"/>
                <w:kern w:val="0"/>
                <w:sz w:val="24"/>
                <w:szCs w:val="24"/>
                <w:lang w:val="en-US" w:eastAsia="zh-CN"/>
              </w:rPr>
            </w:pPr>
            <w:r>
              <w:rPr>
                <w:rFonts w:hint="default" w:ascii="Times New Roman" w:hAnsi="Times New Roman" w:eastAsia="宋体" w:cs="Times New Roman"/>
                <w:b w:val="0"/>
                <w:bCs w:val="0"/>
                <w:color w:val="000000"/>
                <w:kern w:val="0"/>
                <w:sz w:val="24"/>
                <w:szCs w:val="24"/>
                <w:lang w:val="en-US" w:eastAsia="zh-CN"/>
              </w:rPr>
              <w:t>（1）水力侵蚀</w:t>
            </w:r>
          </w:p>
          <w:p w14:paraId="0FEEB6F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textAlignment w:val="auto"/>
              <w:rPr>
                <w:rFonts w:hint="default" w:ascii="Times New Roman" w:hAnsi="Times New Roman" w:eastAsia="宋体" w:cs="Times New Roman"/>
                <w:b w:val="0"/>
                <w:bCs w:val="0"/>
                <w:color w:val="000000"/>
                <w:kern w:val="0"/>
                <w:sz w:val="24"/>
                <w:szCs w:val="24"/>
                <w:lang w:val="en-US" w:eastAsia="zh-CN"/>
              </w:rPr>
            </w:pPr>
            <w:r>
              <w:rPr>
                <w:rFonts w:hint="default" w:ascii="Times New Roman" w:hAnsi="Times New Roman" w:eastAsia="宋体" w:cs="Times New Roman"/>
                <w:b w:val="0"/>
                <w:bCs w:val="0"/>
                <w:color w:val="000000"/>
                <w:kern w:val="0"/>
                <w:sz w:val="24"/>
                <w:szCs w:val="24"/>
                <w:lang w:val="en-US" w:eastAsia="zh-CN"/>
              </w:rPr>
              <w:t>根据项目区所处具体位置，结合其地形地貌、自然条件、土壤及地面组成物</w:t>
            </w:r>
            <w:r>
              <w:rPr>
                <w:rFonts w:hint="eastAsia" w:cs="Times New Roman"/>
                <w:b w:val="0"/>
                <w:bCs w:val="0"/>
                <w:color w:val="000000"/>
                <w:kern w:val="0"/>
                <w:sz w:val="24"/>
                <w:szCs w:val="24"/>
                <w:lang w:val="en-US" w:eastAsia="zh-CN"/>
              </w:rPr>
              <w:t>、</w:t>
            </w:r>
            <w:r>
              <w:rPr>
                <w:rFonts w:hint="default" w:ascii="Times New Roman" w:hAnsi="Times New Roman" w:eastAsia="宋体" w:cs="Times New Roman"/>
                <w:b w:val="0"/>
                <w:bCs w:val="0"/>
                <w:color w:val="000000"/>
                <w:kern w:val="0"/>
                <w:sz w:val="24"/>
                <w:szCs w:val="24"/>
                <w:lang w:val="en-US" w:eastAsia="zh-CN"/>
              </w:rPr>
              <w:t>植被生长状况及覆盖度等特点，</w:t>
            </w:r>
            <w:r>
              <w:rPr>
                <w:rFonts w:hint="eastAsia" w:cs="Times New Roman"/>
                <w:b w:val="0"/>
                <w:bCs w:val="0"/>
                <w:color w:val="000000"/>
                <w:kern w:val="0"/>
                <w:sz w:val="24"/>
                <w:szCs w:val="24"/>
                <w:lang w:val="en-US" w:eastAsia="zh-CN"/>
              </w:rPr>
              <w:t>以及</w:t>
            </w:r>
            <w:r>
              <w:rPr>
                <w:rFonts w:hint="default" w:ascii="Times New Roman" w:hAnsi="Times New Roman" w:eastAsia="宋体" w:cs="Times New Roman"/>
                <w:b w:val="0"/>
                <w:bCs w:val="0"/>
                <w:color w:val="000000"/>
                <w:kern w:val="0"/>
                <w:sz w:val="24"/>
                <w:szCs w:val="24"/>
                <w:lang w:val="en-US" w:eastAsia="zh-CN"/>
              </w:rPr>
              <w:t>施工特点，分析项目区内水土流失以风蚀现象为主，无水力侵蚀。</w:t>
            </w:r>
          </w:p>
          <w:p w14:paraId="0BA2590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textAlignment w:val="auto"/>
              <w:rPr>
                <w:rFonts w:hint="default" w:ascii="Times New Roman" w:hAnsi="Times New Roman" w:eastAsia="宋体" w:cs="Times New Roman"/>
                <w:b w:val="0"/>
                <w:bCs w:val="0"/>
                <w:color w:val="000000"/>
                <w:kern w:val="0"/>
                <w:sz w:val="24"/>
                <w:szCs w:val="24"/>
                <w:lang w:val="en-US" w:eastAsia="zh-CN"/>
              </w:rPr>
            </w:pPr>
            <w:r>
              <w:rPr>
                <w:rFonts w:hint="default" w:ascii="Times New Roman" w:hAnsi="Times New Roman" w:eastAsia="宋体" w:cs="Times New Roman"/>
                <w:b w:val="0"/>
                <w:bCs w:val="0"/>
                <w:color w:val="000000"/>
                <w:kern w:val="0"/>
                <w:sz w:val="24"/>
                <w:szCs w:val="24"/>
                <w:lang w:val="en-US" w:eastAsia="zh-CN"/>
              </w:rPr>
              <w:t>（2）风力侵蚀</w:t>
            </w:r>
          </w:p>
          <w:p w14:paraId="4E864DD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textAlignment w:val="auto"/>
              <w:rPr>
                <w:rFonts w:hint="default" w:ascii="Times New Roman" w:hAnsi="Times New Roman" w:eastAsia="宋体" w:cs="Times New Roman"/>
                <w:b w:val="0"/>
                <w:bCs w:val="0"/>
                <w:color w:val="000000"/>
                <w:kern w:val="0"/>
                <w:sz w:val="24"/>
                <w:szCs w:val="24"/>
                <w:lang w:val="en-US" w:eastAsia="zh-CN"/>
              </w:rPr>
            </w:pPr>
            <w:r>
              <w:rPr>
                <w:rFonts w:hint="default" w:ascii="Times New Roman" w:hAnsi="Times New Roman" w:eastAsia="宋体" w:cs="Times New Roman"/>
                <w:b w:val="0"/>
                <w:bCs w:val="0"/>
                <w:color w:val="000000"/>
                <w:kern w:val="0"/>
                <w:sz w:val="24"/>
                <w:szCs w:val="24"/>
                <w:lang w:val="en-US" w:eastAsia="zh-CN"/>
              </w:rPr>
              <w:t>项目区内4~10月份为多风季节，本区风蚀属轻度侵蚀。风力侵蚀以短暂地、瞬间地、高强度的危害形式表现出来，在工程建设过程中，风蚀现象表现突出，在工程</w:t>
            </w:r>
            <w:r>
              <w:rPr>
                <w:rFonts w:hint="eastAsia" w:cs="Times New Roman"/>
                <w:b w:val="0"/>
                <w:bCs w:val="0"/>
                <w:color w:val="000000"/>
                <w:kern w:val="0"/>
                <w:sz w:val="24"/>
                <w:szCs w:val="24"/>
                <w:lang w:val="en-US" w:eastAsia="zh-CN"/>
              </w:rPr>
              <w:t>运营期</w:t>
            </w:r>
            <w:r>
              <w:rPr>
                <w:rFonts w:hint="default" w:ascii="Times New Roman" w:hAnsi="Times New Roman" w:eastAsia="宋体" w:cs="Times New Roman"/>
                <w:b w:val="0"/>
                <w:bCs w:val="0"/>
                <w:color w:val="000000"/>
                <w:kern w:val="0"/>
                <w:sz w:val="24"/>
                <w:szCs w:val="24"/>
                <w:lang w:val="en-US" w:eastAsia="zh-CN"/>
              </w:rPr>
              <w:t>间，风蚀现象初期较明显。</w:t>
            </w:r>
          </w:p>
          <w:p w14:paraId="3D011B28">
            <w:pPr>
              <w:keepNext w:val="0"/>
              <w:keepLines w:val="0"/>
              <w:pageBreakBefore w:val="0"/>
              <w:widowControl/>
              <w:suppressLineNumbers w:val="0"/>
              <w:kinsoku/>
              <w:wordWrap/>
              <w:overflowPunct/>
              <w:topLinePunct w:val="0"/>
              <w:autoSpaceDE/>
              <w:autoSpaceDN/>
              <w:bidi w:val="0"/>
              <w:adjustRightInd/>
              <w:snapToGrid w:val="0"/>
              <w:ind w:firstLine="480"/>
              <w:jc w:val="both"/>
              <w:textAlignment w:val="auto"/>
              <w:rPr>
                <w:rFonts w:hint="default" w:ascii="Times New Roman" w:hAnsi="Times New Roman" w:eastAsia="宋体" w:cs="Times New Roman"/>
                <w:b/>
                <w:bCs/>
                <w:i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lang w:val="en-US" w:eastAsia="zh-CN"/>
              </w:rPr>
              <w:t>根据项目区地表植被、土壤状况、气象等资料</w:t>
            </w:r>
            <w:r>
              <w:rPr>
                <w:rFonts w:hint="eastAsia" w:cs="Times New Roman"/>
                <w:b w:val="0"/>
                <w:bCs w:val="0"/>
                <w:color w:val="000000"/>
                <w:kern w:val="0"/>
                <w:sz w:val="24"/>
                <w:szCs w:val="24"/>
                <w:lang w:val="en-US" w:eastAsia="zh-CN"/>
              </w:rPr>
              <w:t>，综合</w:t>
            </w:r>
            <w:r>
              <w:rPr>
                <w:rFonts w:hint="default" w:ascii="Times New Roman" w:hAnsi="Times New Roman" w:eastAsia="宋体" w:cs="Times New Roman"/>
                <w:b w:val="0"/>
                <w:bCs w:val="0"/>
                <w:color w:val="000000"/>
                <w:kern w:val="0"/>
                <w:sz w:val="24"/>
                <w:szCs w:val="24"/>
                <w:lang w:val="en-US" w:eastAsia="zh-CN"/>
              </w:rPr>
              <w:t>分析项目区环境状况，同时结合《土壤侵蚀分类分级标准（SL190-2007）》和《新疆维吾尔自治区2025年度水土流失动态监测年报》</w:t>
            </w:r>
            <w:r>
              <w:rPr>
                <w:rFonts w:hint="eastAsia" w:cs="Times New Roman"/>
                <w:b w:val="0"/>
                <w:bCs w:val="0"/>
                <w:color w:val="000000"/>
                <w:kern w:val="0"/>
                <w:sz w:val="24"/>
                <w:szCs w:val="24"/>
                <w:lang w:val="en-US" w:eastAsia="zh-CN"/>
              </w:rPr>
              <w:t>，判断</w:t>
            </w:r>
            <w:r>
              <w:rPr>
                <w:rFonts w:hint="default" w:ascii="Times New Roman" w:hAnsi="Times New Roman" w:eastAsia="宋体" w:cs="Times New Roman"/>
                <w:b w:val="0"/>
                <w:bCs w:val="0"/>
                <w:color w:val="000000"/>
                <w:kern w:val="0"/>
                <w:sz w:val="24"/>
                <w:szCs w:val="24"/>
                <w:lang w:val="en-US" w:eastAsia="zh-CN"/>
              </w:rPr>
              <w:t>项目区内属于轻度风力侵蚀区。原生土壤侵蚀模数为1000t/km</w:t>
            </w:r>
            <w:r>
              <w:rPr>
                <w:rFonts w:hint="default" w:ascii="Times New Roman" w:hAnsi="Times New Roman" w:eastAsia="宋体" w:cs="Times New Roman"/>
                <w:b w:val="0"/>
                <w:bCs w:val="0"/>
                <w:color w:val="000000"/>
                <w:kern w:val="0"/>
                <w:sz w:val="24"/>
                <w:szCs w:val="24"/>
                <w:vertAlign w:val="superscript"/>
                <w:lang w:val="en-US" w:eastAsia="zh-CN"/>
              </w:rPr>
              <w:t>2</w:t>
            </w:r>
            <w:r>
              <w:rPr>
                <w:rFonts w:hint="default" w:ascii="Times New Roman" w:hAnsi="Times New Roman" w:eastAsia="宋体" w:cs="Times New Roman"/>
                <w:b w:val="0"/>
                <w:bCs w:val="0"/>
                <w:color w:val="000000"/>
                <w:kern w:val="0"/>
                <w:sz w:val="24"/>
                <w:szCs w:val="24"/>
                <w:lang w:val="en-US" w:eastAsia="zh-CN"/>
              </w:rPr>
              <w:t>。根据《生产建设项目水土流失防治标准》（GB/T50434-2018）确定容许土壤流失量为1000t/km</w:t>
            </w:r>
            <w:r>
              <w:rPr>
                <w:rFonts w:hint="default" w:ascii="Times New Roman" w:hAnsi="Times New Roman" w:eastAsia="宋体" w:cs="Times New Roman"/>
                <w:b w:val="0"/>
                <w:bCs w:val="0"/>
                <w:color w:val="000000"/>
                <w:kern w:val="0"/>
                <w:sz w:val="24"/>
                <w:szCs w:val="24"/>
                <w:vertAlign w:val="superscript"/>
                <w:lang w:val="en-US" w:eastAsia="zh-CN"/>
              </w:rPr>
              <w:t>2</w:t>
            </w:r>
            <w:r>
              <w:rPr>
                <w:rFonts w:hint="default" w:ascii="Times New Roman" w:hAnsi="Times New Roman" w:eastAsia="宋体" w:cs="Times New Roman"/>
                <w:b w:val="0"/>
                <w:bCs w:val="0"/>
                <w:color w:val="000000"/>
                <w:kern w:val="0"/>
                <w:sz w:val="24"/>
                <w:szCs w:val="24"/>
                <w:lang w:val="en-US" w:eastAsia="zh-CN"/>
              </w:rPr>
              <w:t>。</w:t>
            </w:r>
          </w:p>
          <w:p w14:paraId="2A22D217">
            <w:pPr>
              <w:keepNext w:val="0"/>
              <w:keepLines w:val="0"/>
              <w:pageBreakBefore w:val="0"/>
              <w:widowControl/>
              <w:suppressLineNumbers w:val="0"/>
              <w:kinsoku/>
              <w:wordWrap/>
              <w:overflowPunct/>
              <w:topLinePunct w:val="0"/>
              <w:autoSpaceDE/>
              <w:autoSpaceDN/>
              <w:bidi w:val="0"/>
              <w:adjustRightInd/>
              <w:snapToGrid w:val="0"/>
              <w:ind w:firstLine="480"/>
              <w:jc w:val="both"/>
              <w:textAlignment w:val="auto"/>
              <w:rPr>
                <w:rFonts w:hint="default" w:ascii="Times New Roman" w:hAnsi="Times New Roman" w:eastAsia="宋体" w:cs="Times New Roman"/>
                <w:b/>
                <w:bCs/>
                <w:iCs w:val="0"/>
                <w:color w:val="000000"/>
                <w:kern w:val="0"/>
                <w:sz w:val="24"/>
                <w:szCs w:val="24"/>
                <w:highlight w:val="none"/>
                <w:lang w:val="en-US" w:eastAsia="zh-CN" w:bidi="ar"/>
              </w:rPr>
            </w:pPr>
            <w:r>
              <w:rPr>
                <w:rFonts w:hint="eastAsia" w:cs="Times New Roman"/>
                <w:b/>
                <w:bCs/>
                <w:iCs w:val="0"/>
                <w:color w:val="000000"/>
                <w:kern w:val="0"/>
                <w:sz w:val="24"/>
                <w:szCs w:val="24"/>
                <w:highlight w:val="none"/>
                <w:lang w:val="en-US" w:eastAsia="zh-CN" w:bidi="ar"/>
              </w:rPr>
              <w:t>4.区域环境质量现状</w:t>
            </w:r>
          </w:p>
          <w:p w14:paraId="576AF5D5">
            <w:pPr>
              <w:keepNext w:val="0"/>
              <w:keepLines w:val="0"/>
              <w:pageBreakBefore w:val="0"/>
              <w:widowControl/>
              <w:suppressLineNumbers w:val="0"/>
              <w:kinsoku/>
              <w:wordWrap/>
              <w:overflowPunct/>
              <w:topLinePunct w:val="0"/>
              <w:autoSpaceDE/>
              <w:autoSpaceDN/>
              <w:bidi w:val="0"/>
              <w:adjustRightInd/>
              <w:snapToGrid w:val="0"/>
              <w:ind w:firstLine="480"/>
              <w:jc w:val="both"/>
              <w:textAlignment w:val="auto"/>
              <w:rPr>
                <w:rFonts w:hint="eastAsia" w:cs="Times New Roman"/>
                <w:b/>
                <w:bCs/>
                <w:iCs w:val="0"/>
                <w:color w:val="000000"/>
                <w:kern w:val="0"/>
                <w:sz w:val="24"/>
                <w:szCs w:val="24"/>
                <w:highlight w:val="none"/>
                <w:lang w:val="en-US" w:eastAsia="zh-CN" w:bidi="ar"/>
              </w:rPr>
            </w:pPr>
            <w:r>
              <w:rPr>
                <w:rFonts w:hint="eastAsia" w:ascii="宋体" w:hAnsi="宋体" w:eastAsia="宋体" w:cs="宋体"/>
                <w:sz w:val="24"/>
                <w:szCs w:val="24"/>
                <w:lang w:val="en-US" w:eastAsia="zh-CN"/>
              </w:rPr>
              <w:t>本</w:t>
            </w:r>
            <w:r>
              <w:rPr>
                <w:rFonts w:ascii="宋体" w:hAnsi="宋体" w:eastAsia="宋体" w:cs="宋体"/>
                <w:sz w:val="24"/>
                <w:szCs w:val="24"/>
              </w:rPr>
              <w:t>项目位于三工河景区花儿沟村，属于新疆天山天池国家地质公园范畴，区域旅游开发年限较长。经</w:t>
            </w:r>
            <w:r>
              <w:rPr>
                <w:rFonts w:hint="eastAsia" w:ascii="宋体" w:hAnsi="宋体" w:cs="宋体"/>
                <w:sz w:val="24"/>
                <w:szCs w:val="24"/>
                <w:lang w:val="en-US" w:eastAsia="zh-CN"/>
              </w:rPr>
              <w:t>调查</w:t>
            </w:r>
            <w:r>
              <w:rPr>
                <w:rFonts w:ascii="宋体" w:hAnsi="宋体" w:eastAsia="宋体" w:cs="宋体"/>
                <w:sz w:val="24"/>
                <w:szCs w:val="24"/>
              </w:rPr>
              <w:t>，过往旅游开发在带动乡村发展的同时，存在分散经营点污染治理设施配套不足、旅游活动扰动原生植被等环境问题。现状花儿沟村</w:t>
            </w:r>
            <w:r>
              <w:rPr>
                <w:rFonts w:hint="eastAsia" w:ascii="宋体" w:hAnsi="宋体" w:cs="宋体"/>
                <w:sz w:val="24"/>
                <w:szCs w:val="24"/>
                <w:lang w:val="en-US" w:eastAsia="zh-CN"/>
              </w:rPr>
              <w:t>村民日常使用旱厕如厕，村内餐饮油烟未配套治理设施，以无组织形式零散排放，生活垃圾暂存由市政部门统一清运。本项目</w:t>
            </w:r>
            <w:r>
              <w:rPr>
                <w:rFonts w:ascii="宋体" w:hAnsi="宋体" w:eastAsia="宋体" w:cs="宋体"/>
                <w:sz w:val="24"/>
                <w:szCs w:val="24"/>
              </w:rPr>
              <w:t>通过配套标准化污染治理设施、规范化生态保护措施，示范带动周边旅游经营主体提升环境管理水平。后续区域旅游开发应当严守地质公园管控规定，坚持生态优先，持续完善污水、垃圾收集处置基础设施，划定游客活动管控范围，强化植被与地质遗迹保护，实现文旅开发与生态保护协调发展。</w:t>
            </w:r>
          </w:p>
          <w:p w14:paraId="534BE082">
            <w:pPr>
              <w:keepNext w:val="0"/>
              <w:keepLines w:val="0"/>
              <w:pageBreakBefore w:val="0"/>
              <w:widowControl/>
              <w:suppressLineNumbers w:val="0"/>
              <w:kinsoku/>
              <w:wordWrap/>
              <w:overflowPunct/>
              <w:topLinePunct w:val="0"/>
              <w:autoSpaceDE/>
              <w:autoSpaceDN/>
              <w:bidi w:val="0"/>
              <w:adjustRightInd/>
              <w:snapToGrid w:val="0"/>
              <w:ind w:firstLine="480"/>
              <w:jc w:val="both"/>
              <w:textAlignment w:val="auto"/>
              <w:rPr>
                <w:rFonts w:hint="default" w:ascii="Times New Roman" w:hAnsi="Times New Roman" w:eastAsia="宋体" w:cs="Times New Roman"/>
                <w:b/>
                <w:bCs/>
                <w:iCs w:val="0"/>
                <w:color w:val="000000"/>
                <w:kern w:val="0"/>
                <w:sz w:val="24"/>
                <w:szCs w:val="24"/>
                <w:highlight w:val="none"/>
                <w:lang w:val="en-US" w:eastAsia="zh-CN" w:bidi="ar"/>
              </w:rPr>
            </w:pPr>
            <w:r>
              <w:rPr>
                <w:rFonts w:hint="eastAsia" w:cs="Times New Roman"/>
                <w:b/>
                <w:bCs/>
                <w:iCs w:val="0"/>
                <w:color w:val="000000"/>
                <w:kern w:val="0"/>
                <w:sz w:val="24"/>
                <w:szCs w:val="24"/>
                <w:highlight w:val="none"/>
                <w:lang w:val="en-US" w:eastAsia="zh-CN" w:bidi="ar"/>
              </w:rPr>
              <w:t>4.1</w:t>
            </w:r>
            <w:r>
              <w:rPr>
                <w:rFonts w:hint="default" w:ascii="Times New Roman" w:hAnsi="Times New Roman" w:eastAsia="宋体" w:cs="Times New Roman"/>
                <w:b/>
                <w:bCs/>
                <w:iCs w:val="0"/>
                <w:color w:val="000000"/>
                <w:kern w:val="0"/>
                <w:sz w:val="24"/>
                <w:szCs w:val="24"/>
                <w:highlight w:val="none"/>
                <w:lang w:val="en-US" w:eastAsia="zh-CN" w:bidi="ar"/>
              </w:rPr>
              <w:t>大气环境现状</w:t>
            </w:r>
          </w:p>
          <w:p w14:paraId="4169E33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000000"/>
                <w:sz w:val="24"/>
              </w:rPr>
            </w:pPr>
            <w:r>
              <w:rPr>
                <w:rFonts w:hint="eastAsia" w:cs="Times New Roman"/>
                <w:color w:val="000000"/>
                <w:sz w:val="24"/>
                <w:lang w:val="en-US" w:eastAsia="zh-CN"/>
              </w:rPr>
              <w:t>4</w:t>
            </w:r>
            <w:r>
              <w:rPr>
                <w:rFonts w:hint="default" w:ascii="Times New Roman" w:hAnsi="Times New Roman" w:eastAsia="宋体" w:cs="Times New Roman"/>
                <w:color w:val="000000"/>
                <w:sz w:val="24"/>
                <w:lang w:val="en-US" w:eastAsia="zh-CN"/>
              </w:rPr>
              <w:t>.1</w:t>
            </w:r>
            <w:r>
              <w:rPr>
                <w:rFonts w:hint="eastAsia" w:cs="Times New Roman"/>
                <w:color w:val="000000"/>
                <w:sz w:val="24"/>
                <w:lang w:val="en-US" w:eastAsia="zh-CN"/>
              </w:rPr>
              <w:t>.1</w:t>
            </w:r>
            <w:r>
              <w:rPr>
                <w:rFonts w:hint="default" w:ascii="Times New Roman" w:hAnsi="Times New Roman" w:eastAsia="宋体" w:cs="Times New Roman"/>
                <w:color w:val="000000"/>
                <w:sz w:val="24"/>
              </w:rPr>
              <w:t>数据来源</w:t>
            </w:r>
          </w:p>
          <w:p w14:paraId="2FF9A3A3">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szCs w:val="24"/>
              </w:rPr>
              <w:t>根据《环境影响评价技术导则 大气环境》（</w:t>
            </w:r>
            <w:r>
              <w:rPr>
                <w:rFonts w:hint="eastAsia" w:cs="Times New Roman"/>
                <w:color w:val="000000"/>
                <w:sz w:val="24"/>
                <w:szCs w:val="24"/>
                <w:lang w:eastAsia="zh-CN"/>
              </w:rPr>
              <w:t>HJ 2</w:t>
            </w:r>
            <w:r>
              <w:rPr>
                <w:rFonts w:hint="default" w:ascii="Times New Roman" w:hAnsi="Times New Roman" w:eastAsia="宋体" w:cs="Times New Roman"/>
                <w:color w:val="000000"/>
                <w:sz w:val="24"/>
                <w:szCs w:val="24"/>
              </w:rPr>
              <w:t>.2-2018）中6.2.1.2</w:t>
            </w:r>
            <w:r>
              <w:rPr>
                <w:rFonts w:hint="eastAsia" w:cs="Times New Roman"/>
                <w:color w:val="000000"/>
                <w:sz w:val="24"/>
                <w:szCs w:val="24"/>
                <w:lang w:eastAsia="zh-CN"/>
              </w:rPr>
              <w:t>，</w:t>
            </w:r>
            <w:r>
              <w:rPr>
                <w:rFonts w:hint="default" w:ascii="Times New Roman" w:hAnsi="Times New Roman" w:eastAsia="宋体" w:cs="Times New Roman"/>
                <w:color w:val="000000"/>
                <w:sz w:val="24"/>
                <w:szCs w:val="24"/>
              </w:rPr>
              <w:t>采用评价范围内国家或地方环境空气质量监测网中评价基准年连续1年的监测数据，或采用生态环境主管部门公开发布的环境空气质量现状数据。本次评价选择距离项目约</w:t>
            </w:r>
            <w:r>
              <w:rPr>
                <w:rFonts w:hint="default" w:ascii="Times New Roman" w:hAnsi="Times New Roman" w:eastAsia="宋体" w:cs="Times New Roman"/>
                <w:color w:val="000000"/>
                <w:sz w:val="24"/>
                <w:szCs w:val="24"/>
                <w:lang w:val="en-US" w:eastAsia="zh-CN"/>
              </w:rPr>
              <w:t>15</w:t>
            </w:r>
            <w:r>
              <w:rPr>
                <w:rFonts w:hint="default" w:ascii="Times New Roman" w:hAnsi="Times New Roman" w:eastAsia="宋体" w:cs="Times New Roman"/>
                <w:color w:val="000000"/>
                <w:sz w:val="24"/>
                <w:szCs w:val="24"/>
              </w:rPr>
              <w:t>km的博格达环境监测站天池景区202</w:t>
            </w:r>
            <w:r>
              <w:rPr>
                <w:rFonts w:hint="default" w:ascii="Times New Roman" w:hAnsi="Times New Roman" w:eastAsia="宋体" w:cs="Times New Roman"/>
                <w:color w:val="000000"/>
                <w:sz w:val="24"/>
                <w:szCs w:val="24"/>
                <w:lang w:val="en-US" w:eastAsia="zh-CN"/>
              </w:rPr>
              <w:t>4</w:t>
            </w:r>
            <w:r>
              <w:rPr>
                <w:rFonts w:hint="default" w:ascii="Times New Roman" w:hAnsi="Times New Roman" w:eastAsia="宋体" w:cs="Times New Roman"/>
                <w:color w:val="000000"/>
                <w:sz w:val="24"/>
                <w:szCs w:val="24"/>
              </w:rPr>
              <w:t>年的监测数据，作为本项目环境空气现状评价基本污染物SO</w:t>
            </w:r>
            <w:r>
              <w:rPr>
                <w:rFonts w:hint="default" w:ascii="Times New Roman" w:hAnsi="Times New Roman" w:eastAsia="宋体" w:cs="Times New Roman"/>
                <w:color w:val="000000"/>
                <w:sz w:val="24"/>
                <w:szCs w:val="24"/>
                <w:vertAlign w:val="subscript"/>
              </w:rPr>
              <w:t>2</w:t>
            </w:r>
            <w:r>
              <w:rPr>
                <w:rFonts w:hint="default" w:ascii="Times New Roman" w:hAnsi="Times New Roman" w:eastAsia="宋体" w:cs="Times New Roman"/>
                <w:color w:val="000000"/>
                <w:sz w:val="24"/>
                <w:szCs w:val="24"/>
              </w:rPr>
              <w:t>、NO</w:t>
            </w:r>
            <w:r>
              <w:rPr>
                <w:rFonts w:hint="default" w:ascii="Times New Roman" w:hAnsi="Times New Roman" w:eastAsia="宋体" w:cs="Times New Roman"/>
                <w:color w:val="000000"/>
                <w:sz w:val="24"/>
                <w:szCs w:val="24"/>
                <w:vertAlign w:val="subscript"/>
              </w:rPr>
              <w:t>2</w:t>
            </w:r>
            <w:r>
              <w:rPr>
                <w:rFonts w:hint="default" w:ascii="Times New Roman" w:hAnsi="Times New Roman" w:eastAsia="宋体" w:cs="Times New Roman"/>
                <w:color w:val="000000"/>
                <w:sz w:val="24"/>
                <w:szCs w:val="24"/>
              </w:rPr>
              <w:t>、PM</w:t>
            </w:r>
            <w:r>
              <w:rPr>
                <w:rFonts w:hint="default" w:ascii="Times New Roman" w:hAnsi="Times New Roman" w:eastAsia="宋体" w:cs="Times New Roman"/>
                <w:color w:val="000000"/>
                <w:sz w:val="24"/>
                <w:szCs w:val="24"/>
                <w:vertAlign w:val="subscript"/>
              </w:rPr>
              <w:t>10</w:t>
            </w:r>
            <w:r>
              <w:rPr>
                <w:rFonts w:hint="default" w:ascii="Times New Roman" w:hAnsi="Times New Roman" w:eastAsia="宋体" w:cs="Times New Roman"/>
                <w:color w:val="000000"/>
                <w:sz w:val="24"/>
                <w:szCs w:val="24"/>
              </w:rPr>
              <w:t>、PM</w:t>
            </w:r>
            <w:r>
              <w:rPr>
                <w:rFonts w:hint="default" w:ascii="Times New Roman" w:hAnsi="Times New Roman" w:eastAsia="宋体" w:cs="Times New Roman"/>
                <w:color w:val="000000"/>
                <w:sz w:val="24"/>
                <w:szCs w:val="24"/>
                <w:vertAlign w:val="subscript"/>
              </w:rPr>
              <w:t>2.5</w:t>
            </w:r>
            <w:r>
              <w:rPr>
                <w:rFonts w:hint="default" w:ascii="Times New Roman" w:hAnsi="Times New Roman" w:eastAsia="宋体" w:cs="Times New Roman"/>
                <w:color w:val="000000"/>
                <w:sz w:val="24"/>
                <w:szCs w:val="24"/>
              </w:rPr>
              <w:t>、CO和O</w:t>
            </w:r>
            <w:r>
              <w:rPr>
                <w:rFonts w:hint="default" w:ascii="Times New Roman" w:hAnsi="Times New Roman" w:eastAsia="宋体" w:cs="Times New Roman"/>
                <w:color w:val="000000"/>
                <w:sz w:val="24"/>
                <w:szCs w:val="24"/>
                <w:vertAlign w:val="subscript"/>
              </w:rPr>
              <w:t>3</w:t>
            </w:r>
            <w:r>
              <w:rPr>
                <w:rFonts w:hint="default" w:ascii="Times New Roman" w:hAnsi="Times New Roman" w:eastAsia="宋体" w:cs="Times New Roman"/>
                <w:color w:val="000000"/>
                <w:sz w:val="24"/>
                <w:szCs w:val="24"/>
              </w:rPr>
              <w:t>的</w:t>
            </w:r>
            <w:r>
              <w:rPr>
                <w:rFonts w:hint="eastAsia" w:cs="Times New Roman"/>
                <w:color w:val="000000"/>
                <w:sz w:val="24"/>
                <w:szCs w:val="24"/>
                <w:lang w:eastAsia="zh-CN"/>
              </w:rPr>
              <w:t>数据来源，该数据</w:t>
            </w:r>
            <w:r>
              <w:rPr>
                <w:rFonts w:hint="default" w:ascii="Times New Roman" w:hAnsi="Times New Roman" w:eastAsia="宋体" w:cs="Times New Roman"/>
                <w:color w:val="000000"/>
                <w:sz w:val="24"/>
                <w:szCs w:val="24"/>
              </w:rPr>
              <w:t>来源可行</w:t>
            </w:r>
            <w:r>
              <w:rPr>
                <w:rFonts w:hint="default" w:ascii="Times New Roman" w:hAnsi="Times New Roman" w:eastAsia="宋体" w:cs="Times New Roman"/>
                <w:color w:val="000000"/>
                <w:sz w:val="24"/>
                <w:lang w:val="en-US" w:eastAsia="zh-CN"/>
              </w:rPr>
              <w:t>。</w:t>
            </w:r>
          </w:p>
          <w:p w14:paraId="4C50E44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000000"/>
                <w:sz w:val="24"/>
              </w:rPr>
            </w:pPr>
            <w:r>
              <w:rPr>
                <w:rFonts w:hint="eastAsia" w:cs="Times New Roman"/>
                <w:color w:val="000000"/>
                <w:sz w:val="24"/>
                <w:lang w:val="en-US" w:eastAsia="zh-CN"/>
              </w:rPr>
              <w:t>4.1.2</w:t>
            </w:r>
            <w:r>
              <w:rPr>
                <w:rFonts w:hint="default" w:ascii="Times New Roman" w:hAnsi="Times New Roman" w:eastAsia="宋体" w:cs="Times New Roman"/>
                <w:color w:val="000000"/>
                <w:sz w:val="24"/>
              </w:rPr>
              <w:t>评价标准</w:t>
            </w:r>
          </w:p>
          <w:p w14:paraId="7882986C">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sz w:val="24"/>
              </w:rPr>
            </w:pPr>
            <w:bookmarkStart w:id="20" w:name="_Toc11467"/>
            <w:r>
              <w:rPr>
                <w:rFonts w:hint="default" w:ascii="Times New Roman" w:hAnsi="Times New Roman" w:eastAsia="宋体" w:cs="Times New Roman"/>
                <w:color w:val="000000"/>
                <w:sz w:val="24"/>
              </w:rPr>
              <w:t>基本污染物SO</w:t>
            </w:r>
            <w:r>
              <w:rPr>
                <w:rFonts w:hint="default" w:ascii="Times New Roman" w:hAnsi="Times New Roman" w:eastAsia="宋体" w:cs="Times New Roman"/>
                <w:color w:val="000000"/>
                <w:sz w:val="24"/>
                <w:vertAlign w:val="subscript"/>
              </w:rPr>
              <w:t>2</w:t>
            </w:r>
            <w:r>
              <w:rPr>
                <w:rFonts w:hint="default" w:ascii="Times New Roman" w:hAnsi="Times New Roman" w:eastAsia="宋体" w:cs="Times New Roman"/>
                <w:color w:val="000000"/>
                <w:sz w:val="24"/>
              </w:rPr>
              <w:t>、NO</w:t>
            </w:r>
            <w:r>
              <w:rPr>
                <w:rFonts w:hint="default" w:ascii="Times New Roman" w:hAnsi="Times New Roman" w:eastAsia="宋体" w:cs="Times New Roman"/>
                <w:color w:val="000000"/>
                <w:sz w:val="24"/>
                <w:vertAlign w:val="subscript"/>
              </w:rPr>
              <w:t>2</w:t>
            </w:r>
            <w:r>
              <w:rPr>
                <w:rFonts w:hint="default" w:ascii="Times New Roman" w:hAnsi="Times New Roman" w:eastAsia="宋体" w:cs="Times New Roman"/>
                <w:color w:val="000000"/>
                <w:sz w:val="24"/>
              </w:rPr>
              <w:t>、PM</w:t>
            </w:r>
            <w:r>
              <w:rPr>
                <w:rFonts w:hint="default" w:ascii="Times New Roman" w:hAnsi="Times New Roman" w:eastAsia="宋体" w:cs="Times New Roman"/>
                <w:color w:val="000000"/>
                <w:sz w:val="24"/>
                <w:vertAlign w:val="subscript"/>
              </w:rPr>
              <w:t>10</w:t>
            </w:r>
            <w:r>
              <w:rPr>
                <w:rFonts w:hint="default" w:ascii="Times New Roman" w:hAnsi="Times New Roman" w:eastAsia="宋体" w:cs="Times New Roman"/>
                <w:color w:val="000000"/>
                <w:sz w:val="24"/>
              </w:rPr>
              <w:t>、PM</w:t>
            </w:r>
            <w:r>
              <w:rPr>
                <w:rFonts w:hint="default" w:ascii="Times New Roman" w:hAnsi="Times New Roman" w:eastAsia="宋体" w:cs="Times New Roman"/>
                <w:color w:val="000000"/>
                <w:sz w:val="24"/>
                <w:vertAlign w:val="subscript"/>
              </w:rPr>
              <w:t>2.5</w:t>
            </w:r>
            <w:r>
              <w:rPr>
                <w:rFonts w:hint="default" w:ascii="Times New Roman" w:hAnsi="Times New Roman" w:eastAsia="宋体" w:cs="Times New Roman"/>
                <w:color w:val="000000"/>
                <w:sz w:val="24"/>
              </w:rPr>
              <w:t>、CO和O</w:t>
            </w:r>
            <w:r>
              <w:rPr>
                <w:rFonts w:hint="default" w:ascii="Times New Roman" w:hAnsi="Times New Roman" w:eastAsia="宋体" w:cs="Times New Roman"/>
                <w:color w:val="000000"/>
                <w:sz w:val="24"/>
                <w:vertAlign w:val="subscript"/>
              </w:rPr>
              <w:t>3</w:t>
            </w:r>
            <w:r>
              <w:rPr>
                <w:rFonts w:hint="default" w:ascii="Times New Roman" w:hAnsi="Times New Roman" w:eastAsia="宋体" w:cs="Times New Roman"/>
                <w:color w:val="000000"/>
                <w:sz w:val="24"/>
              </w:rPr>
              <w:t>执行《环境空气质量标准》</w:t>
            </w:r>
            <w:r>
              <w:rPr>
                <w:rFonts w:hint="default"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GB3095-20</w:t>
            </w:r>
            <w:r>
              <w:rPr>
                <w:rFonts w:hint="default" w:ascii="Times New Roman" w:hAnsi="Times New Roman" w:eastAsia="宋体" w:cs="Times New Roman"/>
                <w:color w:val="000000"/>
                <w:sz w:val="24"/>
                <w:lang w:val="en-US" w:eastAsia="zh-CN"/>
              </w:rPr>
              <w:t>26</w:t>
            </w:r>
            <w:r>
              <w:rPr>
                <w:rFonts w:hint="default" w:ascii="Times New Roman" w:hAnsi="Times New Roman" w:eastAsia="宋体" w:cs="Times New Roman"/>
                <w:color w:val="000000"/>
                <w:sz w:val="24"/>
              </w:rPr>
              <w:t>）中的</w:t>
            </w:r>
            <w:r>
              <w:rPr>
                <w:rFonts w:hint="default" w:ascii="Times New Roman" w:hAnsi="Times New Roman" w:eastAsia="宋体" w:cs="Times New Roman"/>
                <w:color w:val="000000"/>
                <w:sz w:val="24"/>
                <w:lang w:val="en-US" w:eastAsia="zh-CN"/>
              </w:rPr>
              <w:t>过渡阶段一</w:t>
            </w:r>
            <w:r>
              <w:rPr>
                <w:rFonts w:hint="default" w:ascii="Times New Roman" w:hAnsi="Times New Roman" w:eastAsia="宋体" w:cs="Times New Roman"/>
                <w:color w:val="000000"/>
                <w:sz w:val="24"/>
              </w:rPr>
              <w:t>级标准。</w:t>
            </w:r>
          </w:p>
          <w:bookmarkEnd w:id="20"/>
          <w:p w14:paraId="5F706D0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000000"/>
                <w:sz w:val="24"/>
              </w:rPr>
            </w:pPr>
            <w:r>
              <w:rPr>
                <w:rFonts w:hint="eastAsia" w:cs="Times New Roman"/>
                <w:color w:val="000000"/>
                <w:sz w:val="24"/>
                <w:lang w:val="en-US" w:eastAsia="zh-CN"/>
              </w:rPr>
              <w:t>4.1.3</w:t>
            </w:r>
            <w:r>
              <w:rPr>
                <w:rFonts w:hint="default" w:ascii="Times New Roman" w:hAnsi="Times New Roman" w:eastAsia="宋体" w:cs="Times New Roman"/>
                <w:color w:val="000000"/>
                <w:sz w:val="24"/>
              </w:rPr>
              <w:t>评价方法</w:t>
            </w:r>
          </w:p>
          <w:p w14:paraId="6CE0B1C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评价方法</w:t>
            </w:r>
            <w:r>
              <w:rPr>
                <w:rFonts w:hint="default"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基本污染物按照《环境空气质量评价技术规范》</w:t>
            </w:r>
            <w:r>
              <w:rPr>
                <w:rFonts w:hint="default"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HJ 663-</w:t>
            </w:r>
            <w:r>
              <w:rPr>
                <w:rFonts w:hint="default" w:ascii="Times New Roman" w:hAnsi="Times New Roman" w:eastAsia="宋体" w:cs="Times New Roman"/>
                <w:color w:val="000000"/>
                <w:sz w:val="24"/>
                <w:lang w:val="en-US" w:eastAsia="zh-CN"/>
              </w:rPr>
              <w:t>2026</w:t>
            </w:r>
            <w:r>
              <w:rPr>
                <w:rFonts w:hint="default" w:ascii="Times New Roman" w:hAnsi="Times New Roman" w:eastAsia="宋体" w:cs="Times New Roman"/>
                <w:color w:val="000000"/>
                <w:sz w:val="24"/>
              </w:rPr>
              <w:t>）中各评价项目的年评价指标进行判定。年评价指标中的年均浓度和相应百分位数24h平均或8h平均质量浓度满足</w:t>
            </w:r>
            <w:r>
              <w:rPr>
                <w:rFonts w:hint="default" w:ascii="Times New Roman" w:hAnsi="Times New Roman" w:eastAsia="宋体" w:cs="Times New Roman"/>
                <w:color w:val="000000"/>
                <w:kern w:val="0"/>
                <w:sz w:val="24"/>
                <w:szCs w:val="24"/>
                <w:highlight w:val="none"/>
                <w:lang w:val="en-US" w:eastAsia="zh-CN" w:bidi="ar"/>
              </w:rPr>
              <w:t>《环境空气质量标准》（GB3095-2026）</w:t>
            </w:r>
            <w:r>
              <w:rPr>
                <w:rFonts w:hint="default" w:ascii="Times New Roman" w:hAnsi="Times New Roman" w:eastAsia="宋体" w:cs="Times New Roman"/>
                <w:color w:val="000000"/>
                <w:sz w:val="24"/>
              </w:rPr>
              <w:t>中</w:t>
            </w:r>
            <w:r>
              <w:rPr>
                <w:rFonts w:hint="default" w:ascii="Times New Roman" w:hAnsi="Times New Roman" w:eastAsia="宋体" w:cs="Times New Roman"/>
                <w:color w:val="000000"/>
                <w:sz w:val="24"/>
                <w:lang w:val="en-US" w:eastAsia="zh-CN"/>
              </w:rPr>
              <w:t>过渡阶段一</w:t>
            </w:r>
            <w:r>
              <w:rPr>
                <w:rFonts w:hint="default" w:ascii="Times New Roman" w:hAnsi="Times New Roman" w:eastAsia="宋体" w:cs="Times New Roman"/>
                <w:color w:val="000000"/>
                <w:sz w:val="24"/>
              </w:rPr>
              <w:t>级标准浓度限值要求的即为达标。</w:t>
            </w:r>
          </w:p>
          <w:p w14:paraId="3FEDE74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000000"/>
                <w:sz w:val="24"/>
              </w:rPr>
            </w:pPr>
            <w:r>
              <w:rPr>
                <w:rFonts w:hint="eastAsia" w:cs="Times New Roman"/>
                <w:color w:val="000000"/>
                <w:sz w:val="24"/>
                <w:lang w:val="en-US" w:eastAsia="zh-CN"/>
              </w:rPr>
              <w:t>4.1.4</w:t>
            </w:r>
            <w:r>
              <w:rPr>
                <w:rFonts w:hint="default" w:ascii="Times New Roman" w:hAnsi="Times New Roman" w:eastAsia="宋体" w:cs="Times New Roman"/>
                <w:color w:val="000000"/>
                <w:sz w:val="24"/>
              </w:rPr>
              <w:t>空气质量达标区判定</w:t>
            </w:r>
          </w:p>
          <w:p w14:paraId="257C5E1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eastAsia="zh-CN"/>
              </w:rPr>
              <w:t>根据2024年博格达环境监测站天池景区空气质量逐日统计结果，</w:t>
            </w:r>
            <w:r>
              <w:rPr>
                <w:rFonts w:hint="default" w:ascii="Times New Roman" w:hAnsi="Times New Roman" w:eastAsia="宋体" w:cs="Times New Roman"/>
                <w:color w:val="000000"/>
                <w:sz w:val="24"/>
              </w:rPr>
              <w:t>空气质量达标区判定结果见表</w:t>
            </w:r>
            <w:r>
              <w:rPr>
                <w:rFonts w:hint="default" w:ascii="Times New Roman" w:hAnsi="Times New Roman" w:eastAsia="宋体" w:cs="Times New Roman"/>
                <w:color w:val="000000"/>
                <w:sz w:val="24"/>
                <w:lang w:val="en-US" w:eastAsia="zh-CN"/>
              </w:rPr>
              <w:t>3-</w:t>
            </w:r>
            <w:r>
              <w:rPr>
                <w:rFonts w:hint="eastAsia" w:cs="Times New Roman"/>
                <w:color w:val="000000"/>
                <w:sz w:val="24"/>
                <w:lang w:val="en-US" w:eastAsia="zh-CN"/>
              </w:rPr>
              <w:t>2</w:t>
            </w:r>
            <w:r>
              <w:rPr>
                <w:rFonts w:hint="default" w:ascii="Times New Roman" w:hAnsi="Times New Roman" w:eastAsia="宋体" w:cs="Times New Roman"/>
                <w:color w:val="000000"/>
                <w:sz w:val="24"/>
                <w:lang w:val="en-US" w:eastAsia="zh-CN"/>
              </w:rPr>
              <w:t>。</w:t>
            </w:r>
          </w:p>
          <w:p w14:paraId="240A60F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表</w:t>
            </w:r>
            <w:r>
              <w:rPr>
                <w:rFonts w:hint="default" w:ascii="Times New Roman" w:hAnsi="Times New Roman" w:eastAsia="宋体" w:cs="Times New Roman"/>
                <w:b/>
                <w:bCs/>
                <w:color w:val="000000"/>
                <w:sz w:val="21"/>
                <w:szCs w:val="21"/>
                <w:lang w:val="en-US" w:eastAsia="zh-CN"/>
              </w:rPr>
              <w:t>3-</w:t>
            </w:r>
            <w:r>
              <w:rPr>
                <w:rFonts w:hint="eastAsia" w:cs="Times New Roman"/>
                <w:b/>
                <w:bCs/>
                <w:color w:val="000000"/>
                <w:sz w:val="21"/>
                <w:szCs w:val="21"/>
                <w:lang w:val="en-US" w:eastAsia="zh-CN"/>
              </w:rPr>
              <w:t>2</w:t>
            </w:r>
            <w:r>
              <w:rPr>
                <w:rFonts w:hint="default" w:ascii="Times New Roman" w:hAnsi="Times New Roman" w:eastAsia="宋体" w:cs="Times New Roman"/>
                <w:b/>
                <w:bCs/>
                <w:color w:val="000000"/>
                <w:sz w:val="21"/>
                <w:szCs w:val="21"/>
              </w:rPr>
              <w:t xml:space="preserve">   区域空气质量现状评价结果一览表</w:t>
            </w:r>
          </w:p>
          <w:tbl>
            <w:tblPr>
              <w:tblStyle w:val="32"/>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68"/>
              <w:gridCol w:w="2164"/>
              <w:gridCol w:w="1890"/>
              <w:gridCol w:w="1166"/>
              <w:gridCol w:w="851"/>
              <w:gridCol w:w="707"/>
            </w:tblGrid>
            <w:tr w14:paraId="75EA07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7" w:type="pct"/>
                  <w:tcBorders>
                    <w:bottom w:val="single" w:color="auto" w:sz="12" w:space="0"/>
                  </w:tcBorders>
                  <w:noWrap w:val="0"/>
                  <w:vAlign w:val="center"/>
                </w:tcPr>
                <w:p w14:paraId="6307033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污染物</w:t>
                  </w:r>
                </w:p>
              </w:tc>
              <w:tc>
                <w:tcPr>
                  <w:tcW w:w="1414" w:type="pct"/>
                  <w:tcBorders>
                    <w:bottom w:val="single" w:color="auto" w:sz="12" w:space="0"/>
                  </w:tcBorders>
                  <w:noWrap w:val="0"/>
                  <w:vAlign w:val="center"/>
                </w:tcPr>
                <w:p w14:paraId="69CA26D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年评价指标</w:t>
                  </w:r>
                </w:p>
              </w:tc>
              <w:tc>
                <w:tcPr>
                  <w:tcW w:w="1235" w:type="pct"/>
                  <w:tcBorders>
                    <w:bottom w:val="single" w:color="auto" w:sz="12" w:space="0"/>
                  </w:tcBorders>
                  <w:noWrap w:val="0"/>
                  <w:vAlign w:val="center"/>
                </w:tcPr>
                <w:p w14:paraId="2C00534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现状浓度（μg/m</w:t>
                  </w:r>
                  <w:r>
                    <w:rPr>
                      <w:rFonts w:hint="default" w:ascii="Times New Roman" w:hAnsi="Times New Roman" w:eastAsia="宋体" w:cs="Times New Roman"/>
                      <w:b/>
                      <w:bCs/>
                      <w:color w:val="000000"/>
                      <w:kern w:val="0"/>
                      <w:sz w:val="21"/>
                      <w:szCs w:val="21"/>
                      <w:vertAlign w:val="superscript"/>
                      <w:lang w:val="en-US" w:eastAsia="zh-CN" w:bidi="ar"/>
                    </w:rPr>
                    <w:t>3</w:t>
                  </w:r>
                  <w:r>
                    <w:rPr>
                      <w:rFonts w:hint="default" w:ascii="Times New Roman" w:hAnsi="Times New Roman" w:eastAsia="宋体" w:cs="Times New Roman"/>
                      <w:b/>
                      <w:bCs/>
                      <w:color w:val="000000"/>
                      <w:kern w:val="0"/>
                      <w:sz w:val="21"/>
                      <w:szCs w:val="21"/>
                      <w:lang w:val="en-US" w:eastAsia="zh-CN" w:bidi="ar"/>
                    </w:rPr>
                    <w:t>）</w:t>
                  </w:r>
                </w:p>
              </w:tc>
              <w:tc>
                <w:tcPr>
                  <w:tcW w:w="762" w:type="pct"/>
                  <w:tcBorders>
                    <w:bottom w:val="single" w:color="auto" w:sz="12" w:space="0"/>
                  </w:tcBorders>
                  <w:noWrap w:val="0"/>
                  <w:vAlign w:val="center"/>
                </w:tcPr>
                <w:p w14:paraId="7DDE2D5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评价标准（μg/m</w:t>
                  </w:r>
                  <w:r>
                    <w:rPr>
                      <w:rFonts w:hint="default" w:ascii="Times New Roman" w:hAnsi="Times New Roman" w:eastAsia="宋体" w:cs="Times New Roman"/>
                      <w:b/>
                      <w:bCs/>
                      <w:color w:val="000000"/>
                      <w:kern w:val="0"/>
                      <w:sz w:val="21"/>
                      <w:szCs w:val="21"/>
                      <w:vertAlign w:val="superscript"/>
                      <w:lang w:val="en-US" w:eastAsia="zh-CN" w:bidi="ar"/>
                    </w:rPr>
                    <w:t>3</w:t>
                  </w:r>
                  <w:r>
                    <w:rPr>
                      <w:rFonts w:hint="default" w:ascii="Times New Roman" w:hAnsi="Times New Roman" w:eastAsia="宋体" w:cs="Times New Roman"/>
                      <w:b/>
                      <w:bCs/>
                      <w:color w:val="000000"/>
                      <w:kern w:val="0"/>
                      <w:sz w:val="21"/>
                      <w:szCs w:val="21"/>
                      <w:lang w:val="en-US" w:eastAsia="zh-CN" w:bidi="ar"/>
                    </w:rPr>
                    <w:t>）</w:t>
                  </w:r>
                </w:p>
              </w:tc>
              <w:tc>
                <w:tcPr>
                  <w:tcW w:w="556" w:type="pct"/>
                  <w:tcBorders>
                    <w:bottom w:val="single" w:color="auto" w:sz="12" w:space="0"/>
                  </w:tcBorders>
                  <w:noWrap w:val="0"/>
                  <w:vAlign w:val="center"/>
                </w:tcPr>
                <w:p w14:paraId="0543646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占标率（%）</w:t>
                  </w:r>
                </w:p>
              </w:tc>
              <w:tc>
                <w:tcPr>
                  <w:tcW w:w="462" w:type="pct"/>
                  <w:tcBorders>
                    <w:bottom w:val="single" w:color="auto" w:sz="12" w:space="0"/>
                  </w:tcBorders>
                  <w:noWrap w:val="0"/>
                  <w:vAlign w:val="center"/>
                </w:tcPr>
                <w:p w14:paraId="7F0CD82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达标情况</w:t>
                  </w:r>
                </w:p>
              </w:tc>
            </w:tr>
            <w:tr w14:paraId="2C252C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7" w:type="pct"/>
                  <w:tcBorders>
                    <w:top w:val="single" w:color="auto" w:sz="12" w:space="0"/>
                    <w:tl2br w:val="nil"/>
                    <w:tr2bl w:val="nil"/>
                  </w:tcBorders>
                  <w:noWrap w:val="0"/>
                  <w:vAlign w:val="center"/>
                </w:tcPr>
                <w:p w14:paraId="1715270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SO</w:t>
                  </w:r>
                  <w:r>
                    <w:rPr>
                      <w:rFonts w:hint="default" w:ascii="Times New Roman" w:hAnsi="Times New Roman" w:eastAsia="宋体" w:cs="Times New Roman"/>
                      <w:b w:val="0"/>
                      <w:bCs w:val="0"/>
                      <w:color w:val="000000"/>
                      <w:kern w:val="0"/>
                      <w:sz w:val="21"/>
                      <w:szCs w:val="21"/>
                      <w:vertAlign w:val="subscript"/>
                      <w:lang w:val="en-US" w:eastAsia="zh-CN" w:bidi="ar"/>
                    </w:rPr>
                    <w:t>2</w:t>
                  </w:r>
                </w:p>
              </w:tc>
              <w:tc>
                <w:tcPr>
                  <w:tcW w:w="1414" w:type="pct"/>
                  <w:tcBorders>
                    <w:top w:val="single" w:color="auto" w:sz="12" w:space="0"/>
                    <w:tl2br w:val="nil"/>
                    <w:tr2bl w:val="nil"/>
                  </w:tcBorders>
                  <w:noWrap w:val="0"/>
                  <w:vAlign w:val="center"/>
                </w:tcPr>
                <w:p w14:paraId="174788A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年平均质量浓度</w:t>
                  </w:r>
                </w:p>
              </w:tc>
              <w:tc>
                <w:tcPr>
                  <w:tcW w:w="1235" w:type="pct"/>
                  <w:tcBorders>
                    <w:top w:val="single" w:color="auto" w:sz="12" w:space="0"/>
                    <w:tl2br w:val="nil"/>
                    <w:tr2bl w:val="nil"/>
                  </w:tcBorders>
                  <w:noWrap w:val="0"/>
                  <w:vAlign w:val="center"/>
                </w:tcPr>
                <w:p w14:paraId="4BEBAE2C">
                  <w:pPr>
                    <w:pStyle w:val="56"/>
                    <w:keepNext w:val="0"/>
                    <w:keepLines w:val="0"/>
                    <w:pageBreakBefore w:val="0"/>
                    <w:kinsoku/>
                    <w:wordWrap/>
                    <w:overflowPunct/>
                    <w:topLinePunct w:val="0"/>
                    <w:autoSpaceDE/>
                    <w:autoSpaceDN/>
                    <w:bidi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6</w:t>
                  </w:r>
                </w:p>
              </w:tc>
              <w:tc>
                <w:tcPr>
                  <w:tcW w:w="762" w:type="pct"/>
                  <w:tcBorders>
                    <w:top w:val="single" w:color="auto" w:sz="12" w:space="0"/>
                    <w:tl2br w:val="nil"/>
                    <w:tr2bl w:val="nil"/>
                  </w:tcBorders>
                  <w:noWrap w:val="0"/>
                  <w:vAlign w:val="center"/>
                </w:tcPr>
                <w:p w14:paraId="3FFEDB6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20</w:t>
                  </w:r>
                </w:p>
              </w:tc>
              <w:tc>
                <w:tcPr>
                  <w:tcW w:w="556" w:type="pct"/>
                  <w:tcBorders>
                    <w:top w:val="single" w:color="auto" w:sz="12" w:space="0"/>
                    <w:tl2br w:val="nil"/>
                    <w:tr2bl w:val="nil"/>
                  </w:tcBorders>
                  <w:noWrap w:val="0"/>
                  <w:vAlign w:val="center"/>
                </w:tcPr>
                <w:p w14:paraId="0FD64A9A">
                  <w:pPr>
                    <w:pStyle w:val="56"/>
                    <w:keepNext w:val="0"/>
                    <w:keepLines w:val="0"/>
                    <w:pageBreakBefore w:val="0"/>
                    <w:kinsoku/>
                    <w:wordWrap/>
                    <w:overflowPunct/>
                    <w:topLinePunct w:val="0"/>
                    <w:autoSpaceDE/>
                    <w:autoSpaceDN/>
                    <w:bidi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30</w:t>
                  </w:r>
                </w:p>
              </w:tc>
              <w:tc>
                <w:tcPr>
                  <w:tcW w:w="462" w:type="pct"/>
                  <w:tcBorders>
                    <w:top w:val="single" w:color="auto" w:sz="12" w:space="0"/>
                    <w:tl2br w:val="nil"/>
                    <w:tr2bl w:val="nil"/>
                  </w:tcBorders>
                  <w:noWrap w:val="0"/>
                  <w:vAlign w:val="center"/>
                </w:tcPr>
                <w:p w14:paraId="09C6038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达标</w:t>
                  </w:r>
                </w:p>
              </w:tc>
            </w:tr>
            <w:tr w14:paraId="1B1B33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7" w:type="pct"/>
                  <w:tcBorders>
                    <w:tl2br w:val="nil"/>
                    <w:tr2bl w:val="nil"/>
                  </w:tcBorders>
                  <w:noWrap w:val="0"/>
                  <w:vAlign w:val="center"/>
                </w:tcPr>
                <w:p w14:paraId="3C0581F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NO</w:t>
                  </w:r>
                  <w:r>
                    <w:rPr>
                      <w:rFonts w:hint="default" w:ascii="Times New Roman" w:hAnsi="Times New Roman" w:eastAsia="宋体" w:cs="Times New Roman"/>
                      <w:b w:val="0"/>
                      <w:bCs w:val="0"/>
                      <w:color w:val="000000"/>
                      <w:kern w:val="0"/>
                      <w:sz w:val="21"/>
                      <w:szCs w:val="21"/>
                      <w:vertAlign w:val="subscript"/>
                      <w:lang w:val="en-US" w:eastAsia="zh-CN" w:bidi="ar"/>
                    </w:rPr>
                    <w:t>2</w:t>
                  </w:r>
                </w:p>
              </w:tc>
              <w:tc>
                <w:tcPr>
                  <w:tcW w:w="1414" w:type="pct"/>
                  <w:tcBorders>
                    <w:tl2br w:val="nil"/>
                    <w:tr2bl w:val="nil"/>
                  </w:tcBorders>
                  <w:noWrap w:val="0"/>
                  <w:vAlign w:val="center"/>
                </w:tcPr>
                <w:p w14:paraId="75E60A7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年平均质量浓度</w:t>
                  </w:r>
                </w:p>
              </w:tc>
              <w:tc>
                <w:tcPr>
                  <w:tcW w:w="1235" w:type="pct"/>
                  <w:tcBorders>
                    <w:tl2br w:val="nil"/>
                    <w:tr2bl w:val="nil"/>
                  </w:tcBorders>
                  <w:noWrap w:val="0"/>
                  <w:vAlign w:val="center"/>
                </w:tcPr>
                <w:p w14:paraId="33509D45">
                  <w:pPr>
                    <w:pStyle w:val="56"/>
                    <w:keepNext w:val="0"/>
                    <w:keepLines w:val="0"/>
                    <w:pageBreakBefore w:val="0"/>
                    <w:kinsoku/>
                    <w:wordWrap/>
                    <w:overflowPunct/>
                    <w:topLinePunct w:val="0"/>
                    <w:autoSpaceDE/>
                    <w:autoSpaceDN/>
                    <w:bidi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sz w:val="21"/>
                      <w:szCs w:val="21"/>
                      <w:lang w:val="en-US" w:eastAsia="zh-CN"/>
                    </w:rPr>
                    <w:t>6</w:t>
                  </w:r>
                </w:p>
              </w:tc>
              <w:tc>
                <w:tcPr>
                  <w:tcW w:w="762" w:type="pct"/>
                  <w:tcBorders>
                    <w:tl2br w:val="nil"/>
                    <w:tr2bl w:val="nil"/>
                  </w:tcBorders>
                  <w:noWrap w:val="0"/>
                  <w:vAlign w:val="center"/>
                </w:tcPr>
                <w:p w14:paraId="22AF693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40</w:t>
                  </w:r>
                </w:p>
              </w:tc>
              <w:tc>
                <w:tcPr>
                  <w:tcW w:w="556" w:type="pct"/>
                  <w:tcBorders>
                    <w:tl2br w:val="nil"/>
                    <w:tr2bl w:val="nil"/>
                  </w:tcBorders>
                  <w:noWrap w:val="0"/>
                  <w:vAlign w:val="center"/>
                </w:tcPr>
                <w:p w14:paraId="3A42336E">
                  <w:pPr>
                    <w:pStyle w:val="56"/>
                    <w:keepNext w:val="0"/>
                    <w:keepLines w:val="0"/>
                    <w:pageBreakBefore w:val="0"/>
                    <w:kinsoku/>
                    <w:wordWrap/>
                    <w:overflowPunct/>
                    <w:topLinePunct w:val="0"/>
                    <w:autoSpaceDE/>
                    <w:autoSpaceDN/>
                    <w:bidi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15</w:t>
                  </w:r>
                </w:p>
              </w:tc>
              <w:tc>
                <w:tcPr>
                  <w:tcW w:w="462" w:type="pct"/>
                  <w:tcBorders>
                    <w:tl2br w:val="nil"/>
                    <w:tr2bl w:val="nil"/>
                  </w:tcBorders>
                  <w:noWrap w:val="0"/>
                  <w:vAlign w:val="center"/>
                </w:tcPr>
                <w:p w14:paraId="4DEF43B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达标</w:t>
                  </w:r>
                </w:p>
              </w:tc>
            </w:tr>
            <w:tr w14:paraId="057CFE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7" w:type="pct"/>
                  <w:tcBorders>
                    <w:tl2br w:val="nil"/>
                    <w:tr2bl w:val="nil"/>
                  </w:tcBorders>
                  <w:noWrap w:val="0"/>
                  <w:vAlign w:val="center"/>
                </w:tcPr>
                <w:p w14:paraId="4F4522A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PM</w:t>
                  </w:r>
                  <w:r>
                    <w:rPr>
                      <w:rFonts w:hint="default" w:ascii="Times New Roman" w:hAnsi="Times New Roman" w:eastAsia="宋体" w:cs="Times New Roman"/>
                      <w:b w:val="0"/>
                      <w:bCs w:val="0"/>
                      <w:color w:val="000000"/>
                      <w:kern w:val="0"/>
                      <w:sz w:val="21"/>
                      <w:szCs w:val="21"/>
                      <w:vertAlign w:val="subscript"/>
                      <w:lang w:val="en-US" w:eastAsia="zh-CN" w:bidi="ar"/>
                    </w:rPr>
                    <w:t>10</w:t>
                  </w:r>
                </w:p>
              </w:tc>
              <w:tc>
                <w:tcPr>
                  <w:tcW w:w="1414" w:type="pct"/>
                  <w:tcBorders>
                    <w:tl2br w:val="nil"/>
                    <w:tr2bl w:val="nil"/>
                  </w:tcBorders>
                  <w:noWrap w:val="0"/>
                  <w:vAlign w:val="center"/>
                </w:tcPr>
                <w:p w14:paraId="20B83ED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年平均质量浓度</w:t>
                  </w:r>
                </w:p>
              </w:tc>
              <w:tc>
                <w:tcPr>
                  <w:tcW w:w="1235" w:type="pct"/>
                  <w:tcBorders>
                    <w:tl2br w:val="nil"/>
                    <w:tr2bl w:val="nil"/>
                  </w:tcBorders>
                  <w:noWrap w:val="0"/>
                  <w:vAlign w:val="center"/>
                </w:tcPr>
                <w:p w14:paraId="523E62B5">
                  <w:pPr>
                    <w:pStyle w:val="56"/>
                    <w:keepNext w:val="0"/>
                    <w:keepLines w:val="0"/>
                    <w:pageBreakBefore w:val="0"/>
                    <w:kinsoku/>
                    <w:wordWrap/>
                    <w:overflowPunct/>
                    <w:topLinePunct w:val="0"/>
                    <w:autoSpaceDE/>
                    <w:autoSpaceDN/>
                    <w:bidi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sz w:val="21"/>
                      <w:szCs w:val="21"/>
                      <w:lang w:val="en-US" w:eastAsia="zh-CN"/>
                    </w:rPr>
                    <w:t>22</w:t>
                  </w:r>
                </w:p>
              </w:tc>
              <w:tc>
                <w:tcPr>
                  <w:tcW w:w="762" w:type="pct"/>
                  <w:tcBorders>
                    <w:tl2br w:val="nil"/>
                    <w:tr2bl w:val="nil"/>
                  </w:tcBorders>
                  <w:noWrap w:val="0"/>
                  <w:vAlign w:val="center"/>
                </w:tcPr>
                <w:p w14:paraId="61E1DB3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40</w:t>
                  </w:r>
                </w:p>
              </w:tc>
              <w:tc>
                <w:tcPr>
                  <w:tcW w:w="556" w:type="pct"/>
                  <w:tcBorders>
                    <w:tl2br w:val="nil"/>
                    <w:tr2bl w:val="nil"/>
                  </w:tcBorders>
                  <w:noWrap w:val="0"/>
                  <w:vAlign w:val="center"/>
                </w:tcPr>
                <w:p w14:paraId="01B4C27A">
                  <w:pPr>
                    <w:pStyle w:val="56"/>
                    <w:keepNext w:val="0"/>
                    <w:keepLines w:val="0"/>
                    <w:pageBreakBefore w:val="0"/>
                    <w:kinsoku/>
                    <w:wordWrap/>
                    <w:overflowPunct/>
                    <w:topLinePunct w:val="0"/>
                    <w:autoSpaceDE/>
                    <w:autoSpaceDN/>
                    <w:bidi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55</w:t>
                  </w:r>
                </w:p>
              </w:tc>
              <w:tc>
                <w:tcPr>
                  <w:tcW w:w="462" w:type="pct"/>
                  <w:tcBorders>
                    <w:tl2br w:val="nil"/>
                    <w:tr2bl w:val="nil"/>
                  </w:tcBorders>
                  <w:noWrap w:val="0"/>
                  <w:vAlign w:val="center"/>
                </w:tcPr>
                <w:p w14:paraId="1DE318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达标</w:t>
                  </w:r>
                </w:p>
              </w:tc>
            </w:tr>
            <w:tr w14:paraId="7FF251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7" w:type="pct"/>
                  <w:tcBorders>
                    <w:tl2br w:val="nil"/>
                    <w:tr2bl w:val="nil"/>
                  </w:tcBorders>
                  <w:noWrap w:val="0"/>
                  <w:vAlign w:val="center"/>
                </w:tcPr>
                <w:p w14:paraId="3537F52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PM</w:t>
                  </w:r>
                  <w:r>
                    <w:rPr>
                      <w:rFonts w:hint="default" w:ascii="Times New Roman" w:hAnsi="Times New Roman" w:eastAsia="宋体" w:cs="Times New Roman"/>
                      <w:b w:val="0"/>
                      <w:bCs w:val="0"/>
                      <w:color w:val="000000"/>
                      <w:kern w:val="0"/>
                      <w:sz w:val="21"/>
                      <w:szCs w:val="21"/>
                      <w:vertAlign w:val="subscript"/>
                      <w:lang w:val="en-US" w:eastAsia="zh-CN" w:bidi="ar"/>
                    </w:rPr>
                    <w:t>2.5</w:t>
                  </w:r>
                </w:p>
              </w:tc>
              <w:tc>
                <w:tcPr>
                  <w:tcW w:w="1414" w:type="pct"/>
                  <w:tcBorders>
                    <w:tl2br w:val="nil"/>
                    <w:tr2bl w:val="nil"/>
                  </w:tcBorders>
                  <w:noWrap w:val="0"/>
                  <w:vAlign w:val="center"/>
                </w:tcPr>
                <w:p w14:paraId="6ABE56A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年平均质量浓度</w:t>
                  </w:r>
                </w:p>
              </w:tc>
              <w:tc>
                <w:tcPr>
                  <w:tcW w:w="1235" w:type="pct"/>
                  <w:tcBorders>
                    <w:tl2br w:val="nil"/>
                    <w:tr2bl w:val="nil"/>
                  </w:tcBorders>
                  <w:noWrap w:val="0"/>
                  <w:vAlign w:val="center"/>
                </w:tcPr>
                <w:p w14:paraId="53181C41">
                  <w:pPr>
                    <w:pStyle w:val="56"/>
                    <w:keepNext w:val="0"/>
                    <w:keepLines w:val="0"/>
                    <w:pageBreakBefore w:val="0"/>
                    <w:kinsoku/>
                    <w:wordWrap/>
                    <w:overflowPunct/>
                    <w:topLinePunct w:val="0"/>
                    <w:autoSpaceDE/>
                    <w:autoSpaceDN/>
                    <w:bidi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sz w:val="21"/>
                      <w:szCs w:val="21"/>
                      <w:lang w:val="en-US" w:eastAsia="zh-CN"/>
                    </w:rPr>
                    <w:t>9</w:t>
                  </w:r>
                </w:p>
              </w:tc>
              <w:tc>
                <w:tcPr>
                  <w:tcW w:w="762" w:type="pct"/>
                  <w:tcBorders>
                    <w:tl2br w:val="nil"/>
                    <w:tr2bl w:val="nil"/>
                  </w:tcBorders>
                  <w:noWrap w:val="0"/>
                  <w:vAlign w:val="center"/>
                </w:tcPr>
                <w:p w14:paraId="2B7CB27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15</w:t>
                  </w:r>
                </w:p>
              </w:tc>
              <w:tc>
                <w:tcPr>
                  <w:tcW w:w="556" w:type="pct"/>
                  <w:tcBorders>
                    <w:tl2br w:val="nil"/>
                    <w:tr2bl w:val="nil"/>
                  </w:tcBorders>
                  <w:noWrap w:val="0"/>
                  <w:vAlign w:val="center"/>
                </w:tcPr>
                <w:p w14:paraId="63D8DF85">
                  <w:pPr>
                    <w:pStyle w:val="56"/>
                    <w:keepNext w:val="0"/>
                    <w:keepLines w:val="0"/>
                    <w:pageBreakBefore w:val="0"/>
                    <w:kinsoku/>
                    <w:wordWrap/>
                    <w:overflowPunct/>
                    <w:topLinePunct w:val="0"/>
                    <w:autoSpaceDE/>
                    <w:autoSpaceDN/>
                    <w:bidi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60</w:t>
                  </w:r>
                </w:p>
              </w:tc>
              <w:tc>
                <w:tcPr>
                  <w:tcW w:w="462" w:type="pct"/>
                  <w:tcBorders>
                    <w:tl2br w:val="nil"/>
                    <w:tr2bl w:val="nil"/>
                  </w:tcBorders>
                  <w:noWrap w:val="0"/>
                  <w:vAlign w:val="center"/>
                </w:tcPr>
                <w:p w14:paraId="683D76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达标</w:t>
                  </w:r>
                </w:p>
              </w:tc>
            </w:tr>
            <w:tr w14:paraId="2A8723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7" w:type="pct"/>
                  <w:tcBorders>
                    <w:tl2br w:val="nil"/>
                    <w:tr2bl w:val="nil"/>
                  </w:tcBorders>
                  <w:noWrap w:val="0"/>
                  <w:vAlign w:val="center"/>
                </w:tcPr>
                <w:p w14:paraId="44C42E6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CO</w:t>
                  </w:r>
                </w:p>
              </w:tc>
              <w:tc>
                <w:tcPr>
                  <w:tcW w:w="1414" w:type="pct"/>
                  <w:tcBorders>
                    <w:tl2br w:val="nil"/>
                    <w:tr2bl w:val="nil"/>
                  </w:tcBorders>
                  <w:noWrap w:val="0"/>
                  <w:vAlign w:val="center"/>
                </w:tcPr>
                <w:p w14:paraId="32FE187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日平均第95百分位数</w:t>
                  </w:r>
                </w:p>
              </w:tc>
              <w:tc>
                <w:tcPr>
                  <w:tcW w:w="1235" w:type="pct"/>
                  <w:tcBorders>
                    <w:tl2br w:val="nil"/>
                    <w:tr2bl w:val="nil"/>
                  </w:tcBorders>
                  <w:noWrap w:val="0"/>
                  <w:vAlign w:val="center"/>
                </w:tcPr>
                <w:p w14:paraId="180A5594">
                  <w:pPr>
                    <w:pStyle w:val="56"/>
                    <w:keepNext w:val="0"/>
                    <w:keepLines w:val="0"/>
                    <w:pageBreakBefore w:val="0"/>
                    <w:kinsoku/>
                    <w:wordWrap/>
                    <w:overflowPunct/>
                    <w:topLinePunct w:val="0"/>
                    <w:autoSpaceDE/>
                    <w:autoSpaceDN/>
                    <w:bidi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sz w:val="21"/>
                      <w:szCs w:val="21"/>
                      <w:lang w:val="en-US" w:eastAsia="zh-CN"/>
                    </w:rPr>
                    <w:t>0.5</w:t>
                  </w:r>
                  <w:r>
                    <w:rPr>
                      <w:rFonts w:hint="default" w:ascii="Times New Roman" w:hAnsi="Times New Roman" w:eastAsia="宋体" w:cs="Times New Roman"/>
                      <w:b w:val="0"/>
                      <w:bCs w:val="0"/>
                      <w:color w:val="000000"/>
                      <w:kern w:val="2"/>
                      <w:sz w:val="21"/>
                      <w:szCs w:val="21"/>
                      <w:highlight w:val="none"/>
                      <w:vertAlign w:val="baseline"/>
                      <w:lang w:val="en-US" w:eastAsia="zh-CN"/>
                    </w:rPr>
                    <w:t>mg/m</w:t>
                  </w:r>
                  <w:r>
                    <w:rPr>
                      <w:rFonts w:hint="default" w:ascii="Times New Roman" w:hAnsi="Times New Roman" w:eastAsia="宋体" w:cs="Times New Roman"/>
                      <w:b w:val="0"/>
                      <w:bCs w:val="0"/>
                      <w:color w:val="000000"/>
                      <w:kern w:val="2"/>
                      <w:sz w:val="21"/>
                      <w:szCs w:val="21"/>
                      <w:highlight w:val="none"/>
                      <w:vertAlign w:val="superscript"/>
                      <w:lang w:val="en-US" w:eastAsia="zh-CN"/>
                    </w:rPr>
                    <w:t>3</w:t>
                  </w:r>
                </w:p>
              </w:tc>
              <w:tc>
                <w:tcPr>
                  <w:tcW w:w="762" w:type="pct"/>
                  <w:tcBorders>
                    <w:tl2br w:val="nil"/>
                    <w:tr2bl w:val="nil"/>
                  </w:tcBorders>
                  <w:noWrap w:val="0"/>
                  <w:vAlign w:val="center"/>
                </w:tcPr>
                <w:p w14:paraId="720EE35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4</w:t>
                  </w:r>
                  <w:r>
                    <w:rPr>
                      <w:rFonts w:hint="default" w:ascii="Times New Roman" w:hAnsi="Times New Roman" w:eastAsia="宋体" w:cs="Times New Roman"/>
                      <w:b w:val="0"/>
                      <w:bCs w:val="0"/>
                      <w:color w:val="000000"/>
                      <w:kern w:val="2"/>
                      <w:sz w:val="21"/>
                      <w:szCs w:val="21"/>
                      <w:highlight w:val="none"/>
                      <w:vertAlign w:val="baseline"/>
                      <w:lang w:val="en-US" w:eastAsia="zh-CN"/>
                    </w:rPr>
                    <w:t>mg/m</w:t>
                  </w:r>
                  <w:r>
                    <w:rPr>
                      <w:rFonts w:hint="default" w:ascii="Times New Roman" w:hAnsi="Times New Roman" w:eastAsia="宋体" w:cs="Times New Roman"/>
                      <w:b w:val="0"/>
                      <w:bCs w:val="0"/>
                      <w:color w:val="000000"/>
                      <w:kern w:val="2"/>
                      <w:sz w:val="21"/>
                      <w:szCs w:val="21"/>
                      <w:highlight w:val="none"/>
                      <w:vertAlign w:val="superscript"/>
                      <w:lang w:val="en-US" w:eastAsia="zh-CN"/>
                    </w:rPr>
                    <w:t>3</w:t>
                  </w:r>
                </w:p>
              </w:tc>
              <w:tc>
                <w:tcPr>
                  <w:tcW w:w="556" w:type="pct"/>
                  <w:tcBorders>
                    <w:tl2br w:val="nil"/>
                    <w:tr2bl w:val="nil"/>
                  </w:tcBorders>
                  <w:noWrap w:val="0"/>
                  <w:vAlign w:val="center"/>
                </w:tcPr>
                <w:p w14:paraId="3586529A">
                  <w:pPr>
                    <w:pStyle w:val="56"/>
                    <w:keepNext w:val="0"/>
                    <w:keepLines w:val="0"/>
                    <w:pageBreakBefore w:val="0"/>
                    <w:kinsoku/>
                    <w:wordWrap/>
                    <w:overflowPunct/>
                    <w:topLinePunct w:val="0"/>
                    <w:autoSpaceDE/>
                    <w:autoSpaceDN/>
                    <w:bidi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12.5</w:t>
                  </w:r>
                </w:p>
              </w:tc>
              <w:tc>
                <w:tcPr>
                  <w:tcW w:w="462" w:type="pct"/>
                  <w:tcBorders>
                    <w:tl2br w:val="nil"/>
                    <w:tr2bl w:val="nil"/>
                  </w:tcBorders>
                  <w:noWrap w:val="0"/>
                  <w:vAlign w:val="center"/>
                </w:tcPr>
                <w:p w14:paraId="190A30C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达标</w:t>
                  </w:r>
                </w:p>
              </w:tc>
            </w:tr>
            <w:tr w14:paraId="3FE445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7" w:type="pct"/>
                  <w:tcBorders>
                    <w:tl2br w:val="nil"/>
                    <w:tr2bl w:val="nil"/>
                  </w:tcBorders>
                  <w:noWrap w:val="0"/>
                  <w:vAlign w:val="center"/>
                </w:tcPr>
                <w:p w14:paraId="658FBF2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O</w:t>
                  </w:r>
                  <w:r>
                    <w:rPr>
                      <w:rFonts w:hint="default" w:ascii="Times New Roman" w:hAnsi="Times New Roman" w:eastAsia="宋体" w:cs="Times New Roman"/>
                      <w:b w:val="0"/>
                      <w:bCs w:val="0"/>
                      <w:color w:val="000000"/>
                      <w:kern w:val="0"/>
                      <w:sz w:val="21"/>
                      <w:szCs w:val="21"/>
                      <w:vertAlign w:val="subscript"/>
                      <w:lang w:val="en-US" w:eastAsia="zh-CN" w:bidi="ar"/>
                    </w:rPr>
                    <w:t>3</w:t>
                  </w:r>
                </w:p>
              </w:tc>
              <w:tc>
                <w:tcPr>
                  <w:tcW w:w="1414" w:type="pct"/>
                  <w:tcBorders>
                    <w:tl2br w:val="nil"/>
                    <w:tr2bl w:val="nil"/>
                  </w:tcBorders>
                  <w:noWrap w:val="0"/>
                  <w:vAlign w:val="center"/>
                </w:tcPr>
                <w:p w14:paraId="413E855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8h最大平均第90百分位</w:t>
                  </w:r>
                </w:p>
              </w:tc>
              <w:tc>
                <w:tcPr>
                  <w:tcW w:w="1235" w:type="pct"/>
                  <w:tcBorders>
                    <w:tl2br w:val="nil"/>
                    <w:tr2bl w:val="nil"/>
                  </w:tcBorders>
                  <w:noWrap w:val="0"/>
                  <w:vAlign w:val="center"/>
                </w:tcPr>
                <w:p w14:paraId="7A4780DD">
                  <w:pPr>
                    <w:pStyle w:val="56"/>
                    <w:keepNext w:val="0"/>
                    <w:keepLines w:val="0"/>
                    <w:pageBreakBefore w:val="0"/>
                    <w:kinsoku/>
                    <w:wordWrap/>
                    <w:overflowPunct/>
                    <w:topLinePunct w:val="0"/>
                    <w:autoSpaceDE/>
                    <w:autoSpaceDN/>
                    <w:bidi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sz w:val="21"/>
                      <w:szCs w:val="21"/>
                      <w:lang w:val="en-US" w:eastAsia="zh-CN"/>
                    </w:rPr>
                    <w:t>95</w:t>
                  </w:r>
                </w:p>
              </w:tc>
              <w:tc>
                <w:tcPr>
                  <w:tcW w:w="762" w:type="pct"/>
                  <w:tcBorders>
                    <w:tl2br w:val="nil"/>
                    <w:tr2bl w:val="nil"/>
                  </w:tcBorders>
                  <w:noWrap w:val="0"/>
                  <w:vAlign w:val="center"/>
                </w:tcPr>
                <w:p w14:paraId="25CE279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100</w:t>
                  </w:r>
                </w:p>
              </w:tc>
              <w:tc>
                <w:tcPr>
                  <w:tcW w:w="556" w:type="pct"/>
                  <w:tcBorders>
                    <w:tl2br w:val="nil"/>
                    <w:tr2bl w:val="nil"/>
                  </w:tcBorders>
                  <w:noWrap w:val="0"/>
                  <w:vAlign w:val="center"/>
                </w:tcPr>
                <w:p w14:paraId="7F8C2C3A">
                  <w:pPr>
                    <w:pStyle w:val="56"/>
                    <w:keepNext w:val="0"/>
                    <w:keepLines w:val="0"/>
                    <w:pageBreakBefore w:val="0"/>
                    <w:kinsoku/>
                    <w:wordWrap/>
                    <w:overflowPunct/>
                    <w:topLinePunct w:val="0"/>
                    <w:autoSpaceDE/>
                    <w:autoSpaceDN/>
                    <w:bidi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95</w:t>
                  </w:r>
                </w:p>
              </w:tc>
              <w:tc>
                <w:tcPr>
                  <w:tcW w:w="462" w:type="pct"/>
                  <w:tcBorders>
                    <w:tl2br w:val="nil"/>
                    <w:tr2bl w:val="nil"/>
                  </w:tcBorders>
                  <w:noWrap w:val="0"/>
                  <w:vAlign w:val="center"/>
                </w:tcPr>
                <w:p w14:paraId="7B39D99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达标</w:t>
                  </w:r>
                </w:p>
              </w:tc>
            </w:tr>
          </w:tbl>
          <w:p w14:paraId="282B40EE">
            <w:pPr>
              <w:keepNext w:val="0"/>
              <w:keepLines w:val="0"/>
              <w:pageBreakBefore w:val="0"/>
              <w:widowControl/>
              <w:suppressLineNumbers w:val="0"/>
              <w:kinsoku/>
              <w:wordWrap/>
              <w:overflowPunct/>
              <w:topLinePunct w:val="0"/>
              <w:autoSpaceDE/>
              <w:autoSpaceDN/>
              <w:bidi w:val="0"/>
              <w:adjustRightInd/>
              <w:snapToGrid w:val="0"/>
              <w:ind w:firstLine="480"/>
              <w:jc w:val="both"/>
              <w:textAlignment w:val="auto"/>
              <w:rPr>
                <w:rFonts w:hint="eastAsia" w:cs="Times New Roman"/>
                <w:b/>
                <w:bCs/>
                <w:iCs w:val="0"/>
                <w:color w:val="000000"/>
                <w:kern w:val="0"/>
                <w:sz w:val="24"/>
                <w:szCs w:val="24"/>
                <w:highlight w:val="none"/>
                <w:lang w:val="en-US" w:eastAsia="zh-CN" w:bidi="ar"/>
              </w:rPr>
            </w:pPr>
            <w:r>
              <w:rPr>
                <w:rFonts w:hint="default" w:ascii="Times New Roman" w:hAnsi="Times New Roman" w:eastAsia="宋体" w:cs="Times New Roman"/>
                <w:color w:val="000000"/>
                <w:sz w:val="24"/>
                <w:szCs w:val="24"/>
              </w:rPr>
              <w:t>项目所在区域SO</w:t>
            </w:r>
            <w:r>
              <w:rPr>
                <w:rFonts w:hint="default" w:ascii="Times New Roman" w:hAnsi="Times New Roman" w:eastAsia="宋体" w:cs="Times New Roman"/>
                <w:color w:val="000000"/>
                <w:sz w:val="24"/>
                <w:szCs w:val="24"/>
                <w:vertAlign w:val="subscript"/>
              </w:rPr>
              <w:t>2</w:t>
            </w:r>
            <w:r>
              <w:rPr>
                <w:rFonts w:hint="default" w:ascii="Times New Roman" w:hAnsi="Times New Roman" w:eastAsia="宋体" w:cs="Times New Roman"/>
                <w:color w:val="000000"/>
                <w:sz w:val="24"/>
                <w:szCs w:val="24"/>
              </w:rPr>
              <w:t>、NO</w:t>
            </w:r>
            <w:r>
              <w:rPr>
                <w:rFonts w:hint="default" w:ascii="Times New Roman" w:hAnsi="Times New Roman" w:eastAsia="宋体" w:cs="Times New Roman"/>
                <w:color w:val="000000"/>
                <w:sz w:val="24"/>
                <w:szCs w:val="24"/>
                <w:vertAlign w:val="subscript"/>
              </w:rPr>
              <w:t>2</w:t>
            </w:r>
            <w:r>
              <w:rPr>
                <w:rFonts w:hint="default" w:ascii="Times New Roman" w:hAnsi="Times New Roman" w:eastAsia="宋体" w:cs="Times New Roman"/>
                <w:color w:val="000000"/>
                <w:sz w:val="24"/>
                <w:szCs w:val="24"/>
              </w:rPr>
              <w:t>、PM</w:t>
            </w:r>
            <w:r>
              <w:rPr>
                <w:rFonts w:hint="default" w:ascii="Times New Roman" w:hAnsi="Times New Roman" w:eastAsia="宋体" w:cs="Times New Roman"/>
                <w:color w:val="000000"/>
                <w:sz w:val="24"/>
                <w:szCs w:val="24"/>
                <w:vertAlign w:val="subscript"/>
              </w:rPr>
              <w:t>10</w:t>
            </w:r>
            <w:r>
              <w:rPr>
                <w:rFonts w:hint="default" w:ascii="Times New Roman" w:hAnsi="Times New Roman" w:eastAsia="宋体" w:cs="Times New Roman"/>
                <w:color w:val="000000"/>
                <w:sz w:val="24"/>
                <w:szCs w:val="24"/>
              </w:rPr>
              <w:t>、PM</w:t>
            </w:r>
            <w:r>
              <w:rPr>
                <w:rFonts w:hint="default" w:ascii="Times New Roman" w:hAnsi="Times New Roman" w:eastAsia="宋体" w:cs="Times New Roman"/>
                <w:color w:val="000000"/>
                <w:sz w:val="24"/>
                <w:szCs w:val="24"/>
                <w:vertAlign w:val="subscript"/>
              </w:rPr>
              <w:t>2.5</w:t>
            </w:r>
            <w:r>
              <w:rPr>
                <w:rFonts w:hint="default" w:ascii="Times New Roman" w:hAnsi="Times New Roman" w:eastAsia="宋体" w:cs="Times New Roman"/>
                <w:color w:val="000000"/>
                <w:sz w:val="24"/>
                <w:szCs w:val="24"/>
              </w:rPr>
              <w:t>、CO和O</w:t>
            </w:r>
            <w:r>
              <w:rPr>
                <w:rFonts w:hint="default" w:ascii="Times New Roman" w:hAnsi="Times New Roman" w:eastAsia="宋体" w:cs="Times New Roman"/>
                <w:color w:val="000000"/>
                <w:sz w:val="24"/>
                <w:szCs w:val="24"/>
                <w:vertAlign w:val="subscript"/>
              </w:rPr>
              <w:t>3</w:t>
            </w:r>
            <w:r>
              <w:rPr>
                <w:rFonts w:hint="default" w:ascii="Times New Roman" w:hAnsi="Times New Roman" w:eastAsia="宋体" w:cs="Times New Roman"/>
                <w:color w:val="000000"/>
                <w:sz w:val="24"/>
                <w:szCs w:val="24"/>
              </w:rPr>
              <w:t>年均浓度均满足《环境空气质量标准》（</w:t>
            </w:r>
            <w:r>
              <w:rPr>
                <w:rFonts w:hint="eastAsia" w:cs="Times New Roman"/>
                <w:color w:val="000000"/>
                <w:sz w:val="24"/>
                <w:szCs w:val="24"/>
                <w:lang w:eastAsia="zh-CN"/>
              </w:rPr>
              <w:t>GB 3095</w:t>
            </w:r>
            <w:r>
              <w:rPr>
                <w:rFonts w:hint="default" w:ascii="Times New Roman" w:hAnsi="Times New Roman" w:eastAsia="宋体" w:cs="Times New Roman"/>
                <w:color w:val="000000"/>
                <w:sz w:val="24"/>
                <w:szCs w:val="24"/>
              </w:rPr>
              <w:t>-20</w:t>
            </w:r>
            <w:r>
              <w:rPr>
                <w:rFonts w:hint="default" w:ascii="Times New Roman" w:hAnsi="Times New Roman" w:eastAsia="宋体" w:cs="Times New Roman"/>
                <w:color w:val="000000"/>
                <w:sz w:val="24"/>
                <w:szCs w:val="24"/>
                <w:lang w:val="en-US" w:eastAsia="zh-CN"/>
              </w:rPr>
              <w:t>26</w:t>
            </w:r>
            <w:r>
              <w:rPr>
                <w:rFonts w:hint="default" w:ascii="Times New Roman" w:hAnsi="Times New Roman" w:eastAsia="宋体" w:cs="Times New Roman"/>
                <w:color w:val="000000"/>
                <w:sz w:val="24"/>
                <w:szCs w:val="24"/>
              </w:rPr>
              <w:t>）的</w:t>
            </w:r>
            <w:r>
              <w:rPr>
                <w:rFonts w:hint="eastAsia" w:cs="Times New Roman"/>
                <w:color w:val="000000"/>
                <w:sz w:val="24"/>
                <w:szCs w:val="24"/>
                <w:lang w:eastAsia="zh-CN"/>
              </w:rPr>
              <w:t>过渡阶段</w:t>
            </w:r>
            <w:r>
              <w:rPr>
                <w:rFonts w:hint="default" w:ascii="Times New Roman" w:hAnsi="Times New Roman" w:eastAsia="宋体" w:cs="Times New Roman"/>
                <w:color w:val="000000"/>
                <w:sz w:val="24"/>
                <w:szCs w:val="24"/>
              </w:rPr>
              <w:t>一级标准要求，本项目所在区域为达标区域。</w:t>
            </w:r>
          </w:p>
          <w:p w14:paraId="71AB6733">
            <w:pPr>
              <w:keepNext w:val="0"/>
              <w:keepLines w:val="0"/>
              <w:pageBreakBefore w:val="0"/>
              <w:widowControl/>
              <w:suppressLineNumbers w:val="0"/>
              <w:kinsoku/>
              <w:wordWrap/>
              <w:overflowPunct/>
              <w:topLinePunct w:val="0"/>
              <w:autoSpaceDE/>
              <w:autoSpaceDN/>
              <w:bidi w:val="0"/>
              <w:adjustRightInd/>
              <w:snapToGrid w:val="0"/>
              <w:ind w:firstLine="480"/>
              <w:jc w:val="both"/>
              <w:textAlignment w:val="auto"/>
              <w:rPr>
                <w:rFonts w:hint="default" w:ascii="Times New Roman" w:hAnsi="Times New Roman" w:eastAsia="宋体" w:cs="Times New Roman"/>
                <w:b/>
                <w:bCs/>
                <w:iCs w:val="0"/>
                <w:color w:val="000000"/>
                <w:kern w:val="0"/>
                <w:sz w:val="24"/>
                <w:szCs w:val="24"/>
                <w:highlight w:val="none"/>
                <w:lang w:val="en-US" w:eastAsia="zh-CN" w:bidi="ar"/>
              </w:rPr>
            </w:pPr>
            <w:r>
              <w:rPr>
                <w:rFonts w:hint="eastAsia" w:cs="Times New Roman"/>
                <w:b/>
                <w:bCs/>
                <w:iCs w:val="0"/>
                <w:color w:val="000000"/>
                <w:kern w:val="0"/>
                <w:sz w:val="24"/>
                <w:szCs w:val="24"/>
                <w:highlight w:val="none"/>
                <w:lang w:val="en-US" w:eastAsia="zh-CN" w:bidi="ar"/>
              </w:rPr>
              <w:t>4.2</w:t>
            </w:r>
            <w:r>
              <w:rPr>
                <w:rFonts w:hint="default" w:ascii="Times New Roman" w:hAnsi="Times New Roman" w:eastAsia="宋体" w:cs="Times New Roman"/>
                <w:b/>
                <w:bCs/>
                <w:iCs w:val="0"/>
                <w:color w:val="000000"/>
                <w:kern w:val="0"/>
                <w:sz w:val="24"/>
                <w:szCs w:val="24"/>
                <w:highlight w:val="none"/>
                <w:lang w:val="en-US" w:eastAsia="zh-CN" w:bidi="ar"/>
              </w:rPr>
              <w:t>声环境现状</w:t>
            </w:r>
          </w:p>
          <w:p w14:paraId="148FE04E">
            <w:pPr>
              <w:keepNext w:val="0"/>
              <w:keepLines w:val="0"/>
              <w:pageBreakBefore w:val="0"/>
              <w:widowControl w:val="0"/>
              <w:shd w:val="clear" w:color="auto" w:fill="auto"/>
              <w:kinsoku/>
              <w:wordWrap w:val="0"/>
              <w:overflowPunct/>
              <w:topLinePunct w:val="0"/>
              <w:autoSpaceDE/>
              <w:autoSpaceDN/>
              <w:bidi w:val="0"/>
              <w:spacing w:beforeAutospacing="0" w:line="360" w:lineRule="auto"/>
              <w:ind w:left="0" w:leftChars="0" w:right="0" w:rightChars="0" w:firstLine="480" w:firstLineChars="200"/>
              <w:outlineLvl w:val="9"/>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rPr>
              <w:t>本次环评委托</w:t>
            </w:r>
            <w:r>
              <w:rPr>
                <w:rFonts w:hint="default" w:ascii="Times New Roman" w:hAnsi="Times New Roman" w:eastAsia="宋体" w:cs="Times New Roman"/>
                <w:color w:val="auto"/>
              </w:rPr>
              <w:t>新疆</w:t>
            </w:r>
            <w:r>
              <w:rPr>
                <w:rFonts w:hint="eastAsia" w:ascii="Times New Roman" w:hAnsi="Times New Roman" w:eastAsia="宋体" w:cs="Times New Roman"/>
                <w:color w:val="auto"/>
                <w:lang w:val="en-US" w:eastAsia="zh-CN"/>
              </w:rPr>
              <w:t>浩源信成环境服务</w:t>
            </w:r>
            <w:r>
              <w:rPr>
                <w:rFonts w:hint="default" w:ascii="Times New Roman" w:hAnsi="Times New Roman" w:eastAsia="宋体" w:cs="Times New Roman"/>
                <w:color w:val="auto"/>
              </w:rPr>
              <w:t>有限责任公司</w:t>
            </w:r>
            <w:r>
              <w:rPr>
                <w:rFonts w:hint="default" w:ascii="Times New Roman" w:hAnsi="Times New Roman" w:eastAsia="宋体" w:cs="Times New Roman"/>
                <w:color w:val="auto"/>
                <w:sz w:val="24"/>
                <w:szCs w:val="24"/>
                <w:highlight w:val="none"/>
                <w:lang w:val="en-US" w:eastAsia="zh-CN"/>
              </w:rPr>
              <w:t>在项目区四周</w:t>
            </w:r>
            <w:r>
              <w:rPr>
                <w:rFonts w:hint="eastAsia" w:ascii="Times New Roman" w:hAnsi="Times New Roman" w:eastAsia="宋体" w:cs="Times New Roman"/>
                <w:color w:val="auto"/>
                <w:sz w:val="24"/>
                <w:szCs w:val="24"/>
                <w:highlight w:val="none"/>
                <w:lang w:val="en-US" w:eastAsia="zh-CN"/>
              </w:rPr>
              <w:t>及敏感点</w:t>
            </w:r>
            <w:r>
              <w:rPr>
                <w:rFonts w:hint="default" w:ascii="Times New Roman" w:hAnsi="Times New Roman" w:eastAsia="宋体" w:cs="Times New Roman"/>
                <w:color w:val="auto"/>
                <w:sz w:val="24"/>
                <w:szCs w:val="24"/>
                <w:highlight w:val="none"/>
                <w:lang w:val="en-US" w:eastAsia="zh-CN"/>
              </w:rPr>
              <w:t>各</w:t>
            </w:r>
            <w:r>
              <w:rPr>
                <w:rFonts w:hint="default" w:ascii="Times New Roman" w:hAnsi="Times New Roman" w:eastAsia="宋体" w:cs="Times New Roman"/>
                <w:color w:val="auto"/>
                <w:sz w:val="24"/>
                <w:szCs w:val="24"/>
                <w:highlight w:val="none"/>
              </w:rPr>
              <w:t>布设监测点</w:t>
            </w:r>
            <w:r>
              <w:rPr>
                <w:rFonts w:hint="eastAsia" w:cs="Times New Roman"/>
                <w:color w:val="auto"/>
                <w:sz w:val="24"/>
                <w:szCs w:val="24"/>
                <w:highlight w:val="none"/>
                <w:lang w:eastAsia="zh-CN"/>
              </w:rPr>
              <w:t>，于</w:t>
            </w:r>
            <w:r>
              <w:rPr>
                <w:rFonts w:hint="default" w:ascii="Times New Roman" w:hAnsi="Times New Roman" w:eastAsia="宋体" w:cs="Times New Roman"/>
                <w:bCs/>
                <w:color w:val="auto"/>
                <w:sz w:val="24"/>
                <w:szCs w:val="24"/>
                <w:highlight w:val="none"/>
                <w:lang w:val="en-US" w:eastAsia="zh-CN"/>
              </w:rPr>
              <w:t>202</w:t>
            </w:r>
            <w:r>
              <w:rPr>
                <w:rFonts w:hint="eastAsia" w:eastAsia="宋体" w:cs="Times New Roman"/>
                <w:bCs/>
                <w:color w:val="auto"/>
                <w:sz w:val="24"/>
                <w:szCs w:val="24"/>
                <w:highlight w:val="none"/>
                <w:lang w:val="en-US" w:eastAsia="zh-CN"/>
              </w:rPr>
              <w:t>6</w:t>
            </w:r>
            <w:r>
              <w:rPr>
                <w:rFonts w:hint="default" w:ascii="Times New Roman" w:hAnsi="Times New Roman" w:eastAsia="宋体" w:cs="Times New Roman"/>
                <w:bCs/>
                <w:color w:val="auto"/>
                <w:sz w:val="24"/>
                <w:szCs w:val="24"/>
                <w:highlight w:val="none"/>
              </w:rPr>
              <w:t>年</w:t>
            </w:r>
            <w:r>
              <w:rPr>
                <w:rFonts w:hint="eastAsia" w:eastAsia="宋体" w:cs="Times New Roman"/>
                <w:bCs/>
                <w:color w:val="auto"/>
                <w:sz w:val="24"/>
                <w:szCs w:val="24"/>
                <w:highlight w:val="none"/>
                <w:lang w:val="en-US" w:eastAsia="zh-CN"/>
              </w:rPr>
              <w:t>7</w:t>
            </w:r>
            <w:r>
              <w:rPr>
                <w:rFonts w:hint="default" w:ascii="Times New Roman" w:hAnsi="Times New Roman" w:eastAsia="宋体" w:cs="Times New Roman"/>
                <w:bCs/>
                <w:color w:val="auto"/>
                <w:sz w:val="24"/>
                <w:szCs w:val="24"/>
                <w:highlight w:val="none"/>
              </w:rPr>
              <w:t>月</w:t>
            </w:r>
            <w:r>
              <w:rPr>
                <w:rFonts w:hint="eastAsia" w:ascii="Times New Roman" w:hAnsi="Times New Roman" w:eastAsia="宋体" w:cs="Times New Roman"/>
                <w:bCs/>
                <w:color w:val="auto"/>
                <w:sz w:val="24"/>
                <w:szCs w:val="24"/>
                <w:highlight w:val="none"/>
                <w:lang w:val="en-US" w:eastAsia="zh-CN"/>
              </w:rPr>
              <w:t>1</w:t>
            </w:r>
            <w:r>
              <w:rPr>
                <w:rFonts w:hint="eastAsia" w:cs="Times New Roman"/>
                <w:bCs/>
                <w:color w:val="auto"/>
                <w:sz w:val="24"/>
                <w:szCs w:val="24"/>
                <w:highlight w:val="none"/>
                <w:lang w:val="en-US" w:eastAsia="zh-CN"/>
              </w:rPr>
              <w:t>日</w:t>
            </w:r>
            <w:r>
              <w:rPr>
                <w:rFonts w:hint="default" w:ascii="Times New Roman" w:hAnsi="Times New Roman" w:eastAsia="宋体" w:cs="Times New Roman"/>
                <w:color w:val="auto"/>
                <w:sz w:val="24"/>
                <w:szCs w:val="24"/>
                <w:highlight w:val="none"/>
              </w:rPr>
              <w:t>进行了</w:t>
            </w:r>
            <w:r>
              <w:rPr>
                <w:rFonts w:hint="default" w:ascii="Times New Roman" w:hAnsi="Times New Roman" w:eastAsia="宋体" w:cs="Times New Roman"/>
                <w:color w:val="auto"/>
                <w:sz w:val="24"/>
                <w:szCs w:val="24"/>
                <w:highlight w:val="none"/>
                <w:lang w:val="en-US" w:eastAsia="zh-CN"/>
              </w:rPr>
              <w:t>昼夜</w:t>
            </w:r>
            <w:r>
              <w:rPr>
                <w:rFonts w:hint="default" w:ascii="Times New Roman" w:hAnsi="Times New Roman" w:eastAsia="宋体" w:cs="Times New Roman"/>
                <w:color w:val="auto"/>
                <w:sz w:val="24"/>
                <w:szCs w:val="24"/>
                <w:highlight w:val="none"/>
              </w:rPr>
              <w:t>声环境质量现状监测。</w:t>
            </w:r>
            <w:r>
              <w:rPr>
                <w:rFonts w:hint="default" w:ascii="Times New Roman" w:hAnsi="Times New Roman" w:cs="Times New Roman"/>
                <w:color w:val="000000"/>
              </w:rPr>
              <w:t>监测点位布置见</w:t>
            </w:r>
            <w:r>
              <w:rPr>
                <w:rFonts w:hint="default" w:ascii="Times New Roman" w:hAnsi="Times New Roman" w:cs="Times New Roman"/>
                <w:b/>
                <w:bCs/>
                <w:color w:val="000000"/>
                <w:lang w:val="en-US" w:eastAsia="zh-CN"/>
              </w:rPr>
              <w:t>附</w:t>
            </w:r>
            <w:r>
              <w:rPr>
                <w:rFonts w:hint="default" w:ascii="Times New Roman" w:hAnsi="Times New Roman" w:cs="Times New Roman"/>
                <w:b/>
                <w:bCs/>
                <w:color w:val="000000"/>
              </w:rPr>
              <w:t>图</w:t>
            </w:r>
            <w:r>
              <w:rPr>
                <w:rFonts w:hint="default" w:ascii="Times New Roman" w:hAnsi="Times New Roman" w:cs="Times New Roman"/>
                <w:b/>
                <w:bCs/>
                <w:color w:val="000000"/>
                <w:lang w:val="en-US" w:eastAsia="zh-CN"/>
              </w:rPr>
              <w:t>3-</w:t>
            </w:r>
            <w:r>
              <w:rPr>
                <w:rFonts w:hint="eastAsia" w:ascii="Times New Roman" w:hAnsi="Times New Roman" w:cs="Times New Roman"/>
                <w:b/>
                <w:bCs/>
                <w:color w:val="000000"/>
                <w:lang w:val="en-US" w:eastAsia="zh-CN"/>
              </w:rPr>
              <w:t>3。</w:t>
            </w:r>
          </w:p>
          <w:p w14:paraId="7907386B">
            <w:pPr>
              <w:keepNext w:val="0"/>
              <w:keepLines w:val="0"/>
              <w:pageBreakBefore w:val="0"/>
              <w:widowControl w:val="0"/>
              <w:shd w:val="clear" w:color="auto" w:fill="auto"/>
              <w:kinsoku/>
              <w:wordWrap w:val="0"/>
              <w:overflowPunct/>
              <w:topLinePunct w:val="0"/>
              <w:autoSpaceDE/>
              <w:autoSpaceDN/>
              <w:bidi w:val="0"/>
              <w:spacing w:beforeAutospacing="0" w:line="360" w:lineRule="auto"/>
              <w:ind w:left="0" w:leftChars="0" w:right="0" w:rightChars="0" w:firstLine="480" w:firstLineChars="200"/>
              <w:outlineLvl w:val="9"/>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监测结果统计见表</w:t>
            </w:r>
            <w:r>
              <w:rPr>
                <w:rFonts w:hint="eastAsia" w:ascii="Times New Roman" w:hAnsi="Times New Roman" w:eastAsia="宋体" w:cs="Times New Roman"/>
                <w:color w:val="auto"/>
                <w:sz w:val="24"/>
                <w:szCs w:val="24"/>
                <w:highlight w:val="none"/>
                <w:lang w:val="en-US" w:eastAsia="zh-CN"/>
              </w:rPr>
              <w:t>3-</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w:t>
            </w:r>
          </w:p>
          <w:p w14:paraId="00B7C84E">
            <w:pPr>
              <w:pStyle w:val="5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textAlignment w:val="auto"/>
              <w:outlineLvl w:val="9"/>
              <w:rPr>
                <w:rFonts w:hint="eastAsia" w:ascii="宋体" w:hAnsi="宋体" w:eastAsia="宋体" w:cs="宋体"/>
                <w:b/>
                <w:bCs/>
                <w:color w:val="auto"/>
                <w:sz w:val="21"/>
                <w:szCs w:val="21"/>
              </w:rPr>
            </w:pPr>
            <w:r>
              <w:rPr>
                <w:rFonts w:hint="default" w:ascii="Times New Roman" w:hAnsi="Times New Roman" w:eastAsia="宋体" w:cs="Times New Roman"/>
                <w:b/>
                <w:bCs/>
                <w:color w:val="auto"/>
              </w:rPr>
              <w:t>表</w:t>
            </w:r>
            <w:r>
              <w:rPr>
                <w:rFonts w:hint="default" w:ascii="Times New Roman" w:hAnsi="Times New Roman" w:eastAsia="宋体" w:cs="Times New Roman"/>
                <w:b/>
                <w:bCs/>
                <w:color w:val="auto"/>
                <w:lang w:val="en-US" w:eastAsia="zh-CN"/>
              </w:rPr>
              <w:t>3-</w:t>
            </w:r>
            <w:r>
              <w:rPr>
                <w:rFonts w:hint="eastAsia" w:ascii="Times New Roman" w:hAnsi="Times New Roman" w:eastAsia="宋体" w:cs="Times New Roman"/>
                <w:b/>
                <w:bCs/>
                <w:color w:val="auto"/>
                <w:lang w:val="en-US" w:eastAsia="zh-CN"/>
              </w:rPr>
              <w:t>3</w:t>
            </w:r>
            <w:r>
              <w:rPr>
                <w:rFonts w:hint="default" w:ascii="Times New Roman" w:hAnsi="Times New Roman" w:eastAsia="宋体" w:cs="Times New Roman"/>
                <w:b/>
                <w:bCs/>
                <w:color w:val="auto"/>
                <w:lang w:val="en-US" w:eastAsia="zh-CN"/>
              </w:rPr>
              <w:t xml:space="preserve">   </w:t>
            </w:r>
            <w:r>
              <w:rPr>
                <w:rFonts w:hint="default" w:ascii="Times New Roman" w:hAnsi="Times New Roman" w:eastAsia="宋体" w:cs="Times New Roman"/>
                <w:b/>
                <w:bCs/>
                <w:color w:val="auto"/>
              </w:rPr>
              <w:t>区域声环境现状监测结果</w:t>
            </w:r>
          </w:p>
          <w:tbl>
            <w:tblPr>
              <w:tblStyle w:val="3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986"/>
              <w:gridCol w:w="1137"/>
              <w:gridCol w:w="1261"/>
              <w:gridCol w:w="1937"/>
              <w:gridCol w:w="1328"/>
            </w:tblGrid>
            <w:tr w14:paraId="7BF88D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1298" w:type="pct"/>
                  <w:tcBorders>
                    <w:bottom w:val="single" w:color="auto" w:sz="12" w:space="0"/>
                  </w:tcBorders>
                  <w:noWrap w:val="0"/>
                  <w:vAlign w:val="center"/>
                </w:tcPr>
                <w:p w14:paraId="4BBF4FB3">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rPr>
                    <w:t>监测点</w:t>
                  </w:r>
                </w:p>
              </w:tc>
              <w:tc>
                <w:tcPr>
                  <w:tcW w:w="743" w:type="pct"/>
                  <w:tcBorders>
                    <w:bottom w:val="single" w:color="auto" w:sz="12" w:space="0"/>
                  </w:tcBorders>
                  <w:noWrap w:val="0"/>
                  <w:vAlign w:val="center"/>
                </w:tcPr>
                <w:p w14:paraId="3FE76845">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textAlignment w:val="auto"/>
                    <w:outlineLvl w:val="9"/>
                    <w:rPr>
                      <w:rFonts w:hint="default" w:ascii="宋体" w:hAnsi="宋体" w:eastAsia="宋体" w:cs="宋体"/>
                      <w:b/>
                      <w:bCs/>
                      <w:color w:val="auto"/>
                      <w:sz w:val="21"/>
                      <w:szCs w:val="21"/>
                      <w:lang w:val="en-US"/>
                    </w:rPr>
                  </w:pPr>
                  <w:r>
                    <w:rPr>
                      <w:rFonts w:hint="eastAsia" w:ascii="宋体" w:hAnsi="宋体" w:eastAsia="宋体" w:cs="宋体"/>
                      <w:b/>
                      <w:bCs/>
                      <w:color w:val="auto"/>
                      <w:sz w:val="21"/>
                      <w:szCs w:val="21"/>
                      <w:lang w:val="en-US" w:eastAsia="zh-CN"/>
                    </w:rPr>
                    <w:t>昼间</w:t>
                  </w:r>
                  <w:r>
                    <w:rPr>
                      <w:rFonts w:hint="default" w:ascii="Times New Roman" w:hAnsi="Times New Roman" w:eastAsia="宋体" w:cs="Times New Roman"/>
                      <w:b/>
                      <w:bCs/>
                      <w:color w:val="auto"/>
                      <w:sz w:val="21"/>
                      <w:szCs w:val="21"/>
                      <w:lang w:val="en-US" w:eastAsia="zh-CN"/>
                    </w:rPr>
                    <w:t>dB(A)</w:t>
                  </w:r>
                </w:p>
              </w:tc>
              <w:tc>
                <w:tcPr>
                  <w:tcW w:w="824" w:type="pct"/>
                  <w:tcBorders>
                    <w:bottom w:val="single" w:color="auto" w:sz="12" w:space="0"/>
                  </w:tcBorders>
                  <w:noWrap w:val="0"/>
                  <w:vAlign w:val="center"/>
                </w:tcPr>
                <w:p w14:paraId="0939BBA2">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夜间</w:t>
                  </w:r>
                  <w:r>
                    <w:rPr>
                      <w:rFonts w:hint="default" w:ascii="Times New Roman" w:hAnsi="Times New Roman" w:eastAsia="宋体" w:cs="Times New Roman"/>
                      <w:b/>
                      <w:bCs/>
                      <w:color w:val="auto"/>
                      <w:sz w:val="21"/>
                      <w:szCs w:val="21"/>
                      <w:lang w:val="en-US" w:eastAsia="zh-CN"/>
                    </w:rPr>
                    <w:t>dB(A)</w:t>
                  </w:r>
                </w:p>
              </w:tc>
              <w:tc>
                <w:tcPr>
                  <w:tcW w:w="1266" w:type="pct"/>
                  <w:tcBorders>
                    <w:bottom w:val="single" w:color="auto" w:sz="12" w:space="0"/>
                  </w:tcBorders>
                  <w:noWrap w:val="0"/>
                  <w:vAlign w:val="center"/>
                </w:tcPr>
                <w:p w14:paraId="17C90628">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textAlignment w:val="auto"/>
                    <w:outlineLvl w:val="9"/>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标准</w:t>
                  </w:r>
                  <w:r>
                    <w:rPr>
                      <w:rFonts w:hint="default" w:ascii="Times New Roman" w:hAnsi="Times New Roman" w:eastAsia="宋体" w:cs="Times New Roman"/>
                      <w:b/>
                      <w:bCs/>
                      <w:color w:val="auto"/>
                      <w:sz w:val="21"/>
                      <w:szCs w:val="21"/>
                      <w:lang w:val="en-US" w:eastAsia="zh-CN"/>
                    </w:rPr>
                    <w:t>dB(A)</w:t>
                  </w:r>
                </w:p>
              </w:tc>
              <w:tc>
                <w:tcPr>
                  <w:tcW w:w="867" w:type="pct"/>
                  <w:tcBorders>
                    <w:bottom w:val="single" w:color="auto" w:sz="12" w:space="0"/>
                  </w:tcBorders>
                  <w:noWrap w:val="0"/>
                  <w:vAlign w:val="center"/>
                </w:tcPr>
                <w:p w14:paraId="1C82773C">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textAlignment w:val="auto"/>
                    <w:outlineLvl w:val="9"/>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达标情况</w:t>
                  </w:r>
                </w:p>
              </w:tc>
            </w:tr>
            <w:tr w14:paraId="5E1E56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8" w:hRule="atLeast"/>
                <w:jc w:val="center"/>
              </w:trPr>
              <w:tc>
                <w:tcPr>
                  <w:tcW w:w="1298" w:type="pct"/>
                  <w:tcBorders>
                    <w:top w:val="single" w:color="auto" w:sz="12" w:space="0"/>
                    <w:tl2br w:val="nil"/>
                    <w:tr2bl w:val="nil"/>
                  </w:tcBorders>
                  <w:noWrap w:val="0"/>
                  <w:vAlign w:val="center"/>
                </w:tcPr>
                <w:p w14:paraId="18C50741">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项目区东侧</w:t>
                  </w:r>
                </w:p>
              </w:tc>
              <w:tc>
                <w:tcPr>
                  <w:tcW w:w="743" w:type="pct"/>
                  <w:tcBorders>
                    <w:top w:val="single" w:color="auto" w:sz="12" w:space="0"/>
                    <w:tl2br w:val="nil"/>
                    <w:tr2bl w:val="nil"/>
                  </w:tcBorders>
                  <w:noWrap w:val="0"/>
                  <w:vAlign w:val="center"/>
                </w:tcPr>
                <w:p w14:paraId="04BBA8E4">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36</w:t>
                  </w:r>
                </w:p>
              </w:tc>
              <w:tc>
                <w:tcPr>
                  <w:tcW w:w="824" w:type="pct"/>
                  <w:tcBorders>
                    <w:top w:val="single" w:color="auto" w:sz="12" w:space="0"/>
                    <w:tl2br w:val="nil"/>
                    <w:tr2bl w:val="nil"/>
                  </w:tcBorders>
                  <w:noWrap w:val="0"/>
                  <w:vAlign w:val="center"/>
                </w:tcPr>
                <w:p w14:paraId="7182DE67">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43</w:t>
                  </w:r>
                </w:p>
              </w:tc>
              <w:tc>
                <w:tcPr>
                  <w:tcW w:w="1266" w:type="pct"/>
                  <w:vMerge w:val="restart"/>
                  <w:tcBorders>
                    <w:top w:val="single" w:color="auto" w:sz="12" w:space="0"/>
                    <w:tl2br w:val="nil"/>
                    <w:tr2bl w:val="nil"/>
                  </w:tcBorders>
                  <w:noWrap w:val="0"/>
                  <w:vAlign w:val="center"/>
                </w:tcPr>
                <w:p w14:paraId="363D98F1">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昼间</w:t>
                  </w:r>
                  <w:r>
                    <w:rPr>
                      <w:rFonts w:hint="eastAsia" w:ascii="Times New Roman" w:hAnsi="Times New Roman" w:eastAsia="宋体" w:cs="Times New Roman"/>
                      <w:color w:val="auto"/>
                      <w:lang w:val="en-US" w:eastAsia="zh-CN"/>
                    </w:rPr>
                    <w:t>55</w:t>
                  </w:r>
                  <w:r>
                    <w:rPr>
                      <w:rFonts w:hint="default" w:ascii="Times New Roman" w:hAnsi="Times New Roman" w:eastAsia="宋体" w:cs="Times New Roman"/>
                      <w:color w:val="auto"/>
                      <w:lang w:val="en-US" w:eastAsia="zh-CN"/>
                    </w:rPr>
                    <w:t>dB（A）</w:t>
                  </w:r>
                </w:p>
                <w:p w14:paraId="4B3C178A">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夜间</w:t>
                  </w:r>
                  <w:r>
                    <w:rPr>
                      <w:rFonts w:hint="eastAsia" w:ascii="Times New Roman" w:hAnsi="Times New Roman" w:eastAsia="宋体" w:cs="Times New Roman"/>
                      <w:color w:val="auto"/>
                      <w:lang w:val="en-US" w:eastAsia="zh-CN"/>
                    </w:rPr>
                    <w:t>45</w:t>
                  </w:r>
                  <w:r>
                    <w:rPr>
                      <w:rFonts w:hint="default" w:ascii="Times New Roman" w:hAnsi="Times New Roman" w:eastAsia="宋体" w:cs="Times New Roman"/>
                      <w:color w:val="auto"/>
                      <w:lang w:val="en-US" w:eastAsia="zh-CN"/>
                    </w:rPr>
                    <w:t>dB（A）</w:t>
                  </w:r>
                </w:p>
              </w:tc>
              <w:tc>
                <w:tcPr>
                  <w:tcW w:w="867" w:type="pct"/>
                  <w:vMerge w:val="restart"/>
                  <w:tcBorders>
                    <w:top w:val="single" w:color="auto" w:sz="12" w:space="0"/>
                    <w:tl2br w:val="nil"/>
                    <w:tr2bl w:val="nil"/>
                  </w:tcBorders>
                  <w:noWrap w:val="0"/>
                  <w:vAlign w:val="center"/>
                </w:tcPr>
                <w:p w14:paraId="548B228D">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昼、夜均达标</w:t>
                  </w:r>
                </w:p>
              </w:tc>
            </w:tr>
            <w:tr w14:paraId="1E422B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8" w:hRule="atLeast"/>
                <w:jc w:val="center"/>
              </w:trPr>
              <w:tc>
                <w:tcPr>
                  <w:tcW w:w="1298" w:type="pct"/>
                  <w:tcBorders>
                    <w:tl2br w:val="nil"/>
                    <w:tr2bl w:val="nil"/>
                  </w:tcBorders>
                  <w:noWrap w:val="0"/>
                  <w:vAlign w:val="center"/>
                </w:tcPr>
                <w:p w14:paraId="013B9CFF">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项目区南</w:t>
                  </w:r>
                  <w:r>
                    <w:rPr>
                      <w:rFonts w:hint="default" w:ascii="Times New Roman" w:hAnsi="Times New Roman" w:eastAsia="宋体" w:cs="Times New Roman"/>
                      <w:color w:val="auto"/>
                      <w:kern w:val="2"/>
                      <w:sz w:val="21"/>
                      <w:szCs w:val="21"/>
                      <w:lang w:val="en-US" w:eastAsia="zh-CN" w:bidi="ar-SA"/>
                    </w:rPr>
                    <w:t>侧</w:t>
                  </w:r>
                </w:p>
              </w:tc>
              <w:tc>
                <w:tcPr>
                  <w:tcW w:w="743" w:type="pct"/>
                  <w:tcBorders>
                    <w:tl2br w:val="nil"/>
                    <w:tr2bl w:val="nil"/>
                  </w:tcBorders>
                  <w:noWrap w:val="0"/>
                  <w:vAlign w:val="center"/>
                </w:tcPr>
                <w:p w14:paraId="3883522F">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44</w:t>
                  </w:r>
                </w:p>
              </w:tc>
              <w:tc>
                <w:tcPr>
                  <w:tcW w:w="824" w:type="pct"/>
                  <w:tcBorders>
                    <w:tl2br w:val="nil"/>
                    <w:tr2bl w:val="nil"/>
                  </w:tcBorders>
                  <w:noWrap w:val="0"/>
                  <w:vAlign w:val="center"/>
                </w:tcPr>
                <w:p w14:paraId="6565E39B">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41</w:t>
                  </w:r>
                </w:p>
              </w:tc>
              <w:tc>
                <w:tcPr>
                  <w:tcW w:w="1266" w:type="pct"/>
                  <w:vMerge w:val="continue"/>
                  <w:tcBorders>
                    <w:tl2br w:val="nil"/>
                    <w:tr2bl w:val="nil"/>
                  </w:tcBorders>
                  <w:noWrap w:val="0"/>
                  <w:vAlign w:val="center"/>
                </w:tcPr>
                <w:p w14:paraId="5A7C5DAD">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p>
              </w:tc>
              <w:tc>
                <w:tcPr>
                  <w:tcW w:w="867" w:type="pct"/>
                  <w:vMerge w:val="continue"/>
                  <w:tcBorders>
                    <w:tl2br w:val="nil"/>
                    <w:tr2bl w:val="nil"/>
                  </w:tcBorders>
                  <w:noWrap w:val="0"/>
                  <w:vAlign w:val="center"/>
                </w:tcPr>
                <w:p w14:paraId="19A1662B">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p>
              </w:tc>
            </w:tr>
            <w:tr w14:paraId="550470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8" w:hRule="atLeast"/>
                <w:jc w:val="center"/>
              </w:trPr>
              <w:tc>
                <w:tcPr>
                  <w:tcW w:w="1298" w:type="pct"/>
                  <w:tcBorders>
                    <w:tl2br w:val="nil"/>
                    <w:tr2bl w:val="nil"/>
                  </w:tcBorders>
                  <w:noWrap w:val="0"/>
                  <w:vAlign w:val="center"/>
                </w:tcPr>
                <w:p w14:paraId="30483281">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项目区西</w:t>
                  </w:r>
                  <w:r>
                    <w:rPr>
                      <w:rFonts w:hint="default" w:ascii="Times New Roman" w:hAnsi="Times New Roman" w:eastAsia="宋体" w:cs="Times New Roman"/>
                      <w:color w:val="auto"/>
                      <w:kern w:val="2"/>
                      <w:sz w:val="21"/>
                      <w:szCs w:val="21"/>
                      <w:lang w:val="en-US" w:eastAsia="zh-CN" w:bidi="ar-SA"/>
                    </w:rPr>
                    <w:t>侧</w:t>
                  </w:r>
                </w:p>
              </w:tc>
              <w:tc>
                <w:tcPr>
                  <w:tcW w:w="743" w:type="pct"/>
                  <w:tcBorders>
                    <w:tl2br w:val="nil"/>
                    <w:tr2bl w:val="nil"/>
                  </w:tcBorders>
                  <w:noWrap w:val="0"/>
                  <w:vAlign w:val="center"/>
                </w:tcPr>
                <w:p w14:paraId="407409F3">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46</w:t>
                  </w:r>
                </w:p>
              </w:tc>
              <w:tc>
                <w:tcPr>
                  <w:tcW w:w="824" w:type="pct"/>
                  <w:tcBorders>
                    <w:tl2br w:val="nil"/>
                    <w:tr2bl w:val="nil"/>
                  </w:tcBorders>
                  <w:noWrap w:val="0"/>
                  <w:vAlign w:val="center"/>
                </w:tcPr>
                <w:p w14:paraId="1ED6D44C">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42</w:t>
                  </w:r>
                </w:p>
              </w:tc>
              <w:tc>
                <w:tcPr>
                  <w:tcW w:w="1266" w:type="pct"/>
                  <w:vMerge w:val="continue"/>
                  <w:tcBorders>
                    <w:tl2br w:val="nil"/>
                    <w:tr2bl w:val="nil"/>
                  </w:tcBorders>
                  <w:noWrap w:val="0"/>
                  <w:vAlign w:val="center"/>
                </w:tcPr>
                <w:p w14:paraId="1C1222C1">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p>
              </w:tc>
              <w:tc>
                <w:tcPr>
                  <w:tcW w:w="867" w:type="pct"/>
                  <w:vMerge w:val="continue"/>
                  <w:tcBorders>
                    <w:tl2br w:val="nil"/>
                    <w:tr2bl w:val="nil"/>
                  </w:tcBorders>
                  <w:noWrap w:val="0"/>
                  <w:vAlign w:val="center"/>
                </w:tcPr>
                <w:p w14:paraId="1D684E03">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p>
              </w:tc>
            </w:tr>
            <w:tr w14:paraId="74F0AA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1298" w:type="pct"/>
                  <w:tcBorders>
                    <w:tl2br w:val="nil"/>
                    <w:tr2bl w:val="nil"/>
                  </w:tcBorders>
                  <w:noWrap w:val="0"/>
                  <w:vAlign w:val="center"/>
                </w:tcPr>
                <w:p w14:paraId="0FF32383">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项目区</w:t>
                  </w:r>
                  <w:r>
                    <w:rPr>
                      <w:rFonts w:hint="eastAsia" w:ascii="Times New Roman" w:hAnsi="Times New Roman" w:eastAsia="宋体" w:cs="Times New Roman"/>
                      <w:color w:val="auto"/>
                      <w:kern w:val="2"/>
                      <w:sz w:val="21"/>
                      <w:szCs w:val="21"/>
                      <w:lang w:val="en-US" w:eastAsia="zh-CN" w:bidi="ar-SA"/>
                    </w:rPr>
                    <w:t>北</w:t>
                  </w:r>
                  <w:r>
                    <w:rPr>
                      <w:rFonts w:hint="default" w:ascii="Times New Roman" w:hAnsi="Times New Roman" w:eastAsia="宋体" w:cs="Times New Roman"/>
                      <w:color w:val="auto"/>
                      <w:kern w:val="2"/>
                      <w:sz w:val="21"/>
                      <w:szCs w:val="21"/>
                      <w:lang w:val="en-US" w:eastAsia="zh-CN" w:bidi="ar-SA"/>
                    </w:rPr>
                    <w:t>侧</w:t>
                  </w:r>
                </w:p>
              </w:tc>
              <w:tc>
                <w:tcPr>
                  <w:tcW w:w="743" w:type="pct"/>
                  <w:tcBorders>
                    <w:tl2br w:val="nil"/>
                    <w:tr2bl w:val="nil"/>
                  </w:tcBorders>
                  <w:noWrap w:val="0"/>
                  <w:vAlign w:val="center"/>
                </w:tcPr>
                <w:p w14:paraId="32C567DE">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38</w:t>
                  </w:r>
                </w:p>
              </w:tc>
              <w:tc>
                <w:tcPr>
                  <w:tcW w:w="824" w:type="pct"/>
                  <w:tcBorders>
                    <w:tl2br w:val="nil"/>
                    <w:tr2bl w:val="nil"/>
                  </w:tcBorders>
                  <w:noWrap w:val="0"/>
                  <w:vAlign w:val="center"/>
                </w:tcPr>
                <w:p w14:paraId="2E79372A">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44</w:t>
                  </w:r>
                </w:p>
              </w:tc>
              <w:tc>
                <w:tcPr>
                  <w:tcW w:w="1266" w:type="pct"/>
                  <w:vMerge w:val="continue"/>
                  <w:tcBorders>
                    <w:tl2br w:val="nil"/>
                    <w:tr2bl w:val="nil"/>
                  </w:tcBorders>
                  <w:noWrap w:val="0"/>
                  <w:vAlign w:val="center"/>
                </w:tcPr>
                <w:p w14:paraId="40E4BEA4">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p>
              </w:tc>
              <w:tc>
                <w:tcPr>
                  <w:tcW w:w="867" w:type="pct"/>
                  <w:vMerge w:val="continue"/>
                  <w:tcBorders>
                    <w:tl2br w:val="nil"/>
                    <w:tr2bl w:val="nil"/>
                  </w:tcBorders>
                  <w:noWrap w:val="0"/>
                  <w:vAlign w:val="center"/>
                </w:tcPr>
                <w:p w14:paraId="3D95FA5A">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p>
              </w:tc>
            </w:tr>
            <w:tr w14:paraId="788E41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1298" w:type="pct"/>
                  <w:tcBorders>
                    <w:tl2br w:val="nil"/>
                    <w:tr2bl w:val="nil"/>
                  </w:tcBorders>
                  <w:noWrap w:val="0"/>
                  <w:vAlign w:val="center"/>
                </w:tcPr>
                <w:p w14:paraId="775EC7F9">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kern w:val="2"/>
                      <w:sz w:val="21"/>
                      <w:szCs w:val="21"/>
                      <w:lang w:val="en-US" w:eastAsia="zh-CN" w:bidi="ar-SA"/>
                    </w:rPr>
                  </w:pPr>
                  <w:r>
                    <w:rPr>
                      <w:rFonts w:ascii="宋体" w:hAnsi="宋体" w:eastAsia="宋体" w:cs="宋体"/>
                      <w:color w:val="000000"/>
                      <w:sz w:val="20"/>
                    </w:rPr>
                    <w:t>花儿沟村村民委员会</w:t>
                  </w:r>
                </w:p>
              </w:tc>
              <w:tc>
                <w:tcPr>
                  <w:tcW w:w="743" w:type="pct"/>
                  <w:tcBorders>
                    <w:tl2br w:val="nil"/>
                    <w:tr2bl w:val="nil"/>
                  </w:tcBorders>
                  <w:noWrap w:val="0"/>
                  <w:vAlign w:val="center"/>
                </w:tcPr>
                <w:p w14:paraId="7F7B20E2">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51</w:t>
                  </w:r>
                </w:p>
              </w:tc>
              <w:tc>
                <w:tcPr>
                  <w:tcW w:w="824" w:type="pct"/>
                  <w:tcBorders>
                    <w:tl2br w:val="nil"/>
                    <w:tr2bl w:val="nil"/>
                  </w:tcBorders>
                  <w:noWrap w:val="0"/>
                  <w:vAlign w:val="center"/>
                </w:tcPr>
                <w:p w14:paraId="5A94B97E">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44</w:t>
                  </w:r>
                </w:p>
              </w:tc>
              <w:tc>
                <w:tcPr>
                  <w:tcW w:w="1266" w:type="pct"/>
                  <w:vMerge w:val="continue"/>
                  <w:tcBorders>
                    <w:tl2br w:val="nil"/>
                    <w:tr2bl w:val="nil"/>
                  </w:tcBorders>
                  <w:noWrap w:val="0"/>
                  <w:vAlign w:val="center"/>
                </w:tcPr>
                <w:p w14:paraId="3EDB02D8">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p>
              </w:tc>
              <w:tc>
                <w:tcPr>
                  <w:tcW w:w="867" w:type="pct"/>
                  <w:vMerge w:val="continue"/>
                  <w:tcBorders>
                    <w:tl2br w:val="nil"/>
                    <w:tr2bl w:val="nil"/>
                  </w:tcBorders>
                  <w:noWrap w:val="0"/>
                  <w:vAlign w:val="center"/>
                </w:tcPr>
                <w:p w14:paraId="232AD896">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p>
              </w:tc>
            </w:tr>
            <w:tr w14:paraId="1EFC3B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1298" w:type="pct"/>
                  <w:tcBorders>
                    <w:tl2br w:val="nil"/>
                    <w:tr2bl w:val="nil"/>
                  </w:tcBorders>
                  <w:noWrap w:val="0"/>
                  <w:vAlign w:val="center"/>
                </w:tcPr>
                <w:p w14:paraId="37E16286">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kern w:val="2"/>
                      <w:sz w:val="21"/>
                      <w:szCs w:val="21"/>
                      <w:lang w:val="en-US" w:eastAsia="zh-CN" w:bidi="ar-SA"/>
                    </w:rPr>
                  </w:pPr>
                  <w:r>
                    <w:rPr>
                      <w:rFonts w:ascii="宋体" w:hAnsi="宋体" w:eastAsia="宋体" w:cs="宋体"/>
                      <w:color w:val="000000"/>
                      <w:sz w:val="20"/>
                    </w:rPr>
                    <w:t>项目区南侧居民区</w:t>
                  </w:r>
                </w:p>
              </w:tc>
              <w:tc>
                <w:tcPr>
                  <w:tcW w:w="743" w:type="pct"/>
                  <w:tcBorders>
                    <w:tl2br w:val="nil"/>
                    <w:tr2bl w:val="nil"/>
                  </w:tcBorders>
                  <w:noWrap w:val="0"/>
                  <w:vAlign w:val="center"/>
                </w:tcPr>
                <w:p w14:paraId="212875CE">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51</w:t>
                  </w:r>
                </w:p>
              </w:tc>
              <w:tc>
                <w:tcPr>
                  <w:tcW w:w="824" w:type="pct"/>
                  <w:tcBorders>
                    <w:tl2br w:val="nil"/>
                    <w:tr2bl w:val="nil"/>
                  </w:tcBorders>
                  <w:noWrap w:val="0"/>
                  <w:vAlign w:val="center"/>
                </w:tcPr>
                <w:p w14:paraId="2ED991EA">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44</w:t>
                  </w:r>
                </w:p>
              </w:tc>
              <w:tc>
                <w:tcPr>
                  <w:tcW w:w="1266" w:type="pct"/>
                  <w:vMerge w:val="continue"/>
                  <w:tcBorders>
                    <w:tl2br w:val="nil"/>
                    <w:tr2bl w:val="nil"/>
                  </w:tcBorders>
                  <w:noWrap w:val="0"/>
                  <w:vAlign w:val="center"/>
                </w:tcPr>
                <w:p w14:paraId="2CB05457">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p>
              </w:tc>
              <w:tc>
                <w:tcPr>
                  <w:tcW w:w="867" w:type="pct"/>
                  <w:vMerge w:val="continue"/>
                  <w:tcBorders>
                    <w:tl2br w:val="nil"/>
                    <w:tr2bl w:val="nil"/>
                  </w:tcBorders>
                  <w:noWrap w:val="0"/>
                  <w:vAlign w:val="center"/>
                </w:tcPr>
                <w:p w14:paraId="08047AD0">
                  <w:pPr>
                    <w:pStyle w:val="56"/>
                    <w:keepNext w:val="0"/>
                    <w:keepLines w:val="0"/>
                    <w:pageBreakBefore w:val="0"/>
                    <w:widowControl w:val="0"/>
                    <w:kinsoku/>
                    <w:wordWrap/>
                    <w:overflowPunct/>
                    <w:topLinePunct w:val="0"/>
                    <w:autoSpaceDE/>
                    <w:autoSpaceDN/>
                    <w:bidi w:val="0"/>
                    <w:adjustRightInd w:val="0"/>
                    <w:snapToGrid w:val="0"/>
                    <w:ind w:left="0" w:firstLine="0" w:firstLineChars="0"/>
                    <w:textAlignment w:val="auto"/>
                    <w:outlineLvl w:val="9"/>
                    <w:rPr>
                      <w:rFonts w:hint="default" w:ascii="Times New Roman" w:hAnsi="Times New Roman" w:eastAsia="宋体" w:cs="Times New Roman"/>
                      <w:color w:val="auto"/>
                      <w:lang w:val="en-US" w:eastAsia="zh-CN"/>
                    </w:rPr>
                  </w:pPr>
                </w:p>
              </w:tc>
            </w:tr>
          </w:tbl>
          <w:p w14:paraId="36CD871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bCs w:val="0"/>
                <w:iCs w:val="0"/>
                <w:color w:val="000000"/>
                <w:kern w:val="0"/>
                <w:sz w:val="24"/>
                <w:szCs w:val="24"/>
                <w:highlight w:val="none"/>
                <w:lang w:val="en-US" w:eastAsia="zh-CN" w:bidi="ar"/>
              </w:rPr>
            </w:pPr>
            <w:r>
              <w:rPr>
                <w:rFonts w:hint="default" w:ascii="Times New Roman" w:hAnsi="Times New Roman" w:cs="Times New Roman"/>
                <w:color w:val="auto"/>
              </w:rPr>
              <w:t>由表</w:t>
            </w:r>
            <w:r>
              <w:rPr>
                <w:rFonts w:hint="eastAsia" w:cs="Times New Roman"/>
                <w:color w:val="auto"/>
                <w:lang w:val="en-US" w:eastAsia="zh-CN"/>
              </w:rPr>
              <w:t>3-3</w:t>
            </w:r>
            <w:r>
              <w:rPr>
                <w:rFonts w:hint="default" w:ascii="Times New Roman" w:hAnsi="Times New Roman" w:cs="Times New Roman"/>
                <w:color w:val="auto"/>
              </w:rPr>
              <w:t>可知，</w:t>
            </w:r>
            <w:r>
              <w:rPr>
                <w:rFonts w:hint="default" w:ascii="Times New Roman" w:hAnsi="Times New Roman" w:cs="Times New Roman"/>
                <w:color w:val="auto"/>
                <w:lang w:val="en-US" w:eastAsia="zh-CN"/>
              </w:rPr>
              <w:t>本</w:t>
            </w:r>
            <w:r>
              <w:rPr>
                <w:rFonts w:hint="default" w:ascii="Times New Roman" w:hAnsi="Times New Roman" w:cs="Times New Roman"/>
                <w:color w:val="auto"/>
              </w:rPr>
              <w:t>项目所在区域现状</w:t>
            </w:r>
            <w:r>
              <w:rPr>
                <w:rFonts w:hint="default" w:ascii="Times New Roman" w:hAnsi="Times New Roman" w:cs="Times New Roman"/>
                <w:color w:val="auto"/>
                <w:lang w:val="en-US" w:eastAsia="zh-CN"/>
              </w:rPr>
              <w:t>声环境质量各监测点监测值</w:t>
            </w:r>
            <w:r>
              <w:rPr>
                <w:rFonts w:hint="eastAsia" w:ascii="Times New Roman" w:hAnsi="Times New Roman" w:cs="Times New Roman"/>
                <w:color w:val="auto"/>
                <w:lang w:val="en-US" w:eastAsia="zh-CN"/>
              </w:rPr>
              <w:t>、敏感点</w:t>
            </w:r>
            <w:r>
              <w:rPr>
                <w:rFonts w:hint="default" w:ascii="Times New Roman" w:hAnsi="Times New Roman" w:eastAsia="宋体" w:cs="Times New Roman"/>
                <w:color w:val="auto"/>
                <w:lang w:val="en-US" w:eastAsia="zh-CN"/>
              </w:rPr>
              <w:t>花儿沟村村民委员会</w:t>
            </w:r>
            <w:r>
              <w:rPr>
                <w:rFonts w:hint="eastAsia" w:ascii="Times New Roman" w:hAnsi="Times New Roman" w:eastAsia="宋体" w:cs="Times New Roman"/>
                <w:color w:val="auto"/>
                <w:lang w:val="en-US" w:eastAsia="zh-CN"/>
              </w:rPr>
              <w:t>和项目区南侧居民区</w:t>
            </w:r>
            <w:r>
              <w:rPr>
                <w:rFonts w:hint="default" w:ascii="Times New Roman" w:hAnsi="Times New Roman" w:eastAsia="宋体" w:cs="Times New Roman"/>
                <w:color w:val="auto"/>
                <w:lang w:val="en-US" w:eastAsia="zh-CN"/>
              </w:rPr>
              <w:t>均能达</w:t>
            </w:r>
            <w:r>
              <w:rPr>
                <w:rFonts w:hint="default" w:ascii="Times New Roman" w:hAnsi="Times New Roman" w:cs="Times New Roman"/>
                <w:color w:val="auto"/>
              </w:rPr>
              <w:t>到《声环境质量标准》（GB3096-2008）中的</w:t>
            </w:r>
            <w:r>
              <w:rPr>
                <w:rFonts w:hint="eastAsia" w:ascii="Times New Roman" w:hAnsi="Times New Roman" w:cs="Times New Roman"/>
                <w:color w:val="auto"/>
                <w:lang w:val="en-US" w:eastAsia="zh-CN"/>
              </w:rPr>
              <w:t>1</w:t>
            </w:r>
            <w:r>
              <w:rPr>
                <w:rFonts w:hint="default" w:ascii="Times New Roman" w:hAnsi="Times New Roman" w:cs="Times New Roman"/>
                <w:color w:val="auto"/>
              </w:rPr>
              <w:t>类标准要求，项目区域声环境质量良好。</w:t>
            </w:r>
          </w:p>
          <w:p w14:paraId="2023540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jc w:val="both"/>
              <w:textAlignment w:val="auto"/>
              <w:rPr>
                <w:rFonts w:hint="default" w:ascii="Times New Roman" w:hAnsi="Times New Roman" w:eastAsia="宋体" w:cs="Times New Roman"/>
                <w:b/>
                <w:bCs/>
                <w:color w:val="000000"/>
                <w:sz w:val="24"/>
                <w:szCs w:val="24"/>
              </w:rPr>
            </w:pPr>
            <w:bookmarkStart w:id="21" w:name="_Toc7335"/>
            <w:bookmarkStart w:id="22" w:name="_Toc23837"/>
            <w:r>
              <w:rPr>
                <w:rFonts w:hint="eastAsia" w:cs="Times New Roman"/>
                <w:b/>
                <w:bCs/>
                <w:color w:val="000000"/>
                <w:sz w:val="24"/>
                <w:szCs w:val="24"/>
                <w:lang w:val="en-US" w:eastAsia="zh-CN"/>
              </w:rPr>
              <w:t>4.3</w:t>
            </w:r>
            <w:r>
              <w:rPr>
                <w:rFonts w:hint="default" w:ascii="Times New Roman" w:hAnsi="Times New Roman" w:eastAsia="宋体" w:cs="Times New Roman"/>
                <w:b/>
                <w:bCs/>
                <w:color w:val="000000"/>
                <w:sz w:val="24"/>
                <w:szCs w:val="24"/>
              </w:rPr>
              <w:t xml:space="preserve">地表水环境质量现状 </w:t>
            </w:r>
          </w:p>
          <w:p w14:paraId="3C3CC8F0">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bCs/>
                <w:color w:val="000000"/>
                <w:sz w:val="24"/>
                <w:lang w:val="en-US" w:eastAsia="zh-CN"/>
              </w:rPr>
            </w:pPr>
            <w:r>
              <w:rPr>
                <w:rFonts w:hint="default" w:ascii="Times New Roman" w:hAnsi="Times New Roman" w:eastAsia="宋体" w:cs="Times New Roman"/>
                <w:bCs/>
                <w:color w:val="000000"/>
                <w:sz w:val="24"/>
                <w:lang w:val="en-US" w:eastAsia="zh-CN"/>
              </w:rPr>
              <w:t>根据《环境影响评价技术导则 地表水环境》（HJ2.3-2018）中对水环境质量现状调查的要求，优先采用国务院生态环境保护主管部门统一发布的水环境状况信息。</w:t>
            </w:r>
          </w:p>
          <w:p w14:paraId="626B99D4">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left="0" w:right="0" w:firstLine="42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本项目附近地表水体为三工河，</w:t>
            </w:r>
            <w:r>
              <w:rPr>
                <w:rFonts w:hint="default" w:ascii="Times New Roman" w:hAnsi="Times New Roman" w:eastAsia="宋体" w:cs="Times New Roman"/>
                <w:color w:val="000000"/>
                <w:sz w:val="24"/>
                <w:szCs w:val="24"/>
              </w:rPr>
              <w:t>根据昌吉州生态环境局发布的“水环境污染防治进展情况”数据</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kern w:val="2"/>
                <w:sz w:val="24"/>
                <w:szCs w:val="24"/>
                <w:lang w:val="en-US" w:eastAsia="zh-CN" w:bidi="ar-SA"/>
              </w:rPr>
              <w:t>2025年12月，全州共监测5条河流9个断面，八钢（硫磺沟）断面达到Ⅰ类标准；其余断面与去年同期相比无变化。</w:t>
            </w:r>
          </w:p>
          <w:p w14:paraId="730C7721">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bCs/>
                <w:color w:val="000000"/>
                <w:sz w:val="24"/>
                <w:lang w:val="en-US" w:eastAsia="zh-CN"/>
              </w:rPr>
            </w:pPr>
            <w:r>
              <w:rPr>
                <w:rFonts w:hint="default" w:ascii="Times New Roman" w:hAnsi="Times New Roman" w:eastAsia="宋体" w:cs="Times New Roman"/>
                <w:color w:val="000000"/>
                <w:kern w:val="2"/>
                <w:sz w:val="24"/>
                <w:szCs w:val="24"/>
                <w:lang w:val="en-US" w:eastAsia="zh-CN" w:bidi="ar-SA"/>
              </w:rPr>
              <w:t>2025年1</w:t>
            </w:r>
            <w:r>
              <w:rPr>
                <w:rFonts w:hint="eastAsia"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12月，除八钢（硫磺沟）、电线厂、皮革厂、化工厂、水管所、棉纺厂断面水质类别达到Ⅱ类标准，其余断面均达到Ⅰ类标准；与去年同期相比，三屯河首、瑶池商城、三工河闸门、孙庄村、夹河子水库南闸口断面水质变好，其余无变化。</w:t>
            </w:r>
          </w:p>
          <w:p w14:paraId="15F91D5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sz w:val="24"/>
                <w:szCs w:val="24"/>
              </w:rPr>
            </w:pPr>
            <w:r>
              <w:rPr>
                <w:rFonts w:hint="eastAsia" w:cs="Times New Roman"/>
                <w:b/>
                <w:bCs/>
                <w:color w:val="000000"/>
                <w:sz w:val="24"/>
                <w:szCs w:val="24"/>
                <w:lang w:val="en-US" w:eastAsia="zh-CN"/>
              </w:rPr>
              <w:t>4.4</w:t>
            </w:r>
            <w:r>
              <w:rPr>
                <w:rFonts w:hint="default" w:ascii="Times New Roman" w:hAnsi="Times New Roman" w:eastAsia="宋体" w:cs="Times New Roman"/>
                <w:b/>
                <w:bCs/>
                <w:color w:val="000000"/>
                <w:sz w:val="24"/>
                <w:szCs w:val="24"/>
              </w:rPr>
              <w:t xml:space="preserve">地下水环境质量现状 </w:t>
            </w:r>
          </w:p>
          <w:p w14:paraId="2508C383">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val="en-US" w:eastAsia="zh-CN" w:bidi="ar"/>
              </w:rPr>
              <w:t>根据《环境影响评价技术导则</w:t>
            </w:r>
            <w:r>
              <w:rPr>
                <w:rFonts w:hint="eastAsia" w:cs="Times New Roman"/>
                <w:color w:val="000000"/>
                <w:kern w:val="0"/>
                <w:sz w:val="24"/>
                <w:szCs w:val="24"/>
                <w:lang w:val="en-US" w:eastAsia="zh-CN" w:bidi="ar"/>
              </w:rPr>
              <w:t xml:space="preserve"> 地下水</w:t>
            </w:r>
            <w:r>
              <w:rPr>
                <w:rFonts w:hint="default" w:ascii="Times New Roman" w:hAnsi="Times New Roman" w:eastAsia="宋体" w:cs="Times New Roman"/>
                <w:color w:val="000000"/>
                <w:kern w:val="0"/>
                <w:sz w:val="24"/>
                <w:szCs w:val="24"/>
                <w:lang w:val="en-US" w:eastAsia="zh-CN" w:bidi="ar"/>
              </w:rPr>
              <w:t>环境》（</w:t>
            </w:r>
            <w:r>
              <w:rPr>
                <w:rFonts w:hint="eastAsia" w:cs="Times New Roman"/>
                <w:color w:val="000000"/>
                <w:kern w:val="0"/>
                <w:sz w:val="24"/>
                <w:szCs w:val="24"/>
                <w:lang w:val="en-US" w:eastAsia="zh-CN" w:bidi="ar"/>
              </w:rPr>
              <w:t>HJ 610</w:t>
            </w:r>
            <w:r>
              <w:rPr>
                <w:rFonts w:hint="default" w:ascii="Times New Roman" w:hAnsi="Times New Roman" w:eastAsia="宋体" w:cs="Times New Roman"/>
                <w:color w:val="000000"/>
                <w:kern w:val="0"/>
                <w:sz w:val="24"/>
                <w:szCs w:val="24"/>
                <w:lang w:val="en-US" w:eastAsia="zh-CN" w:bidi="ar"/>
              </w:rPr>
              <w:t>-2016）“附录A</w:t>
            </w:r>
            <w:r>
              <w:rPr>
                <w:rFonts w:hint="eastAsia" w:cs="Times New Roman"/>
                <w:color w:val="000000"/>
                <w:kern w:val="0"/>
                <w:sz w:val="24"/>
                <w:szCs w:val="24"/>
                <w:lang w:val="en-US" w:eastAsia="zh-CN" w:bidi="ar"/>
              </w:rPr>
              <w:t xml:space="preserve"> 地下水</w:t>
            </w:r>
            <w:r>
              <w:rPr>
                <w:rFonts w:hint="default" w:ascii="Times New Roman" w:hAnsi="Times New Roman" w:eastAsia="宋体" w:cs="Times New Roman"/>
                <w:color w:val="000000"/>
                <w:kern w:val="0"/>
                <w:sz w:val="24"/>
                <w:szCs w:val="24"/>
                <w:lang w:val="en-US" w:eastAsia="zh-CN" w:bidi="ar"/>
              </w:rPr>
              <w:t>环境影响评价行业分类表”，本项目属于“V</w:t>
            </w:r>
            <w:r>
              <w:rPr>
                <w:rFonts w:hint="eastAsia" w:cs="Times New Roman"/>
                <w:color w:val="000000"/>
                <w:kern w:val="0"/>
                <w:sz w:val="24"/>
                <w:szCs w:val="24"/>
                <w:lang w:val="en-US" w:eastAsia="zh-CN" w:bidi="ar"/>
              </w:rPr>
              <w:t xml:space="preserve"> 社会</w:t>
            </w:r>
            <w:r>
              <w:rPr>
                <w:rFonts w:hint="default" w:ascii="Times New Roman" w:hAnsi="Times New Roman" w:eastAsia="宋体" w:cs="Times New Roman"/>
                <w:color w:val="000000"/>
                <w:kern w:val="0"/>
                <w:sz w:val="24"/>
                <w:szCs w:val="24"/>
                <w:lang w:val="en-US" w:eastAsia="zh-CN" w:bidi="ar"/>
              </w:rPr>
              <w:t>事业与服务业、旅游开发”，属于Ⅳ类建设项目。故</w:t>
            </w:r>
            <w:r>
              <w:rPr>
                <w:rFonts w:hint="eastAsia" w:cs="Times New Roman"/>
                <w:color w:val="000000"/>
                <w:kern w:val="0"/>
                <w:sz w:val="24"/>
                <w:szCs w:val="24"/>
                <w:lang w:val="en-US" w:eastAsia="zh-CN" w:bidi="ar"/>
              </w:rPr>
              <w:t>无需开展</w:t>
            </w:r>
            <w:r>
              <w:rPr>
                <w:rFonts w:hint="default" w:ascii="Times New Roman" w:hAnsi="Times New Roman" w:eastAsia="宋体" w:cs="Times New Roman"/>
                <w:color w:val="000000"/>
                <w:kern w:val="0"/>
                <w:sz w:val="24"/>
                <w:szCs w:val="24"/>
                <w:lang w:val="en-US" w:eastAsia="zh-CN" w:bidi="ar"/>
              </w:rPr>
              <w:t>地下水现状调查及评价</w:t>
            </w:r>
            <w:r>
              <w:rPr>
                <w:rFonts w:hint="default" w:ascii="Times New Roman" w:hAnsi="Times New Roman" w:eastAsia="宋体" w:cs="Times New Roman"/>
                <w:color w:val="000000"/>
                <w:sz w:val="24"/>
                <w:szCs w:val="24"/>
              </w:rPr>
              <w:t xml:space="preserve">。 </w:t>
            </w:r>
          </w:p>
          <w:p w14:paraId="0FD74CD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color w:val="000000"/>
                <w:sz w:val="24"/>
                <w:szCs w:val="24"/>
              </w:rPr>
            </w:pPr>
            <w:r>
              <w:rPr>
                <w:rFonts w:hint="eastAsia" w:cs="Times New Roman"/>
                <w:b/>
                <w:bCs/>
                <w:color w:val="000000"/>
                <w:sz w:val="24"/>
                <w:szCs w:val="24"/>
                <w:lang w:val="en-US" w:eastAsia="zh-CN"/>
              </w:rPr>
              <w:t>4.5</w:t>
            </w:r>
            <w:r>
              <w:rPr>
                <w:rFonts w:hint="default" w:ascii="Times New Roman" w:hAnsi="Times New Roman" w:eastAsia="宋体" w:cs="Times New Roman"/>
                <w:b/>
                <w:bCs/>
                <w:color w:val="000000"/>
                <w:sz w:val="24"/>
                <w:szCs w:val="24"/>
              </w:rPr>
              <w:t>土壤环境质量现状</w:t>
            </w:r>
            <w:r>
              <w:rPr>
                <w:rFonts w:hint="default" w:ascii="Times New Roman" w:hAnsi="Times New Roman" w:eastAsia="宋体" w:cs="Times New Roman"/>
                <w:color w:val="000000"/>
                <w:sz w:val="24"/>
                <w:szCs w:val="24"/>
              </w:rPr>
              <w:t xml:space="preserve"> </w:t>
            </w:r>
          </w:p>
          <w:p w14:paraId="516F6822">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根据建设项目资料，本项目行业类别属于《环境影响评价技术导则 土壤环境（试行）》（</w:t>
            </w:r>
            <w:r>
              <w:rPr>
                <w:rFonts w:hint="eastAsia" w:cs="Times New Roman"/>
                <w:color w:val="000000"/>
                <w:kern w:val="0"/>
                <w:sz w:val="24"/>
                <w:szCs w:val="24"/>
                <w:lang w:val="en-US" w:eastAsia="zh-CN" w:bidi="ar"/>
              </w:rPr>
              <w:t>HJ 964-2018）附录A表中所列的“社会事业与服务业、其他行业”，属于Ⅳ类建设项目。HJ 964</w:t>
            </w:r>
            <w:r>
              <w:rPr>
                <w:rFonts w:hint="default" w:ascii="Times New Roman" w:hAnsi="Times New Roman" w:eastAsia="宋体" w:cs="Times New Roman"/>
                <w:color w:val="000000"/>
                <w:kern w:val="0"/>
                <w:sz w:val="24"/>
                <w:szCs w:val="24"/>
                <w:lang w:val="en-US" w:eastAsia="zh-CN" w:bidi="ar"/>
              </w:rPr>
              <w:t>-2018中4.2.2规定</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Ⅳ类建设项目可不开展土壤环境影响评价</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因此本次评价不开展土壤环境影响评价。</w:t>
            </w:r>
            <w:bookmarkEnd w:id="21"/>
            <w:bookmarkEnd w:id="22"/>
          </w:p>
        </w:tc>
      </w:tr>
      <w:tr w14:paraId="796E49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654" w:type="dxa"/>
            <w:shd w:val="clear" w:color="auto" w:fill="auto"/>
            <w:noWrap w:val="0"/>
            <w:vAlign w:val="center"/>
          </w:tcPr>
          <w:p w14:paraId="043D04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4"/>
                <w:szCs w:val="21"/>
                <w:highlight w:val="none"/>
                <w:lang w:val="en-US" w:eastAsia="zh-CN" w:bidi="ar-SA"/>
              </w:rPr>
            </w:pPr>
            <w:r>
              <w:rPr>
                <w:rFonts w:hint="default" w:ascii="Times New Roman" w:hAnsi="Times New Roman" w:eastAsia="宋体" w:cs="Times New Roman"/>
                <w:bCs/>
                <w:color w:val="000000"/>
                <w:szCs w:val="21"/>
                <w:highlight w:val="none"/>
              </w:rPr>
              <w:t>与项目有关的原有环境污染和生态破坏问题</w:t>
            </w:r>
          </w:p>
        </w:tc>
        <w:tc>
          <w:tcPr>
            <w:tcW w:w="7868" w:type="dxa"/>
            <w:shd w:val="clear" w:color="auto" w:fill="auto"/>
            <w:noWrap w:val="0"/>
            <w:vAlign w:val="top"/>
          </w:tcPr>
          <w:p w14:paraId="72D1F2D9">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outlineLvl w:val="9"/>
              <w:rPr>
                <w:rFonts w:hint="default" w:ascii="Times New Roman" w:hAnsi="Times New Roman" w:eastAsia="宋体" w:cs="Times New Roman"/>
                <w:b w:val="0"/>
                <w:bCs w:val="0"/>
                <w:sz w:val="24"/>
                <w:szCs w:val="24"/>
                <w:lang w:val="en-US" w:eastAsia="zh-CN"/>
              </w:rPr>
            </w:pPr>
            <w:r>
              <w:rPr>
                <w:rFonts w:hint="eastAsia" w:cs="Times New Roman"/>
                <w:b w:val="0"/>
                <w:bCs w:val="0"/>
                <w:sz w:val="24"/>
                <w:szCs w:val="24"/>
                <w:lang w:val="en-US" w:eastAsia="zh-CN"/>
              </w:rPr>
              <w:t>现有环境问题：本项目占地红线范围内（地块二）现有花儿沟村5户村民，均使用旱厕，粪污无收集设施，就地下渗排放。餐饮油烟没有处理设施，无组织排放。</w:t>
            </w:r>
          </w:p>
          <w:p w14:paraId="021FC316">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outlineLvl w:val="9"/>
              <w:rPr>
                <w:rFonts w:hint="eastAsia" w:cs="Times New Roman"/>
                <w:b w:val="0"/>
                <w:bCs w:val="0"/>
                <w:sz w:val="24"/>
                <w:szCs w:val="24"/>
                <w:lang w:val="en-US" w:eastAsia="zh-CN"/>
              </w:rPr>
            </w:pPr>
            <w:r>
              <w:rPr>
                <w:rFonts w:hint="default" w:ascii="Times New Roman" w:hAnsi="Times New Roman" w:cs="Times New Roman"/>
                <w:b w:val="0"/>
                <w:bCs w:val="0"/>
                <w:sz w:val="24"/>
                <w:szCs w:val="24"/>
                <w:lang w:val="en-US" w:eastAsia="zh-CN"/>
              </w:rPr>
              <w:t>以新带老措施：</w:t>
            </w:r>
            <w:r>
              <w:rPr>
                <w:rFonts w:hint="default" w:ascii="Times New Roman" w:hAnsi="Times New Roman" w:eastAsia="宋体" w:cs="Times New Roman"/>
                <w:sz w:val="24"/>
                <w:szCs w:val="24"/>
              </w:rPr>
              <w:t>地块二改造为民宿，现状5户</w:t>
            </w:r>
            <w:r>
              <w:rPr>
                <w:rFonts w:ascii="宋体" w:hAnsi="宋体" w:eastAsia="宋体" w:cs="宋体"/>
                <w:sz w:val="24"/>
                <w:szCs w:val="24"/>
              </w:rPr>
              <w:t>村民就地留存居住。项目在该地块布设化粪池及污水收集系统，民宿污水、村民生活污水全部归集至化粪池，定期密闭转运至阜康市污水处理厂集中处理，污水不就地外排。</w:t>
            </w:r>
            <w:r>
              <w:rPr>
                <w:rFonts w:hint="eastAsia" w:cs="Times New Roman"/>
                <w:b w:val="0"/>
                <w:bCs w:val="0"/>
                <w:sz w:val="24"/>
                <w:szCs w:val="24"/>
                <w:lang w:val="en-US" w:eastAsia="zh-CN"/>
              </w:rPr>
              <w:t>餐饮油烟配套油烟净化装置处理后有组织排放。</w:t>
            </w:r>
          </w:p>
          <w:p w14:paraId="344D8CFF">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outlineLvl w:val="9"/>
              <w:rPr>
                <w:rFonts w:hint="default" w:ascii="Times New Roman" w:hAnsi="Times New Roman" w:eastAsia="宋体" w:cs="Times New Roman"/>
                <w:color w:val="000000"/>
                <w:kern w:val="0"/>
                <w:sz w:val="24"/>
                <w:szCs w:val="24"/>
                <w:highlight w:val="none"/>
                <w:lang w:val="en-US" w:eastAsia="zh-CN" w:bidi="ar"/>
              </w:rPr>
            </w:pPr>
            <w:r>
              <w:rPr>
                <w:rFonts w:ascii="宋体" w:hAnsi="宋体" w:eastAsia="宋体" w:cs="宋体"/>
                <w:sz w:val="24"/>
                <w:szCs w:val="24"/>
              </w:rPr>
              <w:t>借助项目配套环保处置设施，本建设地块生活污水排放得到有效减量管控。为持续改善花儿沟村水环境质量，建议行政主管部门统一规划、组织落实村内旱厕升级改造，全域降低生活污水排放水平。</w:t>
            </w:r>
          </w:p>
        </w:tc>
      </w:tr>
    </w:tbl>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7864"/>
      </w:tblGrid>
      <w:tr w14:paraId="4267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6" w:type="pct"/>
            <w:noWrap w:val="0"/>
            <w:vAlign w:val="center"/>
          </w:tcPr>
          <w:p w14:paraId="6F88BA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kern w:val="2"/>
                <w:sz w:val="24"/>
                <w:szCs w:val="21"/>
                <w:highlight w:val="none"/>
                <w:lang w:val="en-US" w:eastAsia="zh-CN" w:bidi="ar-SA"/>
              </w:rPr>
            </w:pPr>
            <w:r>
              <w:rPr>
                <w:rFonts w:hint="default" w:ascii="Times New Roman" w:hAnsi="Times New Roman" w:eastAsia="宋体" w:cs="Times New Roman"/>
                <w:color w:val="000000"/>
                <w:kern w:val="0"/>
                <w:szCs w:val="21"/>
                <w:highlight w:val="none"/>
              </w:rPr>
              <w:t>生态环境保护目标</w:t>
            </w:r>
          </w:p>
        </w:tc>
        <w:tc>
          <w:tcPr>
            <w:tcW w:w="4613" w:type="pct"/>
            <w:noWrap w:val="0"/>
            <w:vAlign w:val="center"/>
          </w:tcPr>
          <w:p w14:paraId="2C567C20">
            <w:pPr>
              <w:keepNext w:val="0"/>
              <w:keepLines w:val="0"/>
              <w:widowControl/>
              <w:suppressLineNumbers w:val="0"/>
              <w:jc w:val="both"/>
              <w:rPr>
                <w:rFonts w:hint="default" w:ascii="Times New Roman" w:hAnsi="Times New Roman" w:eastAsia="宋体" w:cs="Times New Roman"/>
                <w:color w:val="000000"/>
              </w:rPr>
            </w:pPr>
            <w:r>
              <w:rPr>
                <w:rFonts w:hint="default" w:ascii="Times New Roman" w:hAnsi="Times New Roman" w:eastAsia="宋体" w:cs="Times New Roman"/>
                <w:color w:val="000000"/>
              </w:rPr>
              <w:t>根据《建设项目环境影响报告表编制技术指南（生态影响类）（试行）》，按照环境影响评价相关技术导则要求确定评价范围并识别环境保护目标。</w:t>
            </w:r>
          </w:p>
          <w:p w14:paraId="2A34BDB3">
            <w:pPr>
              <w:keepNext w:val="0"/>
              <w:keepLines w:val="0"/>
              <w:widowControl/>
              <w:suppressLineNumbers w:val="0"/>
              <w:jc w:val="left"/>
              <w:rPr>
                <w:rFonts w:hint="default" w:ascii="Times New Roman" w:hAnsi="Times New Roman" w:eastAsia="宋体" w:cs="Times New Roman"/>
                <w:b/>
                <w:bCs/>
                <w:color w:val="000000"/>
              </w:rPr>
            </w:pPr>
            <w:r>
              <w:rPr>
                <w:rFonts w:hint="eastAsia" w:cs="Times New Roman"/>
                <w:b/>
                <w:bCs/>
                <w:color w:val="000000"/>
                <w:lang w:eastAsia="zh-CN"/>
              </w:rPr>
              <w:t>1.</w:t>
            </w:r>
            <w:r>
              <w:rPr>
                <w:rFonts w:hint="default" w:ascii="Times New Roman" w:hAnsi="Times New Roman" w:eastAsia="宋体" w:cs="Times New Roman"/>
                <w:b/>
                <w:bCs/>
                <w:color w:val="000000"/>
              </w:rPr>
              <w:t>大气环境保护目标</w:t>
            </w:r>
          </w:p>
          <w:p w14:paraId="5ADE41D2">
            <w:pPr>
              <w:keepNext w:val="0"/>
              <w:keepLines w:val="0"/>
              <w:widowControl/>
              <w:suppressLineNumbers w:val="0"/>
              <w:jc w:val="left"/>
              <w:rPr>
                <w:rFonts w:hint="default" w:ascii="Times New Roman" w:hAnsi="Times New Roman" w:eastAsia="宋体" w:cs="Times New Roman"/>
                <w:color w:val="000000"/>
              </w:rPr>
            </w:pPr>
            <w:r>
              <w:rPr>
                <w:rFonts w:hint="eastAsia" w:cs="Times New Roman"/>
                <w:color w:val="000000"/>
                <w:lang w:val="en-US" w:eastAsia="zh-CN"/>
              </w:rPr>
              <w:t>本项目5</w:t>
            </w:r>
            <w:r>
              <w:rPr>
                <w:rFonts w:hint="default" w:ascii="Times New Roman" w:hAnsi="Times New Roman" w:eastAsia="宋体" w:cs="Times New Roman"/>
                <w:color w:val="000000"/>
              </w:rPr>
              <w:t>00m</w:t>
            </w:r>
            <w:r>
              <w:rPr>
                <w:rFonts w:hint="eastAsia" w:cs="Times New Roman"/>
                <w:color w:val="000000"/>
                <w:lang w:val="en-US" w:eastAsia="zh-CN"/>
              </w:rPr>
              <w:t>范围内的</w:t>
            </w:r>
            <w:r>
              <w:rPr>
                <w:rFonts w:hint="default" w:ascii="Times New Roman" w:hAnsi="Times New Roman" w:eastAsia="宋体" w:cs="Times New Roman"/>
                <w:color w:val="000000"/>
              </w:rPr>
              <w:t>大气环境保护目标如下。</w:t>
            </w:r>
          </w:p>
          <w:p w14:paraId="32590DE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4"/>
                <w:szCs w:val="24"/>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表3-</w:t>
            </w:r>
            <w:r>
              <w:rPr>
                <w:rFonts w:hint="eastAsia" w:cs="Times New Roman"/>
                <w:b/>
                <w:bCs/>
                <w:color w:val="000000"/>
                <w:kern w:val="0"/>
                <w:sz w:val="21"/>
                <w:szCs w:val="21"/>
                <w:highlight w:val="none"/>
                <w:lang w:val="en-US" w:eastAsia="zh-CN" w:bidi="ar"/>
              </w:rPr>
              <w:t>4</w:t>
            </w:r>
            <w:r>
              <w:rPr>
                <w:rFonts w:hint="default" w:ascii="Times New Roman" w:hAnsi="Times New Roman" w:eastAsia="宋体" w:cs="Times New Roman"/>
                <w:b/>
                <w:bCs/>
                <w:color w:val="000000"/>
                <w:kern w:val="0"/>
                <w:sz w:val="21"/>
                <w:szCs w:val="21"/>
                <w:highlight w:val="none"/>
                <w:lang w:val="en-US" w:eastAsia="zh-CN" w:bidi="ar"/>
              </w:rPr>
              <w:t xml:space="preserve"> 本项目</w:t>
            </w:r>
            <w:r>
              <w:rPr>
                <w:rFonts w:hint="default" w:ascii="Times New Roman" w:hAnsi="Times New Roman" w:eastAsia="宋体" w:cs="Times New Roman"/>
                <w:b/>
                <w:bCs/>
                <w:spacing w:val="-2"/>
                <w:sz w:val="21"/>
                <w:szCs w:val="21"/>
              </w:rPr>
              <w:t>主要大气环境保护目标表</w:t>
            </w:r>
          </w:p>
          <w:tbl>
            <w:tblPr>
              <w:tblStyle w:val="3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0"/>
              <w:gridCol w:w="1090"/>
              <w:gridCol w:w="1090"/>
              <w:gridCol w:w="1091"/>
              <w:gridCol w:w="1090"/>
              <w:gridCol w:w="1091"/>
              <w:gridCol w:w="1093"/>
            </w:tblGrid>
            <w:tr w14:paraId="1B34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auto" w:sz="12" w:space="0"/>
                    <w:left w:val="nil"/>
                    <w:bottom w:val="single" w:color="auto" w:sz="12" w:space="0"/>
                  </w:tcBorders>
                  <w:shd w:val="clear" w:color="auto" w:fill="auto"/>
                  <w:noWrap w:val="0"/>
                  <w:vAlign w:val="center"/>
                </w:tcPr>
                <w:p w14:paraId="6842C2C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名称</w:t>
                  </w:r>
                </w:p>
              </w:tc>
              <w:tc>
                <w:tcPr>
                  <w:tcW w:w="1090" w:type="dxa"/>
                  <w:tcBorders>
                    <w:top w:val="single" w:color="auto" w:sz="12" w:space="0"/>
                    <w:bottom w:val="single" w:color="auto" w:sz="12" w:space="0"/>
                  </w:tcBorders>
                  <w:shd w:val="clear" w:color="auto" w:fill="auto"/>
                  <w:noWrap w:val="0"/>
                  <w:vAlign w:val="center"/>
                </w:tcPr>
                <w:p w14:paraId="2E3B843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保护对象</w:t>
                  </w:r>
                </w:p>
              </w:tc>
              <w:tc>
                <w:tcPr>
                  <w:tcW w:w="1090" w:type="dxa"/>
                  <w:tcBorders>
                    <w:top w:val="single" w:color="auto" w:sz="12" w:space="0"/>
                    <w:bottom w:val="single" w:color="auto" w:sz="12" w:space="0"/>
                  </w:tcBorders>
                  <w:shd w:val="clear" w:color="auto" w:fill="auto"/>
                  <w:noWrap w:val="0"/>
                  <w:vAlign w:val="center"/>
                </w:tcPr>
                <w:p w14:paraId="0CD69E1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保护内容</w:t>
                  </w:r>
                </w:p>
              </w:tc>
              <w:tc>
                <w:tcPr>
                  <w:tcW w:w="1091" w:type="dxa"/>
                  <w:tcBorders>
                    <w:top w:val="single" w:color="auto" w:sz="12" w:space="0"/>
                    <w:bottom w:val="single" w:color="auto" w:sz="12" w:space="0"/>
                  </w:tcBorders>
                  <w:shd w:val="clear" w:color="auto" w:fill="auto"/>
                  <w:noWrap w:val="0"/>
                  <w:vAlign w:val="center"/>
                </w:tcPr>
                <w:p w14:paraId="5BB1BF3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规模/人</w:t>
                  </w:r>
                </w:p>
              </w:tc>
              <w:tc>
                <w:tcPr>
                  <w:tcW w:w="1090" w:type="dxa"/>
                  <w:tcBorders>
                    <w:top w:val="single" w:color="auto" w:sz="12" w:space="0"/>
                    <w:bottom w:val="single" w:color="auto" w:sz="12" w:space="0"/>
                  </w:tcBorders>
                  <w:shd w:val="clear" w:color="auto" w:fill="auto"/>
                  <w:noWrap w:val="0"/>
                  <w:vAlign w:val="center"/>
                </w:tcPr>
                <w:p w14:paraId="3ADDA90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环境功能区</w:t>
                  </w:r>
                </w:p>
              </w:tc>
              <w:tc>
                <w:tcPr>
                  <w:tcW w:w="1091" w:type="dxa"/>
                  <w:tcBorders>
                    <w:top w:val="single" w:color="auto" w:sz="12" w:space="0"/>
                    <w:bottom w:val="single" w:color="auto" w:sz="12" w:space="0"/>
                  </w:tcBorders>
                  <w:shd w:val="clear" w:color="auto" w:fill="auto"/>
                  <w:noWrap w:val="0"/>
                  <w:vAlign w:val="center"/>
                </w:tcPr>
                <w:p w14:paraId="4C5EDC7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相对项目方位</w:t>
                  </w:r>
                </w:p>
              </w:tc>
              <w:tc>
                <w:tcPr>
                  <w:tcW w:w="1093" w:type="dxa"/>
                  <w:tcBorders>
                    <w:top w:val="single" w:color="auto" w:sz="12" w:space="0"/>
                    <w:bottom w:val="single" w:color="auto" w:sz="12" w:space="0"/>
                    <w:right w:val="nil"/>
                  </w:tcBorders>
                  <w:shd w:val="clear" w:color="auto" w:fill="auto"/>
                  <w:noWrap w:val="0"/>
                  <w:vAlign w:val="center"/>
                </w:tcPr>
                <w:p w14:paraId="10AC29C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相对距离/m</w:t>
                  </w:r>
                </w:p>
              </w:tc>
            </w:tr>
            <w:tr w14:paraId="7708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Borders>
                    <w:top w:val="single" w:color="auto" w:sz="12" w:space="0"/>
                    <w:left w:val="nil"/>
                    <w:bottom w:val="single" w:color="auto" w:sz="12" w:space="0"/>
                  </w:tcBorders>
                  <w:shd w:val="clear" w:color="auto" w:fill="auto"/>
                  <w:noWrap w:val="0"/>
                  <w:vAlign w:val="center"/>
                </w:tcPr>
                <w:p w14:paraId="68CEE04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highlight w:val="none"/>
                      <w:vertAlign w:val="baseline"/>
                      <w:lang w:val="en-US" w:eastAsia="zh-CN" w:bidi="ar"/>
                    </w:rPr>
                  </w:pPr>
                  <w:r>
                    <w:rPr>
                      <w:rFonts w:hint="eastAsia" w:ascii="Times New Roman" w:hAnsi="Times New Roman" w:eastAsia="宋体" w:cs="Times New Roman"/>
                      <w:b w:val="0"/>
                      <w:bCs w:val="0"/>
                      <w:color w:val="000000"/>
                      <w:kern w:val="0"/>
                      <w:sz w:val="21"/>
                      <w:szCs w:val="21"/>
                      <w:highlight w:val="none"/>
                      <w:vertAlign w:val="baseline"/>
                      <w:lang w:val="en-US" w:eastAsia="zh-CN" w:bidi="ar"/>
                    </w:rPr>
                    <w:t>花儿沟村</w:t>
                  </w:r>
                </w:p>
              </w:tc>
              <w:tc>
                <w:tcPr>
                  <w:tcW w:w="1090" w:type="dxa"/>
                  <w:tcBorders>
                    <w:top w:val="single" w:color="auto" w:sz="12" w:space="0"/>
                    <w:bottom w:val="single" w:color="auto" w:sz="12" w:space="0"/>
                  </w:tcBorders>
                  <w:shd w:val="clear" w:color="auto" w:fill="auto"/>
                  <w:noWrap w:val="0"/>
                  <w:vAlign w:val="center"/>
                </w:tcPr>
                <w:p w14:paraId="710AE42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居住区</w:t>
                  </w:r>
                </w:p>
              </w:tc>
              <w:tc>
                <w:tcPr>
                  <w:tcW w:w="1090" w:type="dxa"/>
                  <w:tcBorders>
                    <w:top w:val="single" w:color="auto" w:sz="12" w:space="0"/>
                    <w:bottom w:val="single" w:color="auto" w:sz="12" w:space="0"/>
                  </w:tcBorders>
                  <w:shd w:val="clear" w:color="auto" w:fill="auto"/>
                  <w:noWrap w:val="0"/>
                  <w:vAlign w:val="center"/>
                </w:tcPr>
                <w:p w14:paraId="64DB2A4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人群</w:t>
                  </w:r>
                </w:p>
              </w:tc>
              <w:tc>
                <w:tcPr>
                  <w:tcW w:w="1091" w:type="dxa"/>
                  <w:tcBorders>
                    <w:top w:val="single" w:color="auto" w:sz="12" w:space="0"/>
                    <w:bottom w:val="single" w:color="auto" w:sz="12" w:space="0"/>
                  </w:tcBorders>
                  <w:shd w:val="clear" w:color="auto" w:fill="auto"/>
                  <w:noWrap w:val="0"/>
                  <w:vAlign w:val="center"/>
                </w:tcPr>
                <w:p w14:paraId="5CB8F69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eastAsia" w:cs="Times New Roman"/>
                      <w:b w:val="0"/>
                      <w:bCs w:val="0"/>
                      <w:color w:val="000000"/>
                      <w:kern w:val="0"/>
                      <w:sz w:val="21"/>
                      <w:szCs w:val="21"/>
                      <w:highlight w:val="none"/>
                      <w:vertAlign w:val="baseline"/>
                      <w:lang w:val="en-US" w:eastAsia="zh-CN" w:bidi="ar"/>
                    </w:rPr>
                    <w:t>1096</w:t>
                  </w:r>
                </w:p>
              </w:tc>
              <w:tc>
                <w:tcPr>
                  <w:tcW w:w="1090" w:type="dxa"/>
                  <w:tcBorders>
                    <w:top w:val="single" w:color="auto" w:sz="12" w:space="0"/>
                    <w:bottom w:val="single" w:color="auto" w:sz="12" w:space="0"/>
                  </w:tcBorders>
                  <w:shd w:val="clear" w:color="auto" w:fill="auto"/>
                  <w:noWrap w:val="0"/>
                  <w:vAlign w:val="center"/>
                </w:tcPr>
                <w:p w14:paraId="542DAA7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一类区</w:t>
                  </w:r>
                </w:p>
              </w:tc>
              <w:tc>
                <w:tcPr>
                  <w:tcW w:w="1091" w:type="dxa"/>
                  <w:tcBorders>
                    <w:top w:val="single" w:color="auto" w:sz="12" w:space="0"/>
                    <w:bottom w:val="single" w:color="auto" w:sz="12" w:space="0"/>
                  </w:tcBorders>
                  <w:shd w:val="clear" w:color="auto" w:fill="auto"/>
                  <w:noWrap w:val="0"/>
                  <w:vAlign w:val="center"/>
                </w:tcPr>
                <w:p w14:paraId="2DF7F4F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南</w:t>
                  </w:r>
                </w:p>
              </w:tc>
              <w:tc>
                <w:tcPr>
                  <w:tcW w:w="1093" w:type="dxa"/>
                  <w:tcBorders>
                    <w:top w:val="single" w:color="auto" w:sz="12" w:space="0"/>
                    <w:bottom w:val="single" w:color="auto" w:sz="12" w:space="0"/>
                    <w:right w:val="nil"/>
                  </w:tcBorders>
                  <w:shd w:val="clear" w:color="auto" w:fill="auto"/>
                  <w:noWrap w:val="0"/>
                  <w:vAlign w:val="center"/>
                </w:tcPr>
                <w:p w14:paraId="1665C8A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eastAsia" w:cs="Times New Roman"/>
                      <w:b w:val="0"/>
                      <w:bCs w:val="0"/>
                      <w:color w:val="000000"/>
                      <w:kern w:val="0"/>
                      <w:sz w:val="21"/>
                      <w:szCs w:val="21"/>
                      <w:highlight w:val="none"/>
                      <w:vertAlign w:val="baseline"/>
                      <w:lang w:val="en-US" w:eastAsia="zh-CN" w:bidi="ar"/>
                    </w:rPr>
                    <w:t>10~5</w:t>
                  </w:r>
                  <w:r>
                    <w:rPr>
                      <w:rFonts w:hint="default" w:ascii="Times New Roman" w:hAnsi="Times New Roman" w:eastAsia="宋体" w:cs="Times New Roman"/>
                      <w:b w:val="0"/>
                      <w:bCs w:val="0"/>
                      <w:color w:val="000000"/>
                      <w:kern w:val="0"/>
                      <w:sz w:val="21"/>
                      <w:szCs w:val="21"/>
                      <w:highlight w:val="none"/>
                      <w:vertAlign w:val="baseline"/>
                      <w:lang w:val="en-US" w:eastAsia="zh-CN" w:bidi="ar"/>
                    </w:rPr>
                    <w:t>00</w:t>
                  </w:r>
                </w:p>
              </w:tc>
            </w:tr>
          </w:tbl>
          <w:p w14:paraId="3224B0D7">
            <w:pPr>
              <w:keepNext w:val="0"/>
              <w:keepLines w:val="0"/>
              <w:widowControl/>
              <w:suppressLineNumbers w:val="0"/>
              <w:jc w:val="left"/>
              <w:rPr>
                <w:rFonts w:hint="default" w:ascii="Times New Roman" w:hAnsi="Times New Roman" w:eastAsia="宋体" w:cs="Times New Roman"/>
                <w:b/>
                <w:bCs/>
                <w:color w:val="000000"/>
              </w:rPr>
            </w:pPr>
            <w:r>
              <w:rPr>
                <w:rFonts w:hint="eastAsia" w:cs="Times New Roman"/>
                <w:b/>
                <w:bCs/>
                <w:color w:val="000000"/>
                <w:lang w:eastAsia="zh-CN"/>
              </w:rPr>
              <w:t>2.</w:t>
            </w:r>
            <w:r>
              <w:rPr>
                <w:rFonts w:hint="default" w:ascii="Times New Roman" w:hAnsi="Times New Roman" w:eastAsia="宋体" w:cs="Times New Roman"/>
                <w:b/>
                <w:bCs/>
                <w:color w:val="000000"/>
              </w:rPr>
              <w:t>水环境保护目标</w:t>
            </w:r>
          </w:p>
          <w:p w14:paraId="68CC57A3">
            <w:pPr>
              <w:keepNext w:val="0"/>
              <w:keepLines w:val="0"/>
              <w:widowControl/>
              <w:suppressLineNumbers w:val="0"/>
              <w:jc w:val="left"/>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rPr>
              <w:t>本项目</w:t>
            </w:r>
            <w:r>
              <w:rPr>
                <w:rFonts w:hint="default" w:ascii="Times New Roman" w:hAnsi="Times New Roman" w:eastAsia="宋体" w:cs="Times New Roman"/>
                <w:color w:val="000000"/>
                <w:lang w:val="en-US" w:eastAsia="zh-CN"/>
              </w:rPr>
              <w:t>生活污水经化粪池</w:t>
            </w:r>
            <w:r>
              <w:rPr>
                <w:rFonts w:hint="eastAsia" w:ascii="Times New Roman" w:hAnsi="Times New Roman" w:eastAsia="宋体" w:cs="Times New Roman"/>
                <w:color w:val="000000"/>
                <w:lang w:val="en-US" w:eastAsia="zh-CN"/>
              </w:rPr>
              <w:t>处理后，定期由吸污车抽出运至阜康市污水处理厂处理</w:t>
            </w:r>
            <w:r>
              <w:rPr>
                <w:rFonts w:hint="default" w:ascii="Times New Roman" w:hAnsi="Times New Roman" w:eastAsia="宋体" w:cs="Times New Roman"/>
                <w:color w:val="000000"/>
              </w:rPr>
              <w:t>。本项目属于水污染影响型建设项目，排放方式属于间接排放。根据《环境影响评价技术导则</w:t>
            </w:r>
            <w:r>
              <w:rPr>
                <w:rFonts w:hint="eastAsia" w:cs="Times New Roman"/>
                <w:color w:val="000000"/>
                <w:lang w:eastAsia="zh-CN"/>
              </w:rPr>
              <w:t xml:space="preserve"> 地表水</w:t>
            </w:r>
            <w:r>
              <w:rPr>
                <w:rFonts w:hint="default" w:ascii="Times New Roman" w:hAnsi="Times New Roman" w:eastAsia="宋体" w:cs="Times New Roman"/>
                <w:color w:val="000000"/>
              </w:rPr>
              <w:t>环境》（HJ2.3-2018）评价等级判别表，本项目地表水环境评价等级为三级B。</w:t>
            </w:r>
          </w:p>
          <w:p w14:paraId="716A03B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表3-</w:t>
            </w:r>
            <w:r>
              <w:rPr>
                <w:rFonts w:hint="eastAsia" w:cs="Times New Roman"/>
                <w:b/>
                <w:bCs/>
                <w:color w:val="000000"/>
                <w:kern w:val="0"/>
                <w:sz w:val="21"/>
                <w:szCs w:val="21"/>
                <w:highlight w:val="none"/>
                <w:lang w:val="en-US" w:eastAsia="zh-CN" w:bidi="ar"/>
              </w:rPr>
              <w:t>5</w:t>
            </w:r>
            <w:r>
              <w:rPr>
                <w:rFonts w:hint="default" w:ascii="Times New Roman" w:hAnsi="Times New Roman" w:eastAsia="宋体" w:cs="Times New Roman"/>
                <w:b/>
                <w:bCs/>
                <w:color w:val="000000"/>
                <w:kern w:val="0"/>
                <w:sz w:val="21"/>
                <w:szCs w:val="21"/>
                <w:highlight w:val="none"/>
                <w:lang w:val="en-US" w:eastAsia="zh-CN" w:bidi="ar"/>
              </w:rPr>
              <w:t xml:space="preserve"> 本项目水环境保护目标表</w:t>
            </w:r>
          </w:p>
          <w:tbl>
            <w:tblPr>
              <w:tblStyle w:val="3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526"/>
              <w:gridCol w:w="1526"/>
              <w:gridCol w:w="1526"/>
              <w:gridCol w:w="1526"/>
            </w:tblGrid>
            <w:tr w14:paraId="6DF2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12" w:space="0"/>
                    <w:left w:val="nil"/>
                    <w:bottom w:val="single" w:color="auto" w:sz="12" w:space="0"/>
                  </w:tcBorders>
                  <w:shd w:val="clear" w:color="auto" w:fill="auto"/>
                  <w:noWrap w:val="0"/>
                  <w:vAlign w:val="center"/>
                </w:tcPr>
                <w:p w14:paraId="725DBC2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保护对象</w:t>
                  </w:r>
                </w:p>
              </w:tc>
              <w:tc>
                <w:tcPr>
                  <w:tcW w:w="1526" w:type="dxa"/>
                  <w:tcBorders>
                    <w:top w:val="single" w:color="auto" w:sz="12" w:space="0"/>
                    <w:bottom w:val="single" w:color="auto" w:sz="12" w:space="0"/>
                  </w:tcBorders>
                  <w:shd w:val="clear" w:color="auto" w:fill="auto"/>
                  <w:noWrap w:val="0"/>
                  <w:vAlign w:val="center"/>
                </w:tcPr>
                <w:p w14:paraId="4AC8493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保护内容</w:t>
                  </w:r>
                </w:p>
              </w:tc>
              <w:tc>
                <w:tcPr>
                  <w:tcW w:w="1526" w:type="dxa"/>
                  <w:tcBorders>
                    <w:top w:val="single" w:color="auto" w:sz="12" w:space="0"/>
                    <w:bottom w:val="single" w:color="auto" w:sz="12" w:space="0"/>
                  </w:tcBorders>
                  <w:shd w:val="clear" w:color="auto" w:fill="auto"/>
                  <w:noWrap w:val="0"/>
                  <w:vAlign w:val="center"/>
                </w:tcPr>
                <w:p w14:paraId="779F2DB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规模</w:t>
                  </w:r>
                </w:p>
              </w:tc>
              <w:tc>
                <w:tcPr>
                  <w:tcW w:w="1526" w:type="dxa"/>
                  <w:tcBorders>
                    <w:top w:val="single" w:color="auto" w:sz="12" w:space="0"/>
                    <w:bottom w:val="single" w:color="auto" w:sz="12" w:space="0"/>
                  </w:tcBorders>
                  <w:shd w:val="clear" w:color="auto" w:fill="auto"/>
                  <w:noWrap w:val="0"/>
                  <w:vAlign w:val="center"/>
                </w:tcPr>
                <w:p w14:paraId="2915526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相对厂界距离/m</w:t>
                  </w:r>
                </w:p>
              </w:tc>
              <w:tc>
                <w:tcPr>
                  <w:tcW w:w="1526" w:type="dxa"/>
                  <w:tcBorders>
                    <w:top w:val="single" w:color="auto" w:sz="12" w:space="0"/>
                    <w:bottom w:val="single" w:color="auto" w:sz="12" w:space="0"/>
                    <w:right w:val="nil"/>
                  </w:tcBorders>
                  <w:shd w:val="clear" w:color="auto" w:fill="auto"/>
                  <w:noWrap w:val="0"/>
                  <w:vAlign w:val="center"/>
                </w:tcPr>
                <w:p w14:paraId="48417F8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与本项目的</w:t>
                  </w:r>
                  <w:r>
                    <w:rPr>
                      <w:rFonts w:hint="eastAsia" w:ascii="Times New Roman" w:hAnsi="Times New Roman" w:eastAsia="宋体" w:cs="Times New Roman"/>
                      <w:b/>
                      <w:bCs/>
                      <w:color w:val="000000"/>
                      <w:kern w:val="0"/>
                      <w:sz w:val="21"/>
                      <w:szCs w:val="21"/>
                      <w:highlight w:val="none"/>
                      <w:vertAlign w:val="baseline"/>
                      <w:lang w:val="en-US" w:eastAsia="zh-CN" w:bidi="ar"/>
                    </w:rPr>
                    <w:t>水系</w:t>
                  </w:r>
                  <w:r>
                    <w:rPr>
                      <w:rFonts w:hint="default" w:ascii="Times New Roman" w:hAnsi="Times New Roman" w:eastAsia="宋体" w:cs="Times New Roman"/>
                      <w:b/>
                      <w:bCs/>
                      <w:color w:val="000000"/>
                      <w:kern w:val="0"/>
                      <w:sz w:val="21"/>
                      <w:szCs w:val="21"/>
                      <w:highlight w:val="none"/>
                      <w:vertAlign w:val="baseline"/>
                      <w:lang w:val="en-US" w:eastAsia="zh-CN" w:bidi="ar"/>
                    </w:rPr>
                    <w:t>联系</w:t>
                  </w:r>
                </w:p>
              </w:tc>
            </w:tr>
            <w:tr w14:paraId="1F64C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12" w:space="0"/>
                    <w:left w:val="nil"/>
                    <w:bottom w:val="single" w:color="auto" w:sz="12" w:space="0"/>
                  </w:tcBorders>
                  <w:shd w:val="clear" w:color="auto" w:fill="auto"/>
                  <w:noWrap w:val="0"/>
                  <w:vAlign w:val="center"/>
                </w:tcPr>
                <w:p w14:paraId="64512AA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color w:val="000000"/>
                      <w:sz w:val="21"/>
                      <w:szCs w:val="21"/>
                      <w:lang w:val="en-US" w:eastAsia="zh-CN"/>
                    </w:rPr>
                    <w:t>三工河</w:t>
                  </w:r>
                </w:p>
              </w:tc>
              <w:tc>
                <w:tcPr>
                  <w:tcW w:w="1526" w:type="dxa"/>
                  <w:tcBorders>
                    <w:top w:val="single" w:color="auto" w:sz="12" w:space="0"/>
                    <w:bottom w:val="single" w:color="auto" w:sz="12" w:space="0"/>
                  </w:tcBorders>
                  <w:shd w:val="clear" w:color="auto" w:fill="auto"/>
                  <w:noWrap w:val="0"/>
                  <w:vAlign w:val="center"/>
                </w:tcPr>
                <w:p w14:paraId="01B664E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cs="Times New Roman"/>
                      <w:b w:val="0"/>
                      <w:bCs w:val="0"/>
                      <w:color w:val="000000"/>
                      <w:kern w:val="0"/>
                      <w:sz w:val="21"/>
                      <w:szCs w:val="21"/>
                      <w:highlight w:val="none"/>
                      <w:vertAlign w:val="baseline"/>
                      <w:lang w:val="en-US" w:eastAsia="zh-CN" w:bidi="ar"/>
                    </w:rPr>
                    <w:t>Ⅱ</w:t>
                  </w:r>
                  <w:r>
                    <w:rPr>
                      <w:rFonts w:hint="eastAsia" w:cs="Times New Roman"/>
                      <w:b w:val="0"/>
                      <w:bCs w:val="0"/>
                      <w:color w:val="000000"/>
                      <w:kern w:val="0"/>
                      <w:sz w:val="21"/>
                      <w:szCs w:val="21"/>
                      <w:highlight w:val="none"/>
                      <w:vertAlign w:val="baseline"/>
                      <w:lang w:val="en-US" w:eastAsia="zh-CN" w:bidi="ar"/>
                    </w:rPr>
                    <w:t>类</w:t>
                  </w:r>
                  <w:r>
                    <w:rPr>
                      <w:rFonts w:hint="default" w:ascii="Times New Roman" w:hAnsi="Times New Roman" w:eastAsia="宋体" w:cs="Times New Roman"/>
                      <w:b w:val="0"/>
                      <w:bCs w:val="0"/>
                      <w:color w:val="000000"/>
                      <w:kern w:val="0"/>
                      <w:sz w:val="21"/>
                      <w:szCs w:val="21"/>
                      <w:highlight w:val="none"/>
                      <w:vertAlign w:val="baseline"/>
                      <w:lang w:val="en-US" w:eastAsia="zh-CN" w:bidi="ar"/>
                    </w:rPr>
                    <w:t>水体</w:t>
                  </w:r>
                </w:p>
              </w:tc>
              <w:tc>
                <w:tcPr>
                  <w:tcW w:w="1526" w:type="dxa"/>
                  <w:tcBorders>
                    <w:top w:val="single" w:color="auto" w:sz="12" w:space="0"/>
                    <w:bottom w:val="single" w:color="auto" w:sz="12" w:space="0"/>
                  </w:tcBorders>
                  <w:shd w:val="clear" w:color="auto" w:fill="auto"/>
                  <w:noWrap w:val="0"/>
                  <w:vAlign w:val="center"/>
                </w:tcPr>
                <w:p w14:paraId="4C5C633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中小河</w:t>
                  </w:r>
                </w:p>
              </w:tc>
              <w:tc>
                <w:tcPr>
                  <w:tcW w:w="1526" w:type="dxa"/>
                  <w:tcBorders>
                    <w:top w:val="single" w:color="auto" w:sz="12" w:space="0"/>
                    <w:bottom w:val="single" w:color="auto" w:sz="12" w:space="0"/>
                  </w:tcBorders>
                  <w:shd w:val="clear" w:color="auto" w:fill="auto"/>
                  <w:noWrap w:val="0"/>
                  <w:vAlign w:val="center"/>
                </w:tcPr>
                <w:p w14:paraId="7A2DD2F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2400</w:t>
                  </w:r>
                </w:p>
              </w:tc>
              <w:tc>
                <w:tcPr>
                  <w:tcW w:w="1526" w:type="dxa"/>
                  <w:tcBorders>
                    <w:top w:val="single" w:color="auto" w:sz="12" w:space="0"/>
                    <w:bottom w:val="single" w:color="auto" w:sz="12" w:space="0"/>
                    <w:right w:val="nil"/>
                  </w:tcBorders>
                  <w:shd w:val="clear" w:color="auto" w:fill="auto"/>
                  <w:noWrap w:val="0"/>
                  <w:vAlign w:val="center"/>
                </w:tcPr>
                <w:p w14:paraId="1E4F092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无，临近河流</w:t>
                  </w:r>
                </w:p>
              </w:tc>
            </w:tr>
          </w:tbl>
          <w:p w14:paraId="1165BCEA">
            <w:pPr>
              <w:keepNext w:val="0"/>
              <w:keepLines w:val="0"/>
              <w:pageBreakBefore w:val="0"/>
              <w:widowControl/>
              <w:suppressLineNumbers w:val="0"/>
              <w:kinsoku/>
              <w:wordWrap/>
              <w:overflowPunct/>
              <w:topLinePunct w:val="0"/>
              <w:autoSpaceDE/>
              <w:autoSpaceDN/>
              <w:bidi w:val="0"/>
              <w:adjustRightInd/>
              <w:snapToGrid w:val="0"/>
              <w:ind w:firstLine="482" w:firstLineChars="20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3.</w:t>
            </w:r>
            <w:r>
              <w:rPr>
                <w:rFonts w:hint="default" w:ascii="Times New Roman" w:hAnsi="Times New Roman" w:eastAsia="宋体" w:cs="Times New Roman"/>
                <w:b/>
                <w:bCs/>
                <w:color w:val="000000"/>
                <w:kern w:val="0"/>
                <w:sz w:val="24"/>
                <w:szCs w:val="24"/>
                <w:highlight w:val="none"/>
                <w:lang w:val="en-US" w:eastAsia="zh-CN" w:bidi="ar"/>
              </w:rPr>
              <w:t>声环境保护目标</w:t>
            </w:r>
          </w:p>
          <w:p w14:paraId="00C39A74">
            <w:pPr>
              <w:keepNext w:val="0"/>
              <w:keepLines w:val="0"/>
              <w:pageBreakBefore w:val="0"/>
              <w:widowControl/>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根据《环境影响评价技术导则 声环境》（HJ2.4-2021），本项目声环境评价等级定为二级，评价范围为200m。</w:t>
            </w:r>
          </w:p>
          <w:p w14:paraId="3C9E278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4"/>
                <w:szCs w:val="24"/>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表3-</w:t>
            </w:r>
            <w:r>
              <w:rPr>
                <w:rFonts w:hint="eastAsia" w:cs="Times New Roman"/>
                <w:b/>
                <w:bCs/>
                <w:color w:val="000000"/>
                <w:kern w:val="0"/>
                <w:sz w:val="21"/>
                <w:szCs w:val="21"/>
                <w:highlight w:val="none"/>
                <w:lang w:val="en-US" w:eastAsia="zh-CN" w:bidi="ar"/>
              </w:rPr>
              <w:t>6</w:t>
            </w:r>
            <w:r>
              <w:rPr>
                <w:rFonts w:hint="default" w:ascii="Times New Roman" w:hAnsi="Times New Roman" w:eastAsia="宋体" w:cs="Times New Roman"/>
                <w:b/>
                <w:bCs/>
                <w:color w:val="000000"/>
                <w:kern w:val="0"/>
                <w:sz w:val="21"/>
                <w:szCs w:val="21"/>
                <w:highlight w:val="none"/>
                <w:lang w:val="en-US" w:eastAsia="zh-CN" w:bidi="ar"/>
              </w:rPr>
              <w:t xml:space="preserve"> 本项目声环境保护目标表</w:t>
            </w:r>
          </w:p>
          <w:tbl>
            <w:tblPr>
              <w:tblStyle w:val="3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153"/>
              <w:gridCol w:w="776"/>
              <w:gridCol w:w="1065"/>
              <w:gridCol w:w="975"/>
              <w:gridCol w:w="2513"/>
            </w:tblGrid>
            <w:tr w14:paraId="260A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tcBorders>
                    <w:top w:val="single" w:color="auto" w:sz="12" w:space="0"/>
                    <w:left w:val="nil"/>
                    <w:bottom w:val="single" w:color="auto" w:sz="12" w:space="0"/>
                  </w:tcBorders>
                  <w:shd w:val="clear" w:color="auto" w:fill="auto"/>
                  <w:noWrap w:val="0"/>
                  <w:vAlign w:val="center"/>
                </w:tcPr>
                <w:p w14:paraId="19EB778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环境要素</w:t>
                  </w:r>
                </w:p>
              </w:tc>
              <w:tc>
                <w:tcPr>
                  <w:tcW w:w="1153" w:type="dxa"/>
                  <w:tcBorders>
                    <w:top w:val="single" w:color="auto" w:sz="12" w:space="0"/>
                    <w:bottom w:val="single" w:color="auto" w:sz="12" w:space="0"/>
                  </w:tcBorders>
                  <w:shd w:val="clear" w:color="auto" w:fill="auto"/>
                  <w:noWrap w:val="0"/>
                  <w:vAlign w:val="center"/>
                </w:tcPr>
                <w:p w14:paraId="38C2FED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保护对象名称</w:t>
                  </w:r>
                </w:p>
              </w:tc>
              <w:tc>
                <w:tcPr>
                  <w:tcW w:w="776" w:type="dxa"/>
                  <w:tcBorders>
                    <w:top w:val="single" w:color="auto" w:sz="12" w:space="0"/>
                    <w:bottom w:val="single" w:color="auto" w:sz="12" w:space="0"/>
                  </w:tcBorders>
                  <w:shd w:val="clear" w:color="auto" w:fill="auto"/>
                  <w:noWrap w:val="0"/>
                  <w:vAlign w:val="center"/>
                </w:tcPr>
                <w:p w14:paraId="396B548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方位</w:t>
                  </w:r>
                </w:p>
              </w:tc>
              <w:tc>
                <w:tcPr>
                  <w:tcW w:w="1065" w:type="dxa"/>
                  <w:tcBorders>
                    <w:top w:val="single" w:color="auto" w:sz="12" w:space="0"/>
                    <w:bottom w:val="single" w:color="auto" w:sz="12" w:space="0"/>
                  </w:tcBorders>
                  <w:shd w:val="clear" w:color="auto" w:fill="auto"/>
                  <w:noWrap w:val="0"/>
                  <w:vAlign w:val="center"/>
                </w:tcPr>
                <w:p w14:paraId="594B27C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距离/m</w:t>
                  </w:r>
                </w:p>
              </w:tc>
              <w:tc>
                <w:tcPr>
                  <w:tcW w:w="975" w:type="dxa"/>
                  <w:tcBorders>
                    <w:top w:val="single" w:color="auto" w:sz="12" w:space="0"/>
                    <w:bottom w:val="single" w:color="auto" w:sz="12" w:space="0"/>
                  </w:tcBorders>
                  <w:shd w:val="clear" w:color="auto" w:fill="auto"/>
                  <w:noWrap w:val="0"/>
                  <w:vAlign w:val="center"/>
                </w:tcPr>
                <w:p w14:paraId="01640E8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规模/人</w:t>
                  </w:r>
                </w:p>
              </w:tc>
              <w:tc>
                <w:tcPr>
                  <w:tcW w:w="2513" w:type="dxa"/>
                  <w:tcBorders>
                    <w:top w:val="single" w:color="auto" w:sz="12" w:space="0"/>
                    <w:bottom w:val="single" w:color="auto" w:sz="12" w:space="0"/>
                    <w:right w:val="nil"/>
                  </w:tcBorders>
                  <w:shd w:val="clear" w:color="auto" w:fill="auto"/>
                  <w:noWrap w:val="0"/>
                  <w:vAlign w:val="center"/>
                </w:tcPr>
                <w:p w14:paraId="3075525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环境功能</w:t>
                  </w:r>
                </w:p>
              </w:tc>
            </w:tr>
            <w:tr w14:paraId="3EB0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tcBorders>
                    <w:top w:val="single" w:color="auto" w:sz="12" w:space="0"/>
                    <w:left w:val="nil"/>
                    <w:bottom w:val="single" w:color="auto" w:sz="12" w:space="0"/>
                  </w:tcBorders>
                  <w:shd w:val="clear" w:color="auto" w:fill="auto"/>
                  <w:noWrap w:val="0"/>
                  <w:vAlign w:val="center"/>
                </w:tcPr>
                <w:p w14:paraId="70411B3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声环境</w:t>
                  </w:r>
                </w:p>
              </w:tc>
              <w:tc>
                <w:tcPr>
                  <w:tcW w:w="1153" w:type="dxa"/>
                  <w:tcBorders>
                    <w:top w:val="single" w:color="auto" w:sz="12" w:space="0"/>
                    <w:bottom w:val="single" w:color="auto" w:sz="12" w:space="0"/>
                  </w:tcBorders>
                  <w:shd w:val="clear" w:color="auto" w:fill="auto"/>
                  <w:noWrap w:val="0"/>
                  <w:vAlign w:val="center"/>
                </w:tcPr>
                <w:p w14:paraId="2FC5F0F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highlight w:val="none"/>
                      <w:vertAlign w:val="baseline"/>
                      <w:lang w:val="en-US" w:eastAsia="zh-CN" w:bidi="ar"/>
                    </w:rPr>
                  </w:pPr>
                  <w:r>
                    <w:rPr>
                      <w:rFonts w:hint="eastAsia" w:ascii="Times New Roman" w:hAnsi="Times New Roman" w:eastAsia="宋体" w:cs="Times New Roman"/>
                      <w:b w:val="0"/>
                      <w:bCs w:val="0"/>
                      <w:color w:val="000000"/>
                      <w:kern w:val="0"/>
                      <w:sz w:val="21"/>
                      <w:szCs w:val="21"/>
                      <w:highlight w:val="none"/>
                      <w:vertAlign w:val="baseline"/>
                      <w:lang w:val="en-US" w:eastAsia="zh-CN" w:bidi="ar"/>
                    </w:rPr>
                    <w:t>花儿沟村</w:t>
                  </w:r>
                </w:p>
              </w:tc>
              <w:tc>
                <w:tcPr>
                  <w:tcW w:w="776" w:type="dxa"/>
                  <w:tcBorders>
                    <w:top w:val="single" w:color="auto" w:sz="12" w:space="0"/>
                    <w:bottom w:val="single" w:color="auto" w:sz="12" w:space="0"/>
                  </w:tcBorders>
                  <w:shd w:val="clear" w:color="auto" w:fill="auto"/>
                  <w:noWrap w:val="0"/>
                  <w:vAlign w:val="center"/>
                </w:tcPr>
                <w:p w14:paraId="4C2C539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南</w:t>
                  </w:r>
                </w:p>
              </w:tc>
              <w:tc>
                <w:tcPr>
                  <w:tcW w:w="1065" w:type="dxa"/>
                  <w:tcBorders>
                    <w:top w:val="single" w:color="auto" w:sz="12" w:space="0"/>
                    <w:bottom w:val="single" w:color="auto" w:sz="12" w:space="0"/>
                  </w:tcBorders>
                  <w:shd w:val="clear" w:color="auto" w:fill="auto"/>
                  <w:noWrap w:val="0"/>
                  <w:vAlign w:val="center"/>
                </w:tcPr>
                <w:p w14:paraId="122243A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200</w:t>
                  </w:r>
                </w:p>
              </w:tc>
              <w:tc>
                <w:tcPr>
                  <w:tcW w:w="975" w:type="dxa"/>
                  <w:tcBorders>
                    <w:top w:val="single" w:color="auto" w:sz="12" w:space="0"/>
                    <w:bottom w:val="single" w:color="auto" w:sz="12" w:space="0"/>
                  </w:tcBorders>
                  <w:shd w:val="clear" w:color="auto" w:fill="auto"/>
                  <w:noWrap w:val="0"/>
                  <w:vAlign w:val="center"/>
                </w:tcPr>
                <w:p w14:paraId="4E87EBB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255</w:t>
                  </w:r>
                </w:p>
              </w:tc>
              <w:tc>
                <w:tcPr>
                  <w:tcW w:w="2513" w:type="dxa"/>
                  <w:tcBorders>
                    <w:top w:val="single" w:color="auto" w:sz="12" w:space="0"/>
                    <w:bottom w:val="single" w:color="auto" w:sz="12" w:space="0"/>
                    <w:right w:val="nil"/>
                  </w:tcBorders>
                  <w:shd w:val="clear" w:color="auto" w:fill="auto"/>
                  <w:noWrap w:val="0"/>
                  <w:vAlign w:val="center"/>
                </w:tcPr>
                <w:p w14:paraId="0AC52C9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《声环境质量标准》（GB3096-2008）1类</w:t>
                  </w:r>
                </w:p>
              </w:tc>
            </w:tr>
          </w:tbl>
          <w:p w14:paraId="2DD8612A">
            <w:pPr>
              <w:keepNext w:val="0"/>
              <w:keepLines w:val="0"/>
              <w:pageBreakBefore w:val="0"/>
              <w:widowControl/>
              <w:suppressLineNumbers w:val="0"/>
              <w:kinsoku/>
              <w:wordWrap/>
              <w:overflowPunct/>
              <w:topLinePunct w:val="0"/>
              <w:autoSpaceDE/>
              <w:autoSpaceDN/>
              <w:bidi w:val="0"/>
              <w:adjustRightInd/>
              <w:snapToGrid w:val="0"/>
              <w:ind w:firstLine="482" w:firstLineChars="20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4.</w:t>
            </w:r>
            <w:r>
              <w:rPr>
                <w:rFonts w:hint="default" w:ascii="Times New Roman" w:hAnsi="Times New Roman" w:eastAsia="宋体" w:cs="Times New Roman"/>
                <w:b/>
                <w:bCs/>
                <w:color w:val="000000"/>
                <w:kern w:val="0"/>
                <w:sz w:val="24"/>
                <w:szCs w:val="24"/>
                <w:highlight w:val="none"/>
                <w:lang w:val="en-US" w:eastAsia="zh-CN" w:bidi="ar"/>
              </w:rPr>
              <w:t>生态环境保护目标</w:t>
            </w:r>
          </w:p>
          <w:p w14:paraId="21EAB5D4">
            <w:pPr>
              <w:keepNext w:val="0"/>
              <w:keepLines w:val="0"/>
              <w:pageBreakBefore w:val="0"/>
              <w:widowControl/>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根据《环境影响评价技术导则 生态影响》（HJ19-2022），本项目生态环境评价等级为二级。</w:t>
            </w:r>
            <w:r>
              <w:rPr>
                <w:rFonts w:hint="default" w:ascii="Times New Roman" w:hAnsi="Times New Roman" w:eastAsia="宋体" w:cs="Times New Roman"/>
                <w:color w:val="000000"/>
                <w:sz w:val="24"/>
                <w:szCs w:val="24"/>
                <w:lang w:val="en-US" w:eastAsia="zh-CN"/>
              </w:rPr>
              <w:t>生态评价范围应涵盖评价项目全部活动的直接影响区域和间接影响区域</w:t>
            </w:r>
            <w:r>
              <w:rPr>
                <w:rFonts w:hint="default" w:ascii="Times New Roman" w:hAnsi="Times New Roman" w:eastAsia="宋体" w:cs="Times New Roman"/>
                <w:b w:val="0"/>
                <w:bCs w:val="0"/>
                <w:color w:val="000000"/>
                <w:kern w:val="0"/>
                <w:sz w:val="24"/>
                <w:szCs w:val="24"/>
                <w:highlight w:val="none"/>
                <w:lang w:val="en-US" w:eastAsia="zh-CN" w:bidi="ar"/>
              </w:rPr>
              <w:t>。</w:t>
            </w:r>
          </w:p>
          <w:p w14:paraId="5F12D74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表3-</w:t>
            </w:r>
            <w:r>
              <w:rPr>
                <w:rFonts w:hint="eastAsia" w:cs="Times New Roman"/>
                <w:b/>
                <w:bCs/>
                <w:color w:val="000000"/>
                <w:kern w:val="0"/>
                <w:sz w:val="21"/>
                <w:szCs w:val="21"/>
                <w:highlight w:val="none"/>
                <w:lang w:val="en-US" w:eastAsia="zh-CN" w:bidi="ar"/>
              </w:rPr>
              <w:t>7</w:t>
            </w:r>
            <w:r>
              <w:rPr>
                <w:rFonts w:hint="eastAsia" w:ascii="Times New Roman" w:hAnsi="Times New Roman" w:eastAsia="宋体" w:cs="Times New Roman"/>
                <w:b/>
                <w:bCs/>
                <w:color w:val="000000"/>
                <w:kern w:val="0"/>
                <w:sz w:val="21"/>
                <w:szCs w:val="21"/>
                <w:highlight w:val="none"/>
                <w:lang w:val="en-US" w:eastAsia="zh-CN" w:bidi="ar"/>
              </w:rPr>
              <w:t xml:space="preserve"> </w:t>
            </w:r>
            <w:r>
              <w:rPr>
                <w:rFonts w:hint="default" w:ascii="Times New Roman" w:hAnsi="Times New Roman" w:eastAsia="宋体" w:cs="Times New Roman"/>
                <w:b/>
                <w:bCs/>
                <w:color w:val="000000"/>
                <w:kern w:val="0"/>
                <w:sz w:val="21"/>
                <w:szCs w:val="21"/>
                <w:highlight w:val="none"/>
                <w:lang w:val="en-US" w:eastAsia="zh-CN" w:bidi="ar"/>
              </w:rPr>
              <w:t>本项目生态环境保护目标</w:t>
            </w:r>
          </w:p>
          <w:tbl>
            <w:tblPr>
              <w:tblStyle w:val="33"/>
              <w:tblW w:w="0" w:type="auto"/>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32"/>
              <w:gridCol w:w="2340"/>
              <w:gridCol w:w="2254"/>
              <w:gridCol w:w="1909"/>
            </w:tblGrid>
            <w:tr w14:paraId="1A10075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2" w:type="dxa"/>
                  <w:tcBorders>
                    <w:top w:val="single" w:color="auto" w:sz="12" w:space="0"/>
                    <w:bottom w:val="single" w:color="auto" w:sz="12" w:space="0"/>
                  </w:tcBorders>
                  <w:noWrap w:val="0"/>
                  <w:vAlign w:val="center"/>
                </w:tcPr>
                <w:p w14:paraId="0EDA8D2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环境要素</w:t>
                  </w:r>
                </w:p>
              </w:tc>
              <w:tc>
                <w:tcPr>
                  <w:tcW w:w="2340" w:type="dxa"/>
                  <w:tcBorders>
                    <w:top w:val="single" w:color="auto" w:sz="12" w:space="0"/>
                    <w:bottom w:val="single" w:color="auto" w:sz="12" w:space="0"/>
                  </w:tcBorders>
                  <w:noWrap w:val="0"/>
                  <w:vAlign w:val="center"/>
                </w:tcPr>
                <w:p w14:paraId="7F6C506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环境保护对象名称</w:t>
                  </w:r>
                </w:p>
              </w:tc>
              <w:tc>
                <w:tcPr>
                  <w:tcW w:w="2254" w:type="dxa"/>
                  <w:tcBorders>
                    <w:top w:val="single" w:color="auto" w:sz="12" w:space="0"/>
                    <w:bottom w:val="single" w:color="auto" w:sz="12" w:space="0"/>
                  </w:tcBorders>
                  <w:noWrap w:val="0"/>
                  <w:vAlign w:val="center"/>
                </w:tcPr>
                <w:p w14:paraId="58A6DA6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方位</w:t>
                  </w:r>
                </w:p>
              </w:tc>
              <w:tc>
                <w:tcPr>
                  <w:tcW w:w="1909" w:type="dxa"/>
                  <w:tcBorders>
                    <w:top w:val="single" w:color="auto" w:sz="12" w:space="0"/>
                    <w:bottom w:val="single" w:color="auto" w:sz="12" w:space="0"/>
                  </w:tcBorders>
                  <w:noWrap w:val="0"/>
                  <w:vAlign w:val="center"/>
                </w:tcPr>
                <w:p w14:paraId="46DAB0C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bidi="ar"/>
                    </w:rPr>
                  </w:pPr>
                  <w:r>
                    <w:rPr>
                      <w:rFonts w:hint="default" w:ascii="Times New Roman" w:hAnsi="Times New Roman" w:eastAsia="宋体" w:cs="Times New Roman"/>
                      <w:b/>
                      <w:bCs/>
                      <w:color w:val="000000"/>
                      <w:kern w:val="0"/>
                      <w:sz w:val="21"/>
                      <w:szCs w:val="21"/>
                      <w:highlight w:val="none"/>
                      <w:vertAlign w:val="baseline"/>
                      <w:lang w:val="en-US" w:eastAsia="zh-CN" w:bidi="ar"/>
                    </w:rPr>
                    <w:t>环境功能</w:t>
                  </w:r>
                </w:p>
              </w:tc>
            </w:tr>
            <w:tr w14:paraId="59AE7C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2" w:type="dxa"/>
                  <w:vMerge w:val="restart"/>
                  <w:tcBorders>
                    <w:top w:val="single" w:color="auto" w:sz="12" w:space="0"/>
                  </w:tcBorders>
                  <w:noWrap w:val="0"/>
                  <w:vAlign w:val="center"/>
                </w:tcPr>
                <w:p w14:paraId="71AED78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生态环境</w:t>
                  </w:r>
                </w:p>
              </w:tc>
              <w:tc>
                <w:tcPr>
                  <w:tcW w:w="2340" w:type="dxa"/>
                  <w:tcBorders>
                    <w:top w:val="single" w:color="auto" w:sz="12" w:space="0"/>
                  </w:tcBorders>
                  <w:noWrap w:val="0"/>
                  <w:vAlign w:val="center"/>
                </w:tcPr>
                <w:p w14:paraId="3D3828C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eastAsia" w:ascii="Times New Roman" w:hAnsi="Times New Roman" w:eastAsia="宋体" w:cs="Times New Roman"/>
                      <w:b w:val="0"/>
                      <w:bCs w:val="0"/>
                      <w:color w:val="000000"/>
                      <w:kern w:val="0"/>
                      <w:sz w:val="21"/>
                      <w:szCs w:val="21"/>
                      <w:highlight w:val="none"/>
                      <w:vertAlign w:val="baseline"/>
                      <w:lang w:val="en-US" w:eastAsia="zh-CN" w:bidi="ar"/>
                    </w:rPr>
                    <w:t>新疆天山天池国家地质公园</w:t>
                  </w:r>
                </w:p>
              </w:tc>
              <w:tc>
                <w:tcPr>
                  <w:tcW w:w="2254" w:type="dxa"/>
                  <w:tcBorders>
                    <w:top w:val="single" w:color="auto" w:sz="12" w:space="0"/>
                  </w:tcBorders>
                  <w:noWrap w:val="0"/>
                  <w:vAlign w:val="center"/>
                </w:tcPr>
                <w:p w14:paraId="2EDDB64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本项目位于此生态空间范围内</w:t>
                  </w:r>
                </w:p>
              </w:tc>
              <w:tc>
                <w:tcPr>
                  <w:tcW w:w="1909" w:type="dxa"/>
                  <w:vMerge w:val="restart"/>
                  <w:tcBorders>
                    <w:top w:val="single" w:color="auto" w:sz="12" w:space="0"/>
                  </w:tcBorders>
                  <w:noWrap w:val="0"/>
                  <w:vAlign w:val="center"/>
                </w:tcPr>
                <w:p w14:paraId="59DE187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保护地表水环境及生物多样性，不因工程实施</w:t>
                  </w:r>
                  <w:r>
                    <w:rPr>
                      <w:rFonts w:hint="eastAsia" w:cs="Times New Roman"/>
                      <w:color w:val="000000"/>
                      <w:kern w:val="2"/>
                      <w:sz w:val="21"/>
                      <w:szCs w:val="21"/>
                      <w:lang w:val="en-US" w:eastAsia="zh-CN" w:bidi="ar-SA"/>
                    </w:rPr>
                    <w:t>导致地表水</w:t>
                  </w:r>
                  <w:r>
                    <w:rPr>
                      <w:rFonts w:hint="default" w:ascii="Times New Roman" w:hAnsi="Times New Roman" w:eastAsia="宋体" w:cs="Times New Roman"/>
                      <w:color w:val="000000"/>
                      <w:kern w:val="2"/>
                      <w:sz w:val="21"/>
                      <w:szCs w:val="21"/>
                      <w:lang w:val="en-US" w:eastAsia="zh-CN" w:bidi="ar-SA"/>
                    </w:rPr>
                    <w:t>质量下降</w:t>
                  </w:r>
                  <w:r>
                    <w:rPr>
                      <w:rFonts w:hint="eastAsia"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生物多样性</w:t>
                  </w:r>
                  <w:r>
                    <w:rPr>
                      <w:rFonts w:hint="eastAsia" w:cs="Times New Roman"/>
                      <w:color w:val="000000"/>
                      <w:kern w:val="2"/>
                      <w:sz w:val="21"/>
                      <w:szCs w:val="21"/>
                      <w:lang w:val="en-US" w:eastAsia="zh-CN" w:bidi="ar-SA"/>
                    </w:rPr>
                    <w:t>降低。</w:t>
                  </w:r>
                </w:p>
              </w:tc>
            </w:tr>
            <w:tr w14:paraId="6EA94DF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424B5D4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p>
              </w:tc>
              <w:tc>
                <w:tcPr>
                  <w:tcW w:w="2340" w:type="dxa"/>
                  <w:noWrap w:val="0"/>
                  <w:vAlign w:val="center"/>
                </w:tcPr>
                <w:p w14:paraId="6227782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基本农田保护区</w:t>
                  </w:r>
                </w:p>
              </w:tc>
              <w:tc>
                <w:tcPr>
                  <w:tcW w:w="2254" w:type="dxa"/>
                  <w:noWrap w:val="0"/>
                  <w:vAlign w:val="center"/>
                </w:tcPr>
                <w:p w14:paraId="461B4CE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项目区范围及周边</w:t>
                  </w:r>
                </w:p>
              </w:tc>
              <w:tc>
                <w:tcPr>
                  <w:tcW w:w="1909" w:type="dxa"/>
                  <w:vMerge w:val="continue"/>
                  <w:noWrap w:val="0"/>
                  <w:vAlign w:val="center"/>
                </w:tcPr>
                <w:p w14:paraId="0036F67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p>
              </w:tc>
            </w:tr>
            <w:tr w14:paraId="24BB95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2" w:type="dxa"/>
                  <w:vMerge w:val="continue"/>
                  <w:tcBorders>
                    <w:bottom w:val="single" w:color="auto" w:sz="12" w:space="0"/>
                  </w:tcBorders>
                  <w:noWrap w:val="0"/>
                  <w:vAlign w:val="center"/>
                </w:tcPr>
                <w:p w14:paraId="67BEE82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p>
              </w:tc>
              <w:tc>
                <w:tcPr>
                  <w:tcW w:w="2340" w:type="dxa"/>
                  <w:tcBorders>
                    <w:bottom w:val="single" w:color="auto" w:sz="12" w:space="0"/>
                  </w:tcBorders>
                  <w:noWrap w:val="0"/>
                  <w:vAlign w:val="center"/>
                </w:tcPr>
                <w:p w14:paraId="0110827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林草地</w:t>
                  </w:r>
                </w:p>
              </w:tc>
              <w:tc>
                <w:tcPr>
                  <w:tcW w:w="2254" w:type="dxa"/>
                  <w:tcBorders>
                    <w:bottom w:val="single" w:color="auto" w:sz="12" w:space="0"/>
                  </w:tcBorders>
                  <w:noWrap w:val="0"/>
                  <w:vAlign w:val="center"/>
                </w:tcPr>
                <w:p w14:paraId="4080C55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项目区范围及周边</w:t>
                  </w:r>
                </w:p>
              </w:tc>
              <w:tc>
                <w:tcPr>
                  <w:tcW w:w="1909" w:type="dxa"/>
                  <w:vMerge w:val="continue"/>
                  <w:tcBorders>
                    <w:bottom w:val="single" w:color="auto" w:sz="12" w:space="0"/>
                  </w:tcBorders>
                  <w:noWrap w:val="0"/>
                  <w:vAlign w:val="center"/>
                </w:tcPr>
                <w:p w14:paraId="6137D72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p>
              </w:tc>
            </w:tr>
          </w:tbl>
          <w:p w14:paraId="1C004BF6">
            <w:pPr>
              <w:rPr>
                <w:rFonts w:hint="default" w:ascii="Times New Roman" w:hAnsi="Times New Roman" w:eastAsia="宋体" w:cs="Times New Roman"/>
                <w:color w:val="000000"/>
                <w:lang w:val="en-US" w:eastAsia="zh-CN"/>
              </w:rPr>
            </w:pPr>
          </w:p>
        </w:tc>
      </w:tr>
      <w:tr w14:paraId="2611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noWrap w:val="0"/>
            <w:vAlign w:val="center"/>
          </w:tcPr>
          <w:p w14:paraId="000528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4"/>
                <w:szCs w:val="21"/>
                <w:highlight w:val="none"/>
                <w:lang w:val="en-US" w:eastAsia="zh-CN" w:bidi="ar-SA"/>
              </w:rPr>
            </w:pPr>
            <w:r>
              <w:rPr>
                <w:rFonts w:hint="default" w:ascii="Times New Roman" w:hAnsi="Times New Roman" w:eastAsia="宋体" w:cs="Times New Roman"/>
                <w:color w:val="000000"/>
                <w:kern w:val="0"/>
                <w:szCs w:val="21"/>
                <w:highlight w:val="none"/>
              </w:rPr>
              <w:t>评价标准</w:t>
            </w:r>
          </w:p>
        </w:tc>
        <w:tc>
          <w:tcPr>
            <w:tcW w:w="4613" w:type="pct"/>
            <w:noWrap w:val="0"/>
            <w:vAlign w:val="center"/>
          </w:tcPr>
          <w:p w14:paraId="3BEB5165">
            <w:pPr>
              <w:pStyle w:val="79"/>
              <w:widowControl w:val="0"/>
              <w:numPr>
                <w:ilvl w:val="0"/>
                <w:numId w:val="0"/>
              </w:numPr>
              <w:adjustRightInd w:val="0"/>
              <w:snapToGrid w:val="0"/>
              <w:ind w:firstLine="496"/>
              <w:jc w:val="both"/>
              <w:rPr>
                <w:rFonts w:hint="default" w:ascii="Times New Roman" w:hAnsi="Times New Roman" w:eastAsia="宋体" w:cs="Times New Roman"/>
                <w:b/>
                <w:bCs/>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1.</w:t>
            </w:r>
            <w:r>
              <w:rPr>
                <w:rFonts w:hint="default" w:ascii="Times New Roman" w:hAnsi="Times New Roman" w:eastAsia="宋体" w:cs="Times New Roman"/>
                <w:b/>
                <w:bCs/>
                <w:color w:val="000000"/>
                <w:kern w:val="0"/>
                <w:sz w:val="24"/>
                <w:szCs w:val="24"/>
                <w:highlight w:val="none"/>
                <w:lang w:val="en-US" w:eastAsia="zh-CN" w:bidi="ar"/>
              </w:rPr>
              <w:t>环境质量标准</w:t>
            </w:r>
          </w:p>
          <w:p w14:paraId="2FE9FC02">
            <w:pPr>
              <w:pStyle w:val="79"/>
              <w:widowControl w:val="0"/>
              <w:numPr>
                <w:ilvl w:val="0"/>
                <w:numId w:val="0"/>
              </w:numPr>
              <w:adjustRightInd w:val="0"/>
              <w:snapToGrid w:val="0"/>
              <w:ind w:firstLine="496"/>
              <w:jc w:val="both"/>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1.1大气环境</w:t>
            </w:r>
          </w:p>
          <w:p w14:paraId="798E73A7">
            <w:pPr>
              <w:pStyle w:val="79"/>
              <w:widowControl w:val="0"/>
              <w:numPr>
                <w:ilvl w:val="0"/>
                <w:numId w:val="0"/>
              </w:numPr>
              <w:adjustRightInd w:val="0"/>
              <w:snapToGrid w:val="0"/>
              <w:ind w:firstLine="496"/>
              <w:jc w:val="both"/>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根据《环境空气质量标准》（</w:t>
            </w:r>
            <w:r>
              <w:rPr>
                <w:rFonts w:hint="eastAsia" w:cs="Times New Roman"/>
                <w:color w:val="000000"/>
                <w:kern w:val="0"/>
                <w:sz w:val="24"/>
                <w:szCs w:val="24"/>
                <w:highlight w:val="none"/>
                <w:lang w:val="en-US" w:eastAsia="zh-CN" w:bidi="ar"/>
              </w:rPr>
              <w:t>GB 3095</w:t>
            </w:r>
            <w:r>
              <w:rPr>
                <w:rFonts w:hint="default" w:ascii="Times New Roman" w:hAnsi="Times New Roman" w:eastAsia="宋体" w:cs="Times New Roman"/>
                <w:color w:val="000000"/>
                <w:kern w:val="0"/>
                <w:sz w:val="24"/>
                <w:szCs w:val="24"/>
                <w:highlight w:val="none"/>
                <w:lang w:val="en-US" w:eastAsia="zh-CN" w:bidi="ar"/>
              </w:rPr>
              <w:t>-2026）中关于环境空气功能区分类，项目区属于一类环境空气功能区，环境空气质量执行《环境空气质量标准》（GB3095-2026）中的过渡阶段一级标准，标准值见表3-</w:t>
            </w:r>
            <w:r>
              <w:rPr>
                <w:rFonts w:hint="eastAsia" w:cs="Times New Roman"/>
                <w:color w:val="000000"/>
                <w:kern w:val="0"/>
                <w:sz w:val="24"/>
                <w:szCs w:val="24"/>
                <w:highlight w:val="none"/>
                <w:lang w:val="en-US" w:eastAsia="zh-CN" w:bidi="ar"/>
              </w:rPr>
              <w:t>8</w:t>
            </w:r>
            <w:r>
              <w:rPr>
                <w:rFonts w:hint="default" w:ascii="Times New Roman" w:hAnsi="Times New Roman" w:eastAsia="宋体" w:cs="Times New Roman"/>
                <w:color w:val="000000"/>
                <w:kern w:val="0"/>
                <w:sz w:val="24"/>
                <w:szCs w:val="24"/>
                <w:highlight w:val="none"/>
                <w:lang w:val="en-US" w:eastAsia="zh-CN" w:bidi="ar"/>
              </w:rPr>
              <w:t>。</w:t>
            </w:r>
          </w:p>
          <w:p w14:paraId="09E6B061">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highlight w:val="none"/>
                <w:lang w:val="en-US"/>
              </w:rPr>
            </w:pPr>
            <w:r>
              <w:rPr>
                <w:rFonts w:hint="default" w:ascii="Times New Roman" w:hAnsi="Times New Roman" w:eastAsia="宋体" w:cs="Times New Roman"/>
                <w:b/>
                <w:bCs/>
                <w:color w:val="000000"/>
                <w:sz w:val="21"/>
                <w:szCs w:val="21"/>
                <w:highlight w:val="none"/>
                <w:lang w:val="en-US"/>
              </w:rPr>
              <w:t>表</w:t>
            </w:r>
            <w:r>
              <w:rPr>
                <w:rFonts w:hint="default" w:ascii="Times New Roman" w:hAnsi="Times New Roman" w:eastAsia="宋体" w:cs="Times New Roman"/>
                <w:b/>
                <w:bCs/>
                <w:color w:val="000000"/>
                <w:sz w:val="21"/>
                <w:szCs w:val="21"/>
                <w:highlight w:val="none"/>
                <w:lang w:val="en-US" w:eastAsia="zh-CN"/>
              </w:rPr>
              <w:t>3-</w:t>
            </w:r>
            <w:r>
              <w:rPr>
                <w:rFonts w:hint="eastAsia" w:cs="Times New Roman"/>
                <w:b/>
                <w:bCs/>
                <w:color w:val="000000"/>
                <w:sz w:val="21"/>
                <w:szCs w:val="21"/>
                <w:highlight w:val="none"/>
                <w:lang w:val="en-US" w:eastAsia="zh-CN"/>
              </w:rPr>
              <w:t>8</w:t>
            </w:r>
            <w:r>
              <w:rPr>
                <w:rFonts w:hint="default" w:ascii="Times New Roman" w:hAnsi="Times New Roman" w:eastAsia="宋体" w:cs="Times New Roman"/>
                <w:b/>
                <w:bCs/>
                <w:color w:val="000000"/>
                <w:sz w:val="21"/>
                <w:szCs w:val="21"/>
                <w:highlight w:val="none"/>
                <w:lang w:val="en-US" w:eastAsia="zh-CN"/>
              </w:rPr>
              <w:t xml:space="preserve"> </w:t>
            </w:r>
            <w:r>
              <w:rPr>
                <w:rFonts w:hint="default" w:ascii="Times New Roman" w:hAnsi="Times New Roman" w:eastAsia="宋体" w:cs="Times New Roman"/>
                <w:b/>
                <w:bCs/>
                <w:color w:val="000000"/>
                <w:sz w:val="21"/>
                <w:szCs w:val="21"/>
                <w:highlight w:val="none"/>
                <w:lang w:val="en-US"/>
              </w:rPr>
              <w:t>环境空气质量标准</w:t>
            </w:r>
          </w:p>
          <w:tbl>
            <w:tblPr>
              <w:tblStyle w:val="32"/>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928"/>
              <w:gridCol w:w="2174"/>
              <w:gridCol w:w="2759"/>
              <w:gridCol w:w="1146"/>
            </w:tblGrid>
            <w:tr w14:paraId="2D0956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vMerge w:val="restart"/>
                  <w:tcBorders>
                    <w:tl2br w:val="nil"/>
                    <w:tr2bl w:val="nil"/>
                  </w:tcBorders>
                  <w:noWrap w:val="0"/>
                  <w:vAlign w:val="center"/>
                </w:tcPr>
                <w:p w14:paraId="38647AC7">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b/>
                      <w:bCs/>
                      <w:color w:val="000000"/>
                    </w:rPr>
                  </w:pPr>
                  <w:r>
                    <w:rPr>
                      <w:rFonts w:hint="default" w:ascii="Times New Roman" w:hAnsi="Times New Roman" w:eastAsia="宋体" w:cs="Times New Roman"/>
                      <w:b/>
                      <w:bCs/>
                      <w:color w:val="000000"/>
                    </w:rPr>
                    <w:t>序号</w:t>
                  </w:r>
                </w:p>
              </w:tc>
              <w:tc>
                <w:tcPr>
                  <w:tcW w:w="928" w:type="dxa"/>
                  <w:vMerge w:val="restart"/>
                  <w:tcBorders>
                    <w:tl2br w:val="nil"/>
                    <w:tr2bl w:val="nil"/>
                  </w:tcBorders>
                  <w:noWrap w:val="0"/>
                  <w:vAlign w:val="center"/>
                </w:tcPr>
                <w:p w14:paraId="3630440E">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b/>
                      <w:bCs/>
                      <w:color w:val="000000"/>
                    </w:rPr>
                  </w:pPr>
                  <w:r>
                    <w:rPr>
                      <w:rFonts w:hint="default" w:ascii="Times New Roman" w:hAnsi="Times New Roman" w:eastAsia="宋体" w:cs="Times New Roman"/>
                      <w:b/>
                      <w:bCs/>
                      <w:color w:val="000000"/>
                    </w:rPr>
                    <w:t>污染物项目</w:t>
                  </w:r>
                </w:p>
              </w:tc>
              <w:tc>
                <w:tcPr>
                  <w:tcW w:w="2174" w:type="dxa"/>
                  <w:vMerge w:val="restart"/>
                  <w:tcBorders>
                    <w:tl2br w:val="nil"/>
                    <w:tr2bl w:val="nil"/>
                  </w:tcBorders>
                  <w:noWrap w:val="0"/>
                  <w:vAlign w:val="center"/>
                </w:tcPr>
                <w:p w14:paraId="289BCE1B">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b/>
                      <w:bCs/>
                      <w:color w:val="000000"/>
                    </w:rPr>
                  </w:pPr>
                  <w:r>
                    <w:rPr>
                      <w:rFonts w:hint="default" w:ascii="Times New Roman" w:hAnsi="Times New Roman" w:eastAsia="宋体" w:cs="Times New Roman"/>
                      <w:b/>
                      <w:bCs/>
                      <w:color w:val="000000"/>
                    </w:rPr>
                    <w:t>平均时间</w:t>
                  </w:r>
                </w:p>
              </w:tc>
              <w:tc>
                <w:tcPr>
                  <w:tcW w:w="2759" w:type="dxa"/>
                  <w:tcBorders>
                    <w:tl2br w:val="nil"/>
                    <w:tr2bl w:val="nil"/>
                  </w:tcBorders>
                  <w:noWrap w:val="0"/>
                  <w:vAlign w:val="center"/>
                </w:tcPr>
                <w:p w14:paraId="6498C1E6">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b/>
                      <w:bCs/>
                      <w:color w:val="000000"/>
                    </w:rPr>
                  </w:pPr>
                  <w:r>
                    <w:rPr>
                      <w:rFonts w:hint="default" w:ascii="Times New Roman" w:hAnsi="Times New Roman" w:eastAsia="宋体" w:cs="Times New Roman"/>
                      <w:b/>
                      <w:bCs/>
                      <w:color w:val="000000"/>
                    </w:rPr>
                    <w:t>浓度值</w:t>
                  </w:r>
                </w:p>
              </w:tc>
              <w:tc>
                <w:tcPr>
                  <w:tcW w:w="1146" w:type="dxa"/>
                  <w:vMerge w:val="restart"/>
                  <w:tcBorders>
                    <w:tl2br w:val="nil"/>
                    <w:tr2bl w:val="nil"/>
                  </w:tcBorders>
                  <w:noWrap w:val="0"/>
                  <w:vAlign w:val="center"/>
                </w:tcPr>
                <w:p w14:paraId="4BE9EB5F">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rPr>
                  </w:pPr>
                  <w:r>
                    <w:rPr>
                      <w:rFonts w:hint="default" w:ascii="Times New Roman" w:hAnsi="Times New Roman" w:eastAsia="宋体" w:cs="Times New Roman"/>
                      <w:b/>
                      <w:bCs/>
                      <w:color w:val="000000"/>
                    </w:rPr>
                    <w:t>单位</w:t>
                  </w:r>
                </w:p>
              </w:tc>
            </w:tr>
            <w:tr w14:paraId="1513EE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07" w:type="dxa"/>
                  <w:vMerge w:val="continue"/>
                  <w:tcBorders>
                    <w:tl2br w:val="nil"/>
                    <w:tr2bl w:val="nil"/>
                  </w:tcBorders>
                  <w:noWrap w:val="0"/>
                  <w:vAlign w:val="center"/>
                </w:tcPr>
                <w:p w14:paraId="50A1DE0B">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b/>
                      <w:bCs/>
                      <w:color w:val="000000"/>
                    </w:rPr>
                  </w:pPr>
                </w:p>
              </w:tc>
              <w:tc>
                <w:tcPr>
                  <w:tcW w:w="928" w:type="dxa"/>
                  <w:vMerge w:val="continue"/>
                  <w:tcBorders>
                    <w:tl2br w:val="nil"/>
                    <w:tr2bl w:val="nil"/>
                  </w:tcBorders>
                  <w:noWrap w:val="0"/>
                  <w:vAlign w:val="center"/>
                </w:tcPr>
                <w:p w14:paraId="5A5EF1B2">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b/>
                      <w:bCs/>
                      <w:color w:val="000000"/>
                    </w:rPr>
                  </w:pPr>
                </w:p>
              </w:tc>
              <w:tc>
                <w:tcPr>
                  <w:tcW w:w="2174" w:type="dxa"/>
                  <w:vMerge w:val="continue"/>
                  <w:tcBorders>
                    <w:tl2br w:val="nil"/>
                    <w:tr2bl w:val="nil"/>
                  </w:tcBorders>
                  <w:noWrap w:val="0"/>
                  <w:vAlign w:val="center"/>
                </w:tcPr>
                <w:p w14:paraId="320F5F38">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b/>
                      <w:bCs/>
                      <w:color w:val="000000"/>
                    </w:rPr>
                  </w:pPr>
                </w:p>
              </w:tc>
              <w:tc>
                <w:tcPr>
                  <w:tcW w:w="2759" w:type="dxa"/>
                  <w:tcBorders>
                    <w:tl2br w:val="nil"/>
                    <w:tr2bl w:val="nil"/>
                  </w:tcBorders>
                  <w:noWrap w:val="0"/>
                  <w:vAlign w:val="center"/>
                </w:tcPr>
                <w:p w14:paraId="5EADD045">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b/>
                      <w:bCs/>
                      <w:color w:val="000000"/>
                    </w:rPr>
                  </w:pPr>
                  <w:r>
                    <w:rPr>
                      <w:rFonts w:hint="default" w:ascii="Times New Roman" w:hAnsi="Times New Roman" w:eastAsia="宋体" w:cs="Times New Roman"/>
                      <w:b/>
                      <w:bCs/>
                      <w:color w:val="000000"/>
                      <w:lang w:val="en-US" w:eastAsia="zh-CN"/>
                    </w:rPr>
                    <w:t>一</w:t>
                  </w:r>
                  <w:r>
                    <w:rPr>
                      <w:rFonts w:hint="default" w:ascii="Times New Roman" w:hAnsi="Times New Roman" w:eastAsia="宋体" w:cs="Times New Roman"/>
                      <w:b/>
                      <w:bCs/>
                      <w:color w:val="000000"/>
                    </w:rPr>
                    <w:t>级</w:t>
                  </w:r>
                </w:p>
              </w:tc>
              <w:tc>
                <w:tcPr>
                  <w:tcW w:w="1146" w:type="dxa"/>
                  <w:vMerge w:val="continue"/>
                  <w:tcBorders>
                    <w:tl2br w:val="nil"/>
                    <w:tr2bl w:val="nil"/>
                  </w:tcBorders>
                  <w:noWrap w:val="0"/>
                  <w:vAlign w:val="center"/>
                </w:tcPr>
                <w:p w14:paraId="7B4C14B2">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rPr>
                  </w:pPr>
                </w:p>
              </w:tc>
            </w:tr>
            <w:tr w14:paraId="636F47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607" w:type="dxa"/>
                  <w:vMerge w:val="restart"/>
                  <w:tcBorders>
                    <w:tl2br w:val="nil"/>
                    <w:tr2bl w:val="nil"/>
                  </w:tcBorders>
                  <w:noWrap w:val="0"/>
                  <w:vAlign w:val="center"/>
                </w:tcPr>
                <w:p w14:paraId="41BD7336">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rPr>
                    <w:t>1</w:t>
                  </w:r>
                </w:p>
              </w:tc>
              <w:tc>
                <w:tcPr>
                  <w:tcW w:w="928" w:type="dxa"/>
                  <w:vMerge w:val="restart"/>
                  <w:tcBorders>
                    <w:tl2br w:val="nil"/>
                    <w:tr2bl w:val="nil"/>
                  </w:tcBorders>
                  <w:noWrap w:val="0"/>
                  <w:vAlign w:val="center"/>
                </w:tcPr>
                <w:p w14:paraId="720CF9ED">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SO</w:t>
                  </w:r>
                  <w:r>
                    <w:rPr>
                      <w:rFonts w:hint="default" w:ascii="Times New Roman" w:hAnsi="Times New Roman" w:eastAsia="宋体" w:cs="Times New Roman"/>
                      <w:color w:val="000000"/>
                      <w:vertAlign w:val="subscript"/>
                    </w:rPr>
                    <w:t>2</w:t>
                  </w:r>
                </w:p>
              </w:tc>
              <w:tc>
                <w:tcPr>
                  <w:tcW w:w="2174" w:type="dxa"/>
                  <w:tcBorders>
                    <w:tl2br w:val="nil"/>
                    <w:tr2bl w:val="nil"/>
                  </w:tcBorders>
                  <w:noWrap w:val="0"/>
                  <w:vAlign w:val="center"/>
                </w:tcPr>
                <w:p w14:paraId="7B2EEB2A">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年平均</w:t>
                  </w:r>
                </w:p>
              </w:tc>
              <w:tc>
                <w:tcPr>
                  <w:tcW w:w="2759" w:type="dxa"/>
                  <w:tcBorders>
                    <w:tl2br w:val="nil"/>
                    <w:tr2bl w:val="nil"/>
                  </w:tcBorders>
                  <w:noWrap w:val="0"/>
                  <w:vAlign w:val="center"/>
                </w:tcPr>
                <w:p w14:paraId="4AED6295">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20</w:t>
                  </w:r>
                </w:p>
              </w:tc>
              <w:tc>
                <w:tcPr>
                  <w:tcW w:w="1146" w:type="dxa"/>
                  <w:vMerge w:val="restart"/>
                  <w:tcBorders>
                    <w:tl2br w:val="nil"/>
                    <w:tr2bl w:val="nil"/>
                  </w:tcBorders>
                  <w:noWrap w:val="0"/>
                  <w:vAlign w:val="center"/>
                </w:tcPr>
                <w:p w14:paraId="18A692A5">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μg/</w:t>
                  </w:r>
                  <w:r>
                    <w:rPr>
                      <w:rFonts w:hint="default" w:ascii="Times New Roman" w:hAnsi="Times New Roman" w:eastAsia="宋体" w:cs="Times New Roman"/>
                      <w:color w:val="000000"/>
                      <w:lang w:val="en-US" w:eastAsia="zh-CN"/>
                    </w:rPr>
                    <w:t>m</w:t>
                  </w:r>
                  <w:r>
                    <w:rPr>
                      <w:rFonts w:hint="default" w:ascii="Times New Roman" w:hAnsi="Times New Roman" w:eastAsia="宋体" w:cs="Times New Roman"/>
                      <w:color w:val="000000"/>
                      <w:vertAlign w:val="superscript"/>
                      <w:lang w:val="en-US" w:eastAsia="zh-CN"/>
                    </w:rPr>
                    <w:t>3</w:t>
                  </w:r>
                </w:p>
              </w:tc>
            </w:tr>
            <w:tr w14:paraId="4E9F0A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vMerge w:val="continue"/>
                  <w:tcBorders>
                    <w:tl2br w:val="nil"/>
                    <w:tr2bl w:val="nil"/>
                  </w:tcBorders>
                  <w:noWrap w:val="0"/>
                  <w:vAlign w:val="center"/>
                </w:tcPr>
                <w:p w14:paraId="73A4FDB0">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928" w:type="dxa"/>
                  <w:vMerge w:val="continue"/>
                  <w:tcBorders>
                    <w:tl2br w:val="nil"/>
                    <w:tr2bl w:val="nil"/>
                  </w:tcBorders>
                  <w:noWrap w:val="0"/>
                  <w:vAlign w:val="center"/>
                </w:tcPr>
                <w:p w14:paraId="6313E7FF">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2174" w:type="dxa"/>
                  <w:tcBorders>
                    <w:tl2br w:val="nil"/>
                    <w:tr2bl w:val="nil"/>
                  </w:tcBorders>
                  <w:noWrap w:val="0"/>
                  <w:vAlign w:val="center"/>
                </w:tcPr>
                <w:p w14:paraId="00A59CE3">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24小时平均</w:t>
                  </w:r>
                </w:p>
              </w:tc>
              <w:tc>
                <w:tcPr>
                  <w:tcW w:w="2759" w:type="dxa"/>
                  <w:tcBorders>
                    <w:tl2br w:val="nil"/>
                    <w:tr2bl w:val="nil"/>
                  </w:tcBorders>
                  <w:noWrap w:val="0"/>
                  <w:vAlign w:val="center"/>
                </w:tcPr>
                <w:p w14:paraId="5F952AC7">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50</w:t>
                  </w:r>
                </w:p>
              </w:tc>
              <w:tc>
                <w:tcPr>
                  <w:tcW w:w="1146" w:type="dxa"/>
                  <w:vMerge w:val="continue"/>
                  <w:tcBorders>
                    <w:tl2br w:val="nil"/>
                    <w:tr2bl w:val="nil"/>
                  </w:tcBorders>
                  <w:noWrap w:val="0"/>
                  <w:vAlign w:val="center"/>
                </w:tcPr>
                <w:p w14:paraId="7C7322BD">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r>
            <w:tr w14:paraId="09F914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vMerge w:val="continue"/>
                  <w:tcBorders>
                    <w:tl2br w:val="nil"/>
                    <w:tr2bl w:val="nil"/>
                  </w:tcBorders>
                  <w:noWrap w:val="0"/>
                  <w:vAlign w:val="center"/>
                </w:tcPr>
                <w:p w14:paraId="2F7CB739">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928" w:type="dxa"/>
                  <w:vMerge w:val="continue"/>
                  <w:tcBorders>
                    <w:tl2br w:val="nil"/>
                    <w:tr2bl w:val="nil"/>
                  </w:tcBorders>
                  <w:noWrap w:val="0"/>
                  <w:vAlign w:val="center"/>
                </w:tcPr>
                <w:p w14:paraId="6F23CD32">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2174" w:type="dxa"/>
                  <w:tcBorders>
                    <w:tl2br w:val="nil"/>
                    <w:tr2bl w:val="nil"/>
                  </w:tcBorders>
                  <w:noWrap w:val="0"/>
                  <w:vAlign w:val="center"/>
                </w:tcPr>
                <w:p w14:paraId="73373A91">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1小时平均</w:t>
                  </w:r>
                </w:p>
              </w:tc>
              <w:tc>
                <w:tcPr>
                  <w:tcW w:w="2759" w:type="dxa"/>
                  <w:tcBorders>
                    <w:tl2br w:val="nil"/>
                    <w:tr2bl w:val="nil"/>
                  </w:tcBorders>
                  <w:noWrap w:val="0"/>
                  <w:vAlign w:val="center"/>
                </w:tcPr>
                <w:p w14:paraId="5DFEAD72">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150</w:t>
                  </w:r>
                </w:p>
              </w:tc>
              <w:tc>
                <w:tcPr>
                  <w:tcW w:w="1146" w:type="dxa"/>
                  <w:vMerge w:val="continue"/>
                  <w:tcBorders>
                    <w:tl2br w:val="nil"/>
                    <w:tr2bl w:val="nil"/>
                  </w:tcBorders>
                  <w:noWrap w:val="0"/>
                  <w:vAlign w:val="center"/>
                </w:tcPr>
                <w:p w14:paraId="76554A9E">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r>
            <w:tr w14:paraId="0628C3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vMerge w:val="restart"/>
                  <w:tcBorders>
                    <w:tl2br w:val="nil"/>
                    <w:tr2bl w:val="nil"/>
                  </w:tcBorders>
                  <w:noWrap w:val="0"/>
                  <w:vAlign w:val="center"/>
                </w:tcPr>
                <w:p w14:paraId="1C7CCC8C">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rPr>
                    <w:t>2</w:t>
                  </w:r>
                </w:p>
              </w:tc>
              <w:tc>
                <w:tcPr>
                  <w:tcW w:w="928" w:type="dxa"/>
                  <w:vMerge w:val="restart"/>
                  <w:tcBorders>
                    <w:tl2br w:val="nil"/>
                    <w:tr2bl w:val="nil"/>
                  </w:tcBorders>
                  <w:noWrap w:val="0"/>
                  <w:vAlign w:val="center"/>
                </w:tcPr>
                <w:p w14:paraId="548D5217">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NO</w:t>
                  </w:r>
                  <w:r>
                    <w:rPr>
                      <w:rFonts w:hint="default" w:ascii="Times New Roman" w:hAnsi="Times New Roman" w:eastAsia="宋体" w:cs="Times New Roman"/>
                      <w:color w:val="000000"/>
                      <w:vertAlign w:val="subscript"/>
                    </w:rPr>
                    <w:t>2</w:t>
                  </w:r>
                </w:p>
              </w:tc>
              <w:tc>
                <w:tcPr>
                  <w:tcW w:w="2174" w:type="dxa"/>
                  <w:tcBorders>
                    <w:tl2br w:val="nil"/>
                    <w:tr2bl w:val="nil"/>
                  </w:tcBorders>
                  <w:noWrap w:val="0"/>
                  <w:vAlign w:val="center"/>
                </w:tcPr>
                <w:p w14:paraId="7CFA3663">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年平均</w:t>
                  </w:r>
                </w:p>
              </w:tc>
              <w:tc>
                <w:tcPr>
                  <w:tcW w:w="2759" w:type="dxa"/>
                  <w:tcBorders>
                    <w:tl2br w:val="nil"/>
                    <w:tr2bl w:val="nil"/>
                  </w:tcBorders>
                  <w:noWrap w:val="0"/>
                  <w:vAlign w:val="center"/>
                </w:tcPr>
                <w:p w14:paraId="347FC6EA">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40</w:t>
                  </w:r>
                </w:p>
              </w:tc>
              <w:tc>
                <w:tcPr>
                  <w:tcW w:w="1146" w:type="dxa"/>
                  <w:vMerge w:val="restart"/>
                  <w:tcBorders>
                    <w:tl2br w:val="nil"/>
                    <w:tr2bl w:val="nil"/>
                  </w:tcBorders>
                  <w:noWrap w:val="0"/>
                  <w:vAlign w:val="center"/>
                </w:tcPr>
                <w:p w14:paraId="1616AC36">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μg/</w:t>
                  </w:r>
                  <w:r>
                    <w:rPr>
                      <w:rFonts w:hint="default" w:ascii="Times New Roman" w:hAnsi="Times New Roman" w:eastAsia="宋体" w:cs="Times New Roman"/>
                      <w:color w:val="000000"/>
                      <w:lang w:val="en-US" w:eastAsia="zh-CN"/>
                    </w:rPr>
                    <w:t>m</w:t>
                  </w:r>
                  <w:r>
                    <w:rPr>
                      <w:rFonts w:hint="default" w:ascii="Times New Roman" w:hAnsi="Times New Roman" w:eastAsia="宋体" w:cs="Times New Roman"/>
                      <w:color w:val="000000"/>
                      <w:vertAlign w:val="superscript"/>
                      <w:lang w:val="en-US" w:eastAsia="zh-CN"/>
                    </w:rPr>
                    <w:t>3</w:t>
                  </w:r>
                </w:p>
              </w:tc>
            </w:tr>
            <w:tr w14:paraId="342F3C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vMerge w:val="continue"/>
                  <w:tcBorders>
                    <w:tl2br w:val="nil"/>
                    <w:tr2bl w:val="nil"/>
                  </w:tcBorders>
                  <w:noWrap w:val="0"/>
                  <w:vAlign w:val="center"/>
                </w:tcPr>
                <w:p w14:paraId="43969DC9">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928" w:type="dxa"/>
                  <w:vMerge w:val="continue"/>
                  <w:tcBorders>
                    <w:tl2br w:val="nil"/>
                    <w:tr2bl w:val="nil"/>
                  </w:tcBorders>
                  <w:noWrap w:val="0"/>
                  <w:vAlign w:val="center"/>
                </w:tcPr>
                <w:p w14:paraId="44EB704A">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2174" w:type="dxa"/>
                  <w:tcBorders>
                    <w:tl2br w:val="nil"/>
                    <w:tr2bl w:val="nil"/>
                  </w:tcBorders>
                  <w:noWrap w:val="0"/>
                  <w:vAlign w:val="center"/>
                </w:tcPr>
                <w:p w14:paraId="08D3886E">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24小时平均</w:t>
                  </w:r>
                </w:p>
              </w:tc>
              <w:tc>
                <w:tcPr>
                  <w:tcW w:w="2759" w:type="dxa"/>
                  <w:tcBorders>
                    <w:tl2br w:val="nil"/>
                    <w:tr2bl w:val="nil"/>
                  </w:tcBorders>
                  <w:noWrap w:val="0"/>
                  <w:vAlign w:val="center"/>
                </w:tcPr>
                <w:p w14:paraId="7A78383C">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80</w:t>
                  </w:r>
                </w:p>
              </w:tc>
              <w:tc>
                <w:tcPr>
                  <w:tcW w:w="1146" w:type="dxa"/>
                  <w:vMerge w:val="continue"/>
                  <w:tcBorders>
                    <w:tl2br w:val="nil"/>
                    <w:tr2bl w:val="nil"/>
                  </w:tcBorders>
                  <w:noWrap w:val="0"/>
                  <w:vAlign w:val="center"/>
                </w:tcPr>
                <w:p w14:paraId="60C7CDF7">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r>
            <w:tr w14:paraId="1C5CB0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vMerge w:val="continue"/>
                  <w:tcBorders>
                    <w:tl2br w:val="nil"/>
                    <w:tr2bl w:val="nil"/>
                  </w:tcBorders>
                  <w:noWrap w:val="0"/>
                  <w:vAlign w:val="center"/>
                </w:tcPr>
                <w:p w14:paraId="46BA0E0B">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928" w:type="dxa"/>
                  <w:vMerge w:val="continue"/>
                  <w:tcBorders>
                    <w:tl2br w:val="nil"/>
                    <w:tr2bl w:val="nil"/>
                  </w:tcBorders>
                  <w:noWrap w:val="0"/>
                  <w:vAlign w:val="center"/>
                </w:tcPr>
                <w:p w14:paraId="22B27EC3">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2174" w:type="dxa"/>
                  <w:tcBorders>
                    <w:tl2br w:val="nil"/>
                    <w:tr2bl w:val="nil"/>
                  </w:tcBorders>
                  <w:noWrap w:val="0"/>
                  <w:vAlign w:val="center"/>
                </w:tcPr>
                <w:p w14:paraId="016B7528">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1小时平均</w:t>
                  </w:r>
                </w:p>
              </w:tc>
              <w:tc>
                <w:tcPr>
                  <w:tcW w:w="2759" w:type="dxa"/>
                  <w:tcBorders>
                    <w:tl2br w:val="nil"/>
                    <w:tr2bl w:val="nil"/>
                  </w:tcBorders>
                  <w:noWrap w:val="0"/>
                  <w:vAlign w:val="center"/>
                </w:tcPr>
                <w:p w14:paraId="437F9358">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200</w:t>
                  </w:r>
                </w:p>
              </w:tc>
              <w:tc>
                <w:tcPr>
                  <w:tcW w:w="1146" w:type="dxa"/>
                  <w:vMerge w:val="continue"/>
                  <w:tcBorders>
                    <w:tl2br w:val="nil"/>
                    <w:tr2bl w:val="nil"/>
                  </w:tcBorders>
                  <w:noWrap w:val="0"/>
                  <w:vAlign w:val="center"/>
                </w:tcPr>
                <w:p w14:paraId="2BB06FD5">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r>
            <w:tr w14:paraId="41C43E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607" w:type="dxa"/>
                  <w:vMerge w:val="restart"/>
                  <w:tcBorders>
                    <w:tl2br w:val="nil"/>
                    <w:tr2bl w:val="nil"/>
                  </w:tcBorders>
                  <w:noWrap w:val="0"/>
                  <w:vAlign w:val="center"/>
                </w:tcPr>
                <w:p w14:paraId="05AE7E3D">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rPr>
                    <w:t>3</w:t>
                  </w:r>
                </w:p>
              </w:tc>
              <w:tc>
                <w:tcPr>
                  <w:tcW w:w="928" w:type="dxa"/>
                  <w:vMerge w:val="restart"/>
                  <w:tcBorders>
                    <w:tl2br w:val="nil"/>
                    <w:tr2bl w:val="nil"/>
                  </w:tcBorders>
                  <w:noWrap w:val="0"/>
                  <w:vAlign w:val="center"/>
                </w:tcPr>
                <w:p w14:paraId="75B2905B">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CO</w:t>
                  </w:r>
                </w:p>
              </w:tc>
              <w:tc>
                <w:tcPr>
                  <w:tcW w:w="2174" w:type="dxa"/>
                  <w:tcBorders>
                    <w:tl2br w:val="nil"/>
                    <w:tr2bl w:val="nil"/>
                  </w:tcBorders>
                  <w:noWrap w:val="0"/>
                  <w:vAlign w:val="center"/>
                </w:tcPr>
                <w:p w14:paraId="06FD8D56">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24小时平均</w:t>
                  </w:r>
                </w:p>
              </w:tc>
              <w:tc>
                <w:tcPr>
                  <w:tcW w:w="2759" w:type="dxa"/>
                  <w:tcBorders>
                    <w:tl2br w:val="nil"/>
                    <w:tr2bl w:val="nil"/>
                  </w:tcBorders>
                  <w:noWrap w:val="0"/>
                  <w:vAlign w:val="center"/>
                </w:tcPr>
                <w:p w14:paraId="20F3478E">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4</w:t>
                  </w:r>
                </w:p>
              </w:tc>
              <w:tc>
                <w:tcPr>
                  <w:tcW w:w="1146" w:type="dxa"/>
                  <w:vMerge w:val="restart"/>
                  <w:tcBorders>
                    <w:tl2br w:val="nil"/>
                    <w:tr2bl w:val="nil"/>
                  </w:tcBorders>
                  <w:noWrap w:val="0"/>
                  <w:vAlign w:val="center"/>
                </w:tcPr>
                <w:p w14:paraId="75BAC6F9">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mg/</w:t>
                  </w:r>
                  <w:r>
                    <w:rPr>
                      <w:rFonts w:hint="default" w:ascii="Times New Roman" w:hAnsi="Times New Roman" w:eastAsia="宋体" w:cs="Times New Roman"/>
                      <w:color w:val="000000"/>
                      <w:lang w:val="en-US" w:eastAsia="zh-CN"/>
                    </w:rPr>
                    <w:t>m</w:t>
                  </w:r>
                  <w:r>
                    <w:rPr>
                      <w:rFonts w:hint="default" w:ascii="Times New Roman" w:hAnsi="Times New Roman" w:eastAsia="宋体" w:cs="Times New Roman"/>
                      <w:color w:val="000000"/>
                      <w:vertAlign w:val="superscript"/>
                      <w:lang w:val="en-US" w:eastAsia="zh-CN"/>
                    </w:rPr>
                    <w:t>3</w:t>
                  </w:r>
                </w:p>
              </w:tc>
            </w:tr>
            <w:tr w14:paraId="48F5C7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vMerge w:val="continue"/>
                  <w:tcBorders>
                    <w:tl2br w:val="nil"/>
                    <w:tr2bl w:val="nil"/>
                  </w:tcBorders>
                  <w:noWrap w:val="0"/>
                  <w:vAlign w:val="center"/>
                </w:tcPr>
                <w:p w14:paraId="119AD153">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928" w:type="dxa"/>
                  <w:vMerge w:val="continue"/>
                  <w:tcBorders>
                    <w:tl2br w:val="nil"/>
                    <w:tr2bl w:val="nil"/>
                  </w:tcBorders>
                  <w:noWrap w:val="0"/>
                  <w:vAlign w:val="center"/>
                </w:tcPr>
                <w:p w14:paraId="3E16B5E4">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2174" w:type="dxa"/>
                  <w:tcBorders>
                    <w:tl2br w:val="nil"/>
                    <w:tr2bl w:val="nil"/>
                  </w:tcBorders>
                  <w:noWrap w:val="0"/>
                  <w:vAlign w:val="center"/>
                </w:tcPr>
                <w:p w14:paraId="159BDEA4">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1小时平均</w:t>
                  </w:r>
                </w:p>
              </w:tc>
              <w:tc>
                <w:tcPr>
                  <w:tcW w:w="2759" w:type="dxa"/>
                  <w:tcBorders>
                    <w:tl2br w:val="nil"/>
                    <w:tr2bl w:val="nil"/>
                  </w:tcBorders>
                  <w:noWrap w:val="0"/>
                  <w:vAlign w:val="center"/>
                </w:tcPr>
                <w:p w14:paraId="5ABE6B3C">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10</w:t>
                  </w:r>
                </w:p>
              </w:tc>
              <w:tc>
                <w:tcPr>
                  <w:tcW w:w="1146" w:type="dxa"/>
                  <w:vMerge w:val="continue"/>
                  <w:tcBorders>
                    <w:tl2br w:val="nil"/>
                    <w:tr2bl w:val="nil"/>
                  </w:tcBorders>
                  <w:noWrap w:val="0"/>
                  <w:vAlign w:val="center"/>
                </w:tcPr>
                <w:p w14:paraId="014FD626">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r>
            <w:tr w14:paraId="6C666F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vMerge w:val="restart"/>
                  <w:tcBorders>
                    <w:tl2br w:val="nil"/>
                    <w:tr2bl w:val="nil"/>
                  </w:tcBorders>
                  <w:noWrap w:val="0"/>
                  <w:vAlign w:val="center"/>
                </w:tcPr>
                <w:p w14:paraId="7BADA8AA">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rPr>
                    <w:t>4</w:t>
                  </w:r>
                </w:p>
              </w:tc>
              <w:tc>
                <w:tcPr>
                  <w:tcW w:w="928" w:type="dxa"/>
                  <w:vMerge w:val="restart"/>
                  <w:tcBorders>
                    <w:tl2br w:val="nil"/>
                    <w:tr2bl w:val="nil"/>
                  </w:tcBorders>
                  <w:noWrap w:val="0"/>
                  <w:vAlign w:val="center"/>
                </w:tcPr>
                <w:p w14:paraId="75D097ED">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O</w:t>
                  </w:r>
                  <w:r>
                    <w:rPr>
                      <w:rFonts w:hint="default" w:ascii="Times New Roman" w:hAnsi="Times New Roman" w:eastAsia="宋体" w:cs="Times New Roman"/>
                      <w:color w:val="000000"/>
                      <w:vertAlign w:val="subscript"/>
                    </w:rPr>
                    <w:t>3</w:t>
                  </w:r>
                </w:p>
              </w:tc>
              <w:tc>
                <w:tcPr>
                  <w:tcW w:w="2174" w:type="dxa"/>
                  <w:tcBorders>
                    <w:tl2br w:val="nil"/>
                    <w:tr2bl w:val="nil"/>
                  </w:tcBorders>
                  <w:noWrap w:val="0"/>
                  <w:vAlign w:val="center"/>
                </w:tcPr>
                <w:p w14:paraId="44BF8C50">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日最大8小时平均</w:t>
                  </w:r>
                </w:p>
              </w:tc>
              <w:tc>
                <w:tcPr>
                  <w:tcW w:w="2759" w:type="dxa"/>
                  <w:tcBorders>
                    <w:tl2br w:val="nil"/>
                    <w:tr2bl w:val="nil"/>
                  </w:tcBorders>
                  <w:noWrap w:val="0"/>
                  <w:vAlign w:val="center"/>
                </w:tcPr>
                <w:p w14:paraId="422FF429">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100</w:t>
                  </w:r>
                </w:p>
              </w:tc>
              <w:tc>
                <w:tcPr>
                  <w:tcW w:w="1146" w:type="dxa"/>
                  <w:vMerge w:val="restart"/>
                  <w:tcBorders>
                    <w:tl2br w:val="nil"/>
                    <w:tr2bl w:val="nil"/>
                  </w:tcBorders>
                  <w:noWrap w:val="0"/>
                  <w:vAlign w:val="center"/>
                </w:tcPr>
                <w:p w14:paraId="436A824A">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μg/</w:t>
                  </w:r>
                  <w:r>
                    <w:rPr>
                      <w:rFonts w:hint="default" w:ascii="Times New Roman" w:hAnsi="Times New Roman" w:eastAsia="宋体" w:cs="Times New Roman"/>
                      <w:color w:val="000000"/>
                      <w:lang w:val="en-US" w:eastAsia="zh-CN"/>
                    </w:rPr>
                    <w:t>m</w:t>
                  </w:r>
                  <w:r>
                    <w:rPr>
                      <w:rFonts w:hint="default" w:ascii="Times New Roman" w:hAnsi="Times New Roman" w:eastAsia="宋体" w:cs="Times New Roman"/>
                      <w:color w:val="000000"/>
                      <w:vertAlign w:val="superscript"/>
                      <w:lang w:val="en-US" w:eastAsia="zh-CN"/>
                    </w:rPr>
                    <w:t>3</w:t>
                  </w:r>
                </w:p>
              </w:tc>
            </w:tr>
            <w:tr w14:paraId="1B1ECC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vMerge w:val="continue"/>
                  <w:tcBorders>
                    <w:tl2br w:val="nil"/>
                    <w:tr2bl w:val="nil"/>
                  </w:tcBorders>
                  <w:noWrap w:val="0"/>
                  <w:vAlign w:val="center"/>
                </w:tcPr>
                <w:p w14:paraId="056F4F89">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928" w:type="dxa"/>
                  <w:vMerge w:val="continue"/>
                  <w:tcBorders>
                    <w:tl2br w:val="nil"/>
                    <w:tr2bl w:val="nil"/>
                  </w:tcBorders>
                  <w:noWrap w:val="0"/>
                  <w:vAlign w:val="center"/>
                </w:tcPr>
                <w:p w14:paraId="57083223">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2174" w:type="dxa"/>
                  <w:tcBorders>
                    <w:tl2br w:val="nil"/>
                    <w:tr2bl w:val="nil"/>
                  </w:tcBorders>
                  <w:noWrap w:val="0"/>
                  <w:vAlign w:val="center"/>
                </w:tcPr>
                <w:p w14:paraId="046E0E1A">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1小时平均</w:t>
                  </w:r>
                </w:p>
              </w:tc>
              <w:tc>
                <w:tcPr>
                  <w:tcW w:w="2759" w:type="dxa"/>
                  <w:tcBorders>
                    <w:tl2br w:val="nil"/>
                    <w:tr2bl w:val="nil"/>
                  </w:tcBorders>
                  <w:noWrap w:val="0"/>
                  <w:vAlign w:val="center"/>
                </w:tcPr>
                <w:p w14:paraId="5A3A3284">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160</w:t>
                  </w:r>
                </w:p>
              </w:tc>
              <w:tc>
                <w:tcPr>
                  <w:tcW w:w="1146" w:type="dxa"/>
                  <w:vMerge w:val="continue"/>
                  <w:tcBorders>
                    <w:tl2br w:val="nil"/>
                    <w:tr2bl w:val="nil"/>
                  </w:tcBorders>
                  <w:noWrap w:val="0"/>
                  <w:vAlign w:val="center"/>
                </w:tcPr>
                <w:p w14:paraId="44994EBD">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r>
            <w:tr w14:paraId="0B581B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607" w:type="dxa"/>
                  <w:vMerge w:val="restart"/>
                  <w:tcBorders>
                    <w:tl2br w:val="nil"/>
                    <w:tr2bl w:val="nil"/>
                  </w:tcBorders>
                  <w:noWrap w:val="0"/>
                  <w:vAlign w:val="center"/>
                </w:tcPr>
                <w:p w14:paraId="566CE7BD">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rPr>
                    <w:t>5</w:t>
                  </w:r>
                </w:p>
              </w:tc>
              <w:tc>
                <w:tcPr>
                  <w:tcW w:w="928" w:type="dxa"/>
                  <w:vMerge w:val="restart"/>
                  <w:tcBorders>
                    <w:tl2br w:val="nil"/>
                    <w:tr2bl w:val="nil"/>
                  </w:tcBorders>
                  <w:noWrap w:val="0"/>
                  <w:vAlign w:val="center"/>
                </w:tcPr>
                <w:p w14:paraId="14231237">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PM</w:t>
                  </w:r>
                  <w:r>
                    <w:rPr>
                      <w:rFonts w:hint="default" w:ascii="Times New Roman" w:hAnsi="Times New Roman" w:eastAsia="宋体" w:cs="Times New Roman"/>
                      <w:color w:val="000000"/>
                      <w:vertAlign w:val="subscript"/>
                    </w:rPr>
                    <w:t>10</w:t>
                  </w:r>
                </w:p>
              </w:tc>
              <w:tc>
                <w:tcPr>
                  <w:tcW w:w="2174" w:type="dxa"/>
                  <w:tcBorders>
                    <w:tl2br w:val="nil"/>
                    <w:tr2bl w:val="nil"/>
                  </w:tcBorders>
                  <w:noWrap w:val="0"/>
                  <w:vAlign w:val="center"/>
                </w:tcPr>
                <w:p w14:paraId="4B2E04B2">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年平均</w:t>
                  </w:r>
                </w:p>
              </w:tc>
              <w:tc>
                <w:tcPr>
                  <w:tcW w:w="2759" w:type="dxa"/>
                  <w:tcBorders>
                    <w:tl2br w:val="nil"/>
                    <w:tr2bl w:val="nil"/>
                  </w:tcBorders>
                  <w:noWrap w:val="0"/>
                  <w:vAlign w:val="center"/>
                </w:tcPr>
                <w:p w14:paraId="3983F4C9">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40</w:t>
                  </w:r>
                </w:p>
              </w:tc>
              <w:tc>
                <w:tcPr>
                  <w:tcW w:w="1146" w:type="dxa"/>
                  <w:vMerge w:val="restart"/>
                  <w:tcBorders>
                    <w:tl2br w:val="nil"/>
                    <w:tr2bl w:val="nil"/>
                  </w:tcBorders>
                  <w:noWrap w:val="0"/>
                  <w:vAlign w:val="center"/>
                </w:tcPr>
                <w:p w14:paraId="244A2AC3">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μg/</w:t>
                  </w:r>
                  <w:r>
                    <w:rPr>
                      <w:rFonts w:hint="default" w:ascii="Times New Roman" w:hAnsi="Times New Roman" w:eastAsia="宋体" w:cs="Times New Roman"/>
                      <w:color w:val="000000"/>
                      <w:lang w:val="en-US" w:eastAsia="zh-CN"/>
                    </w:rPr>
                    <w:t>m</w:t>
                  </w:r>
                  <w:r>
                    <w:rPr>
                      <w:rFonts w:hint="default" w:ascii="Times New Roman" w:hAnsi="Times New Roman" w:eastAsia="宋体" w:cs="Times New Roman"/>
                      <w:color w:val="000000"/>
                      <w:vertAlign w:val="superscript"/>
                      <w:lang w:val="en-US" w:eastAsia="zh-CN"/>
                    </w:rPr>
                    <w:t>3</w:t>
                  </w:r>
                </w:p>
              </w:tc>
            </w:tr>
            <w:tr w14:paraId="0EFD4E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vMerge w:val="continue"/>
                  <w:tcBorders>
                    <w:tl2br w:val="nil"/>
                    <w:tr2bl w:val="nil"/>
                  </w:tcBorders>
                  <w:noWrap w:val="0"/>
                  <w:vAlign w:val="center"/>
                </w:tcPr>
                <w:p w14:paraId="3B624211">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928" w:type="dxa"/>
                  <w:vMerge w:val="continue"/>
                  <w:tcBorders>
                    <w:tl2br w:val="nil"/>
                    <w:tr2bl w:val="nil"/>
                  </w:tcBorders>
                  <w:noWrap w:val="0"/>
                  <w:vAlign w:val="center"/>
                </w:tcPr>
                <w:p w14:paraId="68388FD1">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2174" w:type="dxa"/>
                  <w:tcBorders>
                    <w:tl2br w:val="nil"/>
                    <w:tr2bl w:val="nil"/>
                  </w:tcBorders>
                  <w:noWrap w:val="0"/>
                  <w:vAlign w:val="center"/>
                </w:tcPr>
                <w:p w14:paraId="6283FBC5">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24小时平均</w:t>
                  </w:r>
                </w:p>
              </w:tc>
              <w:tc>
                <w:tcPr>
                  <w:tcW w:w="2759" w:type="dxa"/>
                  <w:tcBorders>
                    <w:tl2br w:val="nil"/>
                    <w:tr2bl w:val="nil"/>
                  </w:tcBorders>
                  <w:noWrap w:val="0"/>
                  <w:vAlign w:val="center"/>
                </w:tcPr>
                <w:p w14:paraId="168457E6">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50</w:t>
                  </w:r>
                </w:p>
              </w:tc>
              <w:tc>
                <w:tcPr>
                  <w:tcW w:w="1146" w:type="dxa"/>
                  <w:vMerge w:val="continue"/>
                  <w:tcBorders>
                    <w:tl2br w:val="nil"/>
                    <w:tr2bl w:val="nil"/>
                  </w:tcBorders>
                  <w:noWrap w:val="0"/>
                  <w:vAlign w:val="center"/>
                </w:tcPr>
                <w:p w14:paraId="5AE670C2">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r>
            <w:tr w14:paraId="65E1FB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7" w:type="dxa"/>
                  <w:vMerge w:val="restart"/>
                  <w:tcBorders>
                    <w:tl2br w:val="nil"/>
                    <w:tr2bl w:val="nil"/>
                  </w:tcBorders>
                  <w:noWrap w:val="0"/>
                  <w:vAlign w:val="center"/>
                </w:tcPr>
                <w:p w14:paraId="551F4762">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rPr>
                    <w:t>6</w:t>
                  </w:r>
                </w:p>
              </w:tc>
              <w:tc>
                <w:tcPr>
                  <w:tcW w:w="928" w:type="dxa"/>
                  <w:vMerge w:val="restart"/>
                  <w:tcBorders>
                    <w:tl2br w:val="nil"/>
                    <w:tr2bl w:val="nil"/>
                  </w:tcBorders>
                  <w:noWrap w:val="0"/>
                  <w:vAlign w:val="center"/>
                </w:tcPr>
                <w:p w14:paraId="55376830">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PM</w:t>
                  </w:r>
                  <w:r>
                    <w:rPr>
                      <w:rFonts w:hint="default" w:ascii="Times New Roman" w:hAnsi="Times New Roman" w:eastAsia="宋体" w:cs="Times New Roman"/>
                      <w:color w:val="000000"/>
                      <w:vertAlign w:val="subscript"/>
                    </w:rPr>
                    <w:t>2.5</w:t>
                  </w:r>
                </w:p>
              </w:tc>
              <w:tc>
                <w:tcPr>
                  <w:tcW w:w="2174" w:type="dxa"/>
                  <w:tcBorders>
                    <w:tl2br w:val="nil"/>
                    <w:tr2bl w:val="nil"/>
                  </w:tcBorders>
                  <w:noWrap w:val="0"/>
                  <w:vAlign w:val="center"/>
                </w:tcPr>
                <w:p w14:paraId="1CA00733">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年平均</w:t>
                  </w:r>
                </w:p>
              </w:tc>
              <w:tc>
                <w:tcPr>
                  <w:tcW w:w="2759" w:type="dxa"/>
                  <w:tcBorders>
                    <w:tl2br w:val="nil"/>
                    <w:tr2bl w:val="nil"/>
                  </w:tcBorders>
                  <w:noWrap w:val="0"/>
                  <w:vAlign w:val="center"/>
                </w:tcPr>
                <w:p w14:paraId="284E5CB1">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15</w:t>
                  </w:r>
                </w:p>
              </w:tc>
              <w:tc>
                <w:tcPr>
                  <w:tcW w:w="1146" w:type="dxa"/>
                  <w:vMerge w:val="restart"/>
                  <w:tcBorders>
                    <w:tl2br w:val="nil"/>
                    <w:tr2bl w:val="nil"/>
                  </w:tcBorders>
                  <w:noWrap w:val="0"/>
                  <w:vAlign w:val="center"/>
                </w:tcPr>
                <w:p w14:paraId="4975EA22">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μg/</w:t>
                  </w:r>
                  <w:r>
                    <w:rPr>
                      <w:rFonts w:hint="default" w:ascii="Times New Roman" w:hAnsi="Times New Roman" w:eastAsia="宋体" w:cs="Times New Roman"/>
                      <w:color w:val="000000"/>
                      <w:lang w:val="en-US" w:eastAsia="zh-CN"/>
                    </w:rPr>
                    <w:t>m</w:t>
                  </w:r>
                  <w:r>
                    <w:rPr>
                      <w:rFonts w:hint="default" w:ascii="Times New Roman" w:hAnsi="Times New Roman" w:eastAsia="宋体" w:cs="Times New Roman"/>
                      <w:color w:val="000000"/>
                      <w:vertAlign w:val="superscript"/>
                      <w:lang w:val="en-US" w:eastAsia="zh-CN"/>
                    </w:rPr>
                    <w:t>3</w:t>
                  </w:r>
                </w:p>
              </w:tc>
            </w:tr>
            <w:tr w14:paraId="27D6B8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vMerge w:val="continue"/>
                  <w:tcBorders>
                    <w:tl2br w:val="nil"/>
                    <w:tr2bl w:val="nil"/>
                  </w:tcBorders>
                  <w:noWrap w:val="0"/>
                  <w:vAlign w:val="center"/>
                </w:tcPr>
                <w:p w14:paraId="1F2A5D5B">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928" w:type="dxa"/>
                  <w:vMerge w:val="continue"/>
                  <w:tcBorders>
                    <w:tl2br w:val="nil"/>
                    <w:tr2bl w:val="nil"/>
                  </w:tcBorders>
                  <w:noWrap w:val="0"/>
                  <w:vAlign w:val="center"/>
                </w:tcPr>
                <w:p w14:paraId="4D0B0755">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c>
                <w:tcPr>
                  <w:tcW w:w="2174" w:type="dxa"/>
                  <w:tcBorders>
                    <w:tl2br w:val="nil"/>
                    <w:tr2bl w:val="nil"/>
                  </w:tcBorders>
                  <w:noWrap w:val="0"/>
                  <w:vAlign w:val="center"/>
                </w:tcPr>
                <w:p w14:paraId="279777A9">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r>
                    <w:rPr>
                      <w:rFonts w:hint="default" w:ascii="Times New Roman" w:hAnsi="Times New Roman" w:eastAsia="宋体" w:cs="Times New Roman"/>
                      <w:color w:val="000000"/>
                    </w:rPr>
                    <w:t>24小时平均</w:t>
                  </w:r>
                </w:p>
              </w:tc>
              <w:tc>
                <w:tcPr>
                  <w:tcW w:w="2759" w:type="dxa"/>
                  <w:tcBorders>
                    <w:tl2br w:val="nil"/>
                    <w:tr2bl w:val="nil"/>
                  </w:tcBorders>
                  <w:noWrap w:val="0"/>
                  <w:vAlign w:val="center"/>
                </w:tcPr>
                <w:p w14:paraId="52059C2A">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35</w:t>
                  </w:r>
                </w:p>
              </w:tc>
              <w:tc>
                <w:tcPr>
                  <w:tcW w:w="1146" w:type="dxa"/>
                  <w:vMerge w:val="continue"/>
                  <w:tcBorders>
                    <w:tl2br w:val="nil"/>
                    <w:tr2bl w:val="nil"/>
                  </w:tcBorders>
                  <w:noWrap w:val="0"/>
                  <w:vAlign w:val="center"/>
                </w:tcPr>
                <w:p w14:paraId="59115813">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zh-CN"/>
                    </w:rPr>
                  </w:pPr>
                </w:p>
              </w:tc>
            </w:tr>
          </w:tbl>
          <w:p w14:paraId="2C618BC8">
            <w:pPr>
              <w:pStyle w:val="79"/>
              <w:keepNext w:val="0"/>
              <w:keepLines w:val="0"/>
              <w:pageBreakBefore w:val="0"/>
              <w:widowControl w:val="0"/>
              <w:numPr>
                <w:ilvl w:val="0"/>
                <w:numId w:val="0"/>
              </w:numPr>
              <w:kinsoku/>
              <w:wordWrap/>
              <w:overflowPunct/>
              <w:topLinePunct w:val="0"/>
              <w:autoSpaceDE/>
              <w:autoSpaceDN/>
              <w:bidi w:val="0"/>
              <w:adjustRightInd w:val="0"/>
              <w:snapToGrid w:val="0"/>
              <w:ind w:firstLine="498" w:firstLineChars="200"/>
              <w:jc w:val="both"/>
              <w:textAlignment w:val="auto"/>
              <w:rPr>
                <w:rFonts w:hint="default" w:ascii="Times New Roman" w:hAnsi="Times New Roman" w:eastAsia="宋体" w:cs="Times New Roman"/>
                <w:b/>
                <w:bCs/>
                <w:color w:val="000000"/>
                <w:highlight w:val="none"/>
                <w:lang w:val="en-US" w:eastAsia="zh-CN"/>
              </w:rPr>
            </w:pPr>
            <w:r>
              <w:rPr>
                <w:rFonts w:hint="default" w:ascii="Times New Roman" w:hAnsi="Times New Roman" w:eastAsia="宋体" w:cs="Times New Roman"/>
                <w:b/>
                <w:bCs/>
                <w:color w:val="000000"/>
                <w:highlight w:val="none"/>
                <w:lang w:val="en-US" w:eastAsia="zh-CN"/>
              </w:rPr>
              <w:t>1.2声环境</w:t>
            </w:r>
          </w:p>
          <w:p w14:paraId="289B0FA1">
            <w:pPr>
              <w:pStyle w:val="79"/>
              <w:keepNext w:val="0"/>
              <w:keepLines w:val="0"/>
              <w:pageBreakBefore w:val="0"/>
              <w:widowControl w:val="0"/>
              <w:numPr>
                <w:ilvl w:val="0"/>
                <w:numId w:val="0"/>
              </w:numPr>
              <w:kinsoku/>
              <w:wordWrap/>
              <w:overflowPunct/>
              <w:topLinePunct w:val="0"/>
              <w:autoSpaceDE/>
              <w:autoSpaceDN/>
              <w:bidi w:val="0"/>
              <w:adjustRightInd w:val="0"/>
              <w:snapToGrid w:val="0"/>
              <w:ind w:firstLine="496" w:firstLineChars="200"/>
              <w:jc w:val="both"/>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项目位于</w:t>
            </w:r>
            <w:r>
              <w:rPr>
                <w:rFonts w:hint="default" w:ascii="Times New Roman" w:hAnsi="Times New Roman" w:eastAsia="宋体" w:cs="Times New Roman"/>
                <w:color w:val="000000"/>
                <w:szCs w:val="21"/>
                <w:highlight w:val="none"/>
                <w:lang w:val="en-US" w:eastAsia="zh-CN"/>
              </w:rPr>
              <w:t>新疆维吾尔自治区昌吉回族自治州阜康市三工河哈萨克乡花儿沟村</w:t>
            </w:r>
            <w:r>
              <w:rPr>
                <w:rFonts w:hint="default" w:ascii="Times New Roman" w:hAnsi="Times New Roman" w:eastAsia="宋体" w:cs="Times New Roman"/>
                <w:color w:val="000000"/>
                <w:highlight w:val="none"/>
                <w:lang w:val="en-US" w:eastAsia="zh-CN"/>
              </w:rPr>
              <w:t>，声环境执行《声环境质量标准》（</w:t>
            </w:r>
            <w:r>
              <w:rPr>
                <w:rFonts w:hint="eastAsia" w:cs="Times New Roman"/>
                <w:color w:val="000000"/>
                <w:highlight w:val="none"/>
                <w:lang w:val="en-US" w:eastAsia="zh-CN"/>
              </w:rPr>
              <w:t>GB 3096</w:t>
            </w:r>
            <w:r>
              <w:rPr>
                <w:rFonts w:hint="default" w:ascii="Times New Roman" w:hAnsi="Times New Roman" w:eastAsia="宋体" w:cs="Times New Roman"/>
                <w:color w:val="000000"/>
                <w:highlight w:val="none"/>
                <w:lang w:val="en-US" w:eastAsia="zh-CN"/>
              </w:rPr>
              <w:t>-2008）1类标准，具体见表3-</w:t>
            </w:r>
            <w:r>
              <w:rPr>
                <w:rFonts w:hint="eastAsia" w:cs="Times New Roman"/>
                <w:color w:val="000000"/>
                <w:highlight w:val="none"/>
                <w:lang w:val="en-US" w:eastAsia="zh-CN"/>
              </w:rPr>
              <w:t>9</w:t>
            </w:r>
            <w:r>
              <w:rPr>
                <w:rFonts w:hint="default" w:ascii="Times New Roman" w:hAnsi="Times New Roman" w:eastAsia="宋体" w:cs="Times New Roman"/>
                <w:color w:val="000000"/>
                <w:highlight w:val="none"/>
                <w:lang w:val="en-US" w:eastAsia="zh-CN"/>
              </w:rPr>
              <w:t>。</w:t>
            </w:r>
          </w:p>
          <w:p w14:paraId="3BDC9BA9">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bCs/>
                <w:color w:val="000000"/>
                <w:sz w:val="21"/>
                <w:szCs w:val="21"/>
                <w:highlight w:val="none"/>
                <w:lang w:val="en-US" w:eastAsia="zh-CN"/>
              </w:rPr>
              <w:t>表3-</w:t>
            </w:r>
            <w:r>
              <w:rPr>
                <w:rFonts w:hint="eastAsia" w:cs="Times New Roman"/>
                <w:b/>
                <w:bCs/>
                <w:color w:val="000000"/>
                <w:sz w:val="21"/>
                <w:szCs w:val="21"/>
                <w:highlight w:val="none"/>
                <w:lang w:val="en-US" w:eastAsia="zh-CN"/>
              </w:rPr>
              <w:t>9</w:t>
            </w:r>
            <w:r>
              <w:rPr>
                <w:rFonts w:hint="default" w:ascii="Times New Roman" w:hAnsi="Times New Roman" w:eastAsia="宋体" w:cs="Times New Roman"/>
                <w:b/>
                <w:bCs/>
                <w:color w:val="000000"/>
                <w:sz w:val="21"/>
                <w:szCs w:val="21"/>
                <w:highlight w:val="none"/>
                <w:lang w:val="en-US" w:eastAsia="zh-CN"/>
              </w:rPr>
              <w:t xml:space="preserve"> 声环境质量标准  单位：dB（A）</w:t>
            </w:r>
          </w:p>
          <w:tbl>
            <w:tblPr>
              <w:tblStyle w:val="3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549"/>
              <w:gridCol w:w="2549"/>
              <w:gridCol w:w="2550"/>
            </w:tblGrid>
            <w:tr w14:paraId="030276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tcBorders>
                    <w:bottom w:val="single" w:color="auto" w:sz="12" w:space="0"/>
                  </w:tcBorders>
                  <w:noWrap w:val="0"/>
                  <w:vAlign w:val="top"/>
                </w:tcPr>
                <w:p w14:paraId="749ED1C9">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b/>
                      <w:bCs/>
                      <w:color w:val="000000"/>
                      <w:lang w:val="en-US" w:eastAsia="zh-CN"/>
                    </w:rPr>
                  </w:pPr>
                  <w:r>
                    <w:rPr>
                      <w:rFonts w:hint="default" w:ascii="Times New Roman" w:hAnsi="Times New Roman" w:eastAsia="宋体" w:cs="Times New Roman"/>
                      <w:b/>
                      <w:bCs/>
                      <w:color w:val="000000"/>
                      <w:lang w:val="en-US" w:eastAsia="zh-CN"/>
                    </w:rPr>
                    <w:t>时段</w:t>
                  </w:r>
                </w:p>
              </w:tc>
              <w:tc>
                <w:tcPr>
                  <w:tcW w:w="1666" w:type="pct"/>
                  <w:tcBorders>
                    <w:bottom w:val="single" w:color="auto" w:sz="12" w:space="0"/>
                  </w:tcBorders>
                  <w:noWrap w:val="0"/>
                  <w:vAlign w:val="top"/>
                </w:tcPr>
                <w:p w14:paraId="16D3BDB4">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b/>
                      <w:bCs/>
                      <w:color w:val="000000"/>
                      <w:lang w:val="en-US" w:eastAsia="zh-CN"/>
                    </w:rPr>
                  </w:pPr>
                  <w:r>
                    <w:rPr>
                      <w:rFonts w:hint="default" w:ascii="Times New Roman" w:hAnsi="Times New Roman" w:eastAsia="宋体" w:cs="Times New Roman"/>
                      <w:b/>
                      <w:bCs/>
                      <w:color w:val="000000"/>
                      <w:lang w:val="en-US" w:eastAsia="zh-CN"/>
                    </w:rPr>
                    <w:t>昼间</w:t>
                  </w:r>
                </w:p>
              </w:tc>
              <w:tc>
                <w:tcPr>
                  <w:tcW w:w="1666" w:type="pct"/>
                  <w:tcBorders>
                    <w:bottom w:val="single" w:color="auto" w:sz="12" w:space="0"/>
                  </w:tcBorders>
                  <w:noWrap w:val="0"/>
                  <w:vAlign w:val="top"/>
                </w:tcPr>
                <w:p w14:paraId="771D309B">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b/>
                      <w:bCs/>
                      <w:color w:val="000000"/>
                      <w:lang w:val="en-US" w:eastAsia="zh-CN"/>
                    </w:rPr>
                  </w:pPr>
                  <w:r>
                    <w:rPr>
                      <w:rFonts w:hint="default" w:ascii="Times New Roman" w:hAnsi="Times New Roman" w:eastAsia="宋体" w:cs="Times New Roman"/>
                      <w:b/>
                      <w:bCs/>
                      <w:color w:val="000000"/>
                      <w:lang w:val="en-US" w:eastAsia="zh-CN"/>
                    </w:rPr>
                    <w:t>夜间</w:t>
                  </w:r>
                </w:p>
              </w:tc>
            </w:tr>
            <w:tr w14:paraId="79DA72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tcBorders>
                    <w:top w:val="single" w:color="auto" w:sz="12" w:space="0"/>
                  </w:tcBorders>
                  <w:noWrap w:val="0"/>
                  <w:vAlign w:val="top"/>
                </w:tcPr>
                <w:p w14:paraId="701264C4">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1类声功能区</w:t>
                  </w:r>
                </w:p>
              </w:tc>
              <w:tc>
                <w:tcPr>
                  <w:tcW w:w="1666" w:type="pct"/>
                  <w:tcBorders>
                    <w:top w:val="single" w:color="auto" w:sz="12" w:space="0"/>
                  </w:tcBorders>
                  <w:noWrap w:val="0"/>
                  <w:vAlign w:val="top"/>
                </w:tcPr>
                <w:p w14:paraId="2C82D466">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55</w:t>
                  </w:r>
                </w:p>
              </w:tc>
              <w:tc>
                <w:tcPr>
                  <w:tcW w:w="1666" w:type="pct"/>
                  <w:tcBorders>
                    <w:top w:val="single" w:color="auto" w:sz="12" w:space="0"/>
                  </w:tcBorders>
                  <w:noWrap w:val="0"/>
                  <w:vAlign w:val="top"/>
                </w:tcPr>
                <w:p w14:paraId="222AA5CE">
                  <w:pPr>
                    <w:pStyle w:val="82"/>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45</w:t>
                  </w:r>
                </w:p>
              </w:tc>
            </w:tr>
          </w:tbl>
          <w:p w14:paraId="3B28EB80">
            <w:pPr>
              <w:pStyle w:val="79"/>
              <w:keepNext w:val="0"/>
              <w:keepLines w:val="0"/>
              <w:pageBreakBefore w:val="0"/>
              <w:widowControl w:val="0"/>
              <w:numPr>
                <w:ilvl w:val="0"/>
                <w:numId w:val="0"/>
              </w:numPr>
              <w:kinsoku/>
              <w:wordWrap/>
              <w:overflowPunct/>
              <w:topLinePunct w:val="0"/>
              <w:autoSpaceDE/>
              <w:autoSpaceDN/>
              <w:bidi w:val="0"/>
              <w:adjustRightInd w:val="0"/>
              <w:snapToGrid w:val="0"/>
              <w:ind w:firstLine="496"/>
              <w:jc w:val="both"/>
              <w:textAlignment w:val="auto"/>
              <w:rPr>
                <w:rFonts w:hint="default" w:ascii="Times New Roman" w:hAnsi="Times New Roman" w:eastAsia="宋体" w:cs="Times New Roman"/>
                <w:b/>
                <w:bCs/>
                <w:color w:val="000000"/>
                <w:highlight w:val="none"/>
                <w:lang w:val="en-US" w:eastAsia="zh-CN"/>
              </w:rPr>
            </w:pPr>
            <w:r>
              <w:rPr>
                <w:rFonts w:hint="eastAsia" w:cs="Times New Roman"/>
                <w:b/>
                <w:bCs/>
                <w:color w:val="000000"/>
                <w:highlight w:val="none"/>
                <w:lang w:val="en-US" w:eastAsia="zh-CN"/>
              </w:rPr>
              <w:t>2.</w:t>
            </w:r>
            <w:r>
              <w:rPr>
                <w:rFonts w:hint="default" w:ascii="Times New Roman" w:hAnsi="Times New Roman" w:eastAsia="宋体" w:cs="Times New Roman"/>
                <w:b/>
                <w:bCs/>
                <w:color w:val="000000"/>
                <w:highlight w:val="none"/>
                <w:lang w:val="en-US" w:eastAsia="zh-CN"/>
              </w:rPr>
              <w:t>污染物排放标准</w:t>
            </w:r>
          </w:p>
          <w:p w14:paraId="481D8DA6">
            <w:pPr>
              <w:ind w:firstLine="480"/>
              <w:rPr>
                <w:rFonts w:hint="default" w:ascii="Times New Roman" w:hAnsi="Times New Roman" w:eastAsia="宋体" w:cs="Times New Roman"/>
                <w:b/>
                <w:bCs/>
                <w:color w:val="000000"/>
              </w:rPr>
            </w:pPr>
            <w:r>
              <w:rPr>
                <w:rFonts w:hint="default" w:ascii="Times New Roman" w:hAnsi="Times New Roman" w:eastAsia="宋体" w:cs="Times New Roman"/>
                <w:b/>
                <w:bCs/>
                <w:color w:val="000000"/>
              </w:rPr>
              <w:t>2.1施工期污染物排放控制标准</w:t>
            </w:r>
          </w:p>
          <w:p w14:paraId="061BBD46">
            <w:pPr>
              <w:ind w:firstLine="480"/>
              <w:rPr>
                <w:rFonts w:hint="default" w:ascii="Times New Roman" w:hAnsi="Times New Roman" w:eastAsia="宋体" w:cs="Times New Roman"/>
                <w:color w:val="000000"/>
              </w:rPr>
            </w:pPr>
            <w:r>
              <w:rPr>
                <w:rFonts w:hint="default" w:ascii="Times New Roman" w:hAnsi="Times New Roman" w:eastAsia="宋体" w:cs="Times New Roman"/>
                <w:color w:val="000000"/>
              </w:rPr>
              <w:t>（1）废气</w:t>
            </w:r>
          </w:p>
          <w:p w14:paraId="0DA7BA33">
            <w:pPr>
              <w:keepNext w:val="0"/>
              <w:keepLines w:val="0"/>
              <w:pageBreakBefore w:val="0"/>
              <w:widowControl w:val="0"/>
              <w:kinsoku/>
              <w:wordWrap/>
              <w:overflowPunct/>
              <w:topLinePunct/>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kern w:val="2"/>
                <w:sz w:val="24"/>
                <w:szCs w:val="24"/>
                <w:highlight w:val="none"/>
                <w:lang w:eastAsia="zh-CN"/>
              </w:rPr>
            </w:pPr>
            <w:r>
              <w:rPr>
                <w:rFonts w:hint="default" w:ascii="Times New Roman" w:hAnsi="Times New Roman" w:eastAsia="宋体" w:cs="Times New Roman"/>
                <w:color w:val="000000"/>
                <w:kern w:val="2"/>
                <w:sz w:val="24"/>
                <w:szCs w:val="24"/>
              </w:rPr>
              <w:t>施工扬尘排放执行《大气污染物综合排放标准》（</w:t>
            </w:r>
            <w:r>
              <w:rPr>
                <w:rFonts w:hint="eastAsia" w:cs="Times New Roman"/>
                <w:color w:val="000000"/>
                <w:kern w:val="2"/>
                <w:sz w:val="24"/>
                <w:szCs w:val="24"/>
                <w:lang w:eastAsia="zh-CN"/>
              </w:rPr>
              <w:t>GB 16297</w:t>
            </w:r>
            <w:r>
              <w:rPr>
                <w:rFonts w:hint="default" w:ascii="Times New Roman" w:hAnsi="Times New Roman" w:eastAsia="宋体" w:cs="Times New Roman"/>
                <w:color w:val="000000"/>
                <w:kern w:val="2"/>
                <w:sz w:val="24"/>
                <w:szCs w:val="24"/>
              </w:rPr>
              <w:t>-1996）</w:t>
            </w:r>
            <w:r>
              <w:rPr>
                <w:rFonts w:hint="default" w:ascii="Times New Roman" w:hAnsi="Times New Roman" w:eastAsia="宋体" w:cs="Times New Roman"/>
                <w:color w:val="000000"/>
                <w:sz w:val="24"/>
                <w:szCs w:val="24"/>
              </w:rPr>
              <w:t>表2中无组织排放监控浓度限值的要求</w:t>
            </w: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rPr>
              <w:t>具体标准值见表</w:t>
            </w:r>
            <w:r>
              <w:rPr>
                <w:rFonts w:hint="default" w:ascii="Times New Roman" w:hAnsi="Times New Roman" w:eastAsia="宋体" w:cs="Times New Roman"/>
                <w:color w:val="000000"/>
                <w:sz w:val="24"/>
                <w:szCs w:val="24"/>
                <w:lang w:val="en-US" w:eastAsia="zh-CN"/>
              </w:rPr>
              <w:t>3-</w:t>
            </w:r>
            <w:r>
              <w:rPr>
                <w:rFonts w:hint="eastAsia" w:ascii="Times New Roman" w:hAnsi="Times New Roman" w:eastAsia="宋体" w:cs="Times New Roman"/>
                <w:color w:val="000000"/>
                <w:sz w:val="24"/>
                <w:szCs w:val="24"/>
                <w:lang w:val="en-US" w:eastAsia="zh-CN"/>
              </w:rPr>
              <w:t>1</w:t>
            </w:r>
            <w:r>
              <w:rPr>
                <w:rFonts w:hint="eastAsia" w:cs="Times New Roman"/>
                <w:color w:val="000000"/>
                <w:sz w:val="24"/>
                <w:szCs w:val="24"/>
                <w:lang w:val="en-US" w:eastAsia="zh-CN"/>
              </w:rPr>
              <w:t>0</w:t>
            </w:r>
            <w:r>
              <w:rPr>
                <w:rFonts w:hint="default" w:ascii="Times New Roman" w:hAnsi="Times New Roman" w:eastAsia="宋体" w:cs="Times New Roman"/>
                <w:color w:val="000000"/>
                <w:kern w:val="2"/>
                <w:sz w:val="24"/>
                <w:szCs w:val="24"/>
                <w:highlight w:val="none"/>
                <w:lang w:eastAsia="zh-CN"/>
              </w:rPr>
              <w:t>。</w:t>
            </w:r>
          </w:p>
          <w:p w14:paraId="7C66B575">
            <w:pPr>
              <w:keepNext w:val="0"/>
              <w:keepLines w:val="0"/>
              <w:pageBreakBefore w:val="0"/>
              <w:widowControl w:val="0"/>
              <w:kinsoku w:val="0"/>
              <w:wordWrap w:val="0"/>
              <w:overflowPunct/>
              <w:topLinePunct/>
              <w:autoSpaceDE/>
              <w:autoSpaceDN/>
              <w:bidi w:val="0"/>
              <w:adjustRightInd w:val="0"/>
              <w:snapToGrid w:val="0"/>
              <w:spacing w:line="240" w:lineRule="auto"/>
              <w:jc w:val="center"/>
              <w:textAlignment w:val="auto"/>
              <w:rPr>
                <w:rFonts w:hint="default" w:ascii="Times New Roman" w:hAnsi="Times New Roman" w:eastAsia="宋体" w:cs="Times New Roman"/>
                <w:b/>
                <w:caps w:val="0"/>
                <w:smallCaps w:val="0"/>
                <w:color w:val="000000"/>
                <w:spacing w:val="0"/>
                <w:w w:val="100"/>
                <w:kern w:val="0"/>
                <w:position w:val="0"/>
                <w:sz w:val="21"/>
                <w:szCs w:val="21"/>
                <w:highlight w:val="none"/>
              </w:rPr>
            </w:pPr>
            <w:r>
              <w:rPr>
                <w:rFonts w:hint="default" w:ascii="Times New Roman" w:hAnsi="Times New Roman" w:eastAsia="宋体" w:cs="Times New Roman"/>
                <w:b/>
                <w:bCs/>
                <w:color w:val="000000"/>
                <w:kern w:val="0"/>
                <w:sz w:val="21"/>
                <w:szCs w:val="21"/>
              </w:rPr>
              <w:t>表</w:t>
            </w:r>
            <w:r>
              <w:rPr>
                <w:rFonts w:hint="default" w:ascii="Times New Roman" w:hAnsi="Times New Roman" w:eastAsia="宋体" w:cs="Times New Roman"/>
                <w:b/>
                <w:bCs/>
                <w:color w:val="000000"/>
                <w:kern w:val="0"/>
                <w:sz w:val="21"/>
                <w:szCs w:val="21"/>
                <w:lang w:val="en-US" w:eastAsia="zh-CN"/>
              </w:rPr>
              <w:t>3-</w:t>
            </w:r>
            <w:r>
              <w:rPr>
                <w:rFonts w:hint="eastAsia" w:ascii="Times New Roman" w:hAnsi="Times New Roman" w:eastAsia="宋体" w:cs="Times New Roman"/>
                <w:b/>
                <w:bCs/>
                <w:color w:val="000000"/>
                <w:kern w:val="0"/>
                <w:sz w:val="21"/>
                <w:szCs w:val="21"/>
                <w:lang w:val="en-US" w:eastAsia="zh-CN"/>
              </w:rPr>
              <w:t>1</w:t>
            </w:r>
            <w:r>
              <w:rPr>
                <w:rFonts w:hint="eastAsia" w:cs="Times New Roman"/>
                <w:b/>
                <w:bCs/>
                <w:color w:val="000000"/>
                <w:kern w:val="0"/>
                <w:sz w:val="21"/>
                <w:szCs w:val="21"/>
                <w:lang w:val="en-US" w:eastAsia="zh-CN"/>
              </w:rPr>
              <w:t>0</w:t>
            </w:r>
            <w:r>
              <w:rPr>
                <w:rFonts w:hint="default" w:ascii="Times New Roman" w:hAnsi="Times New Roman" w:eastAsia="宋体" w:cs="Times New Roman"/>
                <w:b/>
                <w:bCs/>
                <w:color w:val="000000"/>
                <w:kern w:val="0"/>
                <w:sz w:val="21"/>
                <w:szCs w:val="21"/>
                <w:lang w:val="en-US" w:eastAsia="zh-CN"/>
              </w:rPr>
              <w:t xml:space="preserve"> </w:t>
            </w:r>
            <w:r>
              <w:rPr>
                <w:rFonts w:hint="default" w:ascii="Times New Roman" w:hAnsi="Times New Roman" w:eastAsia="宋体" w:cs="Times New Roman"/>
                <w:b/>
                <w:bCs/>
                <w:color w:val="000000"/>
                <w:kern w:val="0"/>
                <w:sz w:val="21"/>
                <w:szCs w:val="21"/>
              </w:rPr>
              <w:t>大气污染物排放标准</w:t>
            </w:r>
          </w:p>
          <w:tbl>
            <w:tblPr>
              <w:tblStyle w:val="3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719"/>
              <w:gridCol w:w="2311"/>
              <w:gridCol w:w="2615"/>
            </w:tblGrid>
            <w:tr w14:paraId="45C900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8" w:type="pct"/>
                  <w:vMerge w:val="restart"/>
                  <w:tcBorders>
                    <w:tl2br w:val="nil"/>
                    <w:tr2bl w:val="nil"/>
                  </w:tcBorders>
                  <w:noWrap w:val="0"/>
                  <w:vAlign w:val="center"/>
                </w:tcPr>
                <w:p w14:paraId="07C022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污染物</w:t>
                  </w:r>
                </w:p>
              </w:tc>
              <w:tc>
                <w:tcPr>
                  <w:tcW w:w="3221" w:type="pct"/>
                  <w:gridSpan w:val="2"/>
                  <w:tcBorders>
                    <w:tl2br w:val="nil"/>
                    <w:tr2bl w:val="nil"/>
                  </w:tcBorders>
                  <w:noWrap w:val="0"/>
                  <w:vAlign w:val="center"/>
                </w:tcPr>
                <w:p w14:paraId="407044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无组织排放监控浓度限值</w:t>
                  </w:r>
                </w:p>
              </w:tc>
            </w:tr>
            <w:tr w14:paraId="3C98E4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8" w:type="pct"/>
                  <w:vMerge w:val="continue"/>
                  <w:tcBorders>
                    <w:tl2br w:val="nil"/>
                    <w:tr2bl w:val="nil"/>
                  </w:tcBorders>
                  <w:noWrap w:val="0"/>
                  <w:vAlign w:val="center"/>
                </w:tcPr>
                <w:p w14:paraId="3A9EAF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511" w:type="pct"/>
                  <w:tcBorders>
                    <w:tl2br w:val="nil"/>
                    <w:tr2bl w:val="nil"/>
                  </w:tcBorders>
                  <w:noWrap w:val="0"/>
                  <w:vAlign w:val="center"/>
                </w:tcPr>
                <w:p w14:paraId="31E870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监控点</w:t>
                  </w:r>
                </w:p>
              </w:tc>
              <w:tc>
                <w:tcPr>
                  <w:tcW w:w="1710" w:type="pct"/>
                  <w:tcBorders>
                    <w:tl2br w:val="nil"/>
                    <w:tr2bl w:val="nil"/>
                  </w:tcBorders>
                  <w:noWrap w:val="0"/>
                  <w:vAlign w:val="center"/>
                </w:tcPr>
                <w:p w14:paraId="485CED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浓度mg/m</w:t>
                  </w:r>
                  <w:r>
                    <w:rPr>
                      <w:rFonts w:hint="default" w:ascii="Times New Roman" w:hAnsi="Times New Roman" w:eastAsia="宋体" w:cs="Times New Roman"/>
                      <w:sz w:val="21"/>
                      <w:szCs w:val="21"/>
                      <w:vertAlign w:val="superscript"/>
                    </w:rPr>
                    <w:t>3</w:t>
                  </w:r>
                </w:p>
              </w:tc>
            </w:tr>
            <w:tr w14:paraId="62D177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8" w:type="pct"/>
                  <w:tcBorders>
                    <w:tl2br w:val="nil"/>
                    <w:tr2bl w:val="nil"/>
                  </w:tcBorders>
                  <w:noWrap w:val="0"/>
                  <w:vAlign w:val="center"/>
                </w:tcPr>
                <w:p w14:paraId="147DA4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施工扬尘（TSP）</w:t>
                  </w:r>
                </w:p>
              </w:tc>
              <w:tc>
                <w:tcPr>
                  <w:tcW w:w="1511" w:type="pct"/>
                  <w:tcBorders>
                    <w:tl2br w:val="nil"/>
                    <w:tr2bl w:val="nil"/>
                  </w:tcBorders>
                  <w:noWrap w:val="0"/>
                  <w:vAlign w:val="center"/>
                </w:tcPr>
                <w:p w14:paraId="12C107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周界外浓度最高点</w:t>
                  </w:r>
                </w:p>
              </w:tc>
              <w:tc>
                <w:tcPr>
                  <w:tcW w:w="1710" w:type="pct"/>
                  <w:tcBorders>
                    <w:tl2br w:val="nil"/>
                    <w:tr2bl w:val="nil"/>
                  </w:tcBorders>
                  <w:noWrap w:val="0"/>
                  <w:vAlign w:val="center"/>
                </w:tcPr>
                <w:p w14:paraId="6341E4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1.0</w:t>
                  </w:r>
                </w:p>
              </w:tc>
            </w:tr>
          </w:tbl>
          <w:p w14:paraId="5FA2E6C2">
            <w:pPr>
              <w:ind w:firstLine="480"/>
              <w:rPr>
                <w:rFonts w:hint="default" w:ascii="Times New Roman" w:hAnsi="Times New Roman" w:eastAsia="宋体" w:cs="Times New Roman"/>
                <w:color w:val="000000"/>
              </w:rPr>
            </w:pPr>
            <w:r>
              <w:rPr>
                <w:rFonts w:hint="default" w:ascii="Times New Roman" w:hAnsi="Times New Roman" w:eastAsia="宋体" w:cs="Times New Roman"/>
                <w:color w:val="000000"/>
              </w:rPr>
              <w:t>（2）噪声</w:t>
            </w:r>
          </w:p>
          <w:p w14:paraId="5E4D060E">
            <w:pPr>
              <w:ind w:firstLine="480"/>
              <w:rPr>
                <w:rFonts w:hint="default" w:ascii="Times New Roman" w:hAnsi="Times New Roman" w:eastAsia="宋体" w:cs="Times New Roman"/>
                <w:color w:val="000000"/>
              </w:rPr>
            </w:pPr>
            <w:r>
              <w:rPr>
                <w:rFonts w:hint="default" w:ascii="Times New Roman" w:hAnsi="Times New Roman" w:eastAsia="宋体" w:cs="Times New Roman"/>
                <w:color w:val="000000"/>
              </w:rPr>
              <w:t>施工期噪声执行《建筑施工噪声排放标准》（</w:t>
            </w:r>
            <w:r>
              <w:rPr>
                <w:rFonts w:hint="eastAsia" w:cs="Times New Roman"/>
                <w:color w:val="000000"/>
                <w:lang w:eastAsia="zh-CN"/>
              </w:rPr>
              <w:t>GB 12523</w:t>
            </w:r>
            <w:r>
              <w:rPr>
                <w:rFonts w:hint="default" w:ascii="Times New Roman" w:hAnsi="Times New Roman" w:eastAsia="宋体" w:cs="Times New Roman"/>
                <w:color w:val="000000"/>
                <w:lang w:val="en-US" w:eastAsia="zh-CN"/>
              </w:rPr>
              <w:t>-</w:t>
            </w:r>
            <w:r>
              <w:rPr>
                <w:rFonts w:hint="default" w:ascii="Times New Roman" w:hAnsi="Times New Roman" w:eastAsia="宋体" w:cs="Times New Roman"/>
                <w:color w:val="000000"/>
              </w:rPr>
              <w:t>20</w:t>
            </w:r>
            <w:r>
              <w:rPr>
                <w:rFonts w:hint="default" w:ascii="Times New Roman" w:hAnsi="Times New Roman" w:eastAsia="宋体" w:cs="Times New Roman"/>
                <w:color w:val="000000"/>
                <w:lang w:val="en-US" w:eastAsia="zh-CN"/>
              </w:rPr>
              <w:t>25</w:t>
            </w:r>
            <w:r>
              <w:rPr>
                <w:rFonts w:hint="eastAsia" w:cs="Times New Roman"/>
                <w:color w:val="000000"/>
                <w:lang w:val="en-US" w:eastAsia="zh-CN"/>
              </w:rPr>
              <w:t>）的标准</w:t>
            </w:r>
            <w:r>
              <w:rPr>
                <w:rFonts w:hint="default" w:ascii="Times New Roman" w:hAnsi="Times New Roman" w:eastAsia="宋体" w:cs="Times New Roman"/>
                <w:color w:val="000000"/>
              </w:rPr>
              <w:t>，具体详见表</w:t>
            </w:r>
            <w:r>
              <w:rPr>
                <w:rFonts w:hint="default" w:ascii="Times New Roman" w:hAnsi="Times New Roman" w:eastAsia="宋体" w:cs="Times New Roman"/>
                <w:color w:val="000000"/>
                <w:lang w:val="en-US" w:eastAsia="zh-CN"/>
              </w:rPr>
              <w:t>3-</w:t>
            </w:r>
            <w:r>
              <w:rPr>
                <w:rFonts w:hint="eastAsia" w:ascii="Times New Roman" w:hAnsi="Times New Roman" w:eastAsia="宋体" w:cs="Times New Roman"/>
                <w:color w:val="000000"/>
                <w:lang w:val="en-US" w:eastAsia="zh-CN"/>
              </w:rPr>
              <w:t>1</w:t>
            </w:r>
            <w:r>
              <w:rPr>
                <w:rFonts w:hint="eastAsia" w:cs="Times New Roman"/>
                <w:color w:val="000000"/>
                <w:lang w:val="en-US" w:eastAsia="zh-CN"/>
              </w:rPr>
              <w:t>1</w:t>
            </w:r>
            <w:r>
              <w:rPr>
                <w:rFonts w:hint="default" w:ascii="Times New Roman" w:hAnsi="Times New Roman" w:eastAsia="宋体" w:cs="Times New Roman"/>
                <w:color w:val="000000"/>
              </w:rPr>
              <w:t>。</w:t>
            </w:r>
          </w:p>
          <w:p w14:paraId="39B19727">
            <w:pPr>
              <w:spacing w:line="240" w:lineRule="auto"/>
              <w:ind w:firstLine="422"/>
              <w:jc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表</w:t>
            </w:r>
            <w:r>
              <w:rPr>
                <w:rFonts w:hint="default" w:ascii="Times New Roman" w:hAnsi="Times New Roman" w:eastAsia="宋体" w:cs="Times New Roman"/>
                <w:b/>
                <w:bCs/>
                <w:color w:val="000000"/>
                <w:sz w:val="21"/>
                <w:szCs w:val="21"/>
                <w:lang w:val="en-US" w:eastAsia="zh-CN"/>
              </w:rPr>
              <w:t>3-</w:t>
            </w:r>
            <w:r>
              <w:rPr>
                <w:rFonts w:hint="eastAsia" w:ascii="Times New Roman" w:hAnsi="Times New Roman" w:eastAsia="宋体" w:cs="Times New Roman"/>
                <w:b/>
                <w:bCs/>
                <w:color w:val="000000"/>
                <w:sz w:val="21"/>
                <w:szCs w:val="21"/>
                <w:lang w:val="en-US" w:eastAsia="zh-CN"/>
              </w:rPr>
              <w:t>1</w:t>
            </w:r>
            <w:r>
              <w:rPr>
                <w:rFonts w:hint="eastAsia" w:cs="Times New Roman"/>
                <w:b/>
                <w:bCs/>
                <w:color w:val="000000"/>
                <w:sz w:val="21"/>
                <w:szCs w:val="21"/>
                <w:lang w:val="en-US" w:eastAsia="zh-CN"/>
              </w:rPr>
              <w:t>1</w:t>
            </w:r>
            <w:r>
              <w:rPr>
                <w:rFonts w:hint="default" w:ascii="Times New Roman" w:hAnsi="Times New Roman" w:eastAsia="宋体" w:cs="Times New Roman"/>
                <w:b/>
                <w:bCs/>
                <w:color w:val="000000"/>
                <w:sz w:val="21"/>
                <w:szCs w:val="21"/>
              </w:rPr>
              <w:t xml:space="preserve"> 施工期间噪声排放标准</w:t>
            </w:r>
          </w:p>
          <w:tbl>
            <w:tblPr>
              <w:tblStyle w:val="32"/>
              <w:tblW w:w="4998"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060"/>
              <w:gridCol w:w="1029"/>
              <w:gridCol w:w="1788"/>
              <w:gridCol w:w="3768"/>
            </w:tblGrid>
            <w:tr w14:paraId="7F51AC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93" w:type="pct"/>
                  <w:tcBorders>
                    <w:bottom w:val="single" w:color="000000" w:sz="12" w:space="0"/>
                  </w:tcBorders>
                  <w:noWrap w:val="0"/>
                  <w:vAlign w:val="center"/>
                </w:tcPr>
                <w:p w14:paraId="097269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zh-CN"/>
                    </w:rPr>
                  </w:pPr>
                  <w:r>
                    <w:rPr>
                      <w:rFonts w:hint="default" w:ascii="Times New Roman" w:hAnsi="Times New Roman" w:eastAsia="宋体" w:cs="Times New Roman"/>
                      <w:sz w:val="21"/>
                      <w:szCs w:val="21"/>
                    </w:rPr>
                    <w:t>名称</w:t>
                  </w:r>
                </w:p>
              </w:tc>
              <w:tc>
                <w:tcPr>
                  <w:tcW w:w="673" w:type="pct"/>
                  <w:tcBorders>
                    <w:bottom w:val="single" w:color="000000" w:sz="12" w:space="0"/>
                  </w:tcBorders>
                  <w:noWrap w:val="0"/>
                  <w:vAlign w:val="center"/>
                </w:tcPr>
                <w:p w14:paraId="304CE1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zh-CN"/>
                    </w:rPr>
                  </w:pPr>
                  <w:r>
                    <w:rPr>
                      <w:rFonts w:hint="default" w:ascii="Times New Roman" w:hAnsi="Times New Roman" w:eastAsia="宋体" w:cs="Times New Roman"/>
                      <w:sz w:val="21"/>
                      <w:szCs w:val="21"/>
                      <w:lang w:val="zh-CN"/>
                    </w:rPr>
                    <w:t>单位</w:t>
                  </w:r>
                </w:p>
              </w:tc>
              <w:tc>
                <w:tcPr>
                  <w:tcW w:w="1169" w:type="pct"/>
                  <w:tcBorders>
                    <w:bottom w:val="single" w:color="000000" w:sz="12" w:space="0"/>
                  </w:tcBorders>
                  <w:noWrap w:val="0"/>
                  <w:vAlign w:val="center"/>
                </w:tcPr>
                <w:p w14:paraId="751A33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zh-CN"/>
                    </w:rPr>
                  </w:pPr>
                  <w:r>
                    <w:rPr>
                      <w:rFonts w:hint="default" w:ascii="Times New Roman" w:hAnsi="Times New Roman" w:eastAsia="宋体" w:cs="Times New Roman"/>
                      <w:sz w:val="21"/>
                      <w:szCs w:val="21"/>
                      <w:lang w:val="zh-CN"/>
                    </w:rPr>
                    <w:t>标准值</w:t>
                  </w:r>
                </w:p>
              </w:tc>
              <w:tc>
                <w:tcPr>
                  <w:tcW w:w="2464" w:type="pct"/>
                  <w:tcBorders>
                    <w:bottom w:val="single" w:color="000000" w:sz="12" w:space="0"/>
                  </w:tcBorders>
                  <w:noWrap w:val="0"/>
                  <w:vAlign w:val="center"/>
                </w:tcPr>
                <w:p w14:paraId="67D9A6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zh-CN"/>
                    </w:rPr>
                  </w:pPr>
                  <w:r>
                    <w:rPr>
                      <w:rFonts w:hint="default" w:ascii="Times New Roman" w:hAnsi="Times New Roman" w:eastAsia="宋体" w:cs="Times New Roman"/>
                      <w:sz w:val="21"/>
                      <w:szCs w:val="21"/>
                      <w:lang w:val="zh-CN"/>
                    </w:rPr>
                    <w:t>备注</w:t>
                  </w:r>
                </w:p>
              </w:tc>
            </w:tr>
            <w:tr w14:paraId="6E6AF3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93" w:type="pct"/>
                  <w:tcBorders>
                    <w:top w:val="single" w:color="000000" w:sz="12" w:space="0"/>
                  </w:tcBorders>
                  <w:noWrap w:val="0"/>
                  <w:vAlign w:val="center"/>
                </w:tcPr>
                <w:p w14:paraId="451FCE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zh-CN"/>
                    </w:rPr>
                  </w:pPr>
                  <w:r>
                    <w:rPr>
                      <w:rFonts w:hint="default" w:ascii="Times New Roman" w:hAnsi="Times New Roman" w:eastAsia="宋体" w:cs="Times New Roman"/>
                      <w:sz w:val="21"/>
                      <w:szCs w:val="21"/>
                      <w:lang w:val="zh-CN"/>
                    </w:rPr>
                    <w:t>噪声</w:t>
                  </w:r>
                </w:p>
              </w:tc>
              <w:tc>
                <w:tcPr>
                  <w:tcW w:w="673" w:type="pct"/>
                  <w:tcBorders>
                    <w:top w:val="single" w:color="000000" w:sz="12" w:space="0"/>
                  </w:tcBorders>
                  <w:noWrap w:val="0"/>
                  <w:vAlign w:val="center"/>
                </w:tcPr>
                <w:p w14:paraId="7099AB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zh-CN"/>
                    </w:rPr>
                  </w:pPr>
                  <w:r>
                    <w:rPr>
                      <w:rFonts w:hint="default" w:ascii="Times New Roman" w:hAnsi="Times New Roman" w:eastAsia="宋体" w:cs="Times New Roman"/>
                      <w:sz w:val="21"/>
                      <w:szCs w:val="21"/>
                      <w:lang w:val="zh-CN"/>
                    </w:rPr>
                    <w:t>dB</w:t>
                  </w:r>
                  <w:r>
                    <w:rPr>
                      <w:rFonts w:hint="eastAsia" w:cs="Times New Roman"/>
                      <w:sz w:val="21"/>
                      <w:szCs w:val="21"/>
                      <w:lang w:val="zh-CN"/>
                    </w:rPr>
                    <w:t>(</w:t>
                  </w:r>
                  <w:r>
                    <w:rPr>
                      <w:rFonts w:hint="default" w:ascii="Times New Roman" w:hAnsi="Times New Roman" w:eastAsia="宋体" w:cs="Times New Roman"/>
                      <w:sz w:val="21"/>
                      <w:szCs w:val="21"/>
                      <w:lang w:val="zh-CN"/>
                    </w:rPr>
                    <w:t>A</w:t>
                  </w:r>
                  <w:r>
                    <w:rPr>
                      <w:rFonts w:hint="eastAsia" w:cs="Times New Roman"/>
                      <w:sz w:val="21"/>
                      <w:szCs w:val="21"/>
                      <w:lang w:val="zh-CN"/>
                    </w:rPr>
                    <w:t>)</w:t>
                  </w:r>
                </w:p>
              </w:tc>
              <w:tc>
                <w:tcPr>
                  <w:tcW w:w="1169" w:type="pct"/>
                  <w:tcBorders>
                    <w:top w:val="single" w:color="000000" w:sz="12" w:space="0"/>
                  </w:tcBorders>
                  <w:noWrap w:val="0"/>
                  <w:vAlign w:val="center"/>
                </w:tcPr>
                <w:p w14:paraId="4DC344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昼间：70夜间：55</w:t>
                  </w:r>
                </w:p>
              </w:tc>
              <w:tc>
                <w:tcPr>
                  <w:tcW w:w="2464" w:type="pct"/>
                  <w:tcBorders>
                    <w:top w:val="single" w:color="000000" w:sz="12" w:space="0"/>
                  </w:tcBorders>
                  <w:noWrap w:val="0"/>
                  <w:vAlign w:val="center"/>
                </w:tcPr>
                <w:p w14:paraId="3FF86D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《建筑施工噪声排放标准》（</w:t>
                  </w:r>
                  <w:r>
                    <w:rPr>
                      <w:rFonts w:hint="eastAsia" w:cs="Times New Roman"/>
                      <w:sz w:val="21"/>
                      <w:szCs w:val="21"/>
                      <w:lang w:eastAsia="zh-CN"/>
                    </w:rPr>
                    <w:t>GB 12523-</w:t>
                  </w:r>
                  <w:r>
                    <w:rPr>
                      <w:rFonts w:hint="default" w:ascii="Times New Roman" w:hAnsi="Times New Roman" w:eastAsia="宋体" w:cs="Times New Roman"/>
                      <w:sz w:val="21"/>
                      <w:szCs w:val="21"/>
                    </w:rPr>
                    <w:t>20</w:t>
                  </w:r>
                  <w:r>
                    <w:rPr>
                      <w:rFonts w:hint="default" w:ascii="Times New Roman" w:hAnsi="Times New Roman" w:eastAsia="宋体" w:cs="Times New Roman"/>
                      <w:sz w:val="21"/>
                      <w:szCs w:val="21"/>
                      <w:lang w:val="en-US" w:eastAsia="zh-CN"/>
                    </w:rPr>
                    <w:t>25</w:t>
                  </w:r>
                  <w:r>
                    <w:rPr>
                      <w:rFonts w:hint="default" w:ascii="Times New Roman" w:hAnsi="Times New Roman" w:eastAsia="宋体" w:cs="Times New Roman"/>
                      <w:sz w:val="21"/>
                      <w:szCs w:val="21"/>
                    </w:rPr>
                    <w:t>）</w:t>
                  </w:r>
                </w:p>
              </w:tc>
            </w:tr>
          </w:tbl>
          <w:p w14:paraId="304B35B9">
            <w:pPr>
              <w:keepNext w:val="0"/>
              <w:keepLines w:val="0"/>
              <w:pageBreakBefore w:val="0"/>
              <w:widowControl w:val="0"/>
              <w:kinsoku/>
              <w:wordWrap/>
              <w:overflowPunct/>
              <w:topLinePunct w:val="0"/>
              <w:bidi w:val="0"/>
              <w:adjustRightInd/>
              <w:snapToGrid w:val="0"/>
              <w:ind w:firstLine="480"/>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rPr>
              <w:t>（3）固废</w:t>
            </w:r>
          </w:p>
          <w:p w14:paraId="5540FDF4">
            <w:pPr>
              <w:keepNext w:val="0"/>
              <w:keepLines w:val="0"/>
              <w:pageBreakBefore w:val="0"/>
              <w:widowControl w:val="0"/>
              <w:kinsoku/>
              <w:wordWrap/>
              <w:overflowPunct/>
              <w:topLinePunct w:val="0"/>
              <w:bidi w:val="0"/>
              <w:adjustRightInd/>
              <w:snapToGrid w:val="0"/>
              <w:ind w:firstLine="480"/>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rPr>
              <w:t>项目建设施工期间，建筑垃圾应按照《城市建筑垃圾管理规定》（建设部令第139号）的相关规定，进行运输和处置。</w:t>
            </w:r>
          </w:p>
          <w:p w14:paraId="7A0BC619">
            <w:pPr>
              <w:keepNext w:val="0"/>
              <w:keepLines w:val="0"/>
              <w:pageBreakBefore w:val="0"/>
              <w:widowControl w:val="0"/>
              <w:kinsoku/>
              <w:wordWrap/>
              <w:overflowPunct/>
              <w:topLinePunct w:val="0"/>
              <w:bidi w:val="0"/>
              <w:adjustRightInd/>
              <w:snapToGrid w:val="0"/>
              <w:ind w:firstLine="480"/>
              <w:textAlignment w:val="auto"/>
              <w:rPr>
                <w:rFonts w:hint="default" w:ascii="Times New Roman" w:hAnsi="Times New Roman" w:eastAsia="宋体" w:cs="Times New Roman"/>
                <w:color w:val="000000"/>
                <w:lang w:val="en-US"/>
              </w:rPr>
            </w:pPr>
            <w:r>
              <w:rPr>
                <w:rFonts w:hint="default" w:ascii="Times New Roman" w:hAnsi="Times New Roman" w:eastAsia="宋体" w:cs="Times New Roman"/>
                <w:color w:val="000000"/>
                <w:lang w:val="en-US" w:eastAsia="zh-CN"/>
              </w:rPr>
              <w:t>建筑垃圾产生与收集、贮存与运输、利用与处置过程的污染控制要求满足《建筑垃圾污染控制技术规范》</w:t>
            </w:r>
            <w:r>
              <w:rPr>
                <w:rFonts w:hint="eastAsia" w:cs="Times New Roman"/>
                <w:color w:val="000000"/>
                <w:lang w:val="en-US" w:eastAsia="zh-CN"/>
              </w:rPr>
              <w:t>（HJ 1462-2026）</w:t>
            </w:r>
            <w:r>
              <w:rPr>
                <w:rFonts w:hint="default" w:ascii="Times New Roman" w:hAnsi="Times New Roman" w:eastAsia="宋体" w:cs="Times New Roman"/>
                <w:color w:val="000000"/>
                <w:lang w:val="en-US" w:eastAsia="zh-CN"/>
              </w:rPr>
              <w:t>的相关规定。</w:t>
            </w:r>
          </w:p>
          <w:p w14:paraId="782E760C">
            <w:pPr>
              <w:pStyle w:val="79"/>
              <w:keepNext w:val="0"/>
              <w:keepLines w:val="0"/>
              <w:pageBreakBefore w:val="0"/>
              <w:widowControl w:val="0"/>
              <w:numPr>
                <w:ilvl w:val="0"/>
                <w:numId w:val="0"/>
              </w:numPr>
              <w:kinsoku/>
              <w:wordWrap/>
              <w:overflowPunct/>
              <w:topLinePunct w:val="0"/>
              <w:autoSpaceDE/>
              <w:autoSpaceDN/>
              <w:bidi w:val="0"/>
              <w:adjustRightInd w:val="0"/>
              <w:snapToGrid w:val="0"/>
              <w:ind w:firstLine="496"/>
              <w:jc w:val="both"/>
              <w:textAlignment w:val="auto"/>
              <w:rPr>
                <w:rFonts w:hint="default" w:ascii="Times New Roman" w:hAnsi="Times New Roman" w:eastAsia="宋体" w:cs="Times New Roman"/>
                <w:b/>
                <w:bCs/>
                <w:color w:val="000000"/>
                <w:highlight w:val="none"/>
                <w:lang w:val="en-US" w:eastAsia="zh-CN"/>
              </w:rPr>
            </w:pPr>
            <w:r>
              <w:rPr>
                <w:rFonts w:hint="default" w:ascii="Times New Roman" w:hAnsi="Times New Roman" w:eastAsia="宋体" w:cs="Times New Roman"/>
                <w:b/>
                <w:bCs/>
                <w:color w:val="000000"/>
              </w:rPr>
              <w:t>2.2运营期污染物排放控制标准</w:t>
            </w:r>
          </w:p>
          <w:p w14:paraId="450DA32F">
            <w:pPr>
              <w:pStyle w:val="79"/>
              <w:keepNext w:val="0"/>
              <w:keepLines w:val="0"/>
              <w:pageBreakBefore w:val="0"/>
              <w:widowControl w:val="0"/>
              <w:numPr>
                <w:ilvl w:val="0"/>
                <w:numId w:val="0"/>
              </w:numPr>
              <w:kinsoku/>
              <w:wordWrap/>
              <w:overflowPunct/>
              <w:topLinePunct w:val="0"/>
              <w:autoSpaceDE/>
              <w:autoSpaceDN/>
              <w:bidi w:val="0"/>
              <w:adjustRightInd w:val="0"/>
              <w:snapToGrid w:val="0"/>
              <w:ind w:firstLine="496"/>
              <w:jc w:val="both"/>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（1）废气排放标准</w:t>
            </w:r>
          </w:p>
          <w:p w14:paraId="2709BBE7">
            <w:pPr>
              <w:keepNext w:val="0"/>
              <w:keepLines w:val="0"/>
              <w:pageBreakBefore w:val="0"/>
              <w:widowControl w:val="0"/>
              <w:kinsoku/>
              <w:wordWrap/>
              <w:overflowPunct/>
              <w:topLinePunct w:val="0"/>
              <w:autoSpaceDE/>
              <w:autoSpaceDN/>
              <w:bidi w:val="0"/>
              <w:adjustRightInd/>
              <w:snapToGrid w:val="0"/>
              <w:ind w:firstLine="480"/>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运营期油烟废气执行《饮食业油烟排放标准</w:t>
            </w:r>
            <w:r>
              <w:rPr>
                <w:rFonts w:hint="eastAsia" w:cs="Times New Roman"/>
                <w:color w:val="000000"/>
                <w:lang w:val="en-US" w:eastAsia="zh-CN"/>
              </w:rPr>
              <w:t>（试行）》（GB 18483-2001）</w:t>
            </w:r>
          </w:p>
          <w:p w14:paraId="119989FE">
            <w:pPr>
              <w:keepNext w:val="0"/>
              <w:keepLines w:val="0"/>
              <w:pageBreakBefore w:val="0"/>
              <w:widowControl w:val="0"/>
              <w:kinsoku/>
              <w:wordWrap/>
              <w:overflowPunct/>
              <w:topLinePunct w:val="0"/>
              <w:bidi w:val="0"/>
              <w:adjustRightInd/>
              <w:snapToGrid w:val="0"/>
              <w:ind w:left="0" w:leftChars="0" w:firstLine="0" w:firstLineChars="0"/>
              <w:textAlignment w:val="auto"/>
              <w:rPr>
                <w:rFonts w:hint="default" w:ascii="Times New Roman" w:hAnsi="Times New Roman" w:eastAsia="宋体" w:cs="Times New Roman"/>
                <w:sz w:val="25"/>
                <w:szCs w:val="25"/>
              </w:rPr>
            </w:pPr>
            <w:r>
              <w:rPr>
                <w:rFonts w:hint="default" w:ascii="Times New Roman" w:hAnsi="Times New Roman" w:eastAsia="宋体" w:cs="Times New Roman"/>
                <w:color w:val="000000"/>
                <w:lang w:val="en-US" w:eastAsia="zh-CN"/>
              </w:rPr>
              <w:t>2.0mg/m</w:t>
            </w:r>
            <w:r>
              <w:rPr>
                <w:rFonts w:hint="default" w:ascii="Times New Roman" w:hAnsi="Times New Roman" w:eastAsia="宋体" w:cs="Times New Roman"/>
                <w:color w:val="000000"/>
                <w:vertAlign w:val="superscript"/>
                <w:lang w:val="en-US" w:eastAsia="zh-CN"/>
              </w:rPr>
              <w:t>3</w:t>
            </w:r>
            <w:r>
              <w:rPr>
                <w:rFonts w:hint="eastAsia" w:ascii="Times New Roman" w:hAnsi="Times New Roman" w:eastAsia="宋体" w:cs="Times New Roman"/>
                <w:color w:val="000000"/>
                <w:vertAlign w:val="baseline"/>
                <w:lang w:val="en-US" w:eastAsia="zh-CN"/>
              </w:rPr>
              <w:t>中</w:t>
            </w:r>
            <w:r>
              <w:rPr>
                <w:rFonts w:hint="default" w:ascii="Times New Roman" w:hAnsi="Times New Roman" w:eastAsia="宋体" w:cs="Times New Roman"/>
                <w:color w:val="000000"/>
                <w:highlight w:val="none"/>
                <w:lang w:val="en-US" w:eastAsia="zh-CN"/>
              </w:rPr>
              <w:t>型标准</w:t>
            </w:r>
            <w:r>
              <w:rPr>
                <w:rFonts w:hint="default" w:ascii="Times New Roman" w:hAnsi="Times New Roman" w:eastAsia="宋体" w:cs="Times New Roman"/>
                <w:color w:val="000000"/>
                <w:lang w:val="en-US" w:eastAsia="zh-CN"/>
              </w:rPr>
              <w:t>，详见表3-</w:t>
            </w:r>
            <w:r>
              <w:rPr>
                <w:rFonts w:hint="eastAsia" w:ascii="Times New Roman" w:hAnsi="Times New Roman" w:eastAsia="宋体" w:cs="Times New Roman"/>
                <w:color w:val="000000"/>
                <w:lang w:val="en-US" w:eastAsia="zh-CN"/>
              </w:rPr>
              <w:t>1</w:t>
            </w:r>
            <w:r>
              <w:rPr>
                <w:rFonts w:hint="eastAsia" w:cs="Times New Roman"/>
                <w:color w:val="000000"/>
                <w:lang w:val="en-US" w:eastAsia="zh-CN"/>
              </w:rPr>
              <w:t>2</w:t>
            </w:r>
            <w:r>
              <w:rPr>
                <w:rFonts w:hint="default" w:ascii="Times New Roman" w:hAnsi="Times New Roman" w:eastAsia="宋体" w:cs="Times New Roman"/>
                <w:color w:val="000000"/>
                <w:lang w:val="en-US" w:eastAsia="zh-CN"/>
              </w:rPr>
              <w:t>。</w:t>
            </w:r>
          </w:p>
          <w:p w14:paraId="0728B9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5"/>
              </w:rPr>
            </w:pPr>
            <w:r>
              <w:rPr>
                <w:rFonts w:hint="default" w:ascii="Times New Roman" w:hAnsi="Times New Roman" w:eastAsia="宋体" w:cs="Times New Roman"/>
                <w:b/>
                <w:bCs/>
                <w:sz w:val="21"/>
                <w:szCs w:val="21"/>
                <w:lang w:val="en-US" w:eastAsia="zh-CN"/>
              </w:rPr>
              <w:t xml:space="preserve">            </w:t>
            </w:r>
            <w:r>
              <w:rPr>
                <w:rFonts w:hint="default" w:ascii="Times New Roman" w:hAnsi="Times New Roman" w:eastAsia="宋体" w:cs="Times New Roman"/>
                <w:b/>
                <w:bCs/>
                <w:sz w:val="21"/>
                <w:szCs w:val="21"/>
              </w:rPr>
              <w:t>表3-</w:t>
            </w:r>
            <w:r>
              <w:rPr>
                <w:rFonts w:hint="eastAsia" w:ascii="Times New Roman" w:hAnsi="Times New Roman" w:eastAsia="宋体" w:cs="Times New Roman"/>
                <w:b/>
                <w:bCs/>
                <w:sz w:val="21"/>
                <w:szCs w:val="21"/>
                <w:lang w:val="en-US" w:eastAsia="zh-CN"/>
              </w:rPr>
              <w:t>1</w:t>
            </w:r>
            <w:r>
              <w:rPr>
                <w:rFonts w:hint="eastAsia" w:cs="Times New Roman"/>
                <w:b/>
                <w:bCs/>
                <w:sz w:val="21"/>
                <w:szCs w:val="21"/>
                <w:lang w:val="en-US" w:eastAsia="zh-CN"/>
              </w:rPr>
              <w:t>2</w:t>
            </w:r>
            <w:r>
              <w:rPr>
                <w:rFonts w:hint="eastAsia" w:ascii="Times New Roman" w:hAnsi="Times New Roman" w:eastAsia="宋体" w:cs="Times New Roman"/>
                <w:b/>
                <w:bCs/>
                <w:sz w:val="21"/>
                <w:szCs w:val="21"/>
                <w:lang w:val="en-US" w:eastAsia="zh-CN"/>
              </w:rPr>
              <w:t xml:space="preserve"> </w:t>
            </w:r>
            <w:r>
              <w:rPr>
                <w:rFonts w:hint="default" w:ascii="Times New Roman" w:hAnsi="Times New Roman" w:eastAsia="宋体" w:cs="Times New Roman"/>
                <w:b/>
                <w:bCs/>
                <w:sz w:val="21"/>
                <w:szCs w:val="21"/>
              </w:rPr>
              <w:t>饮食业油烟排放标准</w:t>
            </w:r>
            <w:r>
              <w:rPr>
                <w:rFonts w:hint="eastAsia" w:cs="Times New Roman"/>
                <w:b/>
                <w:bCs/>
                <w:sz w:val="21"/>
                <w:szCs w:val="21"/>
                <w:lang w:eastAsia="zh-CN"/>
              </w:rPr>
              <w:t>（</w:t>
            </w:r>
            <w:r>
              <w:rPr>
                <w:rFonts w:hint="default" w:ascii="Times New Roman" w:hAnsi="Times New Roman" w:eastAsia="宋体" w:cs="Times New Roman"/>
                <w:b/>
                <w:bCs/>
                <w:sz w:val="21"/>
                <w:szCs w:val="21"/>
              </w:rPr>
              <w:t>试行</w:t>
            </w:r>
            <w:r>
              <w:rPr>
                <w:rFonts w:hint="eastAsia" w:cs="Times New Roman"/>
                <w:b/>
                <w:bCs/>
                <w:sz w:val="21"/>
                <w:szCs w:val="21"/>
                <w:lang w:eastAsia="zh-CN"/>
              </w:rPr>
              <w:t>）</w:t>
            </w:r>
            <w:r>
              <w:rPr>
                <w:rFonts w:hint="default" w:ascii="Times New Roman" w:hAnsi="Times New Roman" w:eastAsia="宋体" w:cs="Times New Roman"/>
                <w:b/>
                <w:bCs/>
                <w:sz w:val="21"/>
                <w:szCs w:val="21"/>
                <w:lang w:val="en-US" w:eastAsia="zh-CN"/>
              </w:rPr>
              <w:t xml:space="preserve">                   </w:t>
            </w:r>
            <w:r>
              <w:rPr>
                <w:rFonts w:hint="default" w:ascii="Times New Roman" w:hAnsi="Times New Roman" w:eastAsia="宋体" w:cs="Times New Roman"/>
                <w:b/>
                <w:bCs/>
                <w:sz w:val="21"/>
                <w:szCs w:val="21"/>
              </w:rPr>
              <w:t>单位：mg/m³</w:t>
            </w:r>
          </w:p>
          <w:tbl>
            <w:tblPr>
              <w:tblStyle w:val="89"/>
              <w:tblW w:w="4998" w:type="pct"/>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132"/>
              <w:gridCol w:w="1534"/>
              <w:gridCol w:w="1588"/>
              <w:gridCol w:w="1381"/>
            </w:tblGrid>
            <w:tr w14:paraId="33C64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2051" w:type="pct"/>
                  <w:tcBorders>
                    <w:top w:val="single" w:color="000000" w:sz="12" w:space="0"/>
                    <w:left w:val="nil"/>
                    <w:bottom w:val="single" w:color="000000" w:sz="12" w:space="0"/>
                  </w:tcBorders>
                  <w:shd w:val="clear" w:color="auto" w:fill="auto"/>
                  <w:noWrap w:val="0"/>
                  <w:vAlign w:val="center"/>
                </w:tcPr>
                <w:p w14:paraId="1C89B6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规模</w:t>
                  </w:r>
                </w:p>
              </w:tc>
              <w:tc>
                <w:tcPr>
                  <w:tcW w:w="1004" w:type="pct"/>
                  <w:tcBorders>
                    <w:top w:val="single" w:color="000000" w:sz="12" w:space="0"/>
                    <w:bottom w:val="single" w:color="000000" w:sz="12" w:space="0"/>
                  </w:tcBorders>
                  <w:shd w:val="clear" w:color="auto" w:fill="auto"/>
                  <w:noWrap w:val="0"/>
                  <w:vAlign w:val="center"/>
                </w:tcPr>
                <w:p w14:paraId="0EC7C8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小型</w:t>
                  </w:r>
                </w:p>
              </w:tc>
              <w:tc>
                <w:tcPr>
                  <w:tcW w:w="1040" w:type="pct"/>
                  <w:tcBorders>
                    <w:top w:val="single" w:color="000000" w:sz="12" w:space="0"/>
                    <w:bottom w:val="single" w:color="000000" w:sz="12" w:space="0"/>
                  </w:tcBorders>
                  <w:shd w:val="clear" w:color="auto" w:fill="auto"/>
                  <w:noWrap w:val="0"/>
                  <w:vAlign w:val="center"/>
                </w:tcPr>
                <w:p w14:paraId="5C0AB0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中型</w:t>
                  </w:r>
                </w:p>
              </w:tc>
              <w:tc>
                <w:tcPr>
                  <w:tcW w:w="904" w:type="pct"/>
                  <w:tcBorders>
                    <w:top w:val="single" w:color="000000" w:sz="12" w:space="0"/>
                    <w:bottom w:val="single" w:color="000000" w:sz="12" w:space="0"/>
                    <w:right w:val="nil"/>
                  </w:tcBorders>
                  <w:shd w:val="clear" w:color="auto" w:fill="auto"/>
                  <w:noWrap w:val="0"/>
                  <w:vAlign w:val="center"/>
                </w:tcPr>
                <w:p w14:paraId="6549A8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大型</w:t>
                  </w:r>
                </w:p>
              </w:tc>
            </w:tr>
            <w:tr w14:paraId="3F9A1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2051" w:type="pct"/>
                  <w:tcBorders>
                    <w:top w:val="single" w:color="000000" w:sz="12" w:space="0"/>
                    <w:left w:val="nil"/>
                  </w:tcBorders>
                  <w:shd w:val="clear" w:color="auto" w:fill="auto"/>
                  <w:noWrap w:val="0"/>
                  <w:vAlign w:val="center"/>
                </w:tcPr>
                <w:p w14:paraId="6CF6C4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基准灶头数</w:t>
                  </w:r>
                </w:p>
              </w:tc>
              <w:tc>
                <w:tcPr>
                  <w:tcW w:w="1004" w:type="pct"/>
                  <w:tcBorders>
                    <w:top w:val="single" w:color="000000" w:sz="12" w:space="0"/>
                  </w:tcBorders>
                  <w:shd w:val="clear" w:color="auto" w:fill="auto"/>
                  <w:noWrap w:val="0"/>
                  <w:vAlign w:val="center"/>
                </w:tcPr>
                <w:p w14:paraId="6164ED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≥1,&lt;3</w:t>
                  </w:r>
                </w:p>
              </w:tc>
              <w:tc>
                <w:tcPr>
                  <w:tcW w:w="1040" w:type="pct"/>
                  <w:tcBorders>
                    <w:top w:val="single" w:color="000000" w:sz="12" w:space="0"/>
                  </w:tcBorders>
                  <w:shd w:val="clear" w:color="auto" w:fill="auto"/>
                  <w:noWrap w:val="0"/>
                  <w:vAlign w:val="center"/>
                </w:tcPr>
                <w:p w14:paraId="4C7B70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≥3,&lt;6</w:t>
                  </w:r>
                </w:p>
              </w:tc>
              <w:tc>
                <w:tcPr>
                  <w:tcW w:w="904" w:type="pct"/>
                  <w:tcBorders>
                    <w:top w:val="single" w:color="000000" w:sz="12" w:space="0"/>
                    <w:right w:val="nil"/>
                  </w:tcBorders>
                  <w:shd w:val="clear" w:color="auto" w:fill="auto"/>
                  <w:noWrap w:val="0"/>
                  <w:vAlign w:val="center"/>
                </w:tcPr>
                <w:p w14:paraId="443019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≥6</w:t>
                  </w:r>
                </w:p>
              </w:tc>
            </w:tr>
            <w:tr w14:paraId="43E61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051" w:type="pct"/>
                  <w:tcBorders>
                    <w:left w:val="nil"/>
                  </w:tcBorders>
                  <w:noWrap w:val="0"/>
                  <w:vAlign w:val="center"/>
                </w:tcPr>
                <w:p w14:paraId="323287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最高允许排放浓度</w:t>
                  </w:r>
                </w:p>
              </w:tc>
              <w:tc>
                <w:tcPr>
                  <w:tcW w:w="2948" w:type="pct"/>
                  <w:gridSpan w:val="3"/>
                  <w:tcBorders>
                    <w:right w:val="nil"/>
                  </w:tcBorders>
                  <w:noWrap w:val="0"/>
                  <w:vAlign w:val="center"/>
                </w:tcPr>
                <w:p w14:paraId="63E5E4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w:t>
                  </w:r>
                </w:p>
              </w:tc>
            </w:tr>
            <w:tr w14:paraId="379E0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2051" w:type="pct"/>
                  <w:tcBorders>
                    <w:left w:val="nil"/>
                    <w:bottom w:val="single" w:color="000000" w:sz="12" w:space="0"/>
                  </w:tcBorders>
                  <w:noWrap w:val="0"/>
                  <w:vAlign w:val="center"/>
                </w:tcPr>
                <w:p w14:paraId="748D31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净化设施最低去除效率</w:t>
                  </w:r>
                  <w:r>
                    <w:rPr>
                      <w:rFonts w:hint="eastAsia" w:cs="Times New Roman"/>
                      <w:sz w:val="21"/>
                      <w:szCs w:val="21"/>
                      <w:lang w:eastAsia="zh-CN"/>
                    </w:rPr>
                    <w:t>（</w:t>
                  </w:r>
                  <w:r>
                    <w:rPr>
                      <w:rFonts w:hint="default" w:ascii="Times New Roman" w:hAnsi="Times New Roman" w:eastAsia="宋体" w:cs="Times New Roman"/>
                      <w:sz w:val="21"/>
                      <w:szCs w:val="21"/>
                    </w:rPr>
                    <w:t>%</w:t>
                  </w:r>
                  <w:r>
                    <w:rPr>
                      <w:rFonts w:hint="eastAsia" w:cs="Times New Roman"/>
                      <w:sz w:val="21"/>
                      <w:szCs w:val="21"/>
                      <w:lang w:eastAsia="zh-CN"/>
                    </w:rPr>
                    <w:t>）</w:t>
                  </w:r>
                </w:p>
              </w:tc>
              <w:tc>
                <w:tcPr>
                  <w:tcW w:w="1004" w:type="pct"/>
                  <w:tcBorders>
                    <w:bottom w:val="single" w:color="000000" w:sz="12" w:space="0"/>
                  </w:tcBorders>
                  <w:noWrap w:val="0"/>
                  <w:vAlign w:val="center"/>
                </w:tcPr>
                <w:p w14:paraId="76357A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60</w:t>
                  </w:r>
                </w:p>
              </w:tc>
              <w:tc>
                <w:tcPr>
                  <w:tcW w:w="1040" w:type="pct"/>
                  <w:tcBorders>
                    <w:bottom w:val="single" w:color="000000" w:sz="12" w:space="0"/>
                  </w:tcBorders>
                  <w:noWrap w:val="0"/>
                  <w:vAlign w:val="center"/>
                </w:tcPr>
                <w:p w14:paraId="51FCBB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75</w:t>
                  </w:r>
                </w:p>
              </w:tc>
              <w:tc>
                <w:tcPr>
                  <w:tcW w:w="904" w:type="pct"/>
                  <w:tcBorders>
                    <w:bottom w:val="single" w:color="000000" w:sz="12" w:space="0"/>
                    <w:right w:val="nil"/>
                  </w:tcBorders>
                  <w:noWrap w:val="0"/>
                  <w:vAlign w:val="center"/>
                </w:tcPr>
                <w:p w14:paraId="2E4A29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85</w:t>
                  </w:r>
                </w:p>
              </w:tc>
            </w:tr>
          </w:tbl>
          <w:p w14:paraId="7F17551A">
            <w:pPr>
              <w:pStyle w:val="79"/>
              <w:keepNext w:val="0"/>
              <w:keepLines w:val="0"/>
              <w:pageBreakBefore w:val="0"/>
              <w:widowControl w:val="0"/>
              <w:numPr>
                <w:ilvl w:val="0"/>
                <w:numId w:val="0"/>
              </w:numPr>
              <w:kinsoku/>
              <w:wordWrap/>
              <w:overflowPunct/>
              <w:topLinePunct w:val="0"/>
              <w:autoSpaceDE/>
              <w:autoSpaceDN/>
              <w:bidi w:val="0"/>
              <w:adjustRightInd w:val="0"/>
              <w:snapToGrid w:val="0"/>
              <w:ind w:firstLine="496"/>
              <w:jc w:val="both"/>
              <w:textAlignment w:val="auto"/>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（2）噪声排放标准</w:t>
            </w:r>
          </w:p>
          <w:p w14:paraId="5616B364">
            <w:pPr>
              <w:keepNext w:val="0"/>
              <w:keepLines w:val="0"/>
              <w:widowControl/>
              <w:suppressLineNumbers w:val="0"/>
              <w:jc w:val="left"/>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kern w:val="0"/>
                <w:sz w:val="24"/>
                <w:szCs w:val="24"/>
                <w:lang w:val="en-US" w:eastAsia="zh-CN" w:bidi="ar"/>
              </w:rPr>
              <w:t>运营期噪声排放执行《社会生活环境噪声排放标准》（GB22337-2008）1类标准</w:t>
            </w:r>
            <w:r>
              <w:rPr>
                <w:rFonts w:hint="default" w:ascii="Times New Roman" w:hAnsi="Times New Roman" w:eastAsia="宋体" w:cs="Times New Roman"/>
                <w:color w:val="000000"/>
                <w:highlight w:val="none"/>
                <w:lang w:val="en-US" w:eastAsia="zh-CN"/>
              </w:rPr>
              <w:t>，标准限值见表3-1</w:t>
            </w:r>
            <w:r>
              <w:rPr>
                <w:rFonts w:hint="eastAsia" w:cs="Times New Roman"/>
                <w:color w:val="000000"/>
                <w:highlight w:val="none"/>
                <w:lang w:val="en-US" w:eastAsia="zh-CN"/>
              </w:rPr>
              <w:t>3</w:t>
            </w:r>
            <w:r>
              <w:rPr>
                <w:rFonts w:hint="default" w:ascii="Times New Roman" w:hAnsi="Times New Roman" w:eastAsia="宋体" w:cs="Times New Roman"/>
                <w:color w:val="000000"/>
                <w:highlight w:val="none"/>
                <w:lang w:val="en-US" w:eastAsia="zh-CN"/>
              </w:rPr>
              <w:t>。</w:t>
            </w:r>
          </w:p>
          <w:p w14:paraId="6283ED07">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highlight w:val="none"/>
                <w:lang w:val="en-US" w:eastAsia="zh-CN"/>
              </w:rPr>
            </w:pPr>
            <w:r>
              <w:rPr>
                <w:rFonts w:hint="default" w:ascii="Times New Roman" w:hAnsi="Times New Roman" w:eastAsia="宋体" w:cs="Times New Roman"/>
                <w:b/>
                <w:bCs/>
                <w:color w:val="000000"/>
                <w:sz w:val="21"/>
                <w:szCs w:val="21"/>
                <w:highlight w:val="none"/>
                <w:lang w:val="en-US" w:eastAsia="zh-CN"/>
              </w:rPr>
              <w:t>表3-1</w:t>
            </w:r>
            <w:r>
              <w:rPr>
                <w:rFonts w:hint="eastAsia" w:cs="Times New Roman"/>
                <w:b/>
                <w:bCs/>
                <w:color w:val="000000"/>
                <w:sz w:val="21"/>
                <w:szCs w:val="21"/>
                <w:highlight w:val="none"/>
                <w:lang w:val="en-US" w:eastAsia="zh-CN"/>
              </w:rPr>
              <w:t>3</w:t>
            </w:r>
            <w:r>
              <w:rPr>
                <w:rFonts w:hint="default" w:ascii="Times New Roman" w:hAnsi="Times New Roman" w:eastAsia="宋体" w:cs="Times New Roman"/>
                <w:b/>
                <w:bCs/>
                <w:color w:val="000000"/>
                <w:sz w:val="21"/>
                <w:szCs w:val="21"/>
                <w:highlight w:val="none"/>
                <w:lang w:val="en-US" w:eastAsia="zh-CN"/>
              </w:rPr>
              <w:t xml:space="preserve"> 社会生活环境噪声排放标准  单位：dB（A）</w:t>
            </w:r>
          </w:p>
          <w:tbl>
            <w:tblPr>
              <w:tblStyle w:val="33"/>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808"/>
              <w:gridCol w:w="3809"/>
            </w:tblGrid>
            <w:tr w14:paraId="177547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08" w:type="dxa"/>
                  <w:tcBorders>
                    <w:bottom w:val="single" w:color="auto" w:sz="12" w:space="0"/>
                  </w:tcBorders>
                  <w:noWrap w:val="0"/>
                  <w:vAlign w:val="center"/>
                </w:tcPr>
                <w:p w14:paraId="7D67BD3A">
                  <w:pPr>
                    <w:pStyle w:val="79"/>
                    <w:numPr>
                      <w:ilvl w:val="0"/>
                      <w:numId w:val="0"/>
                    </w:numPr>
                    <w:adjustRightInd/>
                    <w:spacing w:line="240" w:lineRule="auto"/>
                    <w:ind w:firstLine="0" w:firstLineChars="0"/>
                    <w:jc w:val="center"/>
                    <w:rPr>
                      <w:rFonts w:hint="default" w:ascii="Times New Roman" w:hAnsi="Times New Roman" w:eastAsia="宋体" w:cs="Times New Roman"/>
                      <w:b/>
                      <w:bCs/>
                      <w:color w:val="000000"/>
                      <w:sz w:val="21"/>
                      <w:szCs w:val="21"/>
                      <w:highlight w:val="none"/>
                      <w:lang w:val="en-US" w:eastAsia="zh-CN" w:bidi="ar"/>
                    </w:rPr>
                  </w:pPr>
                  <w:r>
                    <w:rPr>
                      <w:rFonts w:hint="default" w:ascii="Times New Roman" w:hAnsi="Times New Roman" w:eastAsia="宋体" w:cs="Times New Roman"/>
                      <w:b/>
                      <w:bCs/>
                      <w:color w:val="000000"/>
                      <w:sz w:val="21"/>
                      <w:szCs w:val="21"/>
                      <w:highlight w:val="none"/>
                      <w:lang w:val="en-US" w:eastAsia="zh-CN" w:bidi="ar"/>
                    </w:rPr>
                    <w:t>昼间</w:t>
                  </w:r>
                </w:p>
              </w:tc>
              <w:tc>
                <w:tcPr>
                  <w:tcW w:w="3809" w:type="dxa"/>
                  <w:tcBorders>
                    <w:bottom w:val="single" w:color="auto" w:sz="12" w:space="0"/>
                  </w:tcBorders>
                  <w:noWrap w:val="0"/>
                  <w:vAlign w:val="center"/>
                </w:tcPr>
                <w:p w14:paraId="4C7E64CD">
                  <w:pPr>
                    <w:pStyle w:val="79"/>
                    <w:numPr>
                      <w:ilvl w:val="0"/>
                      <w:numId w:val="0"/>
                    </w:numPr>
                    <w:adjustRightInd/>
                    <w:spacing w:line="240" w:lineRule="auto"/>
                    <w:ind w:firstLine="0" w:firstLineChars="0"/>
                    <w:jc w:val="center"/>
                    <w:rPr>
                      <w:rFonts w:hint="default" w:ascii="Times New Roman" w:hAnsi="Times New Roman" w:eastAsia="宋体" w:cs="Times New Roman"/>
                      <w:b/>
                      <w:bCs/>
                      <w:color w:val="000000"/>
                      <w:sz w:val="21"/>
                      <w:szCs w:val="21"/>
                      <w:highlight w:val="none"/>
                      <w:lang w:val="en-US" w:eastAsia="zh-CN" w:bidi="ar"/>
                    </w:rPr>
                  </w:pPr>
                  <w:r>
                    <w:rPr>
                      <w:rFonts w:hint="default" w:ascii="Times New Roman" w:hAnsi="Times New Roman" w:eastAsia="宋体" w:cs="Times New Roman"/>
                      <w:b/>
                      <w:bCs/>
                      <w:color w:val="000000"/>
                      <w:sz w:val="21"/>
                      <w:szCs w:val="21"/>
                      <w:highlight w:val="none"/>
                      <w:lang w:val="en-US" w:eastAsia="zh-CN" w:bidi="ar"/>
                    </w:rPr>
                    <w:t>夜间</w:t>
                  </w:r>
                </w:p>
              </w:tc>
            </w:tr>
            <w:tr w14:paraId="447E92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08" w:type="dxa"/>
                  <w:tcBorders>
                    <w:top w:val="single" w:color="auto" w:sz="12" w:space="0"/>
                  </w:tcBorders>
                  <w:noWrap w:val="0"/>
                  <w:vAlign w:val="center"/>
                </w:tcPr>
                <w:p w14:paraId="3A3C2325">
                  <w:pPr>
                    <w:pStyle w:val="79"/>
                    <w:numPr>
                      <w:ilvl w:val="0"/>
                      <w:numId w:val="0"/>
                    </w:numPr>
                    <w:adjustRightInd/>
                    <w:spacing w:line="240" w:lineRule="auto"/>
                    <w:ind w:firstLine="0" w:firstLineChars="0"/>
                    <w:jc w:val="center"/>
                    <w:rPr>
                      <w:rFonts w:hint="default" w:ascii="Times New Roman" w:hAnsi="Times New Roman" w:eastAsia="宋体" w:cs="Times New Roman"/>
                      <w:color w:val="000000"/>
                      <w:sz w:val="21"/>
                      <w:szCs w:val="21"/>
                      <w:highlight w:val="none"/>
                      <w:lang w:val="en-US" w:eastAsia="zh-CN" w:bidi="ar"/>
                    </w:rPr>
                  </w:pPr>
                  <w:r>
                    <w:rPr>
                      <w:rFonts w:hint="default" w:ascii="Times New Roman" w:hAnsi="Times New Roman" w:eastAsia="宋体" w:cs="Times New Roman"/>
                      <w:color w:val="000000"/>
                      <w:sz w:val="21"/>
                      <w:szCs w:val="21"/>
                      <w:highlight w:val="none"/>
                      <w:lang w:val="en-US" w:eastAsia="zh-CN" w:bidi="ar"/>
                    </w:rPr>
                    <w:t>55</w:t>
                  </w:r>
                </w:p>
              </w:tc>
              <w:tc>
                <w:tcPr>
                  <w:tcW w:w="3809" w:type="dxa"/>
                  <w:tcBorders>
                    <w:top w:val="single" w:color="auto" w:sz="12" w:space="0"/>
                  </w:tcBorders>
                  <w:noWrap w:val="0"/>
                  <w:vAlign w:val="center"/>
                </w:tcPr>
                <w:p w14:paraId="483A5F83">
                  <w:pPr>
                    <w:pStyle w:val="79"/>
                    <w:numPr>
                      <w:ilvl w:val="0"/>
                      <w:numId w:val="0"/>
                    </w:numPr>
                    <w:adjustRightInd/>
                    <w:spacing w:line="240" w:lineRule="auto"/>
                    <w:ind w:firstLine="0" w:firstLineChars="0"/>
                    <w:jc w:val="center"/>
                    <w:rPr>
                      <w:rFonts w:hint="default" w:ascii="Times New Roman" w:hAnsi="Times New Roman" w:eastAsia="宋体" w:cs="Times New Roman"/>
                      <w:color w:val="000000"/>
                      <w:sz w:val="21"/>
                      <w:szCs w:val="21"/>
                      <w:highlight w:val="none"/>
                      <w:lang w:val="en-US" w:eastAsia="zh-CN" w:bidi="ar"/>
                    </w:rPr>
                  </w:pPr>
                  <w:r>
                    <w:rPr>
                      <w:rFonts w:hint="default" w:ascii="Times New Roman" w:hAnsi="Times New Roman" w:eastAsia="宋体" w:cs="Times New Roman"/>
                      <w:color w:val="000000"/>
                      <w:sz w:val="21"/>
                      <w:szCs w:val="21"/>
                      <w:highlight w:val="none"/>
                      <w:lang w:val="en-US" w:eastAsia="zh-CN" w:bidi="ar"/>
                    </w:rPr>
                    <w:t>45</w:t>
                  </w:r>
                </w:p>
              </w:tc>
            </w:tr>
          </w:tbl>
          <w:p w14:paraId="1C1735DC">
            <w:pPr>
              <w:pStyle w:val="79"/>
              <w:keepNext w:val="0"/>
              <w:keepLines w:val="0"/>
              <w:pageBreakBefore w:val="0"/>
              <w:widowControl w:val="0"/>
              <w:numPr>
                <w:ilvl w:val="0"/>
                <w:numId w:val="0"/>
              </w:numPr>
              <w:kinsoku/>
              <w:wordWrap/>
              <w:overflowPunct/>
              <w:topLinePunct w:val="0"/>
              <w:autoSpaceDE/>
              <w:autoSpaceDN/>
              <w:bidi w:val="0"/>
              <w:adjustRightInd w:val="0"/>
              <w:snapToGrid w:val="0"/>
              <w:ind w:firstLine="496"/>
              <w:jc w:val="both"/>
              <w:textAlignment w:val="auto"/>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（3）废水排放标准</w:t>
            </w:r>
          </w:p>
          <w:p w14:paraId="1CE11AE3">
            <w:pPr>
              <w:pStyle w:val="79"/>
              <w:keepNext w:val="0"/>
              <w:keepLines w:val="0"/>
              <w:pageBreakBefore w:val="0"/>
              <w:widowControl w:val="0"/>
              <w:numPr>
                <w:ilvl w:val="0"/>
                <w:numId w:val="0"/>
              </w:numPr>
              <w:kinsoku/>
              <w:wordWrap/>
              <w:overflowPunct/>
              <w:topLinePunct w:val="0"/>
              <w:autoSpaceDE/>
              <w:autoSpaceDN/>
              <w:bidi w:val="0"/>
              <w:adjustRightInd w:val="0"/>
              <w:snapToGrid w:val="0"/>
              <w:ind w:firstLine="496"/>
              <w:jc w:val="both"/>
              <w:textAlignment w:val="auto"/>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生活污水经化粪池</w:t>
            </w:r>
            <w:r>
              <w:rPr>
                <w:rFonts w:hint="eastAsia" w:ascii="Times New Roman" w:hAnsi="Times New Roman" w:eastAsia="宋体" w:cs="Times New Roman"/>
                <w:b w:val="0"/>
                <w:bCs w:val="0"/>
                <w:color w:val="000000"/>
                <w:highlight w:val="none"/>
                <w:lang w:val="en-US" w:eastAsia="zh-CN"/>
              </w:rPr>
              <w:t>处理后，定期由吸污车抽出运至阜康市污水处理厂处理</w:t>
            </w:r>
            <w:r>
              <w:rPr>
                <w:rFonts w:hint="default" w:ascii="Times New Roman" w:hAnsi="Times New Roman" w:eastAsia="宋体" w:cs="Times New Roman"/>
                <w:b w:val="0"/>
                <w:bCs w:val="0"/>
                <w:color w:val="000000"/>
                <w:highlight w:val="none"/>
                <w:lang w:val="en-US" w:eastAsia="zh-CN"/>
              </w:rPr>
              <w:t>。标准限值见表3-</w:t>
            </w:r>
            <w:r>
              <w:rPr>
                <w:rFonts w:hint="eastAsia" w:ascii="Times New Roman" w:hAnsi="Times New Roman" w:eastAsia="宋体" w:cs="Times New Roman"/>
                <w:b w:val="0"/>
                <w:bCs w:val="0"/>
                <w:color w:val="000000"/>
                <w:highlight w:val="none"/>
                <w:lang w:val="en-US" w:eastAsia="zh-CN"/>
              </w:rPr>
              <w:t>1</w:t>
            </w:r>
            <w:r>
              <w:rPr>
                <w:rFonts w:hint="eastAsia" w:cs="Times New Roman"/>
                <w:b w:val="0"/>
                <w:bCs w:val="0"/>
                <w:color w:val="000000"/>
                <w:highlight w:val="none"/>
                <w:lang w:val="en-US" w:eastAsia="zh-CN"/>
              </w:rPr>
              <w:t>4</w:t>
            </w:r>
            <w:r>
              <w:rPr>
                <w:rFonts w:hint="default" w:ascii="Times New Roman" w:hAnsi="Times New Roman" w:eastAsia="宋体" w:cs="Times New Roman"/>
                <w:b w:val="0"/>
                <w:bCs w:val="0"/>
                <w:color w:val="000000"/>
                <w:highlight w:val="none"/>
                <w:lang w:val="en-US" w:eastAsia="zh-CN"/>
              </w:rPr>
              <w:t>。</w:t>
            </w:r>
          </w:p>
          <w:p w14:paraId="11B6BD22">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000000"/>
                <w:highlight w:val="none"/>
                <w:vertAlign w:val="baseline"/>
                <w:lang w:val="en-US" w:eastAsia="zh-CN"/>
              </w:rPr>
            </w:pPr>
            <w:r>
              <w:rPr>
                <w:rFonts w:hint="default" w:ascii="Times New Roman" w:hAnsi="Times New Roman" w:eastAsia="宋体" w:cs="Times New Roman"/>
                <w:b/>
                <w:bCs/>
                <w:color w:val="000000"/>
                <w:sz w:val="21"/>
                <w:szCs w:val="21"/>
                <w:highlight w:val="none"/>
                <w:lang w:val="en-US" w:eastAsia="zh-CN"/>
              </w:rPr>
              <w:t>表3-1</w:t>
            </w:r>
            <w:r>
              <w:rPr>
                <w:rFonts w:hint="eastAsia" w:cs="Times New Roman"/>
                <w:b/>
                <w:bCs/>
                <w:color w:val="000000"/>
                <w:sz w:val="21"/>
                <w:szCs w:val="21"/>
                <w:highlight w:val="none"/>
                <w:lang w:val="en-US" w:eastAsia="zh-CN"/>
              </w:rPr>
              <w:t>4</w:t>
            </w:r>
            <w:r>
              <w:rPr>
                <w:rFonts w:hint="eastAsia" w:ascii="Times New Roman" w:hAnsi="Times New Roman" w:eastAsia="宋体" w:cs="Times New Roman"/>
                <w:b/>
                <w:bCs/>
                <w:color w:val="000000"/>
                <w:sz w:val="21"/>
                <w:szCs w:val="21"/>
                <w:highlight w:val="none"/>
                <w:lang w:val="en-US" w:eastAsia="zh-CN"/>
              </w:rPr>
              <w:t xml:space="preserve"> </w:t>
            </w:r>
            <w:r>
              <w:rPr>
                <w:rFonts w:hint="default" w:ascii="Times New Roman" w:hAnsi="Times New Roman" w:eastAsia="宋体" w:cs="Times New Roman"/>
                <w:b/>
                <w:bCs/>
                <w:color w:val="000000"/>
                <w:sz w:val="21"/>
                <w:szCs w:val="21"/>
                <w:highlight w:val="none"/>
                <w:lang w:val="en-US" w:eastAsia="zh-CN"/>
              </w:rPr>
              <w:t>废水排放标准</w:t>
            </w:r>
          </w:p>
          <w:tbl>
            <w:tblPr>
              <w:tblStyle w:val="33"/>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02"/>
              <w:gridCol w:w="2717"/>
              <w:gridCol w:w="1910"/>
              <w:gridCol w:w="1911"/>
            </w:tblGrid>
            <w:tr w14:paraId="1FD47C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02" w:type="dxa"/>
                  <w:tcBorders>
                    <w:bottom w:val="single" w:color="auto" w:sz="12" w:space="0"/>
                  </w:tcBorders>
                  <w:noWrap w:val="0"/>
                  <w:vAlign w:val="top"/>
                </w:tcPr>
                <w:p w14:paraId="42A62E19">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序号</w:t>
                  </w:r>
                </w:p>
              </w:tc>
              <w:tc>
                <w:tcPr>
                  <w:tcW w:w="2717" w:type="dxa"/>
                  <w:tcBorders>
                    <w:bottom w:val="single" w:color="auto" w:sz="12" w:space="0"/>
                  </w:tcBorders>
                  <w:noWrap w:val="0"/>
                  <w:vAlign w:val="top"/>
                </w:tcPr>
                <w:p w14:paraId="5149FEF9">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污染物名称</w:t>
                  </w:r>
                  <w:r>
                    <w:rPr>
                      <w:rFonts w:hint="eastAsia" w:ascii="Times New Roman" w:hAnsi="Times New Roman" w:eastAsia="宋体" w:cs="Times New Roman"/>
                      <w:b w:val="0"/>
                      <w:bCs w:val="0"/>
                      <w:color w:val="000000"/>
                      <w:sz w:val="21"/>
                      <w:szCs w:val="21"/>
                      <w:highlight w:val="none"/>
                      <w:vertAlign w:val="baseline"/>
                      <w:lang w:val="en-US" w:eastAsia="zh-CN"/>
                    </w:rPr>
                    <w:t>/单位</w:t>
                  </w:r>
                </w:p>
              </w:tc>
              <w:tc>
                <w:tcPr>
                  <w:tcW w:w="1910" w:type="dxa"/>
                  <w:tcBorders>
                    <w:bottom w:val="single" w:color="auto" w:sz="12" w:space="0"/>
                  </w:tcBorders>
                  <w:noWrap w:val="0"/>
                  <w:vAlign w:val="top"/>
                </w:tcPr>
                <w:p w14:paraId="7E236B6F">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标准限值</w:t>
                  </w:r>
                </w:p>
              </w:tc>
              <w:tc>
                <w:tcPr>
                  <w:tcW w:w="1911" w:type="dxa"/>
                  <w:tcBorders>
                    <w:bottom w:val="single" w:color="auto" w:sz="12" w:space="0"/>
                  </w:tcBorders>
                  <w:noWrap w:val="0"/>
                  <w:vAlign w:val="top"/>
                </w:tcPr>
                <w:p w14:paraId="2D707ECF">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标准名称</w:t>
                  </w:r>
                </w:p>
              </w:tc>
            </w:tr>
            <w:tr w14:paraId="5598F9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02" w:type="dxa"/>
                  <w:tcBorders>
                    <w:top w:val="single" w:color="auto" w:sz="12" w:space="0"/>
                    <w:tl2br w:val="nil"/>
                    <w:tr2bl w:val="nil"/>
                  </w:tcBorders>
                  <w:noWrap w:val="0"/>
                  <w:vAlign w:val="top"/>
                </w:tcPr>
                <w:p w14:paraId="35ED7AD3">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2717" w:type="dxa"/>
                  <w:tcBorders>
                    <w:top w:val="single" w:color="auto" w:sz="12" w:space="0"/>
                    <w:tl2br w:val="nil"/>
                    <w:tr2bl w:val="nil"/>
                  </w:tcBorders>
                  <w:noWrap w:val="0"/>
                  <w:vAlign w:val="top"/>
                </w:tcPr>
                <w:p w14:paraId="0F04A7C6">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pH值（无量纲）</w:t>
                  </w:r>
                </w:p>
              </w:tc>
              <w:tc>
                <w:tcPr>
                  <w:tcW w:w="1910" w:type="dxa"/>
                  <w:tcBorders>
                    <w:top w:val="single" w:color="auto" w:sz="12" w:space="0"/>
                    <w:tl2br w:val="nil"/>
                    <w:tr2bl w:val="nil"/>
                  </w:tcBorders>
                  <w:noWrap w:val="0"/>
                  <w:vAlign w:val="top"/>
                </w:tcPr>
                <w:p w14:paraId="6AE280C6">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6~9</w:t>
                  </w:r>
                </w:p>
              </w:tc>
              <w:tc>
                <w:tcPr>
                  <w:tcW w:w="1911" w:type="dxa"/>
                  <w:vMerge w:val="restart"/>
                  <w:tcBorders>
                    <w:top w:val="single" w:color="auto" w:sz="12" w:space="0"/>
                    <w:tl2br w:val="nil"/>
                    <w:tr2bl w:val="nil"/>
                  </w:tcBorders>
                  <w:noWrap w:val="0"/>
                  <w:vAlign w:val="center"/>
                </w:tcPr>
                <w:p w14:paraId="2B5D600A">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lang w:val="en-US" w:eastAsia="zh-CN"/>
                    </w:rPr>
                    <w:t>《</w:t>
                  </w:r>
                  <w:r>
                    <w:rPr>
                      <w:rFonts w:hint="eastAsia" w:ascii="Times New Roman" w:hAnsi="Times New Roman" w:eastAsia="宋体" w:cs="Times New Roman"/>
                      <w:b w:val="0"/>
                      <w:bCs w:val="0"/>
                      <w:color w:val="000000"/>
                      <w:sz w:val="21"/>
                      <w:szCs w:val="21"/>
                      <w:highlight w:val="none"/>
                      <w:lang w:val="en-US" w:eastAsia="zh-CN"/>
                    </w:rPr>
                    <w:t>污水综合排放标准</w:t>
                  </w:r>
                  <w:r>
                    <w:rPr>
                      <w:rFonts w:hint="default" w:ascii="Times New Roman" w:hAnsi="Times New Roman" w:eastAsia="宋体" w:cs="Times New Roman"/>
                      <w:b w:val="0"/>
                      <w:bCs w:val="0"/>
                      <w:color w:val="000000"/>
                      <w:sz w:val="21"/>
                      <w:szCs w:val="21"/>
                      <w:highlight w:val="none"/>
                      <w:lang w:val="en-US" w:eastAsia="zh-CN"/>
                    </w:rPr>
                    <w:t>》（</w:t>
                  </w:r>
                  <w:r>
                    <w:rPr>
                      <w:rFonts w:hint="eastAsia" w:cs="Times New Roman"/>
                      <w:b w:val="0"/>
                      <w:bCs w:val="0"/>
                      <w:color w:val="000000"/>
                      <w:sz w:val="21"/>
                      <w:szCs w:val="21"/>
                      <w:highlight w:val="none"/>
                      <w:lang w:val="en-US" w:eastAsia="zh-CN"/>
                    </w:rPr>
                    <w:t>GB 8978</w:t>
                  </w:r>
                  <w:r>
                    <w:rPr>
                      <w:rFonts w:hint="default" w:ascii="Times New Roman" w:hAnsi="Times New Roman" w:eastAsia="宋体" w:cs="Times New Roman"/>
                      <w:b w:val="0"/>
                      <w:bCs w:val="0"/>
                      <w:color w:val="000000"/>
                      <w:sz w:val="21"/>
                      <w:szCs w:val="21"/>
                      <w:highlight w:val="none"/>
                      <w:lang w:val="en-US" w:eastAsia="zh-CN"/>
                    </w:rPr>
                    <w:t>-</w:t>
                  </w:r>
                  <w:r>
                    <w:rPr>
                      <w:rFonts w:hint="eastAsia" w:ascii="Times New Roman" w:hAnsi="Times New Roman" w:eastAsia="宋体" w:cs="Times New Roman"/>
                      <w:b w:val="0"/>
                      <w:bCs w:val="0"/>
                      <w:color w:val="000000"/>
                      <w:sz w:val="21"/>
                      <w:szCs w:val="21"/>
                      <w:highlight w:val="none"/>
                      <w:lang w:val="en-US" w:eastAsia="zh-CN"/>
                    </w:rPr>
                    <w:t>1996</w:t>
                  </w:r>
                  <w:r>
                    <w:rPr>
                      <w:rFonts w:hint="default" w:ascii="Times New Roman" w:hAnsi="Times New Roman" w:eastAsia="宋体" w:cs="Times New Roman"/>
                      <w:b w:val="0"/>
                      <w:bCs w:val="0"/>
                      <w:color w:val="000000"/>
                      <w:sz w:val="21"/>
                      <w:szCs w:val="21"/>
                      <w:highlight w:val="none"/>
                      <w:lang w:val="en-US" w:eastAsia="zh-CN"/>
                    </w:rPr>
                    <w:t>）</w:t>
                  </w:r>
                  <w:r>
                    <w:rPr>
                      <w:rFonts w:hint="eastAsia" w:ascii="Times New Roman" w:hAnsi="Times New Roman" w:eastAsia="宋体" w:cs="Times New Roman"/>
                      <w:b w:val="0"/>
                      <w:bCs w:val="0"/>
                      <w:color w:val="000000"/>
                      <w:sz w:val="21"/>
                      <w:szCs w:val="21"/>
                      <w:highlight w:val="none"/>
                      <w:lang w:val="en-US" w:eastAsia="zh-CN"/>
                    </w:rPr>
                    <w:t>表4的</w:t>
                  </w:r>
                  <w:r>
                    <w:rPr>
                      <w:rFonts w:hint="eastAsia" w:cs="Times New Roman"/>
                      <w:b w:val="0"/>
                      <w:bCs w:val="0"/>
                      <w:color w:val="000000"/>
                      <w:sz w:val="21"/>
                      <w:szCs w:val="21"/>
                      <w:highlight w:val="none"/>
                      <w:lang w:val="en-US" w:eastAsia="zh-CN"/>
                    </w:rPr>
                    <w:t>三级标准</w:t>
                  </w:r>
                </w:p>
              </w:tc>
            </w:tr>
            <w:tr w14:paraId="3369C8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02" w:type="dxa"/>
                  <w:tcBorders>
                    <w:tl2br w:val="nil"/>
                    <w:tr2bl w:val="nil"/>
                  </w:tcBorders>
                  <w:noWrap w:val="0"/>
                  <w:vAlign w:val="top"/>
                </w:tcPr>
                <w:p w14:paraId="3A2497F3">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w:t>
                  </w:r>
                </w:p>
              </w:tc>
              <w:tc>
                <w:tcPr>
                  <w:tcW w:w="2717" w:type="dxa"/>
                  <w:tcBorders>
                    <w:tl2br w:val="nil"/>
                    <w:tr2bl w:val="nil"/>
                  </w:tcBorders>
                  <w:noWrap w:val="0"/>
                  <w:vAlign w:val="top"/>
                </w:tcPr>
                <w:p w14:paraId="5E13D4EA">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化学需氧量（mg/L）</w:t>
                  </w:r>
                </w:p>
              </w:tc>
              <w:tc>
                <w:tcPr>
                  <w:tcW w:w="1910" w:type="dxa"/>
                  <w:tcBorders>
                    <w:tl2br w:val="nil"/>
                    <w:tr2bl w:val="nil"/>
                  </w:tcBorders>
                  <w:noWrap w:val="0"/>
                  <w:vAlign w:val="top"/>
                </w:tcPr>
                <w:p w14:paraId="3CD7B18F">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500</w:t>
                  </w:r>
                </w:p>
              </w:tc>
              <w:tc>
                <w:tcPr>
                  <w:tcW w:w="1911" w:type="dxa"/>
                  <w:vMerge w:val="continue"/>
                  <w:tcBorders>
                    <w:tl2br w:val="nil"/>
                    <w:tr2bl w:val="nil"/>
                  </w:tcBorders>
                  <w:noWrap w:val="0"/>
                  <w:vAlign w:val="center"/>
                </w:tcPr>
                <w:p w14:paraId="724C2F4A">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r>
            <w:tr w14:paraId="57ECD5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02" w:type="dxa"/>
                  <w:tcBorders>
                    <w:tl2br w:val="nil"/>
                    <w:tr2bl w:val="nil"/>
                  </w:tcBorders>
                  <w:noWrap w:val="0"/>
                  <w:vAlign w:val="top"/>
                </w:tcPr>
                <w:p w14:paraId="26066DA3">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3</w:t>
                  </w:r>
                </w:p>
              </w:tc>
              <w:tc>
                <w:tcPr>
                  <w:tcW w:w="2717" w:type="dxa"/>
                  <w:tcBorders>
                    <w:tl2br w:val="nil"/>
                    <w:tr2bl w:val="nil"/>
                  </w:tcBorders>
                  <w:noWrap w:val="0"/>
                  <w:vAlign w:val="top"/>
                </w:tcPr>
                <w:p w14:paraId="6F64B68D">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五日生化</w:t>
                  </w:r>
                  <w:r>
                    <w:rPr>
                      <w:rFonts w:hint="eastAsia" w:ascii="Times New Roman" w:hAnsi="Times New Roman" w:eastAsia="宋体" w:cs="Times New Roman"/>
                      <w:b w:val="0"/>
                      <w:bCs w:val="0"/>
                      <w:color w:val="000000"/>
                      <w:sz w:val="21"/>
                      <w:szCs w:val="21"/>
                      <w:highlight w:val="none"/>
                      <w:vertAlign w:val="baseline"/>
                      <w:lang w:val="en-US" w:eastAsia="zh-CN"/>
                    </w:rPr>
                    <w:t>需氧</w:t>
                  </w:r>
                  <w:r>
                    <w:rPr>
                      <w:rFonts w:hint="default" w:ascii="Times New Roman" w:hAnsi="Times New Roman" w:eastAsia="宋体" w:cs="Times New Roman"/>
                      <w:b w:val="0"/>
                      <w:bCs w:val="0"/>
                      <w:color w:val="000000"/>
                      <w:sz w:val="21"/>
                      <w:szCs w:val="21"/>
                      <w:highlight w:val="none"/>
                      <w:vertAlign w:val="baseline"/>
                      <w:lang w:val="en-US" w:eastAsia="zh-CN"/>
                    </w:rPr>
                    <w:t>量（mg/L）</w:t>
                  </w:r>
                </w:p>
              </w:tc>
              <w:tc>
                <w:tcPr>
                  <w:tcW w:w="1910" w:type="dxa"/>
                  <w:tcBorders>
                    <w:tl2br w:val="nil"/>
                    <w:tr2bl w:val="nil"/>
                  </w:tcBorders>
                  <w:noWrap w:val="0"/>
                  <w:vAlign w:val="top"/>
                </w:tcPr>
                <w:p w14:paraId="29CFA298">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300</w:t>
                  </w:r>
                </w:p>
              </w:tc>
              <w:tc>
                <w:tcPr>
                  <w:tcW w:w="1911" w:type="dxa"/>
                  <w:vMerge w:val="continue"/>
                  <w:tcBorders>
                    <w:tl2br w:val="nil"/>
                    <w:tr2bl w:val="nil"/>
                  </w:tcBorders>
                  <w:noWrap w:val="0"/>
                  <w:vAlign w:val="top"/>
                </w:tcPr>
                <w:p w14:paraId="5610A702">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r>
            <w:tr w14:paraId="4E0CDF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102" w:type="dxa"/>
                  <w:tcBorders>
                    <w:tl2br w:val="nil"/>
                    <w:tr2bl w:val="nil"/>
                  </w:tcBorders>
                  <w:noWrap w:val="0"/>
                  <w:vAlign w:val="top"/>
                </w:tcPr>
                <w:p w14:paraId="4973A02B">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4</w:t>
                  </w:r>
                </w:p>
              </w:tc>
              <w:tc>
                <w:tcPr>
                  <w:tcW w:w="2717" w:type="dxa"/>
                  <w:tcBorders>
                    <w:tl2br w:val="nil"/>
                    <w:tr2bl w:val="nil"/>
                  </w:tcBorders>
                  <w:noWrap w:val="0"/>
                  <w:vAlign w:val="top"/>
                </w:tcPr>
                <w:p w14:paraId="6EA7169D">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悬浮物（mg/L）</w:t>
                  </w:r>
                </w:p>
              </w:tc>
              <w:tc>
                <w:tcPr>
                  <w:tcW w:w="1910" w:type="dxa"/>
                  <w:tcBorders>
                    <w:tl2br w:val="nil"/>
                    <w:tr2bl w:val="nil"/>
                  </w:tcBorders>
                  <w:noWrap w:val="0"/>
                  <w:vAlign w:val="top"/>
                </w:tcPr>
                <w:p w14:paraId="5FCDC332">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400</w:t>
                  </w:r>
                </w:p>
              </w:tc>
              <w:tc>
                <w:tcPr>
                  <w:tcW w:w="1911" w:type="dxa"/>
                  <w:vMerge w:val="continue"/>
                  <w:tcBorders>
                    <w:tl2br w:val="nil"/>
                    <w:tr2bl w:val="nil"/>
                  </w:tcBorders>
                  <w:noWrap w:val="0"/>
                  <w:vAlign w:val="top"/>
                </w:tcPr>
                <w:p w14:paraId="3F698418">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r>
            <w:tr w14:paraId="433173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02" w:type="dxa"/>
                  <w:tcBorders>
                    <w:tl2br w:val="nil"/>
                    <w:tr2bl w:val="nil"/>
                  </w:tcBorders>
                  <w:noWrap w:val="0"/>
                  <w:vAlign w:val="top"/>
                </w:tcPr>
                <w:p w14:paraId="29746766">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5</w:t>
                  </w:r>
                </w:p>
              </w:tc>
              <w:tc>
                <w:tcPr>
                  <w:tcW w:w="2717" w:type="dxa"/>
                  <w:tcBorders>
                    <w:tl2br w:val="nil"/>
                    <w:tr2bl w:val="nil"/>
                  </w:tcBorders>
                  <w:noWrap w:val="0"/>
                  <w:vAlign w:val="top"/>
                </w:tcPr>
                <w:p w14:paraId="2F89F4ED">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动植物油（mg/L）</w:t>
                  </w:r>
                </w:p>
              </w:tc>
              <w:tc>
                <w:tcPr>
                  <w:tcW w:w="1910" w:type="dxa"/>
                  <w:tcBorders>
                    <w:tl2br w:val="nil"/>
                    <w:tr2bl w:val="nil"/>
                  </w:tcBorders>
                  <w:noWrap w:val="0"/>
                  <w:vAlign w:val="top"/>
                </w:tcPr>
                <w:p w14:paraId="57FAEC72">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100</w:t>
                  </w:r>
                </w:p>
              </w:tc>
              <w:tc>
                <w:tcPr>
                  <w:tcW w:w="1911" w:type="dxa"/>
                  <w:vMerge w:val="continue"/>
                  <w:tcBorders>
                    <w:tl2br w:val="nil"/>
                    <w:tr2bl w:val="nil"/>
                  </w:tcBorders>
                  <w:noWrap w:val="0"/>
                  <w:vAlign w:val="top"/>
                </w:tcPr>
                <w:p w14:paraId="0FD6BCC1">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r>
            <w:tr w14:paraId="4726D3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02" w:type="dxa"/>
                  <w:tcBorders>
                    <w:tl2br w:val="nil"/>
                    <w:tr2bl w:val="nil"/>
                  </w:tcBorders>
                  <w:noWrap w:val="0"/>
                  <w:vAlign w:val="top"/>
                </w:tcPr>
                <w:p w14:paraId="0E82F31E">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6</w:t>
                  </w:r>
                </w:p>
              </w:tc>
              <w:tc>
                <w:tcPr>
                  <w:tcW w:w="2717" w:type="dxa"/>
                  <w:tcBorders>
                    <w:tl2br w:val="nil"/>
                    <w:tr2bl w:val="nil"/>
                  </w:tcBorders>
                  <w:noWrap w:val="0"/>
                  <w:vAlign w:val="top"/>
                </w:tcPr>
                <w:p w14:paraId="2EB1A053">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色度（倍）</w:t>
                  </w:r>
                </w:p>
              </w:tc>
              <w:tc>
                <w:tcPr>
                  <w:tcW w:w="1910" w:type="dxa"/>
                  <w:tcBorders>
                    <w:tl2br w:val="nil"/>
                    <w:tr2bl w:val="nil"/>
                  </w:tcBorders>
                  <w:noWrap w:val="0"/>
                  <w:vAlign w:val="top"/>
                </w:tcPr>
                <w:p w14:paraId="0513F1DA">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w:t>
                  </w:r>
                </w:p>
              </w:tc>
              <w:tc>
                <w:tcPr>
                  <w:tcW w:w="1911" w:type="dxa"/>
                  <w:vMerge w:val="continue"/>
                  <w:tcBorders>
                    <w:tl2br w:val="nil"/>
                    <w:tr2bl w:val="nil"/>
                  </w:tcBorders>
                  <w:noWrap w:val="0"/>
                  <w:vAlign w:val="top"/>
                </w:tcPr>
                <w:p w14:paraId="46E95AA6">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r>
            <w:tr w14:paraId="6BA7C2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02" w:type="dxa"/>
                  <w:tcBorders>
                    <w:tl2br w:val="nil"/>
                    <w:tr2bl w:val="nil"/>
                  </w:tcBorders>
                  <w:noWrap w:val="0"/>
                  <w:vAlign w:val="top"/>
                </w:tcPr>
                <w:p w14:paraId="4CC2E2D4">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lang w:val="en-US" w:eastAsia="zh-CN" w:bidi="ar-SA"/>
                    </w:rPr>
                  </w:pPr>
                  <w:r>
                    <w:rPr>
                      <w:rFonts w:hint="eastAsia" w:ascii="Times New Roman" w:hAnsi="Times New Roman" w:eastAsia="宋体" w:cs="Times New Roman"/>
                      <w:b w:val="0"/>
                      <w:bCs w:val="0"/>
                      <w:color w:val="000000"/>
                      <w:spacing w:val="4"/>
                      <w:kern w:val="24"/>
                      <w:sz w:val="21"/>
                      <w:szCs w:val="21"/>
                      <w:highlight w:val="none"/>
                      <w:vertAlign w:val="baseline"/>
                      <w:lang w:val="en-US" w:eastAsia="zh-CN" w:bidi="ar-SA"/>
                    </w:rPr>
                    <w:t>7</w:t>
                  </w:r>
                </w:p>
              </w:tc>
              <w:tc>
                <w:tcPr>
                  <w:tcW w:w="2717" w:type="dxa"/>
                  <w:tcBorders>
                    <w:tl2br w:val="nil"/>
                    <w:tr2bl w:val="nil"/>
                  </w:tcBorders>
                  <w:noWrap w:val="0"/>
                  <w:vAlign w:val="top"/>
                </w:tcPr>
                <w:p w14:paraId="32CEA061">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氨氮</w:t>
                  </w:r>
                </w:p>
              </w:tc>
              <w:tc>
                <w:tcPr>
                  <w:tcW w:w="1910" w:type="dxa"/>
                  <w:tcBorders>
                    <w:tl2br w:val="nil"/>
                    <w:tr2bl w:val="nil"/>
                  </w:tcBorders>
                  <w:noWrap w:val="0"/>
                  <w:vAlign w:val="top"/>
                </w:tcPr>
                <w:p w14:paraId="41FD9799">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w:t>
                  </w:r>
                </w:p>
              </w:tc>
              <w:tc>
                <w:tcPr>
                  <w:tcW w:w="1911" w:type="dxa"/>
                  <w:vMerge w:val="continue"/>
                  <w:tcBorders>
                    <w:tl2br w:val="nil"/>
                    <w:tr2bl w:val="nil"/>
                  </w:tcBorders>
                  <w:noWrap w:val="0"/>
                  <w:vAlign w:val="top"/>
                </w:tcPr>
                <w:p w14:paraId="7AA2325C">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r>
          </w:tbl>
          <w:p w14:paraId="363F121F">
            <w:pPr>
              <w:pStyle w:val="79"/>
              <w:keepNext w:val="0"/>
              <w:keepLines w:val="0"/>
              <w:pageBreakBefore w:val="0"/>
              <w:widowControl w:val="0"/>
              <w:numPr>
                <w:ilvl w:val="0"/>
                <w:numId w:val="0"/>
              </w:numPr>
              <w:kinsoku/>
              <w:wordWrap/>
              <w:overflowPunct/>
              <w:topLinePunct w:val="0"/>
              <w:autoSpaceDE/>
              <w:autoSpaceDN/>
              <w:bidi w:val="0"/>
              <w:adjustRightInd w:val="0"/>
              <w:snapToGrid w:val="0"/>
              <w:ind w:firstLine="496"/>
              <w:jc w:val="both"/>
              <w:textAlignment w:val="auto"/>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（4）固体废物</w:t>
            </w:r>
          </w:p>
          <w:p w14:paraId="4864C347">
            <w:pPr>
              <w:keepNext w:val="0"/>
              <w:keepLines w:val="0"/>
              <w:widowControl/>
              <w:suppressLineNumbers w:val="0"/>
              <w:jc w:val="left"/>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kern w:val="0"/>
                <w:sz w:val="24"/>
                <w:szCs w:val="24"/>
                <w:lang w:val="en-US" w:eastAsia="zh-CN" w:bidi="ar"/>
              </w:rPr>
              <w:t>一般固体废物执行《一般工业固体废物贮存和填埋污染控制标准》</w:t>
            </w:r>
            <w:r>
              <w:rPr>
                <w:rFonts w:hint="eastAsia" w:cs="Times New Roman"/>
                <w:color w:val="000000"/>
                <w:kern w:val="0"/>
                <w:sz w:val="24"/>
                <w:szCs w:val="24"/>
                <w:lang w:val="en-US" w:eastAsia="zh-CN" w:bidi="ar"/>
              </w:rPr>
              <w:t>（GB 18599-2020）</w:t>
            </w:r>
            <w:r>
              <w:rPr>
                <w:rFonts w:hint="default" w:ascii="Times New Roman" w:hAnsi="Times New Roman" w:eastAsia="宋体" w:cs="Times New Roman"/>
                <w:color w:val="000000"/>
                <w:kern w:val="0"/>
                <w:sz w:val="24"/>
                <w:szCs w:val="24"/>
                <w:lang w:val="en-US" w:eastAsia="zh-CN" w:bidi="ar"/>
              </w:rPr>
              <w:t>中有关规定</w:t>
            </w:r>
            <w:r>
              <w:rPr>
                <w:rFonts w:hint="default" w:ascii="Times New Roman" w:hAnsi="Times New Roman" w:eastAsia="宋体" w:cs="Times New Roman"/>
                <w:color w:val="000000"/>
                <w:highlight w:val="none"/>
                <w:lang w:val="en-US" w:eastAsia="zh-CN"/>
              </w:rPr>
              <w:t>。</w:t>
            </w:r>
          </w:p>
        </w:tc>
      </w:tr>
      <w:tr w14:paraId="67FA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5" w:hRule="atLeast"/>
          <w:jc w:val="center"/>
        </w:trPr>
        <w:tc>
          <w:tcPr>
            <w:tcW w:w="386" w:type="pct"/>
            <w:noWrap w:val="0"/>
            <w:vAlign w:val="center"/>
          </w:tcPr>
          <w:p w14:paraId="0ECF9E56">
            <w:pPr>
              <w:adjustRightInd w:val="0"/>
              <w:snapToGrid w:val="0"/>
              <w:ind w:firstLine="0" w:firstLineChars="0"/>
              <w:rPr>
                <w:rFonts w:hint="default" w:ascii="Times New Roman" w:hAnsi="Times New Roman" w:eastAsia="宋体" w:cs="Times New Roman"/>
                <w:color w:val="000000"/>
                <w:kern w:val="0"/>
                <w:sz w:val="24"/>
                <w:szCs w:val="21"/>
                <w:highlight w:val="none"/>
                <w:lang w:val="en-US" w:eastAsia="zh-CN" w:bidi="ar-SA"/>
              </w:rPr>
            </w:pPr>
            <w:r>
              <w:rPr>
                <w:rFonts w:hint="default" w:ascii="Times New Roman" w:hAnsi="Times New Roman" w:eastAsia="宋体" w:cs="Times New Roman"/>
                <w:color w:val="000000"/>
                <w:kern w:val="0"/>
                <w:szCs w:val="21"/>
                <w:highlight w:val="none"/>
              </w:rPr>
              <w:t>其他</w:t>
            </w:r>
          </w:p>
        </w:tc>
        <w:tc>
          <w:tcPr>
            <w:tcW w:w="4613" w:type="pct"/>
            <w:noWrap w:val="0"/>
            <w:vAlign w:val="center"/>
          </w:tcPr>
          <w:p w14:paraId="5D1634AE">
            <w:pPr>
              <w:pStyle w:val="79"/>
              <w:keepNext w:val="0"/>
              <w:keepLines w:val="0"/>
              <w:pageBreakBefore w:val="0"/>
              <w:widowControl w:val="0"/>
              <w:kinsoku/>
              <w:wordWrap/>
              <w:overflowPunct/>
              <w:topLinePunct w:val="0"/>
              <w:autoSpaceDE/>
              <w:autoSpaceDN/>
              <w:bidi w:val="0"/>
              <w:adjustRightInd w:val="0"/>
              <w:snapToGrid w:val="0"/>
              <w:ind w:firstLine="496" w:firstLineChars="200"/>
              <w:jc w:val="center"/>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本项目不涉及总量控制指标。</w:t>
            </w:r>
          </w:p>
        </w:tc>
      </w:tr>
    </w:tbl>
    <w:p w14:paraId="2367F8AB">
      <w:pPr>
        <w:pStyle w:val="13"/>
        <w:rPr>
          <w:rFonts w:hint="default" w:ascii="Times New Roman" w:hAnsi="Times New Roman" w:eastAsia="宋体" w:cs="Times New Roman"/>
          <w:color w:val="000000"/>
          <w:highlight w:val="none"/>
        </w:rPr>
      </w:pPr>
    </w:p>
    <w:p w14:paraId="081BA5FE">
      <w:pPr>
        <w:pStyle w:val="62"/>
        <w:rPr>
          <w:rFonts w:hint="default" w:ascii="Times New Roman" w:hAnsi="Times New Roman" w:eastAsia="宋体" w:cs="Times New Roman"/>
          <w:color w:val="000000"/>
          <w:highlight w:val="none"/>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1E5353DF">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0"/>
        <w:rPr>
          <w:rFonts w:hint="default" w:ascii="Times New Roman" w:hAnsi="Times New Roman" w:eastAsia="宋体" w:cs="Times New Roman"/>
          <w:snapToGrid w:val="0"/>
          <w:color w:val="000000"/>
          <w:spacing w:val="0"/>
          <w:kern w:val="0"/>
          <w:sz w:val="30"/>
          <w:szCs w:val="30"/>
          <w:highlight w:val="none"/>
          <w:lang w:val="en-US" w:eastAsia="zh-CN" w:bidi="ar-SA"/>
        </w:rPr>
      </w:pPr>
      <w:bookmarkStart w:id="23" w:name="_Toc27458"/>
      <w:bookmarkStart w:id="24" w:name="_Toc9681"/>
      <w:bookmarkStart w:id="25" w:name="_Toc28635"/>
      <w:r>
        <w:rPr>
          <w:rFonts w:hint="default" w:ascii="Times New Roman" w:hAnsi="Times New Roman" w:eastAsia="宋体" w:cs="Times New Roman"/>
          <w:snapToGrid w:val="0"/>
          <w:color w:val="000000"/>
          <w:spacing w:val="0"/>
          <w:kern w:val="0"/>
          <w:sz w:val="30"/>
          <w:szCs w:val="30"/>
          <w:highlight w:val="none"/>
          <w:lang w:val="en-US" w:eastAsia="zh-CN" w:bidi="ar-SA"/>
        </w:rPr>
        <w:t>四、生态环境影响分析</w:t>
      </w:r>
      <w:bookmarkEnd w:id="23"/>
      <w:bookmarkEnd w:id="24"/>
      <w:bookmarkEnd w:id="25"/>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7724"/>
      </w:tblGrid>
      <w:tr w14:paraId="0C58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798" w:type="dxa"/>
            <w:noWrap w:val="0"/>
            <w:vAlign w:val="center"/>
          </w:tcPr>
          <w:p w14:paraId="0E878B96">
            <w:pPr>
              <w:adjustRightInd w:val="0"/>
              <w:snapToGrid w:val="0"/>
              <w:spacing w:line="240" w:lineRule="auto"/>
              <w:ind w:firstLine="0" w:firstLineChars="0"/>
              <w:jc w:val="center"/>
              <w:rPr>
                <w:rFonts w:hint="default" w:ascii="Times New Roman" w:hAnsi="Times New Roman" w:eastAsia="宋体" w:cs="Times New Roman"/>
                <w:bCs/>
                <w:color w:val="000000"/>
                <w:spacing w:val="10"/>
                <w:kern w:val="2"/>
                <w:sz w:val="24"/>
                <w:szCs w:val="24"/>
                <w:highlight w:val="none"/>
                <w:lang w:val="en-US" w:eastAsia="zh-CN" w:bidi="ar-SA"/>
              </w:rPr>
            </w:pPr>
            <w:r>
              <w:rPr>
                <w:rFonts w:hint="default" w:ascii="Times New Roman" w:hAnsi="Times New Roman" w:eastAsia="宋体" w:cs="Times New Roman"/>
                <w:bCs/>
                <w:color w:val="000000"/>
                <w:spacing w:val="10"/>
                <w:kern w:val="2"/>
                <w:sz w:val="24"/>
                <w:szCs w:val="24"/>
                <w:highlight w:val="none"/>
                <w:lang w:val="en-US" w:eastAsia="zh-CN" w:bidi="ar-SA"/>
              </w:rPr>
              <w:t>施工期生态环境影响分析</w:t>
            </w:r>
          </w:p>
        </w:tc>
        <w:tc>
          <w:tcPr>
            <w:tcW w:w="7724" w:type="dxa"/>
            <w:noWrap w:val="0"/>
            <w:vAlign w:val="top"/>
          </w:tcPr>
          <w:p w14:paraId="18610A6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1.</w:t>
            </w:r>
            <w:r>
              <w:rPr>
                <w:rFonts w:hint="default" w:ascii="Times New Roman" w:hAnsi="Times New Roman" w:eastAsia="宋体" w:cs="Times New Roman"/>
                <w:b/>
                <w:bCs/>
                <w:color w:val="000000"/>
                <w:kern w:val="0"/>
                <w:sz w:val="24"/>
                <w:szCs w:val="24"/>
                <w:highlight w:val="none"/>
                <w:lang w:val="en-US" w:eastAsia="zh-CN" w:bidi="ar"/>
              </w:rPr>
              <w:t>大气环境影响分析</w:t>
            </w:r>
          </w:p>
          <w:p w14:paraId="5A6068F7">
            <w:pPr>
              <w:keepNext w:val="0"/>
              <w:keepLines w:val="0"/>
              <w:pageBreakBefore w:val="0"/>
              <w:widowControl w:val="0"/>
              <w:kinsoku/>
              <w:wordWrap/>
              <w:overflowPunct/>
              <w:topLinePunct w:val="0"/>
              <w:autoSpaceDE/>
              <w:autoSpaceDN/>
              <w:bidi w:val="0"/>
              <w:adjustRightInd w:val="0"/>
              <w:snapToGrid w:val="0"/>
              <w:spacing w:line="360" w:lineRule="auto"/>
              <w:ind w:firstLine="484"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spacing w:val="1"/>
              </w:rPr>
              <w:t>项目施工期废气主要为土方开挖回填、车辆运输</w:t>
            </w:r>
            <w:r>
              <w:rPr>
                <w:rFonts w:hint="default" w:ascii="Times New Roman" w:hAnsi="Times New Roman" w:eastAsia="宋体" w:cs="Times New Roman"/>
              </w:rPr>
              <w:t>过程中产生的施工扬尘、施工车辆及设备产生的尾气、对构筑物的室内外进行装修时产生的装</w:t>
            </w:r>
            <w:r>
              <w:rPr>
                <w:rFonts w:hint="default" w:ascii="Times New Roman" w:hAnsi="Times New Roman" w:eastAsia="宋体" w:cs="Times New Roman"/>
                <w:spacing w:val="-1"/>
              </w:rPr>
              <w:t>修废气。</w:t>
            </w:r>
          </w:p>
          <w:p w14:paraId="40386E4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1.1</w:t>
            </w:r>
            <w:r>
              <w:rPr>
                <w:rFonts w:hint="eastAsia" w:cs="Times New Roman"/>
                <w:b/>
                <w:bCs/>
                <w:color w:val="000000"/>
                <w:kern w:val="0"/>
                <w:sz w:val="24"/>
                <w:szCs w:val="24"/>
                <w:highlight w:val="none"/>
                <w:lang w:val="en-US" w:eastAsia="zh-CN" w:bidi="ar"/>
              </w:rPr>
              <w:t xml:space="preserve"> </w:t>
            </w:r>
            <w:r>
              <w:rPr>
                <w:rFonts w:hint="default" w:ascii="Times New Roman" w:hAnsi="Times New Roman" w:eastAsia="宋体" w:cs="Times New Roman"/>
                <w:b/>
                <w:bCs/>
                <w:color w:val="000000"/>
                <w:kern w:val="0"/>
                <w:sz w:val="24"/>
                <w:szCs w:val="24"/>
                <w:highlight w:val="none"/>
                <w:lang w:val="en-US" w:eastAsia="zh-CN" w:bidi="ar"/>
              </w:rPr>
              <w:t>施工期废气源</w:t>
            </w:r>
          </w:p>
          <w:p w14:paraId="2412CFA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施工期</w:t>
            </w:r>
            <w:r>
              <w:rPr>
                <w:rFonts w:hint="default" w:ascii="Times New Roman" w:hAnsi="Times New Roman" w:eastAsia="宋体" w:cs="Times New Roman"/>
                <w:color w:val="000000"/>
                <w:kern w:val="0"/>
                <w:sz w:val="24"/>
                <w:szCs w:val="24"/>
                <w:highlight w:val="none"/>
                <w:lang w:val="en-US" w:eastAsia="zh-CN" w:bidi="ar"/>
              </w:rPr>
              <w:t>大气污染主要来自土石方挖掘、回填及现场堆放扬尘；建筑材料的现场搬运及堆放扬尘；施工垃圾的清理及堆放扬尘；施工现场运输车辆、部分工程机械作业过程中的扬尘及尾气。详见表4-1。</w:t>
            </w:r>
          </w:p>
          <w:p w14:paraId="1F554C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表4-1 施工期大气污染源及污染物</w:t>
            </w:r>
          </w:p>
          <w:tbl>
            <w:tblPr>
              <w:tblStyle w:val="32"/>
              <w:tblW w:w="4998" w:type="pct"/>
              <w:tblInd w:w="6"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15" w:type="dxa"/>
                <w:left w:w="15" w:type="dxa"/>
                <w:bottom w:w="15" w:type="dxa"/>
                <w:right w:w="15" w:type="dxa"/>
              </w:tblCellMar>
            </w:tblPr>
            <w:tblGrid>
              <w:gridCol w:w="838"/>
              <w:gridCol w:w="2913"/>
              <w:gridCol w:w="1877"/>
              <w:gridCol w:w="1877"/>
            </w:tblGrid>
            <w:tr w14:paraId="7189B73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trHeight w:val="243" w:hRule="exact"/>
                <w:tblHeader/>
              </w:trPr>
              <w:tc>
                <w:tcPr>
                  <w:tcW w:w="559" w:type="pct"/>
                  <w:tcBorders>
                    <w:bottom w:val="single" w:color="000000" w:sz="12" w:space="0"/>
                    <w:right w:val="single" w:color="000000" w:sz="4" w:space="0"/>
                  </w:tcBorders>
                  <w:noWrap w:val="0"/>
                  <w:tcMar>
                    <w:top w:w="120" w:type="dxa"/>
                    <w:left w:w="120" w:type="dxa"/>
                    <w:bottom w:w="120" w:type="dxa"/>
                    <w:right w:w="120" w:type="dxa"/>
                  </w:tcMar>
                  <w:vAlign w:val="center"/>
                </w:tcPr>
                <w:p w14:paraId="3E391E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val="en-US" w:eastAsia="zh-CN" w:bidi="ar"/>
                    </w:rPr>
                    <w:t>序号</w:t>
                  </w:r>
                </w:p>
              </w:tc>
              <w:tc>
                <w:tcPr>
                  <w:tcW w:w="1940" w:type="pct"/>
                  <w:tcBorders>
                    <w:left w:val="single" w:color="000000" w:sz="4" w:space="0"/>
                    <w:bottom w:val="single" w:color="000000" w:sz="12" w:space="0"/>
                    <w:right w:val="single" w:color="000000" w:sz="4" w:space="0"/>
                  </w:tcBorders>
                  <w:noWrap w:val="0"/>
                  <w:tcMar>
                    <w:top w:w="120" w:type="dxa"/>
                    <w:left w:w="120" w:type="dxa"/>
                    <w:bottom w:w="120" w:type="dxa"/>
                    <w:right w:w="120" w:type="dxa"/>
                  </w:tcMar>
                  <w:vAlign w:val="center"/>
                </w:tcPr>
                <w:p w14:paraId="47C434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val="en-US" w:eastAsia="zh-CN" w:bidi="ar"/>
                    </w:rPr>
                    <w:t>产生原因</w:t>
                  </w:r>
                </w:p>
              </w:tc>
              <w:tc>
                <w:tcPr>
                  <w:tcW w:w="1250" w:type="pct"/>
                  <w:tcBorders>
                    <w:left w:val="single" w:color="000000" w:sz="4" w:space="0"/>
                    <w:bottom w:val="single" w:color="000000" w:sz="12" w:space="0"/>
                    <w:right w:val="single" w:color="000000" w:sz="4" w:space="0"/>
                  </w:tcBorders>
                  <w:noWrap w:val="0"/>
                  <w:tcMar>
                    <w:top w:w="120" w:type="dxa"/>
                    <w:left w:w="120" w:type="dxa"/>
                    <w:bottom w:w="120" w:type="dxa"/>
                    <w:right w:w="120" w:type="dxa"/>
                  </w:tcMar>
                  <w:vAlign w:val="center"/>
                </w:tcPr>
                <w:p w14:paraId="20C4A1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val="en-US" w:eastAsia="zh-CN" w:bidi="ar"/>
                    </w:rPr>
                    <w:t>产生地点</w:t>
                  </w:r>
                </w:p>
              </w:tc>
              <w:tc>
                <w:tcPr>
                  <w:tcW w:w="1250" w:type="pct"/>
                  <w:tcBorders>
                    <w:left w:val="single" w:color="000000" w:sz="4" w:space="0"/>
                    <w:bottom w:val="single" w:color="000000" w:sz="12" w:space="0"/>
                  </w:tcBorders>
                  <w:noWrap w:val="0"/>
                  <w:tcMar>
                    <w:top w:w="120" w:type="dxa"/>
                    <w:left w:w="120" w:type="dxa"/>
                    <w:bottom w:w="120" w:type="dxa"/>
                    <w:right w:w="120" w:type="dxa"/>
                  </w:tcMar>
                  <w:vAlign w:val="center"/>
                </w:tcPr>
                <w:p w14:paraId="6CB7DE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val="en-US" w:eastAsia="zh-CN" w:bidi="ar"/>
                    </w:rPr>
                    <w:t>污染物名称</w:t>
                  </w:r>
                </w:p>
              </w:tc>
            </w:tr>
            <w:tr w14:paraId="47FEBBE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trHeight w:val="283" w:hRule="exact"/>
              </w:trPr>
              <w:tc>
                <w:tcPr>
                  <w:tcW w:w="559" w:type="pct"/>
                  <w:tcBorders>
                    <w:top w:val="single" w:color="000000" w:sz="12" w:space="0"/>
                    <w:bottom w:val="single" w:color="000000" w:sz="4" w:space="0"/>
                    <w:right w:val="single" w:color="000000" w:sz="4" w:space="0"/>
                  </w:tcBorders>
                  <w:noWrap w:val="0"/>
                  <w:tcMar>
                    <w:top w:w="120" w:type="dxa"/>
                    <w:left w:w="120" w:type="dxa"/>
                    <w:bottom w:w="120" w:type="dxa"/>
                    <w:right w:w="120" w:type="dxa"/>
                  </w:tcMar>
                  <w:vAlign w:val="center"/>
                </w:tcPr>
                <w:p w14:paraId="46B936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w:t>
                  </w:r>
                </w:p>
              </w:tc>
              <w:tc>
                <w:tcPr>
                  <w:tcW w:w="1940" w:type="pct"/>
                  <w:tcBorders>
                    <w:top w:val="single" w:color="000000" w:sz="12"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6D766F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土方挖掘、土方回填及堆放</w:t>
                  </w:r>
                </w:p>
              </w:tc>
              <w:tc>
                <w:tcPr>
                  <w:tcW w:w="1250" w:type="pct"/>
                  <w:tcBorders>
                    <w:top w:val="single" w:color="000000" w:sz="12"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4C60CE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kern w:val="0"/>
                      <w:sz w:val="21"/>
                      <w:szCs w:val="21"/>
                      <w:lang w:val="en-US" w:eastAsia="zh-CN" w:bidi="ar"/>
                    </w:rPr>
                    <w:t>厂</w:t>
                  </w:r>
                  <w:r>
                    <w:rPr>
                      <w:rFonts w:hint="default" w:ascii="Times New Roman" w:hAnsi="Times New Roman" w:eastAsia="宋体" w:cs="Times New Roman"/>
                      <w:kern w:val="0"/>
                      <w:sz w:val="21"/>
                      <w:szCs w:val="21"/>
                      <w:lang w:val="en-US" w:eastAsia="zh-CN" w:bidi="ar"/>
                    </w:rPr>
                    <w:t>界内、堆存点</w:t>
                  </w:r>
                </w:p>
              </w:tc>
              <w:tc>
                <w:tcPr>
                  <w:tcW w:w="1250" w:type="pct"/>
                  <w:tcBorders>
                    <w:top w:val="single" w:color="000000" w:sz="12" w:space="0"/>
                    <w:left w:val="single" w:color="000000" w:sz="4" w:space="0"/>
                    <w:bottom w:val="single" w:color="000000" w:sz="4" w:space="0"/>
                  </w:tcBorders>
                  <w:noWrap w:val="0"/>
                  <w:tcMar>
                    <w:top w:w="120" w:type="dxa"/>
                    <w:left w:w="120" w:type="dxa"/>
                    <w:bottom w:w="120" w:type="dxa"/>
                    <w:right w:w="120" w:type="dxa"/>
                  </w:tcMar>
                  <w:vAlign w:val="center"/>
                </w:tcPr>
                <w:p w14:paraId="445531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扬尘</w:t>
                  </w:r>
                </w:p>
              </w:tc>
            </w:tr>
            <w:tr w14:paraId="5EF814C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trHeight w:val="283" w:hRule="exact"/>
              </w:trPr>
              <w:tc>
                <w:tcPr>
                  <w:tcW w:w="559" w:type="pct"/>
                  <w:tcBorders>
                    <w:top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72E959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w:t>
                  </w:r>
                </w:p>
              </w:tc>
              <w:tc>
                <w:tcPr>
                  <w:tcW w:w="1940"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7B95B9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建材搬运及堆放</w:t>
                  </w:r>
                </w:p>
              </w:tc>
              <w:tc>
                <w:tcPr>
                  <w:tcW w:w="1250"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4F4E25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kern w:val="0"/>
                      <w:sz w:val="21"/>
                      <w:szCs w:val="21"/>
                      <w:lang w:val="en-US" w:eastAsia="zh-CN" w:bidi="ar"/>
                    </w:rPr>
                    <w:t>厂</w:t>
                  </w:r>
                  <w:r>
                    <w:rPr>
                      <w:rFonts w:hint="default" w:ascii="Times New Roman" w:hAnsi="Times New Roman" w:eastAsia="宋体" w:cs="Times New Roman"/>
                      <w:kern w:val="0"/>
                      <w:sz w:val="21"/>
                      <w:szCs w:val="21"/>
                      <w:lang w:val="en-US" w:eastAsia="zh-CN" w:bidi="ar"/>
                    </w:rPr>
                    <w:t>界内、堆存点</w:t>
                  </w:r>
                </w:p>
              </w:tc>
              <w:tc>
                <w:tcPr>
                  <w:tcW w:w="1250" w:type="pct"/>
                  <w:tcBorders>
                    <w:top w:val="single" w:color="000000" w:sz="4" w:space="0"/>
                    <w:left w:val="single" w:color="000000" w:sz="4" w:space="0"/>
                    <w:bottom w:val="single" w:color="000000" w:sz="4" w:space="0"/>
                  </w:tcBorders>
                  <w:noWrap w:val="0"/>
                  <w:tcMar>
                    <w:top w:w="120" w:type="dxa"/>
                    <w:left w:w="120" w:type="dxa"/>
                    <w:bottom w:w="120" w:type="dxa"/>
                    <w:right w:w="120" w:type="dxa"/>
                  </w:tcMar>
                  <w:vAlign w:val="center"/>
                </w:tcPr>
                <w:p w14:paraId="66B524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扬尘</w:t>
                  </w:r>
                </w:p>
              </w:tc>
            </w:tr>
            <w:tr w14:paraId="7A30273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trHeight w:val="283" w:hRule="exact"/>
              </w:trPr>
              <w:tc>
                <w:tcPr>
                  <w:tcW w:w="559" w:type="pct"/>
                  <w:tcBorders>
                    <w:top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55C4C2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w:t>
                  </w:r>
                </w:p>
              </w:tc>
              <w:tc>
                <w:tcPr>
                  <w:tcW w:w="1940"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2B83D7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施工垃圾清理及堆放</w:t>
                  </w:r>
                </w:p>
              </w:tc>
              <w:tc>
                <w:tcPr>
                  <w:tcW w:w="1250"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6B075F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kern w:val="0"/>
                      <w:sz w:val="21"/>
                      <w:szCs w:val="21"/>
                      <w:lang w:val="en-US" w:eastAsia="zh-CN" w:bidi="ar"/>
                    </w:rPr>
                    <w:t>厂</w:t>
                  </w:r>
                  <w:r>
                    <w:rPr>
                      <w:rFonts w:hint="default" w:ascii="Times New Roman" w:hAnsi="Times New Roman" w:eastAsia="宋体" w:cs="Times New Roman"/>
                      <w:kern w:val="0"/>
                      <w:sz w:val="21"/>
                      <w:szCs w:val="21"/>
                      <w:lang w:val="en-US" w:eastAsia="zh-CN" w:bidi="ar"/>
                    </w:rPr>
                    <w:t>界内、堆存点</w:t>
                  </w:r>
                </w:p>
              </w:tc>
              <w:tc>
                <w:tcPr>
                  <w:tcW w:w="1250" w:type="pct"/>
                  <w:tcBorders>
                    <w:top w:val="single" w:color="000000" w:sz="4" w:space="0"/>
                    <w:left w:val="single" w:color="000000" w:sz="4" w:space="0"/>
                    <w:bottom w:val="single" w:color="000000" w:sz="4" w:space="0"/>
                  </w:tcBorders>
                  <w:noWrap w:val="0"/>
                  <w:tcMar>
                    <w:top w:w="120" w:type="dxa"/>
                    <w:left w:w="120" w:type="dxa"/>
                    <w:bottom w:w="120" w:type="dxa"/>
                    <w:right w:w="120" w:type="dxa"/>
                  </w:tcMar>
                  <w:vAlign w:val="center"/>
                </w:tcPr>
                <w:p w14:paraId="1D9803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扬尘</w:t>
                  </w:r>
                </w:p>
              </w:tc>
            </w:tr>
            <w:tr w14:paraId="14E375D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trHeight w:val="283" w:hRule="exact"/>
              </w:trPr>
              <w:tc>
                <w:tcPr>
                  <w:tcW w:w="559" w:type="pct"/>
                  <w:tcBorders>
                    <w:top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398D1C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4</w:t>
                  </w:r>
                </w:p>
              </w:tc>
              <w:tc>
                <w:tcPr>
                  <w:tcW w:w="1940"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7780C8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工程机械及运输车辆</w:t>
                  </w:r>
                </w:p>
              </w:tc>
              <w:tc>
                <w:tcPr>
                  <w:tcW w:w="1250"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1F47EC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kern w:val="0"/>
                      <w:sz w:val="21"/>
                      <w:szCs w:val="21"/>
                      <w:lang w:val="en-US" w:eastAsia="zh-CN" w:bidi="ar"/>
                    </w:rPr>
                    <w:t>厂</w:t>
                  </w:r>
                  <w:r>
                    <w:rPr>
                      <w:rFonts w:hint="default" w:ascii="Times New Roman" w:hAnsi="Times New Roman" w:eastAsia="宋体" w:cs="Times New Roman"/>
                      <w:kern w:val="0"/>
                      <w:sz w:val="21"/>
                      <w:szCs w:val="21"/>
                      <w:lang w:val="en-US" w:eastAsia="zh-CN" w:bidi="ar"/>
                    </w:rPr>
                    <w:t>界内、道路</w:t>
                  </w:r>
                </w:p>
              </w:tc>
              <w:tc>
                <w:tcPr>
                  <w:tcW w:w="1250" w:type="pct"/>
                  <w:tcBorders>
                    <w:top w:val="single" w:color="000000" w:sz="4" w:space="0"/>
                    <w:left w:val="single" w:color="000000" w:sz="4" w:space="0"/>
                    <w:bottom w:val="single" w:color="000000" w:sz="4" w:space="0"/>
                  </w:tcBorders>
                  <w:noWrap w:val="0"/>
                  <w:tcMar>
                    <w:top w:w="120" w:type="dxa"/>
                    <w:left w:w="120" w:type="dxa"/>
                    <w:bottom w:w="120" w:type="dxa"/>
                    <w:right w:w="120" w:type="dxa"/>
                  </w:tcMar>
                  <w:vAlign w:val="center"/>
                </w:tcPr>
                <w:p w14:paraId="7B44B0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扬尘、尾气</w:t>
                  </w:r>
                </w:p>
              </w:tc>
            </w:tr>
            <w:tr w14:paraId="5D661D5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trHeight w:val="283" w:hRule="exact"/>
              </w:trPr>
              <w:tc>
                <w:tcPr>
                  <w:tcW w:w="559" w:type="pct"/>
                  <w:tcBorders>
                    <w:top w:val="single" w:color="000000" w:sz="4" w:space="0"/>
                    <w:right w:val="single" w:color="000000" w:sz="4" w:space="0"/>
                  </w:tcBorders>
                  <w:noWrap w:val="0"/>
                  <w:tcMar>
                    <w:top w:w="120" w:type="dxa"/>
                    <w:left w:w="120" w:type="dxa"/>
                    <w:bottom w:w="120" w:type="dxa"/>
                    <w:right w:w="120" w:type="dxa"/>
                  </w:tcMar>
                  <w:vAlign w:val="center"/>
                </w:tcPr>
                <w:p w14:paraId="7F8938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5</w:t>
                  </w:r>
                </w:p>
              </w:tc>
              <w:tc>
                <w:tcPr>
                  <w:tcW w:w="1940" w:type="pct"/>
                  <w:tcBorders>
                    <w:top w:val="single" w:color="000000" w:sz="4" w:space="0"/>
                    <w:left w:val="single" w:color="000000" w:sz="4" w:space="0"/>
                    <w:right w:val="single" w:color="000000" w:sz="4" w:space="0"/>
                  </w:tcBorders>
                  <w:noWrap w:val="0"/>
                  <w:tcMar>
                    <w:top w:w="120" w:type="dxa"/>
                    <w:left w:w="120" w:type="dxa"/>
                    <w:bottom w:w="120" w:type="dxa"/>
                    <w:right w:w="120" w:type="dxa"/>
                  </w:tcMar>
                  <w:vAlign w:val="center"/>
                </w:tcPr>
                <w:p w14:paraId="0E451C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风力</w:t>
                  </w:r>
                </w:p>
              </w:tc>
              <w:tc>
                <w:tcPr>
                  <w:tcW w:w="1250" w:type="pct"/>
                  <w:tcBorders>
                    <w:top w:val="single" w:color="000000" w:sz="4" w:space="0"/>
                    <w:left w:val="single" w:color="000000" w:sz="4" w:space="0"/>
                    <w:right w:val="single" w:color="000000" w:sz="4" w:space="0"/>
                  </w:tcBorders>
                  <w:noWrap w:val="0"/>
                  <w:tcMar>
                    <w:top w:w="120" w:type="dxa"/>
                    <w:left w:w="120" w:type="dxa"/>
                    <w:bottom w:w="120" w:type="dxa"/>
                    <w:right w:w="120" w:type="dxa"/>
                  </w:tcMar>
                  <w:vAlign w:val="center"/>
                </w:tcPr>
                <w:p w14:paraId="7E9CB1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kern w:val="0"/>
                      <w:sz w:val="21"/>
                      <w:szCs w:val="21"/>
                      <w:lang w:val="en-US" w:eastAsia="zh-CN" w:bidi="ar"/>
                    </w:rPr>
                    <w:t>厂</w:t>
                  </w:r>
                  <w:r>
                    <w:rPr>
                      <w:rFonts w:hint="default" w:ascii="Times New Roman" w:hAnsi="Times New Roman" w:eastAsia="宋体" w:cs="Times New Roman"/>
                      <w:kern w:val="0"/>
                      <w:sz w:val="21"/>
                      <w:szCs w:val="21"/>
                      <w:lang w:val="en-US" w:eastAsia="zh-CN" w:bidi="ar"/>
                    </w:rPr>
                    <w:t>界内、道路</w:t>
                  </w:r>
                </w:p>
              </w:tc>
              <w:tc>
                <w:tcPr>
                  <w:tcW w:w="1250" w:type="pct"/>
                  <w:tcBorders>
                    <w:top w:val="single" w:color="000000" w:sz="4" w:space="0"/>
                    <w:left w:val="single" w:color="000000" w:sz="4" w:space="0"/>
                  </w:tcBorders>
                  <w:noWrap w:val="0"/>
                  <w:tcMar>
                    <w:top w:w="120" w:type="dxa"/>
                    <w:left w:w="120" w:type="dxa"/>
                    <w:bottom w:w="120" w:type="dxa"/>
                    <w:right w:w="120" w:type="dxa"/>
                  </w:tcMar>
                  <w:vAlign w:val="center"/>
                </w:tcPr>
                <w:p w14:paraId="027D29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扬尘</w:t>
                  </w:r>
                </w:p>
              </w:tc>
            </w:tr>
          </w:tbl>
          <w:p w14:paraId="67D2F26F">
            <w:pPr>
              <w:keepNext w:val="0"/>
              <w:keepLines w:val="0"/>
              <w:pageBreakBefore w:val="0"/>
              <w:widowControl w:val="0"/>
              <w:kinsoku/>
              <w:wordWrap/>
              <w:overflowPunct/>
              <w:topLinePunct w:val="0"/>
              <w:autoSpaceDE/>
              <w:autoSpaceDN/>
              <w:bidi w:val="0"/>
              <w:adjustRightInd w:val="0"/>
              <w:snapToGrid w:val="0"/>
              <w:spacing w:line="360" w:lineRule="auto"/>
              <w:ind w:firstLine="476"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spacing w:val="-1"/>
              </w:rPr>
              <w:t>根据类比调查，距离施工场地100m处的TSP监测</w:t>
            </w:r>
            <w:r>
              <w:rPr>
                <w:rFonts w:hint="default" w:ascii="Times New Roman" w:hAnsi="Times New Roman" w:eastAsia="宋体" w:cs="Times New Roman"/>
                <w:spacing w:val="-2"/>
              </w:rPr>
              <w:t>值约为0.12</w:t>
            </w:r>
            <w:r>
              <w:rPr>
                <w:rFonts w:hint="eastAsia" w:cs="Times New Roman"/>
                <w:spacing w:val="-2"/>
                <w:lang w:eastAsia="zh-CN"/>
              </w:rPr>
              <w:t>～</w:t>
            </w:r>
            <w:r>
              <w:rPr>
                <w:rFonts w:hint="default" w:ascii="Times New Roman" w:hAnsi="Times New Roman" w:eastAsia="宋体" w:cs="Times New Roman"/>
                <w:spacing w:val="-2"/>
              </w:rPr>
              <w:t>0.79mg/Nm</w:t>
            </w:r>
            <w:r>
              <w:rPr>
                <w:rFonts w:hint="default" w:ascii="Times New Roman" w:hAnsi="Times New Roman" w:eastAsia="宋体" w:cs="Times New Roman"/>
                <w:spacing w:val="-2"/>
                <w:position w:val="6"/>
                <w:sz w:val="13"/>
                <w:szCs w:val="13"/>
              </w:rPr>
              <w:t>3</w:t>
            </w:r>
            <w:r>
              <w:rPr>
                <w:rFonts w:hint="default" w:ascii="Times New Roman" w:hAnsi="Times New Roman" w:eastAsia="宋体" w:cs="Times New Roman"/>
                <w:spacing w:val="-2"/>
              </w:rPr>
              <w:t>。</w:t>
            </w:r>
          </w:p>
          <w:p w14:paraId="3149044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1.2</w:t>
            </w:r>
            <w:r>
              <w:rPr>
                <w:rFonts w:hint="eastAsia" w:cs="Times New Roman"/>
                <w:b/>
                <w:bCs/>
                <w:color w:val="000000"/>
                <w:kern w:val="0"/>
                <w:sz w:val="24"/>
                <w:szCs w:val="24"/>
                <w:highlight w:val="none"/>
                <w:lang w:val="en-US" w:eastAsia="zh-CN" w:bidi="ar"/>
              </w:rPr>
              <w:t xml:space="preserve"> </w:t>
            </w:r>
            <w:r>
              <w:rPr>
                <w:rFonts w:hint="default" w:ascii="Times New Roman" w:hAnsi="Times New Roman" w:eastAsia="宋体" w:cs="Times New Roman"/>
                <w:b/>
                <w:bCs/>
                <w:color w:val="000000"/>
                <w:kern w:val="0"/>
                <w:sz w:val="24"/>
                <w:szCs w:val="24"/>
                <w:highlight w:val="none"/>
                <w:lang w:val="en-US" w:eastAsia="zh-CN" w:bidi="ar"/>
              </w:rPr>
              <w:t>施工扬尘环境影响分析</w:t>
            </w:r>
          </w:p>
          <w:p w14:paraId="4ED5930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施工扬尘主要产生在以下环节：①平整土地、打桩、挖土填方、装卸、运输、建造建筑物过程</w:t>
            </w:r>
            <w:r>
              <w:rPr>
                <w:rFonts w:hint="eastAsia" w:cs="Times New Roman"/>
                <w:color w:val="000000"/>
                <w:kern w:val="0"/>
                <w:sz w:val="24"/>
                <w:szCs w:val="24"/>
                <w:highlight w:val="none"/>
                <w:lang w:val="en-US" w:eastAsia="zh-CN" w:bidi="ar"/>
              </w:rPr>
              <w:t>中</w:t>
            </w:r>
            <w:r>
              <w:rPr>
                <w:rFonts w:hint="default" w:ascii="Times New Roman" w:hAnsi="Times New Roman" w:eastAsia="宋体" w:cs="Times New Roman"/>
                <w:color w:val="000000"/>
                <w:kern w:val="0"/>
                <w:sz w:val="24"/>
                <w:szCs w:val="24"/>
                <w:highlight w:val="none"/>
                <w:lang w:val="en-US" w:eastAsia="zh-CN" w:bidi="ar"/>
              </w:rPr>
              <w:t>；②施工弃土堆放</w:t>
            </w:r>
            <w:r>
              <w:rPr>
                <w:rFonts w:hint="eastAsia" w:cs="Times New Roman"/>
                <w:color w:val="000000"/>
                <w:kern w:val="0"/>
                <w:sz w:val="24"/>
                <w:szCs w:val="24"/>
                <w:highlight w:val="none"/>
                <w:lang w:val="en-US" w:eastAsia="zh-CN" w:bidi="ar"/>
              </w:rPr>
              <w:t>时</w:t>
            </w:r>
            <w:r>
              <w:rPr>
                <w:rFonts w:hint="default" w:ascii="Times New Roman" w:hAnsi="Times New Roman" w:eastAsia="宋体" w:cs="Times New Roman"/>
                <w:color w:val="000000"/>
                <w:kern w:val="0"/>
                <w:sz w:val="24"/>
                <w:szCs w:val="24"/>
                <w:highlight w:val="none"/>
                <w:lang w:val="en-US" w:eastAsia="zh-CN" w:bidi="ar"/>
              </w:rPr>
              <w:t>；③运输过程</w:t>
            </w:r>
            <w:r>
              <w:rPr>
                <w:rFonts w:hint="eastAsia" w:cs="Times New Roman"/>
                <w:color w:val="000000"/>
                <w:kern w:val="0"/>
                <w:sz w:val="24"/>
                <w:szCs w:val="24"/>
                <w:highlight w:val="none"/>
                <w:lang w:val="en-US" w:eastAsia="zh-CN" w:bidi="ar"/>
              </w:rPr>
              <w:t>中</w:t>
            </w:r>
            <w:r>
              <w:rPr>
                <w:rFonts w:hint="default" w:ascii="Times New Roman" w:hAnsi="Times New Roman" w:eastAsia="宋体" w:cs="Times New Roman"/>
                <w:color w:val="000000"/>
                <w:kern w:val="0"/>
                <w:sz w:val="24"/>
                <w:szCs w:val="24"/>
                <w:highlight w:val="none"/>
                <w:lang w:val="en-US" w:eastAsia="zh-CN" w:bidi="ar"/>
              </w:rPr>
              <w:t>；④</w:t>
            </w:r>
            <w:r>
              <w:rPr>
                <w:rFonts w:hint="eastAsia" w:cs="Times New Roman"/>
                <w:color w:val="000000"/>
                <w:kern w:val="0"/>
                <w:sz w:val="24"/>
                <w:szCs w:val="24"/>
                <w:highlight w:val="none"/>
                <w:lang w:val="en-US" w:eastAsia="zh-CN" w:bidi="ar"/>
              </w:rPr>
              <w:t>场地</w:t>
            </w:r>
            <w:r>
              <w:rPr>
                <w:rFonts w:hint="default" w:ascii="Times New Roman" w:hAnsi="Times New Roman" w:eastAsia="宋体" w:cs="Times New Roman"/>
                <w:color w:val="000000"/>
                <w:kern w:val="0"/>
                <w:sz w:val="24"/>
                <w:szCs w:val="24"/>
                <w:highlight w:val="none"/>
                <w:lang w:val="en-US" w:eastAsia="zh-CN" w:bidi="ar"/>
              </w:rPr>
              <w:t>。</w:t>
            </w:r>
          </w:p>
          <w:p w14:paraId="3DB4F79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施工作业扬尘的产生量与气候条件和施工方法有关，因施工尘土的含水量比较低，颗粒粒径较小，在风速大于3m/s时，施工过程中还会有扬尘产生。这部分扬尘大部分在施工场地附近沉降。根据类比分析，由于粉尘颗粒的重力沉降作用，扬尘污染影响范围和程度随着距离的不同而有所差异，一般在扬尘点下风向0~50m为较重污染带，50</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100m为污染带，100</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200m为轻污染带，200m以外对空气影响甚微。施工过程中粉尘污染的危害性是不容忽视的。浮于空气中的粉尘被施工人员和周围居民吸入，不但会引起各种呼吸道疾病，而且粉尘夹带大量的病原菌，传染各种疾病，严重影响施工人员及周围居民的身体健康。此外，粉尘飘扬降低能见度，易引发交通事故。粉尘飘落在建筑物和树木枝叶上，影响景观。</w:t>
            </w:r>
          </w:p>
          <w:p w14:paraId="45D379F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研究表明，在有</w:t>
            </w:r>
            <w:r>
              <w:rPr>
                <w:rFonts w:hint="eastAsia" w:ascii="Times New Roman" w:hAnsi="Times New Roman" w:eastAsia="宋体" w:cs="Times New Roman"/>
                <w:color w:val="000000"/>
                <w:kern w:val="0"/>
                <w:sz w:val="24"/>
                <w:szCs w:val="24"/>
                <w:highlight w:val="none"/>
                <w:lang w:val="en-US" w:eastAsia="zh-CN" w:bidi="ar"/>
              </w:rPr>
              <w:t>围挡</w:t>
            </w:r>
            <w:r>
              <w:rPr>
                <w:rFonts w:hint="default" w:ascii="Times New Roman" w:hAnsi="Times New Roman" w:eastAsia="宋体" w:cs="Times New Roman"/>
                <w:color w:val="000000"/>
                <w:kern w:val="0"/>
                <w:sz w:val="24"/>
                <w:szCs w:val="24"/>
                <w:highlight w:val="none"/>
                <w:lang w:val="en-US" w:eastAsia="zh-CN" w:bidi="ar"/>
              </w:rPr>
              <w:t>的情况下，施工扬尘比无</w:t>
            </w:r>
            <w:r>
              <w:rPr>
                <w:rFonts w:hint="eastAsia" w:ascii="Times New Roman" w:hAnsi="Times New Roman" w:eastAsia="宋体" w:cs="Times New Roman"/>
                <w:color w:val="000000"/>
                <w:kern w:val="0"/>
                <w:sz w:val="24"/>
                <w:szCs w:val="24"/>
                <w:highlight w:val="none"/>
                <w:lang w:val="en-US" w:eastAsia="zh-CN" w:bidi="ar"/>
              </w:rPr>
              <w:t>围挡</w:t>
            </w:r>
            <w:r>
              <w:rPr>
                <w:rFonts w:hint="default" w:ascii="Times New Roman" w:hAnsi="Times New Roman" w:eastAsia="宋体" w:cs="Times New Roman"/>
                <w:color w:val="000000"/>
                <w:kern w:val="0"/>
                <w:sz w:val="24"/>
                <w:szCs w:val="24"/>
                <w:highlight w:val="none"/>
                <w:lang w:val="en-US" w:eastAsia="zh-CN" w:bidi="ar"/>
              </w:rPr>
              <w:t>情况下会有明显</w:t>
            </w:r>
            <w:r>
              <w:rPr>
                <w:rFonts w:hint="eastAsia" w:cs="Times New Roman"/>
                <w:color w:val="000000"/>
                <w:kern w:val="0"/>
                <w:sz w:val="24"/>
                <w:szCs w:val="24"/>
                <w:highlight w:val="none"/>
                <w:lang w:val="en-US" w:eastAsia="zh-CN" w:bidi="ar"/>
              </w:rPr>
              <w:t>的</w:t>
            </w:r>
            <w:r>
              <w:rPr>
                <w:rFonts w:hint="default" w:ascii="Times New Roman" w:hAnsi="Times New Roman" w:eastAsia="宋体" w:cs="Times New Roman"/>
                <w:color w:val="000000"/>
                <w:kern w:val="0"/>
                <w:sz w:val="24"/>
                <w:szCs w:val="24"/>
                <w:highlight w:val="none"/>
                <w:lang w:val="en-US" w:eastAsia="zh-CN" w:bidi="ar"/>
              </w:rPr>
              <w:t>改善。因此，施工单位应设置2.5m连续硬质围挡并配套围挡喷淋系统，全部裸土、砂石堆体采用防尘网全覆盖；土方作业配备移动式雾炮同步降尘；场内道路加密洒水频次、出入口设置车辆冲洗平台；风力≥4级天气停止土方开挖、转运等产尘作业。综合以上抑尘后总效率可达到78%。根据类比调查，施工场地TSP浓度变化分析表见表4-2。</w:t>
            </w:r>
          </w:p>
          <w:p w14:paraId="26F6C6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vertAlign w:val="superscript"/>
                <w:lang w:val="en-US"/>
              </w:rPr>
            </w:pPr>
            <w:r>
              <w:rPr>
                <w:rFonts w:hint="default" w:ascii="Times New Roman" w:hAnsi="Times New Roman" w:eastAsia="宋体" w:cs="Times New Roman"/>
                <w:b/>
                <w:bCs/>
                <w:kern w:val="0"/>
                <w:sz w:val="21"/>
                <w:szCs w:val="21"/>
                <w:lang w:val="en-US" w:eastAsia="zh-CN" w:bidi="ar"/>
              </w:rPr>
              <w:t>表4-2  施工扬尘（TSP）浓度变化分析表         单位：</w:t>
            </w:r>
            <w:r>
              <w:rPr>
                <w:rFonts w:hint="default" w:ascii="Times New Roman" w:hAnsi="Times New Roman" w:eastAsia="宋体" w:cs="Times New Roman"/>
                <w:b/>
                <w:bCs/>
                <w:color w:val="1F2329"/>
                <w:kern w:val="0"/>
                <w:sz w:val="21"/>
                <w:szCs w:val="21"/>
                <w:lang w:val="en-US" w:eastAsia="zh-CN" w:bidi="ar"/>
              </w:rPr>
              <w:t>mg/m</w:t>
            </w:r>
            <w:r>
              <w:rPr>
                <w:rFonts w:hint="default" w:ascii="Times New Roman" w:hAnsi="Times New Roman" w:eastAsia="宋体" w:cs="Times New Roman"/>
                <w:b/>
                <w:bCs/>
                <w:color w:val="1F2329"/>
                <w:kern w:val="0"/>
                <w:sz w:val="21"/>
                <w:szCs w:val="21"/>
                <w:vertAlign w:val="superscript"/>
                <w:lang w:val="en-US" w:eastAsia="zh-CN" w:bidi="ar"/>
              </w:rPr>
              <w:t>3</w:t>
            </w:r>
          </w:p>
          <w:tbl>
            <w:tblPr>
              <w:tblStyle w:val="32"/>
              <w:tblW w:w="4998" w:type="pct"/>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729"/>
              <w:gridCol w:w="961"/>
              <w:gridCol w:w="963"/>
              <w:gridCol w:w="963"/>
              <w:gridCol w:w="963"/>
              <w:gridCol w:w="963"/>
              <w:gridCol w:w="963"/>
            </w:tblGrid>
            <w:tr w14:paraId="780BD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exact"/>
              </w:trPr>
              <w:tc>
                <w:tcPr>
                  <w:tcW w:w="1151" w:type="pct"/>
                  <w:tcBorders>
                    <w:top w:val="single" w:color="000000" w:sz="12" w:space="0"/>
                    <w:left w:val="nil"/>
                    <w:bottom w:val="single" w:color="000000" w:sz="12" w:space="0"/>
                    <w:right w:val="single" w:color="000000" w:sz="4" w:space="0"/>
                  </w:tcBorders>
                  <w:shd w:val="clear" w:color="auto" w:fill="auto"/>
                  <w:noWrap w:val="0"/>
                  <w:tcMar>
                    <w:top w:w="120" w:type="dxa"/>
                    <w:left w:w="120" w:type="dxa"/>
                    <w:bottom w:w="120" w:type="dxa"/>
                    <w:right w:w="120" w:type="dxa"/>
                  </w:tcMar>
                  <w:vAlign w:val="center"/>
                </w:tcPr>
                <w:p w14:paraId="5EA71E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距离（m）</w:t>
                  </w:r>
                </w:p>
              </w:tc>
              <w:tc>
                <w:tcPr>
                  <w:tcW w:w="640" w:type="pct"/>
                  <w:tcBorders>
                    <w:top w:val="single" w:color="000000" w:sz="12" w:space="0"/>
                    <w:left w:val="single" w:color="000000" w:sz="4" w:space="0"/>
                    <w:bottom w:val="single" w:color="000000" w:sz="12" w:space="0"/>
                    <w:right w:val="single" w:color="000000" w:sz="4" w:space="0"/>
                  </w:tcBorders>
                  <w:shd w:val="clear" w:color="auto" w:fill="auto"/>
                  <w:noWrap w:val="0"/>
                  <w:tcMar>
                    <w:top w:w="120" w:type="dxa"/>
                    <w:left w:w="120" w:type="dxa"/>
                    <w:bottom w:w="120" w:type="dxa"/>
                    <w:right w:w="120" w:type="dxa"/>
                  </w:tcMar>
                  <w:vAlign w:val="center"/>
                </w:tcPr>
                <w:p w14:paraId="7FA78A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10</w:t>
                  </w:r>
                </w:p>
              </w:tc>
              <w:tc>
                <w:tcPr>
                  <w:tcW w:w="641" w:type="pct"/>
                  <w:tcBorders>
                    <w:top w:val="single" w:color="000000" w:sz="12" w:space="0"/>
                    <w:left w:val="single" w:color="000000" w:sz="4" w:space="0"/>
                    <w:bottom w:val="single" w:color="000000" w:sz="12" w:space="0"/>
                    <w:right w:val="single" w:color="000000" w:sz="4" w:space="0"/>
                  </w:tcBorders>
                  <w:shd w:val="clear" w:color="auto" w:fill="auto"/>
                  <w:noWrap w:val="0"/>
                  <w:tcMar>
                    <w:top w:w="120" w:type="dxa"/>
                    <w:left w:w="120" w:type="dxa"/>
                    <w:bottom w:w="120" w:type="dxa"/>
                    <w:right w:w="120" w:type="dxa"/>
                  </w:tcMar>
                  <w:vAlign w:val="center"/>
                </w:tcPr>
                <w:p w14:paraId="53A305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20</w:t>
                  </w:r>
                </w:p>
              </w:tc>
              <w:tc>
                <w:tcPr>
                  <w:tcW w:w="641" w:type="pct"/>
                  <w:tcBorders>
                    <w:top w:val="single" w:color="000000" w:sz="12" w:space="0"/>
                    <w:left w:val="single" w:color="000000" w:sz="4" w:space="0"/>
                    <w:bottom w:val="single" w:color="000000" w:sz="12" w:space="0"/>
                    <w:right w:val="single" w:color="000000" w:sz="4" w:space="0"/>
                  </w:tcBorders>
                  <w:shd w:val="clear" w:color="auto" w:fill="auto"/>
                  <w:noWrap w:val="0"/>
                  <w:tcMar>
                    <w:top w:w="120" w:type="dxa"/>
                    <w:left w:w="120" w:type="dxa"/>
                    <w:bottom w:w="120" w:type="dxa"/>
                    <w:right w:w="120" w:type="dxa"/>
                  </w:tcMar>
                  <w:vAlign w:val="center"/>
                </w:tcPr>
                <w:p w14:paraId="238D53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30</w:t>
                  </w:r>
                </w:p>
              </w:tc>
              <w:tc>
                <w:tcPr>
                  <w:tcW w:w="641" w:type="pct"/>
                  <w:tcBorders>
                    <w:top w:val="single" w:color="000000" w:sz="12" w:space="0"/>
                    <w:left w:val="single" w:color="000000" w:sz="4" w:space="0"/>
                    <w:bottom w:val="single" w:color="000000" w:sz="12" w:space="0"/>
                    <w:right w:val="single" w:color="000000" w:sz="4" w:space="0"/>
                  </w:tcBorders>
                  <w:shd w:val="clear" w:color="auto" w:fill="auto"/>
                  <w:noWrap w:val="0"/>
                  <w:tcMar>
                    <w:top w:w="120" w:type="dxa"/>
                    <w:left w:w="120" w:type="dxa"/>
                    <w:bottom w:w="120" w:type="dxa"/>
                    <w:right w:w="120" w:type="dxa"/>
                  </w:tcMar>
                  <w:vAlign w:val="center"/>
                </w:tcPr>
                <w:p w14:paraId="72718D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40</w:t>
                  </w:r>
                </w:p>
              </w:tc>
              <w:tc>
                <w:tcPr>
                  <w:tcW w:w="641" w:type="pct"/>
                  <w:tcBorders>
                    <w:top w:val="single" w:color="000000" w:sz="12" w:space="0"/>
                    <w:left w:val="single" w:color="000000" w:sz="4" w:space="0"/>
                    <w:bottom w:val="single" w:color="000000" w:sz="12" w:space="0"/>
                    <w:right w:val="single" w:color="000000" w:sz="4" w:space="0"/>
                  </w:tcBorders>
                  <w:shd w:val="clear" w:color="auto" w:fill="auto"/>
                  <w:noWrap w:val="0"/>
                  <w:tcMar>
                    <w:top w:w="120" w:type="dxa"/>
                    <w:left w:w="120" w:type="dxa"/>
                    <w:bottom w:w="120" w:type="dxa"/>
                    <w:right w:w="120" w:type="dxa"/>
                  </w:tcMar>
                  <w:vAlign w:val="center"/>
                </w:tcPr>
                <w:p w14:paraId="1EBEAE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50</w:t>
                  </w:r>
                </w:p>
              </w:tc>
              <w:tc>
                <w:tcPr>
                  <w:tcW w:w="641" w:type="pct"/>
                  <w:tcBorders>
                    <w:top w:val="single" w:color="000000" w:sz="12" w:space="0"/>
                    <w:left w:val="single" w:color="000000" w:sz="4" w:space="0"/>
                    <w:bottom w:val="single" w:color="000000" w:sz="12" w:space="0"/>
                    <w:right w:val="nil"/>
                  </w:tcBorders>
                  <w:shd w:val="clear" w:color="auto" w:fill="auto"/>
                  <w:noWrap w:val="0"/>
                  <w:tcMar>
                    <w:top w:w="120" w:type="dxa"/>
                    <w:left w:w="120" w:type="dxa"/>
                    <w:bottom w:w="120" w:type="dxa"/>
                    <w:right w:w="120" w:type="dxa"/>
                  </w:tcMar>
                  <w:vAlign w:val="center"/>
                </w:tcPr>
                <w:p w14:paraId="09F380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100</w:t>
                  </w:r>
                </w:p>
              </w:tc>
            </w:tr>
            <w:tr w14:paraId="7A935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exact"/>
              </w:trPr>
              <w:tc>
                <w:tcPr>
                  <w:tcW w:w="1151" w:type="pct"/>
                  <w:tcBorders>
                    <w:top w:val="single" w:color="000000" w:sz="12" w:space="0"/>
                    <w:left w:val="nil"/>
                    <w:bottom w:val="single" w:color="000000" w:sz="4" w:space="0"/>
                    <w:right w:val="single" w:color="000000" w:sz="4" w:space="0"/>
                  </w:tcBorders>
                  <w:shd w:val="clear" w:color="auto" w:fill="auto"/>
                  <w:noWrap w:val="0"/>
                  <w:tcMar>
                    <w:top w:w="120" w:type="dxa"/>
                    <w:left w:w="120" w:type="dxa"/>
                    <w:bottom w:w="120" w:type="dxa"/>
                    <w:right w:w="120" w:type="dxa"/>
                  </w:tcMar>
                  <w:vAlign w:val="center"/>
                </w:tcPr>
                <w:p w14:paraId="58E4E2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场地不洒水</w:t>
                  </w:r>
                </w:p>
              </w:tc>
              <w:tc>
                <w:tcPr>
                  <w:tcW w:w="640" w:type="pct"/>
                  <w:tcBorders>
                    <w:top w:val="single" w:color="000000" w:sz="12" w:space="0"/>
                    <w:left w:val="single" w:color="000000" w:sz="4" w:space="0"/>
                    <w:bottom w:val="single" w:color="000000" w:sz="4" w:space="0"/>
                    <w:right w:val="single" w:color="000000" w:sz="4" w:space="0"/>
                  </w:tcBorders>
                  <w:shd w:val="clear" w:color="auto" w:fill="auto"/>
                  <w:noWrap w:val="0"/>
                  <w:tcMar>
                    <w:top w:w="120" w:type="dxa"/>
                    <w:left w:w="120" w:type="dxa"/>
                    <w:bottom w:w="120" w:type="dxa"/>
                    <w:right w:w="120" w:type="dxa"/>
                  </w:tcMar>
                  <w:vAlign w:val="center"/>
                </w:tcPr>
                <w:p w14:paraId="4AA1C7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1.75</w:t>
                  </w:r>
                </w:p>
              </w:tc>
              <w:tc>
                <w:tcPr>
                  <w:tcW w:w="641" w:type="pct"/>
                  <w:tcBorders>
                    <w:top w:val="single" w:color="000000" w:sz="12" w:space="0"/>
                    <w:left w:val="single" w:color="000000" w:sz="4" w:space="0"/>
                    <w:bottom w:val="single" w:color="000000" w:sz="4" w:space="0"/>
                    <w:right w:val="single" w:color="000000" w:sz="4" w:space="0"/>
                  </w:tcBorders>
                  <w:shd w:val="clear" w:color="auto" w:fill="auto"/>
                  <w:noWrap w:val="0"/>
                  <w:tcMar>
                    <w:top w:w="120" w:type="dxa"/>
                    <w:left w:w="120" w:type="dxa"/>
                    <w:bottom w:w="120" w:type="dxa"/>
                    <w:right w:w="120" w:type="dxa"/>
                  </w:tcMar>
                  <w:vAlign w:val="center"/>
                </w:tcPr>
                <w:p w14:paraId="4E845F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1.3</w:t>
                  </w:r>
                </w:p>
              </w:tc>
              <w:tc>
                <w:tcPr>
                  <w:tcW w:w="641" w:type="pct"/>
                  <w:tcBorders>
                    <w:top w:val="single" w:color="000000" w:sz="12" w:space="0"/>
                    <w:left w:val="single" w:color="000000" w:sz="4" w:space="0"/>
                    <w:bottom w:val="single" w:color="000000" w:sz="4" w:space="0"/>
                    <w:right w:val="single" w:color="000000" w:sz="4" w:space="0"/>
                  </w:tcBorders>
                  <w:shd w:val="clear" w:color="auto" w:fill="auto"/>
                  <w:noWrap w:val="0"/>
                  <w:tcMar>
                    <w:top w:w="120" w:type="dxa"/>
                    <w:left w:w="120" w:type="dxa"/>
                    <w:bottom w:w="120" w:type="dxa"/>
                    <w:right w:w="120" w:type="dxa"/>
                  </w:tcMar>
                  <w:vAlign w:val="center"/>
                </w:tcPr>
                <w:p w14:paraId="76B303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0.78</w:t>
                  </w:r>
                </w:p>
              </w:tc>
              <w:tc>
                <w:tcPr>
                  <w:tcW w:w="641" w:type="pct"/>
                  <w:tcBorders>
                    <w:top w:val="single" w:color="000000" w:sz="12" w:space="0"/>
                    <w:left w:val="single" w:color="000000" w:sz="4" w:space="0"/>
                    <w:bottom w:val="single" w:color="000000" w:sz="4" w:space="0"/>
                    <w:right w:val="single" w:color="000000" w:sz="4" w:space="0"/>
                  </w:tcBorders>
                  <w:shd w:val="clear" w:color="auto" w:fill="auto"/>
                  <w:noWrap w:val="0"/>
                  <w:tcMar>
                    <w:top w:w="120" w:type="dxa"/>
                    <w:left w:w="120" w:type="dxa"/>
                    <w:bottom w:w="120" w:type="dxa"/>
                    <w:right w:w="120" w:type="dxa"/>
                  </w:tcMar>
                  <w:vAlign w:val="center"/>
                </w:tcPr>
                <w:p w14:paraId="03D5CC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0.365</w:t>
                  </w:r>
                </w:p>
              </w:tc>
              <w:tc>
                <w:tcPr>
                  <w:tcW w:w="641" w:type="pct"/>
                  <w:tcBorders>
                    <w:top w:val="single" w:color="000000" w:sz="12" w:space="0"/>
                    <w:left w:val="single" w:color="000000" w:sz="4" w:space="0"/>
                    <w:bottom w:val="single" w:color="000000" w:sz="4" w:space="0"/>
                    <w:right w:val="single" w:color="000000" w:sz="4" w:space="0"/>
                  </w:tcBorders>
                  <w:shd w:val="clear" w:color="auto" w:fill="auto"/>
                  <w:noWrap w:val="0"/>
                  <w:tcMar>
                    <w:top w:w="120" w:type="dxa"/>
                    <w:left w:w="120" w:type="dxa"/>
                    <w:bottom w:w="120" w:type="dxa"/>
                    <w:right w:w="120" w:type="dxa"/>
                  </w:tcMar>
                  <w:vAlign w:val="center"/>
                </w:tcPr>
                <w:p w14:paraId="65681D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0.345</w:t>
                  </w:r>
                </w:p>
              </w:tc>
              <w:tc>
                <w:tcPr>
                  <w:tcW w:w="641" w:type="pct"/>
                  <w:tcBorders>
                    <w:top w:val="single" w:color="000000" w:sz="12" w:space="0"/>
                    <w:left w:val="single" w:color="000000" w:sz="4" w:space="0"/>
                    <w:bottom w:val="single" w:color="000000" w:sz="4" w:space="0"/>
                    <w:right w:val="nil"/>
                  </w:tcBorders>
                  <w:shd w:val="clear" w:color="auto" w:fill="auto"/>
                  <w:noWrap w:val="0"/>
                  <w:tcMar>
                    <w:top w:w="120" w:type="dxa"/>
                    <w:left w:w="120" w:type="dxa"/>
                    <w:bottom w:w="120" w:type="dxa"/>
                    <w:right w:w="120" w:type="dxa"/>
                  </w:tcMar>
                  <w:vAlign w:val="center"/>
                </w:tcPr>
                <w:p w14:paraId="41D7B7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0.33</w:t>
                  </w:r>
                </w:p>
              </w:tc>
            </w:tr>
            <w:tr w14:paraId="5862C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exact"/>
              </w:trPr>
              <w:tc>
                <w:tcPr>
                  <w:tcW w:w="1151" w:type="pct"/>
                  <w:tcBorders>
                    <w:top w:val="single" w:color="000000" w:sz="4" w:space="0"/>
                    <w:left w:val="nil"/>
                    <w:bottom w:val="single" w:color="000000" w:sz="12" w:space="0"/>
                    <w:right w:val="single" w:color="000000" w:sz="4" w:space="0"/>
                  </w:tcBorders>
                  <w:noWrap w:val="0"/>
                  <w:tcMar>
                    <w:top w:w="120" w:type="dxa"/>
                    <w:left w:w="120" w:type="dxa"/>
                    <w:bottom w:w="120" w:type="dxa"/>
                    <w:right w:w="120" w:type="dxa"/>
                  </w:tcMar>
                  <w:vAlign w:val="center"/>
                </w:tcPr>
                <w:p w14:paraId="31D799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综合抑尘后</w:t>
                  </w:r>
                </w:p>
              </w:tc>
              <w:tc>
                <w:tcPr>
                  <w:tcW w:w="640" w:type="pct"/>
                  <w:tcBorders>
                    <w:top w:val="single" w:color="000000" w:sz="4" w:space="0"/>
                    <w:left w:val="single" w:color="000000" w:sz="4" w:space="0"/>
                    <w:bottom w:val="single" w:color="000000" w:sz="12" w:space="0"/>
                    <w:right w:val="single" w:color="000000" w:sz="4" w:space="0"/>
                  </w:tcBorders>
                  <w:noWrap w:val="0"/>
                  <w:tcMar>
                    <w:top w:w="120" w:type="dxa"/>
                    <w:left w:w="120" w:type="dxa"/>
                    <w:bottom w:w="120" w:type="dxa"/>
                    <w:right w:w="120" w:type="dxa"/>
                  </w:tcMar>
                  <w:vAlign w:val="center"/>
                </w:tcPr>
                <w:p w14:paraId="2733D8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0.385</w:t>
                  </w:r>
                </w:p>
              </w:tc>
              <w:tc>
                <w:tcPr>
                  <w:tcW w:w="641" w:type="pct"/>
                  <w:tcBorders>
                    <w:top w:val="single" w:color="000000" w:sz="4" w:space="0"/>
                    <w:left w:val="single" w:color="000000" w:sz="4" w:space="0"/>
                    <w:bottom w:val="single" w:color="000000" w:sz="12" w:space="0"/>
                    <w:right w:val="single" w:color="000000" w:sz="4" w:space="0"/>
                  </w:tcBorders>
                  <w:noWrap w:val="0"/>
                  <w:tcMar>
                    <w:top w:w="120" w:type="dxa"/>
                    <w:left w:w="120" w:type="dxa"/>
                    <w:bottom w:w="120" w:type="dxa"/>
                    <w:right w:w="120" w:type="dxa"/>
                  </w:tcMar>
                  <w:vAlign w:val="center"/>
                </w:tcPr>
                <w:p w14:paraId="2FA08E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0.286</w:t>
                  </w:r>
                </w:p>
              </w:tc>
              <w:tc>
                <w:tcPr>
                  <w:tcW w:w="641" w:type="pct"/>
                  <w:tcBorders>
                    <w:top w:val="single" w:color="000000" w:sz="4" w:space="0"/>
                    <w:left w:val="single" w:color="000000" w:sz="4" w:space="0"/>
                    <w:bottom w:val="single" w:color="000000" w:sz="12" w:space="0"/>
                    <w:right w:val="single" w:color="000000" w:sz="4" w:space="0"/>
                  </w:tcBorders>
                  <w:noWrap w:val="0"/>
                  <w:tcMar>
                    <w:top w:w="120" w:type="dxa"/>
                    <w:left w:w="120" w:type="dxa"/>
                    <w:bottom w:w="120" w:type="dxa"/>
                    <w:right w:w="120" w:type="dxa"/>
                  </w:tcMar>
                  <w:vAlign w:val="center"/>
                </w:tcPr>
                <w:p w14:paraId="385D74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0.172</w:t>
                  </w:r>
                </w:p>
              </w:tc>
              <w:tc>
                <w:tcPr>
                  <w:tcW w:w="641" w:type="pct"/>
                  <w:tcBorders>
                    <w:top w:val="single" w:color="000000" w:sz="4" w:space="0"/>
                    <w:left w:val="single" w:color="000000" w:sz="4" w:space="0"/>
                    <w:bottom w:val="single" w:color="000000" w:sz="12" w:space="0"/>
                    <w:right w:val="single" w:color="000000" w:sz="4" w:space="0"/>
                  </w:tcBorders>
                  <w:noWrap w:val="0"/>
                  <w:tcMar>
                    <w:top w:w="120" w:type="dxa"/>
                    <w:left w:w="120" w:type="dxa"/>
                    <w:bottom w:w="120" w:type="dxa"/>
                    <w:right w:w="120" w:type="dxa"/>
                  </w:tcMar>
                  <w:vAlign w:val="center"/>
                </w:tcPr>
                <w:p w14:paraId="569395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0.080</w:t>
                  </w:r>
                </w:p>
              </w:tc>
              <w:tc>
                <w:tcPr>
                  <w:tcW w:w="641" w:type="pct"/>
                  <w:tcBorders>
                    <w:top w:val="single" w:color="000000" w:sz="4" w:space="0"/>
                    <w:left w:val="single" w:color="000000" w:sz="4" w:space="0"/>
                    <w:bottom w:val="single" w:color="000000" w:sz="12" w:space="0"/>
                    <w:right w:val="single" w:color="000000" w:sz="4" w:space="0"/>
                  </w:tcBorders>
                  <w:noWrap w:val="0"/>
                  <w:tcMar>
                    <w:top w:w="120" w:type="dxa"/>
                    <w:left w:w="120" w:type="dxa"/>
                    <w:bottom w:w="120" w:type="dxa"/>
                    <w:right w:w="120" w:type="dxa"/>
                  </w:tcMar>
                  <w:vAlign w:val="center"/>
                </w:tcPr>
                <w:p w14:paraId="30C98C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0.076</w:t>
                  </w:r>
                </w:p>
              </w:tc>
              <w:tc>
                <w:tcPr>
                  <w:tcW w:w="641" w:type="pct"/>
                  <w:tcBorders>
                    <w:top w:val="single" w:color="000000" w:sz="4" w:space="0"/>
                    <w:left w:val="single" w:color="000000" w:sz="4" w:space="0"/>
                    <w:bottom w:val="single" w:color="000000" w:sz="12" w:space="0"/>
                    <w:right w:val="nil"/>
                  </w:tcBorders>
                  <w:noWrap w:val="0"/>
                  <w:tcMar>
                    <w:top w:w="120" w:type="dxa"/>
                    <w:left w:w="120" w:type="dxa"/>
                    <w:bottom w:w="120" w:type="dxa"/>
                    <w:right w:w="120" w:type="dxa"/>
                  </w:tcMar>
                  <w:vAlign w:val="center"/>
                </w:tcPr>
                <w:p w14:paraId="15973F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0.073</w:t>
                  </w:r>
                </w:p>
              </w:tc>
            </w:tr>
          </w:tbl>
          <w:p w14:paraId="3198312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从上表可知，综合抑尘</w:t>
            </w:r>
            <w:r>
              <w:rPr>
                <w:rFonts w:hint="eastAsia" w:cs="Times New Roman"/>
                <w:color w:val="000000"/>
                <w:kern w:val="0"/>
                <w:sz w:val="24"/>
                <w:szCs w:val="24"/>
                <w:highlight w:val="none"/>
                <w:lang w:val="en-US" w:eastAsia="zh-CN" w:bidi="ar"/>
              </w:rPr>
              <w:t>后</w:t>
            </w:r>
            <w:r>
              <w:rPr>
                <w:rFonts w:hint="eastAsia" w:cs="Times New Roman"/>
                <w:color w:val="000000"/>
                <w:kern w:val="2"/>
                <w:sz w:val="24"/>
                <w:szCs w:val="24"/>
                <w:lang w:val="en-US" w:eastAsia="zh-CN"/>
              </w:rPr>
              <w:t>施工厂界可达到</w:t>
            </w:r>
            <w:r>
              <w:rPr>
                <w:rFonts w:hint="default" w:ascii="Times New Roman" w:hAnsi="Times New Roman" w:eastAsia="宋体" w:cs="Times New Roman"/>
                <w:color w:val="000000"/>
                <w:kern w:val="2"/>
                <w:sz w:val="24"/>
                <w:szCs w:val="24"/>
              </w:rPr>
              <w:t>《大气污染物综合排放标准》（GB16297-1996）</w:t>
            </w:r>
            <w:r>
              <w:rPr>
                <w:rFonts w:hint="eastAsia" w:ascii="Times New Roman" w:hAnsi="Times New Roman" w:eastAsia="宋体" w:cs="Times New Roman"/>
                <w:color w:val="000000"/>
                <w:kern w:val="2"/>
                <w:sz w:val="24"/>
                <w:szCs w:val="24"/>
                <w:lang w:val="en-US" w:eastAsia="zh-CN"/>
              </w:rPr>
              <w:t>的要求</w:t>
            </w:r>
            <w:r>
              <w:rPr>
                <w:rFonts w:hint="eastAsia" w:cs="Times New Roman"/>
                <w:color w:val="000000"/>
                <w:kern w:val="2"/>
                <w:sz w:val="24"/>
                <w:szCs w:val="24"/>
                <w:lang w:eastAsia="zh-CN"/>
              </w:rPr>
              <w:t>，</w:t>
            </w:r>
            <w:r>
              <w:rPr>
                <w:rFonts w:hint="default" w:ascii="Times New Roman" w:hAnsi="Times New Roman" w:eastAsia="宋体" w:cs="Times New Roman"/>
                <w:color w:val="000000"/>
                <w:kern w:val="0"/>
                <w:sz w:val="24"/>
                <w:szCs w:val="24"/>
                <w:highlight w:val="none"/>
                <w:lang w:val="en-US" w:eastAsia="zh-CN" w:bidi="ar"/>
              </w:rPr>
              <w:t>施工场地扬尘在30</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40m的距离处</w:t>
            </w:r>
            <w:r>
              <w:rPr>
                <w:rFonts w:hint="eastAsia" w:cs="Times New Roman"/>
                <w:color w:val="000000"/>
                <w:kern w:val="0"/>
                <w:sz w:val="24"/>
                <w:szCs w:val="24"/>
                <w:highlight w:val="none"/>
                <w:lang w:val="en-US" w:eastAsia="zh-CN" w:bidi="ar"/>
              </w:rPr>
              <w:t>接近</w:t>
            </w:r>
            <w:r>
              <w:rPr>
                <w:rFonts w:hint="default" w:ascii="Times New Roman" w:hAnsi="Times New Roman" w:eastAsia="宋体" w:cs="Times New Roman"/>
                <w:color w:val="000000"/>
                <w:kern w:val="0"/>
                <w:sz w:val="24"/>
                <w:szCs w:val="24"/>
                <w:highlight w:val="none"/>
                <w:lang w:val="en-US" w:eastAsia="zh-CN" w:bidi="ar"/>
              </w:rPr>
              <w:t>《环境空气质量标准》（</w:t>
            </w:r>
            <w:r>
              <w:rPr>
                <w:rFonts w:hint="eastAsia" w:cs="Times New Roman"/>
                <w:color w:val="000000"/>
                <w:kern w:val="0"/>
                <w:sz w:val="24"/>
                <w:szCs w:val="24"/>
                <w:highlight w:val="none"/>
                <w:lang w:val="en-US" w:eastAsia="zh-CN" w:bidi="ar"/>
              </w:rPr>
              <w:t>GB 3095</w:t>
            </w:r>
            <w:r>
              <w:rPr>
                <w:rFonts w:hint="default" w:ascii="Times New Roman" w:hAnsi="Times New Roman" w:eastAsia="宋体" w:cs="Times New Roman"/>
                <w:color w:val="000000"/>
                <w:kern w:val="0"/>
                <w:sz w:val="24"/>
                <w:szCs w:val="24"/>
                <w:highlight w:val="none"/>
                <w:lang w:val="en-US" w:eastAsia="zh-CN" w:bidi="ar"/>
              </w:rPr>
              <w:t>-2026）</w:t>
            </w:r>
            <w:r>
              <w:rPr>
                <w:rFonts w:hint="eastAsia" w:ascii="Times New Roman" w:hAnsi="Times New Roman" w:eastAsia="宋体" w:cs="Times New Roman"/>
                <w:color w:val="000000"/>
                <w:kern w:val="0"/>
                <w:sz w:val="24"/>
                <w:szCs w:val="24"/>
                <w:highlight w:val="none"/>
                <w:lang w:val="en-US" w:eastAsia="zh-CN" w:bidi="ar"/>
              </w:rPr>
              <w:t>过渡阶段一</w:t>
            </w:r>
            <w:r>
              <w:rPr>
                <w:rFonts w:hint="default" w:ascii="Times New Roman" w:hAnsi="Times New Roman" w:eastAsia="宋体" w:cs="Times New Roman"/>
                <w:color w:val="000000"/>
                <w:kern w:val="0"/>
                <w:sz w:val="24"/>
                <w:szCs w:val="24"/>
                <w:highlight w:val="none"/>
                <w:lang w:val="en-US" w:eastAsia="zh-CN" w:bidi="ar"/>
              </w:rPr>
              <w:t>级标准。项目施工场地布置在项目范围内，根据项目周围情况，项目</w:t>
            </w:r>
            <w:r>
              <w:rPr>
                <w:rFonts w:hint="eastAsia" w:cs="Times New Roman"/>
                <w:color w:val="000000"/>
                <w:kern w:val="0"/>
                <w:sz w:val="24"/>
                <w:szCs w:val="24"/>
                <w:highlight w:val="none"/>
                <w:lang w:val="en-US" w:eastAsia="zh-CN" w:bidi="ar"/>
              </w:rPr>
              <w:t>5</w:t>
            </w:r>
            <w:r>
              <w:rPr>
                <w:rFonts w:hint="default" w:ascii="Times New Roman" w:hAnsi="Times New Roman" w:eastAsia="宋体" w:cs="Times New Roman"/>
                <w:color w:val="000000"/>
                <w:kern w:val="0"/>
                <w:sz w:val="24"/>
                <w:szCs w:val="24"/>
                <w:highlight w:val="none"/>
                <w:lang w:val="en-US" w:eastAsia="zh-CN" w:bidi="ar"/>
              </w:rPr>
              <w:t>00m范围内有</w:t>
            </w:r>
            <w:r>
              <w:rPr>
                <w:rFonts w:hint="eastAsia" w:ascii="Times New Roman" w:hAnsi="Times New Roman" w:eastAsia="宋体" w:cs="Times New Roman"/>
                <w:color w:val="000000"/>
                <w:kern w:val="0"/>
                <w:sz w:val="24"/>
                <w:szCs w:val="24"/>
                <w:highlight w:val="none"/>
                <w:lang w:val="en-US" w:eastAsia="zh-CN" w:bidi="ar"/>
              </w:rPr>
              <w:t>花儿沟村</w:t>
            </w:r>
            <w:r>
              <w:rPr>
                <w:rFonts w:hint="default" w:ascii="Times New Roman" w:hAnsi="Times New Roman" w:eastAsia="宋体" w:cs="Times New Roman"/>
                <w:color w:val="000000"/>
                <w:kern w:val="0"/>
                <w:sz w:val="24"/>
                <w:szCs w:val="24"/>
                <w:highlight w:val="none"/>
                <w:lang w:val="en-US" w:eastAsia="zh-CN" w:bidi="ar"/>
              </w:rPr>
              <w:t>敏感点，均在不同程度上会受到影响，施工场地、营地等应尽量设置在敏感点的位置，以降低施工扬尘对敏感点的影响。同时施工</w:t>
            </w:r>
            <w:r>
              <w:rPr>
                <w:rFonts w:hint="eastAsia" w:cs="Times New Roman"/>
                <w:color w:val="000000"/>
                <w:kern w:val="0"/>
                <w:sz w:val="24"/>
                <w:szCs w:val="24"/>
                <w:highlight w:val="none"/>
                <w:lang w:val="en-US" w:eastAsia="zh-CN" w:bidi="ar"/>
              </w:rPr>
              <w:t>期间</w:t>
            </w:r>
            <w:r>
              <w:rPr>
                <w:rFonts w:hint="default" w:ascii="Times New Roman" w:hAnsi="Times New Roman" w:eastAsia="宋体" w:cs="Times New Roman"/>
                <w:color w:val="000000"/>
                <w:kern w:val="0"/>
                <w:sz w:val="24"/>
                <w:szCs w:val="24"/>
                <w:highlight w:val="none"/>
                <w:lang w:val="en-US" w:eastAsia="zh-CN" w:bidi="ar"/>
              </w:rPr>
              <w:t>严格执行各项防治措施（具体见第五章），则施工扬尘对周围敏感目标不会产生明显影响，在可接受范围内。</w:t>
            </w:r>
          </w:p>
          <w:p w14:paraId="7B3C539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1.3</w:t>
            </w:r>
            <w:r>
              <w:rPr>
                <w:rFonts w:hint="eastAsia" w:cs="Times New Roman"/>
                <w:b/>
                <w:bCs/>
                <w:color w:val="000000"/>
                <w:kern w:val="0"/>
                <w:sz w:val="24"/>
                <w:szCs w:val="24"/>
                <w:highlight w:val="none"/>
                <w:lang w:val="en-US" w:eastAsia="zh-CN" w:bidi="ar"/>
              </w:rPr>
              <w:t xml:space="preserve"> </w:t>
            </w:r>
            <w:r>
              <w:rPr>
                <w:rFonts w:hint="default" w:ascii="Times New Roman" w:hAnsi="Times New Roman" w:eastAsia="宋体" w:cs="Times New Roman"/>
                <w:b/>
                <w:bCs/>
                <w:color w:val="000000"/>
                <w:kern w:val="0"/>
                <w:sz w:val="24"/>
                <w:szCs w:val="24"/>
                <w:highlight w:val="none"/>
                <w:lang w:val="en-US" w:eastAsia="zh-CN" w:bidi="ar"/>
              </w:rPr>
              <w:t>堆场扬尘环境影响分析</w:t>
            </w:r>
          </w:p>
          <w:p w14:paraId="180811E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施工阶段扬尘的另一个主要来源是露天堆场和裸露场地的风力扬尘。由于施工需要，建筑材料需露天临时堆放，部分施工作业点表层土壤需人工开挖且临时堆放，在气候干燥又有风的情况下，会产生扬尘，其扬尘量可按堆场起尘的经验公式计算：</w:t>
            </w:r>
          </w:p>
          <w:p w14:paraId="2FBCF1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Q=2.1(V</w:t>
            </w:r>
            <w:r>
              <w:rPr>
                <w:rFonts w:hint="default" w:ascii="Times New Roman" w:hAnsi="Times New Roman" w:eastAsia="宋体" w:cs="Times New Roman"/>
                <w:color w:val="000000"/>
                <w:kern w:val="0"/>
                <w:sz w:val="24"/>
                <w:szCs w:val="24"/>
                <w:highlight w:val="none"/>
                <w:vertAlign w:val="subscript"/>
                <w:lang w:val="en-US" w:eastAsia="zh-CN" w:bidi="ar"/>
              </w:rPr>
              <w:t>50</w:t>
            </w:r>
            <w:r>
              <w:rPr>
                <w:rFonts w:hint="default" w:ascii="Times New Roman" w:hAnsi="Times New Roman" w:eastAsia="宋体" w:cs="Times New Roman"/>
                <w:color w:val="000000"/>
                <w:kern w:val="0"/>
                <w:sz w:val="24"/>
                <w:szCs w:val="24"/>
                <w:highlight w:val="none"/>
                <w:lang w:val="en-US" w:eastAsia="zh-CN" w:bidi="ar"/>
              </w:rPr>
              <w:t>-V</w:t>
            </w:r>
            <w:r>
              <w:rPr>
                <w:rFonts w:hint="default" w:ascii="Times New Roman" w:hAnsi="Times New Roman" w:eastAsia="宋体" w:cs="Times New Roman"/>
                <w:color w:val="000000"/>
                <w:kern w:val="0"/>
                <w:sz w:val="24"/>
                <w:szCs w:val="24"/>
                <w:highlight w:val="none"/>
                <w:vertAlign w:val="subscript"/>
                <w:lang w:val="en-US" w:eastAsia="zh-CN" w:bidi="ar"/>
              </w:rPr>
              <w:t>0</w:t>
            </w:r>
            <w:r>
              <w:rPr>
                <w:rFonts w:hint="default" w:ascii="Times New Roman" w:hAnsi="Times New Roman" w:eastAsia="宋体"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 xml:space="preserve"> e</w:t>
            </w:r>
            <w:r>
              <w:rPr>
                <w:rFonts w:hint="default" w:ascii="Times New Roman" w:hAnsi="Times New Roman" w:eastAsia="宋体" w:cs="Times New Roman"/>
                <w:color w:val="000000"/>
                <w:kern w:val="0"/>
                <w:sz w:val="24"/>
                <w:szCs w:val="24"/>
                <w:highlight w:val="none"/>
                <w:vertAlign w:val="superscript"/>
                <w:lang w:val="en-US" w:eastAsia="zh-CN" w:bidi="ar"/>
              </w:rPr>
              <w:t>-1.023w</w:t>
            </w:r>
          </w:p>
          <w:p w14:paraId="12C05D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式中：Q——起尘量，kg/</w:t>
            </w:r>
            <w:r>
              <w:rPr>
                <w:rFonts w:hint="eastAsia" w:cs="Times New Roman"/>
                <w:color w:val="000000"/>
                <w:kern w:val="0"/>
                <w:sz w:val="24"/>
                <w:szCs w:val="24"/>
                <w:highlight w:val="none"/>
                <w:lang w:val="en-US" w:eastAsia="zh-CN" w:bidi="ar"/>
              </w:rPr>
              <w:t>（吨·</w:t>
            </w:r>
            <w:r>
              <w:rPr>
                <w:rFonts w:hint="default" w:ascii="Times New Roman" w:hAnsi="Times New Roman" w:eastAsia="宋体" w:cs="Times New Roman"/>
                <w:color w:val="000000"/>
                <w:kern w:val="0"/>
                <w:sz w:val="24"/>
                <w:szCs w:val="24"/>
                <w:highlight w:val="none"/>
                <w:lang w:val="en-US" w:eastAsia="zh-CN" w:bidi="ar"/>
              </w:rPr>
              <w:t>年</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 xml:space="preserve">   </w:t>
            </w:r>
          </w:p>
          <w:p w14:paraId="478DA728">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V</w:t>
            </w:r>
            <w:r>
              <w:rPr>
                <w:rFonts w:hint="default" w:ascii="Times New Roman" w:hAnsi="Times New Roman" w:eastAsia="宋体" w:cs="Times New Roman"/>
                <w:color w:val="000000"/>
                <w:kern w:val="0"/>
                <w:sz w:val="24"/>
                <w:szCs w:val="24"/>
                <w:highlight w:val="none"/>
                <w:vertAlign w:val="subscript"/>
                <w:lang w:val="en-US" w:eastAsia="zh-CN" w:bidi="ar"/>
              </w:rPr>
              <w:t>50</w:t>
            </w:r>
            <w:r>
              <w:rPr>
                <w:rFonts w:hint="default" w:ascii="Times New Roman" w:hAnsi="Times New Roman" w:eastAsia="宋体" w:cs="Times New Roman"/>
                <w:color w:val="000000"/>
                <w:kern w:val="0"/>
                <w:sz w:val="24"/>
                <w:szCs w:val="24"/>
                <w:highlight w:val="none"/>
                <w:lang w:val="en-US" w:eastAsia="zh-CN" w:bidi="ar"/>
              </w:rPr>
              <w:t>——距地面50m处风速，m/s；</w:t>
            </w:r>
          </w:p>
          <w:p w14:paraId="5C60CD67">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V</w:t>
            </w:r>
            <w:r>
              <w:rPr>
                <w:rFonts w:hint="default" w:ascii="Times New Roman" w:hAnsi="Times New Roman" w:eastAsia="宋体" w:cs="Times New Roman"/>
                <w:color w:val="000000"/>
                <w:kern w:val="0"/>
                <w:sz w:val="24"/>
                <w:szCs w:val="24"/>
                <w:highlight w:val="none"/>
                <w:vertAlign w:val="subscript"/>
                <w:lang w:val="en-US" w:eastAsia="zh-CN" w:bidi="ar"/>
              </w:rPr>
              <w:t>0</w:t>
            </w:r>
            <w:r>
              <w:rPr>
                <w:rFonts w:hint="default" w:ascii="Times New Roman" w:hAnsi="Times New Roman" w:eastAsia="宋体" w:cs="Times New Roman"/>
                <w:color w:val="000000"/>
                <w:kern w:val="0"/>
                <w:sz w:val="24"/>
                <w:szCs w:val="24"/>
                <w:highlight w:val="none"/>
                <w:lang w:val="en-US" w:eastAsia="zh-CN" w:bidi="ar"/>
              </w:rPr>
              <w:t xml:space="preserve">——起尘风速，m/s；     </w:t>
            </w:r>
          </w:p>
          <w:p w14:paraId="757ADACB">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W——尘粒的含水率，%。</w:t>
            </w:r>
          </w:p>
          <w:p w14:paraId="2F30F8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起尘风速与粒径和含水率有关，因此减少露天堆放和保证一定的含水率及减少裸露地面是减少风力起尘的有效手段。粉尘在空气中扩散稀释与风速等气象条件有关，也与粉尘本身的沉降速度有关。不同粒径粉尘沉降速度见表4-3。由表可知，粉尘的沉降速度随粒径的增大而迅速增大。当粒径为250μm时，沉降速度为1.005m/s，因此可以认为当尘粒大于250μm时，主要影响范围在扬尘点下风向近距离范围内，而真正对外环境产生影响的是一些微小粒径的粉尘。</w:t>
            </w:r>
          </w:p>
          <w:p w14:paraId="77DD1C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bCs/>
                <w:sz w:val="21"/>
                <w:szCs w:val="21"/>
              </w:rPr>
              <w:t>表4-3 不同粒径尘粒的沉降速度</w:t>
            </w:r>
          </w:p>
          <w:tbl>
            <w:tblPr>
              <w:tblStyle w:val="32"/>
              <w:tblW w:w="4998" w:type="pct"/>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996"/>
              <w:gridCol w:w="787"/>
              <w:gridCol w:w="787"/>
              <w:gridCol w:w="787"/>
              <w:gridCol w:w="787"/>
              <w:gridCol w:w="787"/>
              <w:gridCol w:w="787"/>
              <w:gridCol w:w="787"/>
            </w:tblGrid>
            <w:tr w14:paraId="5B76F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exact"/>
              </w:trPr>
              <w:tc>
                <w:tcPr>
                  <w:tcW w:w="1329" w:type="pct"/>
                  <w:tcBorders>
                    <w:top w:val="single" w:color="000000" w:sz="12" w:space="0"/>
                    <w:left w:val="nil"/>
                    <w:bottom w:val="single" w:color="000000" w:sz="12" w:space="0"/>
                    <w:right w:val="single" w:color="000000" w:sz="6" w:space="0"/>
                  </w:tcBorders>
                  <w:shd w:val="clear" w:color="auto" w:fill="auto"/>
                  <w:noWrap w:val="0"/>
                  <w:tcMar>
                    <w:top w:w="120" w:type="dxa"/>
                    <w:left w:w="120" w:type="dxa"/>
                    <w:bottom w:w="120" w:type="dxa"/>
                    <w:right w:w="120" w:type="dxa"/>
                  </w:tcMar>
                  <w:vAlign w:val="center"/>
                </w:tcPr>
                <w:p w14:paraId="38EBDD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粉尘粒径（μm）</w:t>
                  </w:r>
                </w:p>
              </w:tc>
              <w:tc>
                <w:tcPr>
                  <w:tcW w:w="524" w:type="pct"/>
                  <w:tcBorders>
                    <w:top w:val="single" w:color="000000" w:sz="12" w:space="0"/>
                    <w:left w:val="single" w:color="000000" w:sz="6" w:space="0"/>
                    <w:bottom w:val="single" w:color="000000" w:sz="12" w:space="0"/>
                    <w:right w:val="single" w:color="000000" w:sz="6" w:space="0"/>
                  </w:tcBorders>
                  <w:shd w:val="clear" w:color="auto" w:fill="auto"/>
                  <w:noWrap w:val="0"/>
                  <w:tcMar>
                    <w:top w:w="120" w:type="dxa"/>
                    <w:left w:w="120" w:type="dxa"/>
                    <w:bottom w:w="120" w:type="dxa"/>
                    <w:right w:w="120" w:type="dxa"/>
                  </w:tcMar>
                  <w:vAlign w:val="center"/>
                </w:tcPr>
                <w:p w14:paraId="4AF6E8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10</w:t>
                  </w:r>
                </w:p>
              </w:tc>
              <w:tc>
                <w:tcPr>
                  <w:tcW w:w="524" w:type="pct"/>
                  <w:tcBorders>
                    <w:top w:val="single" w:color="000000" w:sz="12" w:space="0"/>
                    <w:left w:val="single" w:color="000000" w:sz="6" w:space="0"/>
                    <w:bottom w:val="single" w:color="000000" w:sz="12" w:space="0"/>
                    <w:right w:val="single" w:color="000000" w:sz="6" w:space="0"/>
                  </w:tcBorders>
                  <w:shd w:val="clear" w:color="auto" w:fill="auto"/>
                  <w:noWrap w:val="0"/>
                  <w:tcMar>
                    <w:top w:w="120" w:type="dxa"/>
                    <w:left w:w="120" w:type="dxa"/>
                    <w:bottom w:w="120" w:type="dxa"/>
                    <w:right w:w="120" w:type="dxa"/>
                  </w:tcMar>
                  <w:vAlign w:val="center"/>
                </w:tcPr>
                <w:p w14:paraId="577FA8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20</w:t>
                  </w:r>
                </w:p>
              </w:tc>
              <w:tc>
                <w:tcPr>
                  <w:tcW w:w="524" w:type="pct"/>
                  <w:tcBorders>
                    <w:top w:val="single" w:color="000000" w:sz="12" w:space="0"/>
                    <w:left w:val="single" w:color="000000" w:sz="6" w:space="0"/>
                    <w:bottom w:val="single" w:color="000000" w:sz="12" w:space="0"/>
                    <w:right w:val="single" w:color="000000" w:sz="6" w:space="0"/>
                  </w:tcBorders>
                  <w:shd w:val="clear" w:color="auto" w:fill="auto"/>
                  <w:noWrap w:val="0"/>
                  <w:tcMar>
                    <w:top w:w="120" w:type="dxa"/>
                    <w:left w:w="120" w:type="dxa"/>
                    <w:bottom w:w="120" w:type="dxa"/>
                    <w:right w:w="120" w:type="dxa"/>
                  </w:tcMar>
                  <w:vAlign w:val="center"/>
                </w:tcPr>
                <w:p w14:paraId="07C4B9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30</w:t>
                  </w:r>
                </w:p>
              </w:tc>
              <w:tc>
                <w:tcPr>
                  <w:tcW w:w="524" w:type="pct"/>
                  <w:tcBorders>
                    <w:top w:val="single" w:color="000000" w:sz="12" w:space="0"/>
                    <w:left w:val="single" w:color="000000" w:sz="6" w:space="0"/>
                    <w:bottom w:val="single" w:color="000000" w:sz="12" w:space="0"/>
                    <w:right w:val="single" w:color="000000" w:sz="6" w:space="0"/>
                  </w:tcBorders>
                  <w:shd w:val="clear" w:color="auto" w:fill="auto"/>
                  <w:noWrap w:val="0"/>
                  <w:tcMar>
                    <w:top w:w="120" w:type="dxa"/>
                    <w:left w:w="120" w:type="dxa"/>
                    <w:bottom w:w="120" w:type="dxa"/>
                    <w:right w:w="120" w:type="dxa"/>
                  </w:tcMar>
                  <w:vAlign w:val="center"/>
                </w:tcPr>
                <w:p w14:paraId="506578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40</w:t>
                  </w:r>
                </w:p>
              </w:tc>
              <w:tc>
                <w:tcPr>
                  <w:tcW w:w="524" w:type="pct"/>
                  <w:tcBorders>
                    <w:top w:val="single" w:color="000000" w:sz="12" w:space="0"/>
                    <w:left w:val="single" w:color="000000" w:sz="6" w:space="0"/>
                    <w:bottom w:val="single" w:color="000000" w:sz="12" w:space="0"/>
                    <w:right w:val="single" w:color="000000" w:sz="6" w:space="0"/>
                  </w:tcBorders>
                  <w:shd w:val="clear" w:color="auto" w:fill="auto"/>
                  <w:noWrap w:val="0"/>
                  <w:tcMar>
                    <w:top w:w="120" w:type="dxa"/>
                    <w:left w:w="120" w:type="dxa"/>
                    <w:bottom w:w="120" w:type="dxa"/>
                    <w:right w:w="120" w:type="dxa"/>
                  </w:tcMar>
                  <w:vAlign w:val="center"/>
                </w:tcPr>
                <w:p w14:paraId="731800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50</w:t>
                  </w:r>
                </w:p>
              </w:tc>
              <w:tc>
                <w:tcPr>
                  <w:tcW w:w="524" w:type="pct"/>
                  <w:tcBorders>
                    <w:top w:val="single" w:color="000000" w:sz="12" w:space="0"/>
                    <w:left w:val="single" w:color="000000" w:sz="6" w:space="0"/>
                    <w:bottom w:val="single" w:color="000000" w:sz="12" w:space="0"/>
                    <w:right w:val="single" w:color="000000" w:sz="6" w:space="0"/>
                  </w:tcBorders>
                  <w:shd w:val="clear" w:color="auto" w:fill="auto"/>
                  <w:noWrap w:val="0"/>
                  <w:tcMar>
                    <w:top w:w="120" w:type="dxa"/>
                    <w:left w:w="120" w:type="dxa"/>
                    <w:bottom w:w="120" w:type="dxa"/>
                    <w:right w:w="120" w:type="dxa"/>
                  </w:tcMar>
                  <w:vAlign w:val="center"/>
                </w:tcPr>
                <w:p w14:paraId="5A0096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60</w:t>
                  </w:r>
                </w:p>
              </w:tc>
              <w:tc>
                <w:tcPr>
                  <w:tcW w:w="524" w:type="pct"/>
                  <w:tcBorders>
                    <w:top w:val="single" w:color="000000" w:sz="12" w:space="0"/>
                    <w:left w:val="single" w:color="000000" w:sz="6" w:space="0"/>
                    <w:bottom w:val="single" w:color="000000" w:sz="12" w:space="0"/>
                    <w:right w:val="nil"/>
                  </w:tcBorders>
                  <w:shd w:val="clear" w:color="auto" w:fill="auto"/>
                  <w:noWrap w:val="0"/>
                  <w:tcMar>
                    <w:top w:w="120" w:type="dxa"/>
                    <w:left w:w="120" w:type="dxa"/>
                    <w:bottom w:w="120" w:type="dxa"/>
                    <w:right w:w="120" w:type="dxa"/>
                  </w:tcMar>
                  <w:vAlign w:val="center"/>
                </w:tcPr>
                <w:p w14:paraId="1A0924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70</w:t>
                  </w:r>
                </w:p>
              </w:tc>
            </w:tr>
            <w:tr w14:paraId="0E3BF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exact"/>
              </w:trPr>
              <w:tc>
                <w:tcPr>
                  <w:tcW w:w="1329" w:type="pct"/>
                  <w:tcBorders>
                    <w:top w:val="single" w:color="000000" w:sz="12" w:space="0"/>
                    <w:left w:val="nil"/>
                    <w:bottom w:val="single" w:color="000000" w:sz="6" w:space="0"/>
                    <w:right w:val="single" w:color="000000" w:sz="6" w:space="0"/>
                  </w:tcBorders>
                  <w:shd w:val="clear" w:color="auto" w:fill="auto"/>
                  <w:noWrap w:val="0"/>
                  <w:tcMar>
                    <w:top w:w="120" w:type="dxa"/>
                    <w:left w:w="120" w:type="dxa"/>
                    <w:bottom w:w="120" w:type="dxa"/>
                    <w:right w:w="120" w:type="dxa"/>
                  </w:tcMar>
                  <w:vAlign w:val="center"/>
                </w:tcPr>
                <w:p w14:paraId="6D4E6D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沉降速度（m/s）</w:t>
                  </w:r>
                </w:p>
              </w:tc>
              <w:tc>
                <w:tcPr>
                  <w:tcW w:w="524" w:type="pct"/>
                  <w:tcBorders>
                    <w:top w:val="single" w:color="000000" w:sz="12" w:space="0"/>
                    <w:left w:val="single" w:color="000000" w:sz="6" w:space="0"/>
                    <w:bottom w:val="single" w:color="000000" w:sz="6" w:space="0"/>
                    <w:right w:val="single" w:color="000000" w:sz="6" w:space="0"/>
                  </w:tcBorders>
                  <w:shd w:val="clear" w:color="auto" w:fill="auto"/>
                  <w:noWrap w:val="0"/>
                  <w:tcMar>
                    <w:top w:w="120" w:type="dxa"/>
                    <w:left w:w="120" w:type="dxa"/>
                    <w:bottom w:w="120" w:type="dxa"/>
                    <w:right w:w="120" w:type="dxa"/>
                  </w:tcMar>
                  <w:vAlign w:val="center"/>
                </w:tcPr>
                <w:p w14:paraId="7B50AC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0.003</w:t>
                  </w:r>
                </w:p>
              </w:tc>
              <w:tc>
                <w:tcPr>
                  <w:tcW w:w="524" w:type="pct"/>
                  <w:tcBorders>
                    <w:top w:val="single" w:color="000000" w:sz="12" w:space="0"/>
                    <w:left w:val="single" w:color="000000" w:sz="6" w:space="0"/>
                    <w:bottom w:val="single" w:color="000000" w:sz="6" w:space="0"/>
                    <w:right w:val="single" w:color="000000" w:sz="6" w:space="0"/>
                  </w:tcBorders>
                  <w:shd w:val="clear" w:color="auto" w:fill="auto"/>
                  <w:noWrap w:val="0"/>
                  <w:tcMar>
                    <w:top w:w="120" w:type="dxa"/>
                    <w:left w:w="120" w:type="dxa"/>
                    <w:bottom w:w="120" w:type="dxa"/>
                    <w:right w:w="120" w:type="dxa"/>
                  </w:tcMar>
                  <w:vAlign w:val="center"/>
                </w:tcPr>
                <w:p w14:paraId="69C103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0.012</w:t>
                  </w:r>
                </w:p>
              </w:tc>
              <w:tc>
                <w:tcPr>
                  <w:tcW w:w="524" w:type="pct"/>
                  <w:tcBorders>
                    <w:top w:val="single" w:color="000000" w:sz="12" w:space="0"/>
                    <w:left w:val="single" w:color="000000" w:sz="6" w:space="0"/>
                    <w:bottom w:val="single" w:color="000000" w:sz="6" w:space="0"/>
                    <w:right w:val="single" w:color="000000" w:sz="6" w:space="0"/>
                  </w:tcBorders>
                  <w:shd w:val="clear" w:color="auto" w:fill="auto"/>
                  <w:noWrap w:val="0"/>
                  <w:tcMar>
                    <w:top w:w="120" w:type="dxa"/>
                    <w:left w:w="120" w:type="dxa"/>
                    <w:bottom w:w="120" w:type="dxa"/>
                    <w:right w:w="120" w:type="dxa"/>
                  </w:tcMar>
                  <w:vAlign w:val="center"/>
                </w:tcPr>
                <w:p w14:paraId="7587EB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0.027</w:t>
                  </w:r>
                </w:p>
              </w:tc>
              <w:tc>
                <w:tcPr>
                  <w:tcW w:w="524" w:type="pct"/>
                  <w:tcBorders>
                    <w:top w:val="single" w:color="000000" w:sz="12" w:space="0"/>
                    <w:left w:val="single" w:color="000000" w:sz="6" w:space="0"/>
                    <w:bottom w:val="single" w:color="000000" w:sz="6" w:space="0"/>
                    <w:right w:val="single" w:color="000000" w:sz="6" w:space="0"/>
                  </w:tcBorders>
                  <w:shd w:val="clear" w:color="auto" w:fill="auto"/>
                  <w:noWrap w:val="0"/>
                  <w:tcMar>
                    <w:top w:w="120" w:type="dxa"/>
                    <w:left w:w="120" w:type="dxa"/>
                    <w:bottom w:w="120" w:type="dxa"/>
                    <w:right w:w="120" w:type="dxa"/>
                  </w:tcMar>
                  <w:vAlign w:val="center"/>
                </w:tcPr>
                <w:p w14:paraId="19B21A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0.048</w:t>
                  </w:r>
                </w:p>
              </w:tc>
              <w:tc>
                <w:tcPr>
                  <w:tcW w:w="524" w:type="pct"/>
                  <w:tcBorders>
                    <w:top w:val="single" w:color="000000" w:sz="12" w:space="0"/>
                    <w:left w:val="single" w:color="000000" w:sz="6" w:space="0"/>
                    <w:bottom w:val="single" w:color="000000" w:sz="6" w:space="0"/>
                    <w:right w:val="single" w:color="000000" w:sz="6" w:space="0"/>
                  </w:tcBorders>
                  <w:shd w:val="clear" w:color="auto" w:fill="auto"/>
                  <w:noWrap w:val="0"/>
                  <w:tcMar>
                    <w:top w:w="120" w:type="dxa"/>
                    <w:left w:w="120" w:type="dxa"/>
                    <w:bottom w:w="120" w:type="dxa"/>
                    <w:right w:w="120" w:type="dxa"/>
                  </w:tcMar>
                  <w:vAlign w:val="center"/>
                </w:tcPr>
                <w:p w14:paraId="6DF8B1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0.075</w:t>
                  </w:r>
                </w:p>
              </w:tc>
              <w:tc>
                <w:tcPr>
                  <w:tcW w:w="524" w:type="pct"/>
                  <w:tcBorders>
                    <w:top w:val="single" w:color="000000" w:sz="12" w:space="0"/>
                    <w:left w:val="single" w:color="000000" w:sz="6" w:space="0"/>
                    <w:bottom w:val="single" w:color="000000" w:sz="6" w:space="0"/>
                    <w:right w:val="single" w:color="000000" w:sz="6" w:space="0"/>
                  </w:tcBorders>
                  <w:shd w:val="clear" w:color="auto" w:fill="auto"/>
                  <w:noWrap w:val="0"/>
                  <w:tcMar>
                    <w:top w:w="120" w:type="dxa"/>
                    <w:left w:w="120" w:type="dxa"/>
                    <w:bottom w:w="120" w:type="dxa"/>
                    <w:right w:w="120" w:type="dxa"/>
                  </w:tcMar>
                  <w:vAlign w:val="center"/>
                </w:tcPr>
                <w:p w14:paraId="64AAEF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0.108</w:t>
                  </w:r>
                </w:p>
              </w:tc>
              <w:tc>
                <w:tcPr>
                  <w:tcW w:w="524" w:type="pct"/>
                  <w:tcBorders>
                    <w:top w:val="single" w:color="000000" w:sz="12" w:space="0"/>
                    <w:left w:val="single" w:color="000000" w:sz="6" w:space="0"/>
                    <w:bottom w:val="single" w:color="000000" w:sz="6" w:space="0"/>
                    <w:right w:val="nil"/>
                  </w:tcBorders>
                  <w:shd w:val="clear" w:color="auto" w:fill="auto"/>
                  <w:noWrap w:val="0"/>
                  <w:tcMar>
                    <w:top w:w="120" w:type="dxa"/>
                    <w:left w:w="120" w:type="dxa"/>
                    <w:bottom w:w="120" w:type="dxa"/>
                    <w:right w:w="120" w:type="dxa"/>
                  </w:tcMar>
                  <w:vAlign w:val="center"/>
                </w:tcPr>
                <w:p w14:paraId="263C6F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0.147</w:t>
                  </w:r>
                </w:p>
              </w:tc>
            </w:tr>
            <w:tr w14:paraId="4A66B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exact"/>
              </w:trPr>
              <w:tc>
                <w:tcPr>
                  <w:tcW w:w="1329" w:type="pct"/>
                  <w:tcBorders>
                    <w:top w:val="single" w:color="000000" w:sz="6" w:space="0"/>
                    <w:left w:val="nil"/>
                    <w:bottom w:val="single" w:color="000000" w:sz="6" w:space="0"/>
                    <w:right w:val="single" w:color="000000" w:sz="6" w:space="0"/>
                  </w:tcBorders>
                  <w:noWrap w:val="0"/>
                  <w:tcMar>
                    <w:top w:w="120" w:type="dxa"/>
                    <w:left w:w="120" w:type="dxa"/>
                    <w:bottom w:w="120" w:type="dxa"/>
                    <w:right w:w="120" w:type="dxa"/>
                  </w:tcMar>
                  <w:vAlign w:val="center"/>
                </w:tcPr>
                <w:p w14:paraId="460B9E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粉尘粒径（μm）</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3C987E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80</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2325C8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90</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59F6B6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100</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2C6DE6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150</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4934BC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200</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3BB5B2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250</w:t>
                  </w:r>
                </w:p>
              </w:tc>
              <w:tc>
                <w:tcPr>
                  <w:tcW w:w="524" w:type="pct"/>
                  <w:tcBorders>
                    <w:top w:val="single" w:color="000000" w:sz="6" w:space="0"/>
                    <w:left w:val="single" w:color="000000" w:sz="6" w:space="0"/>
                    <w:bottom w:val="single" w:color="000000" w:sz="6" w:space="0"/>
                    <w:right w:val="nil"/>
                  </w:tcBorders>
                  <w:noWrap w:val="0"/>
                  <w:tcMar>
                    <w:top w:w="120" w:type="dxa"/>
                    <w:left w:w="120" w:type="dxa"/>
                    <w:bottom w:w="120" w:type="dxa"/>
                    <w:right w:w="120" w:type="dxa"/>
                  </w:tcMar>
                  <w:vAlign w:val="center"/>
                </w:tcPr>
                <w:p w14:paraId="16DA50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350</w:t>
                  </w:r>
                </w:p>
              </w:tc>
            </w:tr>
            <w:tr w14:paraId="1CB99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exact"/>
              </w:trPr>
              <w:tc>
                <w:tcPr>
                  <w:tcW w:w="1329" w:type="pct"/>
                  <w:tcBorders>
                    <w:top w:val="single" w:color="000000" w:sz="6" w:space="0"/>
                    <w:left w:val="nil"/>
                    <w:bottom w:val="single" w:color="000000" w:sz="6" w:space="0"/>
                    <w:right w:val="single" w:color="000000" w:sz="6" w:space="0"/>
                  </w:tcBorders>
                  <w:noWrap w:val="0"/>
                  <w:tcMar>
                    <w:top w:w="120" w:type="dxa"/>
                    <w:left w:w="120" w:type="dxa"/>
                    <w:bottom w:w="120" w:type="dxa"/>
                    <w:right w:w="120" w:type="dxa"/>
                  </w:tcMar>
                  <w:vAlign w:val="center"/>
                </w:tcPr>
                <w:p w14:paraId="38EC42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沉降速度（m/s）</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5E8E7B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0.158</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0A53B9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0.170</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21FEEC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0.182</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07BF95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0.239</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27F23A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0.804</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173B12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1.005</w:t>
                  </w:r>
                </w:p>
              </w:tc>
              <w:tc>
                <w:tcPr>
                  <w:tcW w:w="524" w:type="pct"/>
                  <w:tcBorders>
                    <w:top w:val="single" w:color="000000" w:sz="6" w:space="0"/>
                    <w:left w:val="single" w:color="000000" w:sz="6" w:space="0"/>
                    <w:bottom w:val="single" w:color="000000" w:sz="6" w:space="0"/>
                    <w:right w:val="nil"/>
                  </w:tcBorders>
                  <w:noWrap w:val="0"/>
                  <w:tcMar>
                    <w:top w:w="120" w:type="dxa"/>
                    <w:left w:w="120" w:type="dxa"/>
                    <w:bottom w:w="120" w:type="dxa"/>
                    <w:right w:w="120" w:type="dxa"/>
                  </w:tcMar>
                  <w:vAlign w:val="center"/>
                </w:tcPr>
                <w:p w14:paraId="7AAE3B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1.829</w:t>
                  </w:r>
                </w:p>
              </w:tc>
            </w:tr>
            <w:tr w14:paraId="5CC5E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exact"/>
              </w:trPr>
              <w:tc>
                <w:tcPr>
                  <w:tcW w:w="1329" w:type="pct"/>
                  <w:tcBorders>
                    <w:top w:val="single" w:color="000000" w:sz="6" w:space="0"/>
                    <w:left w:val="nil"/>
                    <w:bottom w:val="single" w:color="000000" w:sz="6" w:space="0"/>
                    <w:right w:val="single" w:color="000000" w:sz="6" w:space="0"/>
                  </w:tcBorders>
                  <w:noWrap w:val="0"/>
                  <w:tcMar>
                    <w:top w:w="120" w:type="dxa"/>
                    <w:left w:w="120" w:type="dxa"/>
                    <w:bottom w:w="120" w:type="dxa"/>
                    <w:right w:w="120" w:type="dxa"/>
                  </w:tcMar>
                  <w:vAlign w:val="center"/>
                </w:tcPr>
                <w:p w14:paraId="204A8E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粉尘粒径（μm）</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49BE68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450</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450A7B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550</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23EE9E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650</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7EDEFF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750</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08ECC1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850</w:t>
                  </w:r>
                </w:p>
              </w:tc>
              <w:tc>
                <w:tcPr>
                  <w:tcW w:w="524" w:type="pct"/>
                  <w:tcBorders>
                    <w:top w:val="single" w:color="000000" w:sz="6" w:space="0"/>
                    <w:left w:val="single" w:color="000000" w:sz="6" w:space="0"/>
                    <w:bottom w:val="single" w:color="000000" w:sz="6" w:space="0"/>
                    <w:right w:val="single" w:color="000000" w:sz="6" w:space="0"/>
                  </w:tcBorders>
                  <w:noWrap w:val="0"/>
                  <w:tcMar>
                    <w:top w:w="120" w:type="dxa"/>
                    <w:left w:w="120" w:type="dxa"/>
                    <w:bottom w:w="120" w:type="dxa"/>
                    <w:right w:w="120" w:type="dxa"/>
                  </w:tcMar>
                  <w:vAlign w:val="center"/>
                </w:tcPr>
                <w:p w14:paraId="791181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950</w:t>
                  </w:r>
                </w:p>
              </w:tc>
              <w:tc>
                <w:tcPr>
                  <w:tcW w:w="524" w:type="pct"/>
                  <w:tcBorders>
                    <w:top w:val="single" w:color="000000" w:sz="6" w:space="0"/>
                    <w:left w:val="single" w:color="000000" w:sz="6" w:space="0"/>
                    <w:bottom w:val="single" w:color="000000" w:sz="6" w:space="0"/>
                    <w:right w:val="nil"/>
                  </w:tcBorders>
                  <w:noWrap w:val="0"/>
                  <w:tcMar>
                    <w:top w:w="120" w:type="dxa"/>
                    <w:left w:w="120" w:type="dxa"/>
                    <w:bottom w:w="120" w:type="dxa"/>
                    <w:right w:w="120" w:type="dxa"/>
                  </w:tcMar>
                  <w:vAlign w:val="center"/>
                </w:tcPr>
                <w:p w14:paraId="7D7FD1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1050</w:t>
                  </w:r>
                </w:p>
              </w:tc>
            </w:tr>
            <w:tr w14:paraId="2057C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exact"/>
              </w:trPr>
              <w:tc>
                <w:tcPr>
                  <w:tcW w:w="1329" w:type="pct"/>
                  <w:tcBorders>
                    <w:top w:val="single" w:color="000000" w:sz="6" w:space="0"/>
                    <w:left w:val="nil"/>
                    <w:bottom w:val="single" w:color="000000" w:sz="12" w:space="0"/>
                    <w:right w:val="single" w:color="000000" w:sz="6" w:space="0"/>
                  </w:tcBorders>
                  <w:noWrap w:val="0"/>
                  <w:tcMar>
                    <w:top w:w="120" w:type="dxa"/>
                    <w:left w:w="120" w:type="dxa"/>
                    <w:bottom w:w="120" w:type="dxa"/>
                    <w:right w:w="120" w:type="dxa"/>
                  </w:tcMar>
                  <w:vAlign w:val="center"/>
                </w:tcPr>
                <w:p w14:paraId="124D25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沉降速度（m/s）</w:t>
                  </w:r>
                </w:p>
              </w:tc>
              <w:tc>
                <w:tcPr>
                  <w:tcW w:w="524" w:type="pct"/>
                  <w:tcBorders>
                    <w:top w:val="single" w:color="000000" w:sz="6" w:space="0"/>
                    <w:left w:val="single" w:color="000000" w:sz="6" w:space="0"/>
                    <w:bottom w:val="single" w:color="000000" w:sz="12" w:space="0"/>
                    <w:right w:val="single" w:color="000000" w:sz="6" w:space="0"/>
                  </w:tcBorders>
                  <w:noWrap w:val="0"/>
                  <w:tcMar>
                    <w:top w:w="120" w:type="dxa"/>
                    <w:left w:w="120" w:type="dxa"/>
                    <w:bottom w:w="120" w:type="dxa"/>
                    <w:right w:w="120" w:type="dxa"/>
                  </w:tcMar>
                  <w:vAlign w:val="center"/>
                </w:tcPr>
                <w:p w14:paraId="1F2F4E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2.211</w:t>
                  </w:r>
                </w:p>
              </w:tc>
              <w:tc>
                <w:tcPr>
                  <w:tcW w:w="524" w:type="pct"/>
                  <w:tcBorders>
                    <w:top w:val="single" w:color="000000" w:sz="6" w:space="0"/>
                    <w:left w:val="single" w:color="000000" w:sz="6" w:space="0"/>
                    <w:bottom w:val="single" w:color="000000" w:sz="12" w:space="0"/>
                    <w:right w:val="single" w:color="000000" w:sz="6" w:space="0"/>
                  </w:tcBorders>
                  <w:noWrap w:val="0"/>
                  <w:tcMar>
                    <w:top w:w="120" w:type="dxa"/>
                    <w:left w:w="120" w:type="dxa"/>
                    <w:bottom w:w="120" w:type="dxa"/>
                    <w:right w:w="120" w:type="dxa"/>
                  </w:tcMar>
                  <w:vAlign w:val="center"/>
                </w:tcPr>
                <w:p w14:paraId="498544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2.614</w:t>
                  </w:r>
                </w:p>
              </w:tc>
              <w:tc>
                <w:tcPr>
                  <w:tcW w:w="524" w:type="pct"/>
                  <w:tcBorders>
                    <w:top w:val="single" w:color="000000" w:sz="6" w:space="0"/>
                    <w:left w:val="single" w:color="000000" w:sz="6" w:space="0"/>
                    <w:bottom w:val="single" w:color="000000" w:sz="12" w:space="0"/>
                    <w:right w:val="single" w:color="000000" w:sz="6" w:space="0"/>
                  </w:tcBorders>
                  <w:noWrap w:val="0"/>
                  <w:tcMar>
                    <w:top w:w="120" w:type="dxa"/>
                    <w:left w:w="120" w:type="dxa"/>
                    <w:bottom w:w="120" w:type="dxa"/>
                    <w:right w:w="120" w:type="dxa"/>
                  </w:tcMar>
                  <w:vAlign w:val="center"/>
                </w:tcPr>
                <w:p w14:paraId="0C10B9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3.016</w:t>
                  </w:r>
                </w:p>
              </w:tc>
              <w:tc>
                <w:tcPr>
                  <w:tcW w:w="524" w:type="pct"/>
                  <w:tcBorders>
                    <w:top w:val="single" w:color="000000" w:sz="6" w:space="0"/>
                    <w:left w:val="single" w:color="000000" w:sz="6" w:space="0"/>
                    <w:bottom w:val="single" w:color="000000" w:sz="12" w:space="0"/>
                    <w:right w:val="single" w:color="000000" w:sz="6" w:space="0"/>
                  </w:tcBorders>
                  <w:noWrap w:val="0"/>
                  <w:tcMar>
                    <w:top w:w="120" w:type="dxa"/>
                    <w:left w:w="120" w:type="dxa"/>
                    <w:bottom w:w="120" w:type="dxa"/>
                    <w:right w:w="120" w:type="dxa"/>
                  </w:tcMar>
                  <w:vAlign w:val="center"/>
                </w:tcPr>
                <w:p w14:paraId="3970F9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3.418</w:t>
                  </w:r>
                </w:p>
              </w:tc>
              <w:tc>
                <w:tcPr>
                  <w:tcW w:w="524" w:type="pct"/>
                  <w:tcBorders>
                    <w:top w:val="single" w:color="000000" w:sz="6" w:space="0"/>
                    <w:left w:val="single" w:color="000000" w:sz="6" w:space="0"/>
                    <w:bottom w:val="single" w:color="000000" w:sz="12" w:space="0"/>
                    <w:right w:val="single" w:color="000000" w:sz="6" w:space="0"/>
                  </w:tcBorders>
                  <w:noWrap w:val="0"/>
                  <w:tcMar>
                    <w:top w:w="120" w:type="dxa"/>
                    <w:left w:w="120" w:type="dxa"/>
                    <w:bottom w:w="120" w:type="dxa"/>
                    <w:right w:w="120" w:type="dxa"/>
                  </w:tcMar>
                  <w:vAlign w:val="center"/>
                </w:tcPr>
                <w:p w14:paraId="5039BF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3.820</w:t>
                  </w:r>
                </w:p>
              </w:tc>
              <w:tc>
                <w:tcPr>
                  <w:tcW w:w="524" w:type="pct"/>
                  <w:tcBorders>
                    <w:top w:val="single" w:color="000000" w:sz="6" w:space="0"/>
                    <w:left w:val="single" w:color="000000" w:sz="6" w:space="0"/>
                    <w:bottom w:val="single" w:color="000000" w:sz="12" w:space="0"/>
                    <w:right w:val="single" w:color="000000" w:sz="6" w:space="0"/>
                  </w:tcBorders>
                  <w:noWrap w:val="0"/>
                  <w:tcMar>
                    <w:top w:w="120" w:type="dxa"/>
                    <w:left w:w="120" w:type="dxa"/>
                    <w:bottom w:w="120" w:type="dxa"/>
                    <w:right w:w="120" w:type="dxa"/>
                  </w:tcMar>
                  <w:vAlign w:val="center"/>
                </w:tcPr>
                <w:p w14:paraId="3F6AEA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4.222</w:t>
                  </w:r>
                </w:p>
              </w:tc>
              <w:tc>
                <w:tcPr>
                  <w:tcW w:w="524" w:type="pct"/>
                  <w:tcBorders>
                    <w:top w:val="single" w:color="000000" w:sz="6" w:space="0"/>
                    <w:left w:val="single" w:color="000000" w:sz="6" w:space="0"/>
                    <w:bottom w:val="single" w:color="000000" w:sz="12" w:space="0"/>
                    <w:right w:val="nil"/>
                  </w:tcBorders>
                  <w:noWrap w:val="0"/>
                  <w:tcMar>
                    <w:top w:w="120" w:type="dxa"/>
                    <w:left w:w="120" w:type="dxa"/>
                    <w:bottom w:w="120" w:type="dxa"/>
                    <w:right w:w="120" w:type="dxa"/>
                  </w:tcMar>
                  <w:vAlign w:val="center"/>
                </w:tcPr>
                <w:p w14:paraId="5A6682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4.624</w:t>
                  </w:r>
                </w:p>
              </w:tc>
            </w:tr>
          </w:tbl>
          <w:p w14:paraId="74AAB684">
            <w:pPr>
              <w:keepNext w:val="0"/>
              <w:keepLines w:val="0"/>
              <w:pageBreakBefore w:val="0"/>
              <w:widowControl w:val="0"/>
              <w:kinsoku/>
              <w:wordWrap/>
              <w:overflowPunct/>
              <w:topLinePunct w:val="0"/>
              <w:autoSpaceDE/>
              <w:autoSpaceDN/>
              <w:bidi w:val="0"/>
              <w:adjustRightInd w:val="0"/>
              <w:snapToGrid w:val="0"/>
              <w:spacing w:line="360" w:lineRule="auto"/>
              <w:ind w:firstLine="468" w:firstLineChars="200"/>
              <w:textAlignment w:val="auto"/>
              <w:rPr>
                <w:rFonts w:hint="default" w:ascii="Times New Roman" w:hAnsi="Times New Roman" w:eastAsia="宋体" w:cs="Times New Roman"/>
                <w:spacing w:val="-1"/>
              </w:rPr>
            </w:pPr>
            <w:r>
              <w:rPr>
                <w:rFonts w:hint="default" w:ascii="Times New Roman" w:hAnsi="Times New Roman" w:eastAsia="宋体" w:cs="Times New Roman"/>
                <w:spacing w:val="-3"/>
              </w:rPr>
              <w:t>施工单位同样需严格执行大气污染防治措施，做好施工期管理；项目</w:t>
            </w:r>
            <w:r>
              <w:rPr>
                <w:rFonts w:hint="default" w:ascii="Times New Roman" w:hAnsi="Times New Roman" w:eastAsia="宋体" w:cs="Times New Roman"/>
                <w:spacing w:val="-4"/>
              </w:rPr>
              <w:t>材料堆场、</w:t>
            </w:r>
            <w:r>
              <w:rPr>
                <w:rFonts w:hint="default" w:ascii="Times New Roman" w:hAnsi="Times New Roman" w:eastAsia="宋体" w:cs="Times New Roman"/>
                <w:spacing w:val="1"/>
              </w:rPr>
              <w:t>临时弃土场等均布置在</w:t>
            </w:r>
            <w:r>
              <w:rPr>
                <w:rFonts w:hint="default" w:ascii="Times New Roman" w:hAnsi="Times New Roman" w:eastAsia="宋体" w:cs="Times New Roman"/>
                <w:spacing w:val="1"/>
                <w:lang w:val="en-US" w:eastAsia="zh-CN"/>
              </w:rPr>
              <w:t>项目</w:t>
            </w:r>
            <w:r>
              <w:rPr>
                <w:rFonts w:hint="default" w:ascii="Times New Roman" w:hAnsi="Times New Roman" w:eastAsia="宋体" w:cs="Times New Roman"/>
                <w:spacing w:val="1"/>
              </w:rPr>
              <w:t>范围内，根据项目周围情况，项目200m范围内有</w:t>
            </w:r>
            <w:r>
              <w:rPr>
                <w:rFonts w:hint="eastAsia" w:ascii="Times New Roman" w:hAnsi="Times New Roman" w:eastAsia="宋体" w:cs="Times New Roman"/>
                <w:spacing w:val="1"/>
                <w:lang w:val="en-US" w:eastAsia="zh-CN"/>
              </w:rPr>
              <w:t>花儿沟村</w:t>
            </w:r>
            <w:r>
              <w:rPr>
                <w:rFonts w:hint="default" w:ascii="Times New Roman" w:hAnsi="Times New Roman" w:eastAsia="宋体" w:cs="Times New Roman"/>
                <w:spacing w:val="-1"/>
              </w:rPr>
              <w:t>敏感</w:t>
            </w:r>
            <w:r>
              <w:rPr>
                <w:rFonts w:hint="default" w:ascii="Times New Roman" w:hAnsi="Times New Roman" w:eastAsia="宋体" w:cs="Times New Roman"/>
              </w:rPr>
              <w:t>点，料场、堆场、临时弃土场等应尽量设置在远离敏感点的位置，以降低扬尘</w:t>
            </w:r>
            <w:r>
              <w:rPr>
                <w:rFonts w:hint="default" w:ascii="Times New Roman" w:hAnsi="Times New Roman" w:eastAsia="宋体" w:cs="Times New Roman"/>
                <w:spacing w:val="-1"/>
              </w:rPr>
              <w:t>对周</w:t>
            </w:r>
            <w:r>
              <w:rPr>
                <w:rFonts w:hint="default" w:ascii="Times New Roman" w:hAnsi="Times New Roman" w:eastAsia="宋体" w:cs="Times New Roman"/>
              </w:rPr>
              <w:t>围环境及居民的影响。同时施工</w:t>
            </w:r>
            <w:r>
              <w:rPr>
                <w:rFonts w:hint="eastAsia" w:cs="Times New Roman"/>
                <w:lang w:eastAsia="zh-CN"/>
              </w:rPr>
              <w:t>期间</w:t>
            </w:r>
            <w:r>
              <w:rPr>
                <w:rFonts w:hint="default" w:ascii="Times New Roman" w:hAnsi="Times New Roman" w:eastAsia="宋体" w:cs="Times New Roman"/>
              </w:rPr>
              <w:t>严格执行各</w:t>
            </w:r>
            <w:r>
              <w:rPr>
                <w:rFonts w:hint="default" w:ascii="Times New Roman" w:hAnsi="Times New Roman" w:eastAsia="宋体" w:cs="Times New Roman"/>
                <w:spacing w:val="-1"/>
              </w:rPr>
              <w:t>项防治措施（具体见第五章</w:t>
            </w:r>
            <w:r>
              <w:rPr>
                <w:rFonts w:hint="default" w:ascii="Times New Roman" w:hAnsi="Times New Roman" w:eastAsia="宋体" w:cs="Times New Roman"/>
                <w:spacing w:val="7"/>
              </w:rPr>
              <w:t>），</w:t>
            </w:r>
            <w:r>
              <w:rPr>
                <w:rFonts w:hint="default" w:ascii="Times New Roman" w:hAnsi="Times New Roman" w:eastAsia="宋体" w:cs="Times New Roman"/>
                <w:spacing w:val="-1"/>
              </w:rPr>
              <w:t>则堆场扬尘对周围敏感目标不会产生明显影响，在可接受范围内。</w:t>
            </w:r>
          </w:p>
          <w:p w14:paraId="7EE156C5">
            <w:pPr>
              <w:keepNext w:val="0"/>
              <w:keepLines w:val="0"/>
              <w:pageBreakBefore w:val="0"/>
              <w:widowControl w:val="0"/>
              <w:kinsoku/>
              <w:wordWrap/>
              <w:overflowPunct/>
              <w:topLinePunct w:val="0"/>
              <w:autoSpaceDE/>
              <w:autoSpaceDN/>
              <w:bidi w:val="0"/>
              <w:adjustRightInd w:val="0"/>
              <w:snapToGrid w:val="0"/>
              <w:spacing w:line="360" w:lineRule="auto"/>
              <w:ind w:firstLine="478" w:firstLineChars="200"/>
              <w:textAlignment w:val="auto"/>
              <w:rPr>
                <w:rFonts w:hint="default" w:ascii="Times New Roman" w:hAnsi="Times New Roman" w:eastAsia="宋体" w:cs="Times New Roman"/>
                <w:spacing w:val="-1"/>
              </w:rPr>
            </w:pPr>
            <w:r>
              <w:rPr>
                <w:rFonts w:hint="default" w:ascii="Times New Roman" w:hAnsi="Times New Roman" w:eastAsia="宋体" w:cs="Times New Roman"/>
                <w:b/>
                <w:bCs/>
                <w:spacing w:val="-1"/>
                <w:lang w:val="en-US" w:eastAsia="zh-CN"/>
              </w:rPr>
              <w:t>1.4</w:t>
            </w:r>
            <w:r>
              <w:rPr>
                <w:rFonts w:hint="eastAsia" w:cs="Times New Roman"/>
                <w:b/>
                <w:bCs/>
                <w:spacing w:val="-1"/>
                <w:lang w:val="en-US" w:eastAsia="zh-CN"/>
              </w:rPr>
              <w:t xml:space="preserve"> </w:t>
            </w:r>
            <w:r>
              <w:rPr>
                <w:rFonts w:hint="default" w:ascii="Times New Roman" w:hAnsi="Times New Roman" w:eastAsia="宋体" w:cs="Times New Roman"/>
                <w:b/>
                <w:bCs/>
                <w:spacing w:val="-1"/>
              </w:rPr>
              <w:t>道路扬尘环境影响分析</w:t>
            </w:r>
          </w:p>
          <w:p w14:paraId="2D39CA60">
            <w:pPr>
              <w:keepNext w:val="0"/>
              <w:keepLines w:val="0"/>
              <w:pageBreakBefore w:val="0"/>
              <w:widowControl w:val="0"/>
              <w:kinsoku/>
              <w:wordWrap/>
              <w:overflowPunct/>
              <w:topLinePunct w:val="0"/>
              <w:autoSpaceDE/>
              <w:autoSpaceDN/>
              <w:bidi w:val="0"/>
              <w:adjustRightInd w:val="0"/>
              <w:snapToGrid w:val="0"/>
              <w:spacing w:line="360" w:lineRule="auto"/>
              <w:ind w:firstLine="476" w:firstLineChars="200"/>
              <w:textAlignment w:val="auto"/>
              <w:rPr>
                <w:rFonts w:hint="default" w:ascii="Times New Roman" w:hAnsi="Times New Roman" w:eastAsia="宋体" w:cs="Times New Roman"/>
                <w:spacing w:val="-1"/>
              </w:rPr>
            </w:pPr>
            <w:r>
              <w:rPr>
                <w:rFonts w:hint="default" w:ascii="Times New Roman" w:hAnsi="Times New Roman" w:eastAsia="宋体" w:cs="Times New Roman"/>
                <w:spacing w:val="-1"/>
              </w:rPr>
              <w:t>道路扬尘主要</w:t>
            </w:r>
            <w:r>
              <w:rPr>
                <w:rFonts w:hint="eastAsia" w:cs="Times New Roman"/>
                <w:spacing w:val="-1"/>
                <w:lang w:eastAsia="zh-CN"/>
              </w:rPr>
              <w:t>是由于施工车辆在运输材料和土石方面</w:t>
            </w:r>
            <w:r>
              <w:rPr>
                <w:rFonts w:hint="default" w:ascii="Times New Roman" w:hAnsi="Times New Roman" w:eastAsia="宋体" w:cs="Times New Roman"/>
                <w:spacing w:val="-1"/>
              </w:rPr>
              <w:t>，引起扬尘的因素较多，主要跟车辆行驶速度、风速、路面积尘量和路面积尘湿度有关，其中风速直接影响到扬尘的传输距离。</w:t>
            </w:r>
          </w:p>
          <w:p w14:paraId="3D316A29">
            <w:pPr>
              <w:keepNext w:val="0"/>
              <w:keepLines w:val="0"/>
              <w:pageBreakBefore w:val="0"/>
              <w:widowControl w:val="0"/>
              <w:kinsoku/>
              <w:wordWrap/>
              <w:overflowPunct/>
              <w:topLinePunct w:val="0"/>
              <w:autoSpaceDE/>
              <w:autoSpaceDN/>
              <w:bidi w:val="0"/>
              <w:adjustRightInd w:val="0"/>
              <w:snapToGrid w:val="0"/>
              <w:spacing w:line="360" w:lineRule="auto"/>
              <w:ind w:firstLine="476"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spacing w:val="-1"/>
              </w:rPr>
              <w:t>根据有关文献资料介绍，在施工过程中，车辆行驶产生的扬尘占总扬尘的60%以上。车辆行驶产生的扬尘，在完全干燥情况下，可按下列经验公式进行计算：</w:t>
            </w:r>
          </w:p>
          <w:p w14:paraId="2997FCF0">
            <w:pPr>
              <w:pStyle w:val="88"/>
              <w:keepNext w:val="0"/>
              <w:keepLines w:val="0"/>
              <w:pageBreakBefore w:val="0"/>
              <w:widowControl w:val="0"/>
              <w:kinsoku/>
              <w:wordWrap/>
              <w:overflowPunct/>
              <w:topLinePunct w:val="0"/>
              <w:autoSpaceDE/>
              <w:autoSpaceDN/>
              <w:bidi w:val="0"/>
              <w:adjustRightInd/>
              <w:snapToGrid/>
              <w:spacing w:line="360" w:lineRule="auto"/>
              <w:ind w:left="0" w:right="1845" w:firstLine="881"/>
              <w:textAlignment w:val="auto"/>
              <w:rPr>
                <w:rFonts w:hint="default" w:ascii="Times New Roman" w:hAnsi="Times New Roman" w:eastAsia="宋体" w:cs="Times New Roman"/>
                <w:spacing w:val="17"/>
                <w:position w:val="12"/>
                <w:sz w:val="15"/>
                <w:szCs w:val="15"/>
              </w:rPr>
            </w:pPr>
            <w:r>
              <w:rPr>
                <w:rFonts w:hint="default" w:ascii="Times New Roman" w:hAnsi="Times New Roman" w:eastAsia="宋体" w:cs="Times New Roman"/>
                <w:i/>
                <w:iCs/>
                <w:spacing w:val="18"/>
                <w:sz w:val="26"/>
                <w:szCs w:val="26"/>
              </w:rPr>
              <w:t>Q</w:t>
            </w:r>
            <w:r>
              <w:rPr>
                <w:rFonts w:hint="default" w:ascii="Times New Roman" w:hAnsi="Times New Roman" w:eastAsia="宋体" w:cs="Times New Roman"/>
                <w:spacing w:val="18"/>
                <w:sz w:val="26"/>
                <w:szCs w:val="26"/>
              </w:rPr>
              <w:t>=0.123</w:t>
            </w:r>
            <w:r>
              <w:rPr>
                <w:rFonts w:hint="default" w:ascii="Times New Roman" w:hAnsi="Times New Roman" w:eastAsia="宋体" w:cs="Times New Roman"/>
                <w:spacing w:val="18"/>
                <w:sz w:val="34"/>
                <w:szCs w:val="34"/>
              </w:rPr>
              <w:t>(</w:t>
            </w:r>
            <w:r>
              <w:rPr>
                <w:rFonts w:hint="default" w:ascii="Times New Roman" w:hAnsi="Times New Roman" w:eastAsia="宋体" w:cs="Times New Roman"/>
                <w:i/>
                <w:iCs/>
                <w:spacing w:val="18"/>
                <w:sz w:val="26"/>
                <w:szCs w:val="26"/>
              </w:rPr>
              <w:t>V</w:t>
            </w:r>
            <w:r>
              <w:rPr>
                <w:rFonts w:hint="default" w:ascii="Times New Roman" w:hAnsi="Times New Roman" w:eastAsia="宋体" w:cs="Times New Roman"/>
                <w:spacing w:val="18"/>
                <w:position w:val="-1"/>
                <w:sz w:val="32"/>
                <w:szCs w:val="32"/>
              </w:rPr>
              <w:t>/</w:t>
            </w:r>
            <w:r>
              <w:rPr>
                <w:rFonts w:hint="default" w:ascii="Times New Roman" w:hAnsi="Times New Roman" w:eastAsia="宋体" w:cs="Times New Roman"/>
                <w:spacing w:val="18"/>
                <w:sz w:val="26"/>
                <w:szCs w:val="26"/>
              </w:rPr>
              <w:t>5</w:t>
            </w:r>
            <w:r>
              <w:rPr>
                <w:rFonts w:hint="default" w:ascii="Times New Roman" w:hAnsi="Times New Roman" w:eastAsia="宋体" w:cs="Times New Roman"/>
                <w:spacing w:val="18"/>
                <w:sz w:val="34"/>
                <w:szCs w:val="34"/>
              </w:rPr>
              <w:t>)(</w:t>
            </w:r>
            <w:r>
              <w:rPr>
                <w:rFonts w:hint="default" w:ascii="Times New Roman" w:hAnsi="Times New Roman" w:eastAsia="宋体" w:cs="Times New Roman"/>
                <w:i/>
                <w:iCs/>
                <w:spacing w:val="18"/>
                <w:sz w:val="26"/>
                <w:szCs w:val="26"/>
              </w:rPr>
              <w:t>W</w:t>
            </w:r>
            <w:r>
              <w:rPr>
                <w:rFonts w:hint="default" w:ascii="Times New Roman" w:hAnsi="Times New Roman" w:eastAsia="宋体" w:cs="Times New Roman"/>
                <w:spacing w:val="18"/>
                <w:position w:val="-1"/>
                <w:sz w:val="32"/>
                <w:szCs w:val="32"/>
              </w:rPr>
              <w:t>/</w:t>
            </w:r>
            <w:r>
              <w:rPr>
                <w:rFonts w:hint="default" w:ascii="Times New Roman" w:hAnsi="Times New Roman" w:eastAsia="宋体" w:cs="Times New Roman"/>
                <w:spacing w:val="18"/>
                <w:sz w:val="26"/>
                <w:szCs w:val="26"/>
              </w:rPr>
              <w:t>6.8</w:t>
            </w:r>
            <w:r>
              <w:rPr>
                <w:rFonts w:hint="default" w:ascii="Times New Roman" w:hAnsi="Times New Roman" w:eastAsia="宋体" w:cs="Times New Roman"/>
                <w:spacing w:val="17"/>
                <w:sz w:val="34"/>
                <w:szCs w:val="34"/>
              </w:rPr>
              <w:t>)</w:t>
            </w:r>
            <w:r>
              <w:rPr>
                <w:rFonts w:hint="default" w:ascii="Times New Roman" w:hAnsi="Times New Roman" w:eastAsia="宋体" w:cs="Times New Roman"/>
                <w:spacing w:val="17"/>
                <w:position w:val="12"/>
                <w:sz w:val="15"/>
                <w:szCs w:val="15"/>
              </w:rPr>
              <w:t>0.85</w:t>
            </w:r>
            <w:r>
              <w:rPr>
                <w:rFonts w:hint="default" w:ascii="Times New Roman" w:hAnsi="Times New Roman" w:eastAsia="宋体" w:cs="Times New Roman"/>
                <w:spacing w:val="17"/>
                <w:sz w:val="34"/>
                <w:szCs w:val="34"/>
              </w:rPr>
              <w:t>(</w:t>
            </w:r>
            <w:r>
              <w:rPr>
                <w:rFonts w:hint="default" w:ascii="Times New Roman" w:hAnsi="Times New Roman" w:eastAsia="宋体" w:cs="Times New Roman"/>
                <w:i/>
                <w:iCs/>
                <w:spacing w:val="17"/>
                <w:sz w:val="26"/>
                <w:szCs w:val="26"/>
              </w:rPr>
              <w:t>P</w:t>
            </w:r>
            <w:r>
              <w:rPr>
                <w:rFonts w:hint="default" w:ascii="Times New Roman" w:hAnsi="Times New Roman" w:eastAsia="宋体" w:cs="Times New Roman"/>
                <w:spacing w:val="17"/>
                <w:position w:val="-1"/>
                <w:sz w:val="32"/>
                <w:szCs w:val="32"/>
              </w:rPr>
              <w:t>/</w:t>
            </w:r>
            <w:r>
              <w:rPr>
                <w:rFonts w:hint="default" w:ascii="Times New Roman" w:hAnsi="Times New Roman" w:eastAsia="宋体" w:cs="Times New Roman"/>
                <w:spacing w:val="17"/>
                <w:sz w:val="26"/>
                <w:szCs w:val="26"/>
              </w:rPr>
              <w:t>0.5</w:t>
            </w:r>
            <w:r>
              <w:rPr>
                <w:rFonts w:hint="default" w:ascii="Times New Roman" w:hAnsi="Times New Roman" w:eastAsia="宋体" w:cs="Times New Roman"/>
                <w:spacing w:val="17"/>
                <w:sz w:val="34"/>
                <w:szCs w:val="34"/>
              </w:rPr>
              <w:t>)</w:t>
            </w:r>
            <w:r>
              <w:rPr>
                <w:rFonts w:hint="default" w:ascii="Times New Roman" w:hAnsi="Times New Roman" w:eastAsia="宋体" w:cs="Times New Roman"/>
                <w:spacing w:val="17"/>
                <w:position w:val="12"/>
                <w:sz w:val="15"/>
                <w:szCs w:val="15"/>
              </w:rPr>
              <w:t>0.75</w:t>
            </w:r>
          </w:p>
          <w:p w14:paraId="601065CF">
            <w:pPr>
              <w:pStyle w:val="88"/>
              <w:keepNext w:val="0"/>
              <w:keepLines w:val="0"/>
              <w:pageBreakBefore w:val="0"/>
              <w:widowControl w:val="0"/>
              <w:kinsoku/>
              <w:wordWrap/>
              <w:overflowPunct/>
              <w:topLinePunct w:val="0"/>
              <w:autoSpaceDE/>
              <w:autoSpaceDN/>
              <w:bidi w:val="0"/>
              <w:adjustRightInd/>
              <w:snapToGrid/>
              <w:spacing w:line="360" w:lineRule="auto"/>
              <w:ind w:left="0" w:right="1845" w:firstLine="881"/>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式中：Q——汽车行驶的扬尘，</w:t>
            </w:r>
            <w:r>
              <w:rPr>
                <w:rFonts w:hint="eastAsia" w:ascii="Times New Roman" w:hAnsi="Times New Roman" w:cs="Times New Roman"/>
                <w:sz w:val="24"/>
                <w:szCs w:val="24"/>
                <w:lang w:eastAsia="zh-CN"/>
              </w:rPr>
              <w:t>kg</w:t>
            </w:r>
            <w:r>
              <w:rPr>
                <w:rFonts w:hint="default" w:ascii="Times New Roman" w:hAnsi="Times New Roman" w:eastAsia="宋体" w:cs="Times New Roman"/>
                <w:sz w:val="24"/>
                <w:szCs w:val="24"/>
              </w:rPr>
              <w:t>/</w:t>
            </w:r>
            <w:r>
              <w:rPr>
                <w:rFonts w:hint="eastAsia" w:ascii="Times New Roman" w:hAnsi="Times New Roman" w:cs="Times New Roman"/>
                <w:sz w:val="24"/>
                <w:szCs w:val="24"/>
                <w:lang w:eastAsia="zh-CN"/>
              </w:rPr>
              <w:t>(km·辆）</w:t>
            </w:r>
            <w:r>
              <w:rPr>
                <w:rFonts w:hint="default" w:ascii="Times New Roman" w:hAnsi="Times New Roman" w:eastAsia="宋体" w:cs="Times New Roman"/>
                <w:sz w:val="24"/>
                <w:szCs w:val="24"/>
              </w:rPr>
              <w:t>；</w:t>
            </w:r>
          </w:p>
          <w:p w14:paraId="1AAFEC5B">
            <w:pPr>
              <w:pStyle w:val="88"/>
              <w:keepNext w:val="0"/>
              <w:keepLines w:val="0"/>
              <w:pageBreakBefore w:val="0"/>
              <w:widowControl w:val="0"/>
              <w:kinsoku/>
              <w:wordWrap/>
              <w:overflowPunct/>
              <w:topLinePunct w:val="0"/>
              <w:autoSpaceDE/>
              <w:autoSpaceDN/>
              <w:bidi w:val="0"/>
              <w:adjustRightInd/>
              <w:snapToGrid/>
              <w:spacing w:line="360" w:lineRule="auto"/>
              <w:ind w:left="0" w:firstLine="1190" w:firstLineChars="500"/>
              <w:textAlignment w:val="auto"/>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V——汽车速度，Km/hr；</w:t>
            </w:r>
          </w:p>
          <w:p w14:paraId="6592C02C">
            <w:pPr>
              <w:pStyle w:val="88"/>
              <w:keepNext w:val="0"/>
              <w:keepLines w:val="0"/>
              <w:pageBreakBefore w:val="0"/>
              <w:widowControl w:val="0"/>
              <w:kinsoku/>
              <w:wordWrap/>
              <w:overflowPunct/>
              <w:topLinePunct w:val="0"/>
              <w:autoSpaceDE/>
              <w:autoSpaceDN/>
              <w:bidi w:val="0"/>
              <w:adjustRightInd/>
              <w:snapToGrid/>
              <w:spacing w:line="360" w:lineRule="auto"/>
              <w:ind w:left="0" w:firstLine="1170" w:firstLineChars="500"/>
              <w:textAlignment w:val="auto"/>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W——汽车载重量，吨；</w:t>
            </w:r>
          </w:p>
          <w:p w14:paraId="28B57829">
            <w:pPr>
              <w:pStyle w:val="88"/>
              <w:keepNext w:val="0"/>
              <w:keepLines w:val="0"/>
              <w:pageBreakBefore w:val="0"/>
              <w:widowControl w:val="0"/>
              <w:kinsoku/>
              <w:wordWrap/>
              <w:overflowPunct/>
              <w:topLinePunct w:val="0"/>
              <w:autoSpaceDE/>
              <w:autoSpaceDN/>
              <w:bidi w:val="0"/>
              <w:adjustRightInd/>
              <w:snapToGrid/>
              <w:spacing w:line="360" w:lineRule="auto"/>
              <w:ind w:left="0" w:firstLine="1190" w:firstLineChars="500"/>
              <w:textAlignment w:val="auto"/>
              <w:rPr>
                <w:rFonts w:hint="default" w:ascii="Times New Roman" w:hAnsi="Times New Roman" w:eastAsia="宋体" w:cs="Times New Roman"/>
              </w:rPr>
            </w:pPr>
            <w:r>
              <w:rPr>
                <w:rFonts w:hint="default" w:ascii="Times New Roman" w:hAnsi="Times New Roman" w:eastAsia="宋体" w:cs="Times New Roman"/>
                <w:spacing w:val="-1"/>
                <w:sz w:val="24"/>
                <w:szCs w:val="24"/>
              </w:rPr>
              <w:t>P——道路表面粉尘量，</w:t>
            </w:r>
            <w:r>
              <w:rPr>
                <w:rFonts w:hint="eastAsia" w:ascii="Times New Roman" w:hAnsi="Times New Roman" w:cs="Times New Roman"/>
                <w:spacing w:val="-1"/>
                <w:sz w:val="24"/>
                <w:szCs w:val="24"/>
                <w:lang w:eastAsia="zh-CN"/>
              </w:rPr>
              <w:t>kg</w:t>
            </w:r>
            <w:r>
              <w:rPr>
                <w:rFonts w:hint="default" w:ascii="Times New Roman" w:hAnsi="Times New Roman" w:eastAsia="宋体" w:cs="Times New Roman"/>
                <w:spacing w:val="-1"/>
                <w:sz w:val="24"/>
                <w:szCs w:val="24"/>
              </w:rPr>
              <w:t>/m</w:t>
            </w:r>
            <w:r>
              <w:rPr>
                <w:rFonts w:hint="default" w:ascii="Times New Roman" w:hAnsi="Times New Roman" w:eastAsia="宋体" w:cs="Times New Roman"/>
                <w:spacing w:val="-1"/>
                <w:sz w:val="24"/>
                <w:szCs w:val="24"/>
                <w:vertAlign w:val="superscript"/>
                <w:lang w:val="en-US" w:eastAsia="zh-CN"/>
              </w:rPr>
              <w:t>2</w:t>
            </w:r>
            <w:r>
              <w:rPr>
                <w:rFonts w:hint="default" w:ascii="Times New Roman" w:hAnsi="Times New Roman" w:eastAsia="宋体" w:cs="Times New Roman"/>
                <w:spacing w:val="-1"/>
                <w:sz w:val="24"/>
                <w:szCs w:val="24"/>
              </w:rPr>
              <w:t>。</w:t>
            </w:r>
          </w:p>
          <w:p w14:paraId="537E2F38">
            <w:pPr>
              <w:keepNext w:val="0"/>
              <w:keepLines w:val="0"/>
              <w:pageBreakBefore w:val="0"/>
              <w:widowControl w:val="0"/>
              <w:kinsoku/>
              <w:wordWrap/>
              <w:overflowPunct/>
              <w:topLinePunct w:val="0"/>
              <w:autoSpaceDE/>
              <w:autoSpaceDN/>
              <w:bidi w:val="0"/>
              <w:adjustRightInd w:val="0"/>
              <w:snapToGrid w:val="0"/>
              <w:spacing w:line="360" w:lineRule="auto"/>
              <w:ind w:firstLine="444"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spacing w:val="-9"/>
              </w:rPr>
              <w:t>表4-4为一辆10吨卡车，通过一段长度为1Km的路面时，不同路面清</w:t>
            </w:r>
            <w:r>
              <w:rPr>
                <w:rFonts w:hint="default" w:ascii="Times New Roman" w:hAnsi="Times New Roman" w:eastAsia="宋体" w:cs="Times New Roman"/>
                <w:spacing w:val="-10"/>
              </w:rPr>
              <w:t>洁程度，</w:t>
            </w:r>
            <w:r>
              <w:rPr>
                <w:rFonts w:hint="default" w:ascii="Times New Roman" w:hAnsi="Times New Roman" w:eastAsia="宋体" w:cs="Times New Roman"/>
                <w:spacing w:val="-3"/>
              </w:rPr>
              <w:t>不同行驶速度情况下的扬尘量。由此可见，在同样</w:t>
            </w:r>
            <w:r>
              <w:rPr>
                <w:rFonts w:hint="default" w:ascii="Times New Roman" w:hAnsi="Times New Roman" w:eastAsia="宋体" w:cs="Times New Roman"/>
                <w:spacing w:val="-4"/>
              </w:rPr>
              <w:t>路面清洁程度条件下，车速越快，</w:t>
            </w:r>
            <w:r>
              <w:rPr>
                <w:rFonts w:hint="default" w:ascii="Times New Roman" w:hAnsi="Times New Roman" w:eastAsia="宋体" w:cs="Times New Roman"/>
                <w:spacing w:val="1"/>
              </w:rPr>
              <w:t>扬尘量越大；而在同样车速情况下，路面越脏，则扬尘量越大</w:t>
            </w:r>
            <w:r>
              <w:rPr>
                <w:rFonts w:hint="default" w:ascii="Times New Roman" w:hAnsi="Times New Roman" w:eastAsia="宋体" w:cs="Times New Roman"/>
              </w:rPr>
              <w:t>。因此，限制车辆行</w:t>
            </w:r>
            <w:r>
              <w:rPr>
                <w:rFonts w:hint="default" w:ascii="Times New Roman" w:hAnsi="Times New Roman" w:eastAsia="宋体" w:cs="Times New Roman"/>
                <w:spacing w:val="-1"/>
              </w:rPr>
              <w:t>驶速度及保持路面的清洁是减少汽车</w:t>
            </w:r>
            <w:r>
              <w:rPr>
                <w:rFonts w:hint="eastAsia" w:ascii="Times New Roman" w:hAnsi="Times New Roman" w:eastAsia="宋体" w:cs="Times New Roman"/>
                <w:spacing w:val="-1"/>
                <w:lang w:val="en-US" w:eastAsia="zh-CN"/>
              </w:rPr>
              <w:t>行驶</w:t>
            </w:r>
            <w:r>
              <w:rPr>
                <w:rFonts w:hint="default" w:ascii="Times New Roman" w:hAnsi="Times New Roman" w:eastAsia="宋体" w:cs="Times New Roman"/>
                <w:spacing w:val="-1"/>
              </w:rPr>
              <w:t>道路扬尘的最有效手段。</w:t>
            </w:r>
          </w:p>
          <w:p w14:paraId="4F58AA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sz w:val="21"/>
                <w:szCs w:val="21"/>
              </w:rPr>
              <w:t xml:space="preserve">表4-4 不同车速和地面清洁程度的汽车扬尘 </w:t>
            </w:r>
            <w:r>
              <w:rPr>
                <w:rFonts w:hint="default" w:ascii="Times New Roman" w:hAnsi="Times New Roman" w:eastAsia="宋体" w:cs="Times New Roman"/>
                <w:b/>
                <w:bCs/>
                <w:sz w:val="21"/>
                <w:szCs w:val="21"/>
                <w:lang w:val="en-US" w:eastAsia="zh-CN"/>
              </w:rPr>
              <w:t xml:space="preserve">    </w:t>
            </w:r>
            <w:r>
              <w:rPr>
                <w:rFonts w:hint="default" w:ascii="Times New Roman" w:hAnsi="Times New Roman" w:eastAsia="宋体" w:cs="Times New Roman"/>
                <w:b/>
                <w:bCs/>
                <w:sz w:val="21"/>
                <w:szCs w:val="21"/>
              </w:rPr>
              <w:t>单位：</w:t>
            </w:r>
            <w:r>
              <w:rPr>
                <w:rFonts w:hint="eastAsia" w:ascii="Times New Roman" w:hAnsi="Times New Roman" w:eastAsia="宋体" w:cs="Times New Roman"/>
                <w:b/>
                <w:bCs/>
                <w:sz w:val="21"/>
                <w:szCs w:val="21"/>
                <w:lang w:val="en-US" w:eastAsia="zh-CN"/>
              </w:rPr>
              <w:t>k</w:t>
            </w:r>
            <w:r>
              <w:rPr>
                <w:rFonts w:hint="default" w:ascii="Times New Roman" w:hAnsi="Times New Roman" w:eastAsia="宋体" w:cs="Times New Roman"/>
                <w:b/>
                <w:bCs/>
                <w:sz w:val="21"/>
                <w:szCs w:val="21"/>
                <w:lang w:val="en-US" w:eastAsia="zh-CN"/>
              </w:rPr>
              <w:t>g/</w:t>
            </w:r>
            <w:r>
              <w:rPr>
                <w:rFonts w:hint="eastAsia" w:cs="Times New Roman"/>
                <w:b/>
                <w:bCs/>
                <w:sz w:val="21"/>
                <w:szCs w:val="21"/>
                <w:lang w:val="en-US" w:eastAsia="zh-CN"/>
              </w:rPr>
              <w:t>（辆·km）</w:t>
            </w:r>
          </w:p>
          <w:tbl>
            <w:tblPr>
              <w:tblStyle w:val="32"/>
              <w:tblW w:w="4998" w:type="pct"/>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175"/>
              <w:gridCol w:w="888"/>
              <w:gridCol w:w="888"/>
              <w:gridCol w:w="888"/>
              <w:gridCol w:w="888"/>
              <w:gridCol w:w="889"/>
              <w:gridCol w:w="889"/>
            </w:tblGrid>
            <w:tr w14:paraId="6284F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exact"/>
              </w:trPr>
              <w:tc>
                <w:tcPr>
                  <w:tcW w:w="1449" w:type="pct"/>
                  <w:tcBorders>
                    <w:top w:val="single" w:color="000000" w:sz="12" w:space="0"/>
                    <w:left w:val="nil"/>
                    <w:bottom w:val="single" w:color="000000" w:sz="12" w:space="0"/>
                    <w:right w:val="single" w:color="000000" w:sz="4" w:space="0"/>
                  </w:tcBorders>
                  <w:shd w:val="clear" w:color="auto" w:fill="auto"/>
                  <w:noWrap w:val="0"/>
                  <w:tcMar>
                    <w:top w:w="120" w:type="dxa"/>
                    <w:left w:w="120" w:type="dxa"/>
                    <w:bottom w:w="120" w:type="dxa"/>
                    <w:right w:w="120" w:type="dxa"/>
                  </w:tcMar>
                  <w:vAlign w:val="center"/>
                </w:tcPr>
                <w:p w14:paraId="3540E53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 xml:space="preserve">车速\粉尘量 </w:t>
                  </w:r>
                  <w:r>
                    <w:rPr>
                      <w:rFonts w:hint="default" w:ascii="Times New Roman" w:hAnsi="Times New Roman" w:eastAsia="宋体" w:cs="Times New Roman"/>
                      <w:b/>
                      <w:bCs/>
                      <w:kern w:val="0"/>
                      <w:sz w:val="21"/>
                      <w:szCs w:val="21"/>
                      <w:highlight w:val="none"/>
                      <w:lang w:val="en-US" w:eastAsia="zh-CN" w:bidi="ar"/>
                    </w:rPr>
                    <w:t>(</w:t>
                  </w:r>
                  <w:r>
                    <w:rPr>
                      <w:rFonts w:hint="eastAsia" w:ascii="Times New Roman" w:hAnsi="Times New Roman" w:eastAsia="宋体" w:cs="Times New Roman"/>
                      <w:b/>
                      <w:bCs/>
                      <w:kern w:val="0"/>
                      <w:sz w:val="21"/>
                      <w:szCs w:val="21"/>
                      <w:highlight w:val="none"/>
                      <w:lang w:val="en-US" w:eastAsia="zh-CN" w:bidi="ar"/>
                    </w:rPr>
                    <w:t>k</w:t>
                  </w:r>
                  <w:r>
                    <w:rPr>
                      <w:rFonts w:hint="default" w:ascii="Times New Roman" w:hAnsi="Times New Roman" w:eastAsia="宋体" w:cs="Times New Roman"/>
                      <w:b/>
                      <w:bCs/>
                      <w:kern w:val="0"/>
                      <w:sz w:val="21"/>
                      <w:szCs w:val="21"/>
                      <w:highlight w:val="none"/>
                      <w:lang w:val="en-US" w:eastAsia="zh-CN" w:bidi="ar"/>
                    </w:rPr>
                    <w:t>g/m</w:t>
                  </w:r>
                  <w:r>
                    <w:rPr>
                      <w:rFonts w:hint="default" w:ascii="Times New Roman" w:hAnsi="Times New Roman" w:eastAsia="宋体" w:cs="Times New Roman"/>
                      <w:b/>
                      <w:bCs/>
                      <w:kern w:val="0"/>
                      <w:sz w:val="21"/>
                      <w:szCs w:val="21"/>
                      <w:highlight w:val="none"/>
                      <w:vertAlign w:val="superscript"/>
                      <w:lang w:val="en-US" w:eastAsia="zh-CN" w:bidi="ar"/>
                    </w:rPr>
                    <w:t>2</w:t>
                  </w:r>
                  <w:r>
                    <w:rPr>
                      <w:rFonts w:hint="default" w:ascii="Times New Roman" w:hAnsi="Times New Roman" w:eastAsia="宋体" w:cs="Times New Roman"/>
                      <w:b/>
                      <w:bCs/>
                      <w:kern w:val="0"/>
                      <w:sz w:val="21"/>
                      <w:szCs w:val="21"/>
                      <w:highlight w:val="none"/>
                      <w:lang w:val="en-US" w:eastAsia="zh-CN" w:bidi="ar"/>
                    </w:rPr>
                    <w:t>)</w:t>
                  </w:r>
                </w:p>
              </w:tc>
              <w:tc>
                <w:tcPr>
                  <w:tcW w:w="591" w:type="pct"/>
                  <w:tcBorders>
                    <w:top w:val="single" w:color="000000" w:sz="12" w:space="0"/>
                    <w:left w:val="single" w:color="000000" w:sz="4" w:space="0"/>
                    <w:bottom w:val="single" w:color="000000" w:sz="12" w:space="0"/>
                    <w:right w:val="single" w:color="000000" w:sz="4" w:space="0"/>
                  </w:tcBorders>
                  <w:shd w:val="clear" w:color="auto" w:fill="auto"/>
                  <w:noWrap w:val="0"/>
                  <w:tcMar>
                    <w:top w:w="120" w:type="dxa"/>
                    <w:left w:w="120" w:type="dxa"/>
                    <w:bottom w:w="120" w:type="dxa"/>
                    <w:right w:w="120" w:type="dxa"/>
                  </w:tcMar>
                  <w:vAlign w:val="center"/>
                </w:tcPr>
                <w:p w14:paraId="1FEB37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0.1</w:t>
                  </w:r>
                </w:p>
              </w:tc>
              <w:tc>
                <w:tcPr>
                  <w:tcW w:w="591" w:type="pct"/>
                  <w:tcBorders>
                    <w:top w:val="single" w:color="000000" w:sz="12" w:space="0"/>
                    <w:left w:val="single" w:color="000000" w:sz="4" w:space="0"/>
                    <w:bottom w:val="single" w:color="000000" w:sz="12" w:space="0"/>
                    <w:right w:val="single" w:color="000000" w:sz="4" w:space="0"/>
                  </w:tcBorders>
                  <w:shd w:val="clear" w:color="auto" w:fill="auto"/>
                  <w:noWrap w:val="0"/>
                  <w:tcMar>
                    <w:top w:w="120" w:type="dxa"/>
                    <w:left w:w="120" w:type="dxa"/>
                    <w:bottom w:w="120" w:type="dxa"/>
                    <w:right w:w="120" w:type="dxa"/>
                  </w:tcMar>
                  <w:vAlign w:val="center"/>
                </w:tcPr>
                <w:p w14:paraId="54C52D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0.2</w:t>
                  </w:r>
                </w:p>
              </w:tc>
              <w:tc>
                <w:tcPr>
                  <w:tcW w:w="591" w:type="pct"/>
                  <w:tcBorders>
                    <w:top w:val="single" w:color="000000" w:sz="12" w:space="0"/>
                    <w:left w:val="single" w:color="000000" w:sz="4" w:space="0"/>
                    <w:bottom w:val="single" w:color="000000" w:sz="12" w:space="0"/>
                    <w:right w:val="single" w:color="000000" w:sz="4" w:space="0"/>
                  </w:tcBorders>
                  <w:shd w:val="clear" w:color="auto" w:fill="auto"/>
                  <w:noWrap w:val="0"/>
                  <w:tcMar>
                    <w:top w:w="120" w:type="dxa"/>
                    <w:left w:w="120" w:type="dxa"/>
                    <w:bottom w:w="120" w:type="dxa"/>
                    <w:right w:w="120" w:type="dxa"/>
                  </w:tcMar>
                  <w:vAlign w:val="center"/>
                </w:tcPr>
                <w:p w14:paraId="704FF3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0.3</w:t>
                  </w:r>
                </w:p>
              </w:tc>
              <w:tc>
                <w:tcPr>
                  <w:tcW w:w="591" w:type="pct"/>
                  <w:tcBorders>
                    <w:top w:val="single" w:color="000000" w:sz="12" w:space="0"/>
                    <w:left w:val="single" w:color="000000" w:sz="4" w:space="0"/>
                    <w:bottom w:val="single" w:color="000000" w:sz="12" w:space="0"/>
                    <w:right w:val="single" w:color="000000" w:sz="4" w:space="0"/>
                  </w:tcBorders>
                  <w:shd w:val="clear" w:color="auto" w:fill="auto"/>
                  <w:noWrap w:val="0"/>
                  <w:tcMar>
                    <w:top w:w="120" w:type="dxa"/>
                    <w:left w:w="120" w:type="dxa"/>
                    <w:bottom w:w="120" w:type="dxa"/>
                    <w:right w:w="120" w:type="dxa"/>
                  </w:tcMar>
                  <w:vAlign w:val="center"/>
                </w:tcPr>
                <w:p w14:paraId="38CF0B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0.4</w:t>
                  </w:r>
                </w:p>
              </w:tc>
              <w:tc>
                <w:tcPr>
                  <w:tcW w:w="592" w:type="pct"/>
                  <w:tcBorders>
                    <w:top w:val="single" w:color="000000" w:sz="12" w:space="0"/>
                    <w:left w:val="single" w:color="000000" w:sz="4" w:space="0"/>
                    <w:bottom w:val="single" w:color="000000" w:sz="12" w:space="0"/>
                    <w:right w:val="single" w:color="000000" w:sz="4" w:space="0"/>
                  </w:tcBorders>
                  <w:shd w:val="clear" w:color="auto" w:fill="auto"/>
                  <w:noWrap w:val="0"/>
                  <w:tcMar>
                    <w:top w:w="120" w:type="dxa"/>
                    <w:left w:w="120" w:type="dxa"/>
                    <w:bottom w:w="120" w:type="dxa"/>
                    <w:right w:w="120" w:type="dxa"/>
                  </w:tcMar>
                  <w:vAlign w:val="center"/>
                </w:tcPr>
                <w:p w14:paraId="6CF98B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0.5</w:t>
                  </w:r>
                </w:p>
              </w:tc>
              <w:tc>
                <w:tcPr>
                  <w:tcW w:w="592" w:type="pct"/>
                  <w:tcBorders>
                    <w:top w:val="single" w:color="000000" w:sz="12" w:space="0"/>
                    <w:left w:val="single" w:color="000000" w:sz="4" w:space="0"/>
                    <w:bottom w:val="single" w:color="000000" w:sz="12" w:space="0"/>
                    <w:right w:val="nil"/>
                  </w:tcBorders>
                  <w:shd w:val="clear" w:color="auto" w:fill="auto"/>
                  <w:noWrap w:val="0"/>
                  <w:tcMar>
                    <w:top w:w="120" w:type="dxa"/>
                    <w:left w:w="120" w:type="dxa"/>
                    <w:bottom w:w="120" w:type="dxa"/>
                    <w:right w:w="120" w:type="dxa"/>
                  </w:tcMar>
                  <w:vAlign w:val="center"/>
                </w:tcPr>
                <w:p w14:paraId="319536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1.0</w:t>
                  </w:r>
                </w:p>
              </w:tc>
            </w:tr>
            <w:tr w14:paraId="12D0A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exact"/>
              </w:trPr>
              <w:tc>
                <w:tcPr>
                  <w:tcW w:w="1449" w:type="pct"/>
                  <w:tcBorders>
                    <w:top w:val="single" w:color="000000" w:sz="12" w:space="0"/>
                    <w:left w:val="nil"/>
                    <w:bottom w:val="single" w:color="000000" w:sz="4" w:space="0"/>
                    <w:right w:val="single" w:color="000000" w:sz="4" w:space="0"/>
                  </w:tcBorders>
                  <w:shd w:val="clear" w:color="auto" w:fill="auto"/>
                  <w:noWrap w:val="0"/>
                  <w:tcMar>
                    <w:top w:w="120" w:type="dxa"/>
                    <w:left w:w="120" w:type="dxa"/>
                    <w:bottom w:w="120" w:type="dxa"/>
                    <w:right w:w="120" w:type="dxa"/>
                  </w:tcMar>
                  <w:vAlign w:val="center"/>
                </w:tcPr>
                <w:p w14:paraId="77E425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5(</w:t>
                  </w:r>
                  <w:r>
                    <w:rPr>
                      <w:rFonts w:hint="eastAsia" w:ascii="Times New Roman" w:hAnsi="Times New Roman" w:eastAsia="宋体" w:cs="Times New Roman"/>
                      <w:kern w:val="0"/>
                      <w:sz w:val="21"/>
                      <w:szCs w:val="21"/>
                      <w:lang w:val="en-US" w:eastAsia="zh-CN" w:bidi="ar"/>
                    </w:rPr>
                    <w:t>k</w:t>
                  </w:r>
                  <w:r>
                    <w:rPr>
                      <w:rFonts w:hint="default" w:ascii="Times New Roman" w:hAnsi="Times New Roman" w:eastAsia="宋体" w:cs="Times New Roman"/>
                      <w:kern w:val="0"/>
                      <w:sz w:val="21"/>
                      <w:szCs w:val="21"/>
                      <w:lang w:val="en-US" w:eastAsia="zh-CN" w:bidi="ar"/>
                    </w:rPr>
                    <w:t>m/h)</w:t>
                  </w:r>
                </w:p>
              </w:tc>
              <w:tc>
                <w:tcPr>
                  <w:tcW w:w="591" w:type="pct"/>
                  <w:tcBorders>
                    <w:top w:val="single" w:color="000000" w:sz="12" w:space="0"/>
                    <w:left w:val="single" w:color="000000" w:sz="4" w:space="0"/>
                    <w:bottom w:val="single" w:color="000000" w:sz="4" w:space="0"/>
                    <w:right w:val="single" w:color="000000" w:sz="4" w:space="0"/>
                  </w:tcBorders>
                  <w:shd w:val="clear" w:color="auto" w:fill="auto"/>
                  <w:noWrap w:val="0"/>
                  <w:tcMar>
                    <w:top w:w="120" w:type="dxa"/>
                    <w:left w:w="120" w:type="dxa"/>
                    <w:bottom w:w="120" w:type="dxa"/>
                    <w:right w:w="120" w:type="dxa"/>
                  </w:tcMar>
                  <w:vAlign w:val="center"/>
                </w:tcPr>
                <w:p w14:paraId="544C7C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0.0511</w:t>
                  </w:r>
                </w:p>
              </w:tc>
              <w:tc>
                <w:tcPr>
                  <w:tcW w:w="591" w:type="pct"/>
                  <w:tcBorders>
                    <w:top w:val="single" w:color="000000" w:sz="12" w:space="0"/>
                    <w:left w:val="single" w:color="000000" w:sz="4" w:space="0"/>
                    <w:bottom w:val="single" w:color="000000" w:sz="4" w:space="0"/>
                    <w:right w:val="single" w:color="000000" w:sz="4" w:space="0"/>
                  </w:tcBorders>
                  <w:shd w:val="clear" w:color="auto" w:fill="auto"/>
                  <w:noWrap w:val="0"/>
                  <w:tcMar>
                    <w:top w:w="120" w:type="dxa"/>
                    <w:left w:w="120" w:type="dxa"/>
                    <w:bottom w:w="120" w:type="dxa"/>
                    <w:right w:w="120" w:type="dxa"/>
                  </w:tcMar>
                  <w:vAlign w:val="center"/>
                </w:tcPr>
                <w:p w14:paraId="52CF5A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0.0859</w:t>
                  </w:r>
                </w:p>
              </w:tc>
              <w:tc>
                <w:tcPr>
                  <w:tcW w:w="591" w:type="pct"/>
                  <w:tcBorders>
                    <w:top w:val="single" w:color="000000" w:sz="12" w:space="0"/>
                    <w:left w:val="single" w:color="000000" w:sz="4" w:space="0"/>
                    <w:bottom w:val="single" w:color="000000" w:sz="4" w:space="0"/>
                    <w:right w:val="single" w:color="000000" w:sz="4" w:space="0"/>
                  </w:tcBorders>
                  <w:shd w:val="clear" w:color="auto" w:fill="auto"/>
                  <w:noWrap w:val="0"/>
                  <w:tcMar>
                    <w:top w:w="120" w:type="dxa"/>
                    <w:left w:w="120" w:type="dxa"/>
                    <w:bottom w:w="120" w:type="dxa"/>
                    <w:right w:w="120" w:type="dxa"/>
                  </w:tcMar>
                  <w:vAlign w:val="center"/>
                </w:tcPr>
                <w:p w14:paraId="28A305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0.1164</w:t>
                  </w:r>
                </w:p>
              </w:tc>
              <w:tc>
                <w:tcPr>
                  <w:tcW w:w="591" w:type="pct"/>
                  <w:tcBorders>
                    <w:top w:val="single" w:color="000000" w:sz="12" w:space="0"/>
                    <w:left w:val="single" w:color="000000" w:sz="4" w:space="0"/>
                    <w:bottom w:val="single" w:color="000000" w:sz="4" w:space="0"/>
                    <w:right w:val="single" w:color="000000" w:sz="4" w:space="0"/>
                  </w:tcBorders>
                  <w:shd w:val="clear" w:color="auto" w:fill="auto"/>
                  <w:noWrap w:val="0"/>
                  <w:tcMar>
                    <w:top w:w="120" w:type="dxa"/>
                    <w:left w:w="120" w:type="dxa"/>
                    <w:bottom w:w="120" w:type="dxa"/>
                    <w:right w:w="120" w:type="dxa"/>
                  </w:tcMar>
                  <w:vAlign w:val="center"/>
                </w:tcPr>
                <w:p w14:paraId="78F8AF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0.1444</w:t>
                  </w:r>
                </w:p>
              </w:tc>
              <w:tc>
                <w:tcPr>
                  <w:tcW w:w="592" w:type="pct"/>
                  <w:tcBorders>
                    <w:top w:val="single" w:color="000000" w:sz="12" w:space="0"/>
                    <w:left w:val="single" w:color="000000" w:sz="4" w:space="0"/>
                    <w:bottom w:val="single" w:color="000000" w:sz="4" w:space="0"/>
                    <w:right w:val="single" w:color="000000" w:sz="4" w:space="0"/>
                  </w:tcBorders>
                  <w:shd w:val="clear" w:color="auto" w:fill="auto"/>
                  <w:noWrap w:val="0"/>
                  <w:tcMar>
                    <w:top w:w="120" w:type="dxa"/>
                    <w:left w:w="120" w:type="dxa"/>
                    <w:bottom w:w="120" w:type="dxa"/>
                    <w:right w:w="120" w:type="dxa"/>
                  </w:tcMar>
                  <w:vAlign w:val="center"/>
                </w:tcPr>
                <w:p w14:paraId="3D21D0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0.1707</w:t>
                  </w:r>
                </w:p>
              </w:tc>
              <w:tc>
                <w:tcPr>
                  <w:tcW w:w="592" w:type="pct"/>
                  <w:tcBorders>
                    <w:top w:val="single" w:color="000000" w:sz="12" w:space="0"/>
                    <w:left w:val="single" w:color="000000" w:sz="4" w:space="0"/>
                    <w:bottom w:val="single" w:color="000000" w:sz="4" w:space="0"/>
                    <w:right w:val="nil"/>
                  </w:tcBorders>
                  <w:shd w:val="clear" w:color="auto" w:fill="auto"/>
                  <w:noWrap w:val="0"/>
                  <w:tcMar>
                    <w:top w:w="120" w:type="dxa"/>
                    <w:left w:w="120" w:type="dxa"/>
                    <w:bottom w:w="120" w:type="dxa"/>
                    <w:right w:w="120" w:type="dxa"/>
                  </w:tcMar>
                  <w:vAlign w:val="center"/>
                </w:tcPr>
                <w:p w14:paraId="606FA3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0.2871</w:t>
                  </w:r>
                </w:p>
              </w:tc>
            </w:tr>
            <w:tr w14:paraId="55D5C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exact"/>
              </w:trPr>
              <w:tc>
                <w:tcPr>
                  <w:tcW w:w="1449" w:type="pct"/>
                  <w:tcBorders>
                    <w:top w:val="single" w:color="000000" w:sz="4" w:space="0"/>
                    <w:left w:val="nil"/>
                    <w:bottom w:val="single" w:color="000000" w:sz="4" w:space="0"/>
                    <w:right w:val="single" w:color="000000" w:sz="4" w:space="0"/>
                  </w:tcBorders>
                  <w:noWrap w:val="0"/>
                  <w:tcMar>
                    <w:top w:w="120" w:type="dxa"/>
                    <w:left w:w="120" w:type="dxa"/>
                    <w:bottom w:w="120" w:type="dxa"/>
                    <w:right w:w="120" w:type="dxa"/>
                  </w:tcMar>
                  <w:vAlign w:val="center"/>
                </w:tcPr>
                <w:p w14:paraId="1DFB6C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10(</w:t>
                  </w:r>
                  <w:r>
                    <w:rPr>
                      <w:rFonts w:hint="eastAsia" w:ascii="Times New Roman" w:hAnsi="Times New Roman" w:eastAsia="宋体" w:cs="Times New Roman"/>
                      <w:kern w:val="0"/>
                      <w:sz w:val="21"/>
                      <w:szCs w:val="21"/>
                      <w:lang w:val="en-US" w:eastAsia="zh-CN" w:bidi="ar"/>
                    </w:rPr>
                    <w:t>k</w:t>
                  </w:r>
                  <w:r>
                    <w:rPr>
                      <w:rFonts w:hint="default" w:ascii="Times New Roman" w:hAnsi="Times New Roman" w:eastAsia="宋体" w:cs="Times New Roman"/>
                      <w:kern w:val="0"/>
                      <w:sz w:val="21"/>
                      <w:szCs w:val="21"/>
                      <w:lang w:val="en-US" w:eastAsia="zh-CN" w:bidi="ar"/>
                    </w:rPr>
                    <w:t>m/h)</w:t>
                  </w:r>
                </w:p>
              </w:tc>
              <w:tc>
                <w:tcPr>
                  <w:tcW w:w="591"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545649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0.1021</w:t>
                  </w:r>
                </w:p>
              </w:tc>
              <w:tc>
                <w:tcPr>
                  <w:tcW w:w="591"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3AC3BD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0.1717</w:t>
                  </w:r>
                </w:p>
              </w:tc>
              <w:tc>
                <w:tcPr>
                  <w:tcW w:w="591"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3228E5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0.2328</w:t>
                  </w:r>
                </w:p>
              </w:tc>
              <w:tc>
                <w:tcPr>
                  <w:tcW w:w="591"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77B9DE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0.2888</w:t>
                  </w:r>
                </w:p>
              </w:tc>
              <w:tc>
                <w:tcPr>
                  <w:tcW w:w="592"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7399A9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0.3414</w:t>
                  </w:r>
                </w:p>
              </w:tc>
              <w:tc>
                <w:tcPr>
                  <w:tcW w:w="592" w:type="pct"/>
                  <w:tcBorders>
                    <w:top w:val="single" w:color="000000" w:sz="4" w:space="0"/>
                    <w:left w:val="single" w:color="000000" w:sz="4" w:space="0"/>
                    <w:bottom w:val="single" w:color="000000" w:sz="4" w:space="0"/>
                    <w:right w:val="nil"/>
                  </w:tcBorders>
                  <w:noWrap w:val="0"/>
                  <w:tcMar>
                    <w:top w:w="120" w:type="dxa"/>
                    <w:left w:w="120" w:type="dxa"/>
                    <w:bottom w:w="120" w:type="dxa"/>
                    <w:right w:w="120" w:type="dxa"/>
                  </w:tcMar>
                  <w:vAlign w:val="center"/>
                </w:tcPr>
                <w:p w14:paraId="43C885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0.5742</w:t>
                  </w:r>
                </w:p>
              </w:tc>
            </w:tr>
            <w:tr w14:paraId="4657B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exact"/>
              </w:trPr>
              <w:tc>
                <w:tcPr>
                  <w:tcW w:w="1449" w:type="pct"/>
                  <w:tcBorders>
                    <w:top w:val="single" w:color="000000" w:sz="4" w:space="0"/>
                    <w:left w:val="nil"/>
                    <w:bottom w:val="single" w:color="000000" w:sz="4" w:space="0"/>
                    <w:right w:val="single" w:color="000000" w:sz="4" w:space="0"/>
                  </w:tcBorders>
                  <w:noWrap w:val="0"/>
                  <w:tcMar>
                    <w:top w:w="120" w:type="dxa"/>
                    <w:left w:w="120" w:type="dxa"/>
                    <w:bottom w:w="120" w:type="dxa"/>
                    <w:right w:w="120" w:type="dxa"/>
                  </w:tcMar>
                  <w:vAlign w:val="center"/>
                </w:tcPr>
                <w:p w14:paraId="3B4137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15(</w:t>
                  </w:r>
                  <w:r>
                    <w:rPr>
                      <w:rFonts w:hint="eastAsia" w:ascii="Times New Roman" w:hAnsi="Times New Roman" w:eastAsia="宋体" w:cs="Times New Roman"/>
                      <w:kern w:val="0"/>
                      <w:sz w:val="21"/>
                      <w:szCs w:val="21"/>
                      <w:lang w:val="en-US" w:eastAsia="zh-CN" w:bidi="ar"/>
                    </w:rPr>
                    <w:t>k</w:t>
                  </w:r>
                  <w:r>
                    <w:rPr>
                      <w:rFonts w:hint="default" w:ascii="Times New Roman" w:hAnsi="Times New Roman" w:eastAsia="宋体" w:cs="Times New Roman"/>
                      <w:kern w:val="0"/>
                      <w:sz w:val="21"/>
                      <w:szCs w:val="21"/>
                      <w:lang w:val="en-US" w:eastAsia="zh-CN" w:bidi="ar"/>
                    </w:rPr>
                    <w:t>m/h)</w:t>
                  </w:r>
                </w:p>
              </w:tc>
              <w:tc>
                <w:tcPr>
                  <w:tcW w:w="591"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109EF6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0.1532</w:t>
                  </w:r>
                </w:p>
              </w:tc>
              <w:tc>
                <w:tcPr>
                  <w:tcW w:w="591"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528885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0.2576</w:t>
                  </w:r>
                </w:p>
              </w:tc>
              <w:tc>
                <w:tcPr>
                  <w:tcW w:w="591"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60D564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0.3491</w:t>
                  </w:r>
                </w:p>
              </w:tc>
              <w:tc>
                <w:tcPr>
                  <w:tcW w:w="591"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768808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0.4332</w:t>
                  </w:r>
                </w:p>
              </w:tc>
              <w:tc>
                <w:tcPr>
                  <w:tcW w:w="592" w:type="pct"/>
                  <w:tcBorders>
                    <w:top w:val="single" w:color="000000" w:sz="4" w:space="0"/>
                    <w:left w:val="single" w:color="000000" w:sz="4" w:space="0"/>
                    <w:bottom w:val="single" w:color="000000" w:sz="4" w:space="0"/>
                    <w:right w:val="single" w:color="000000" w:sz="4" w:space="0"/>
                  </w:tcBorders>
                  <w:noWrap w:val="0"/>
                  <w:tcMar>
                    <w:top w:w="120" w:type="dxa"/>
                    <w:left w:w="120" w:type="dxa"/>
                    <w:bottom w:w="120" w:type="dxa"/>
                    <w:right w:w="120" w:type="dxa"/>
                  </w:tcMar>
                  <w:vAlign w:val="center"/>
                </w:tcPr>
                <w:p w14:paraId="11F963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0.5121</w:t>
                  </w:r>
                </w:p>
              </w:tc>
              <w:tc>
                <w:tcPr>
                  <w:tcW w:w="592" w:type="pct"/>
                  <w:tcBorders>
                    <w:top w:val="single" w:color="000000" w:sz="4" w:space="0"/>
                    <w:left w:val="single" w:color="000000" w:sz="4" w:space="0"/>
                    <w:bottom w:val="single" w:color="000000" w:sz="4" w:space="0"/>
                    <w:right w:val="nil"/>
                  </w:tcBorders>
                  <w:noWrap w:val="0"/>
                  <w:tcMar>
                    <w:top w:w="120" w:type="dxa"/>
                    <w:left w:w="120" w:type="dxa"/>
                    <w:bottom w:w="120" w:type="dxa"/>
                    <w:right w:w="120" w:type="dxa"/>
                  </w:tcMar>
                  <w:vAlign w:val="center"/>
                </w:tcPr>
                <w:p w14:paraId="00FFE1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0.8613</w:t>
                  </w:r>
                </w:p>
              </w:tc>
            </w:tr>
            <w:tr w14:paraId="7AD08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exact"/>
              </w:trPr>
              <w:tc>
                <w:tcPr>
                  <w:tcW w:w="1449" w:type="pct"/>
                  <w:tcBorders>
                    <w:top w:val="single" w:color="000000" w:sz="4" w:space="0"/>
                    <w:left w:val="nil"/>
                    <w:bottom w:val="single" w:color="000000" w:sz="12" w:space="0"/>
                    <w:right w:val="single" w:color="000000" w:sz="4" w:space="0"/>
                  </w:tcBorders>
                  <w:noWrap w:val="0"/>
                  <w:tcMar>
                    <w:top w:w="120" w:type="dxa"/>
                    <w:left w:w="120" w:type="dxa"/>
                    <w:bottom w:w="120" w:type="dxa"/>
                    <w:right w:w="120" w:type="dxa"/>
                  </w:tcMar>
                  <w:vAlign w:val="center"/>
                </w:tcPr>
                <w:p w14:paraId="432421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25(</w:t>
                  </w:r>
                  <w:r>
                    <w:rPr>
                      <w:rFonts w:hint="eastAsia" w:ascii="Times New Roman" w:hAnsi="Times New Roman" w:eastAsia="宋体" w:cs="Times New Roman"/>
                      <w:kern w:val="0"/>
                      <w:sz w:val="21"/>
                      <w:szCs w:val="21"/>
                      <w:lang w:val="en-US" w:eastAsia="zh-CN" w:bidi="ar"/>
                    </w:rPr>
                    <w:t>k</w:t>
                  </w:r>
                  <w:r>
                    <w:rPr>
                      <w:rFonts w:hint="default" w:ascii="Times New Roman" w:hAnsi="Times New Roman" w:eastAsia="宋体" w:cs="Times New Roman"/>
                      <w:kern w:val="0"/>
                      <w:sz w:val="21"/>
                      <w:szCs w:val="21"/>
                      <w:lang w:val="en-US" w:eastAsia="zh-CN" w:bidi="ar"/>
                    </w:rPr>
                    <w:t>m/h)</w:t>
                  </w:r>
                </w:p>
              </w:tc>
              <w:tc>
                <w:tcPr>
                  <w:tcW w:w="591" w:type="pct"/>
                  <w:tcBorders>
                    <w:top w:val="single" w:color="000000" w:sz="4" w:space="0"/>
                    <w:left w:val="single" w:color="000000" w:sz="4" w:space="0"/>
                    <w:bottom w:val="single" w:color="000000" w:sz="12" w:space="0"/>
                    <w:right w:val="single" w:color="000000" w:sz="4" w:space="0"/>
                  </w:tcBorders>
                  <w:noWrap w:val="0"/>
                  <w:tcMar>
                    <w:top w:w="120" w:type="dxa"/>
                    <w:left w:w="120" w:type="dxa"/>
                    <w:bottom w:w="120" w:type="dxa"/>
                    <w:right w:w="120" w:type="dxa"/>
                  </w:tcMar>
                  <w:vAlign w:val="center"/>
                </w:tcPr>
                <w:p w14:paraId="5F5514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0.2553</w:t>
                  </w:r>
                </w:p>
              </w:tc>
              <w:tc>
                <w:tcPr>
                  <w:tcW w:w="591" w:type="pct"/>
                  <w:tcBorders>
                    <w:top w:val="single" w:color="000000" w:sz="4" w:space="0"/>
                    <w:left w:val="single" w:color="000000" w:sz="4" w:space="0"/>
                    <w:bottom w:val="single" w:color="000000" w:sz="12" w:space="0"/>
                    <w:right w:val="single" w:color="000000" w:sz="4" w:space="0"/>
                  </w:tcBorders>
                  <w:noWrap w:val="0"/>
                  <w:tcMar>
                    <w:top w:w="120" w:type="dxa"/>
                    <w:left w:w="120" w:type="dxa"/>
                    <w:bottom w:w="120" w:type="dxa"/>
                    <w:right w:w="120" w:type="dxa"/>
                  </w:tcMar>
                  <w:vAlign w:val="center"/>
                </w:tcPr>
                <w:p w14:paraId="2D8E1D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0.4293</w:t>
                  </w:r>
                </w:p>
              </w:tc>
              <w:tc>
                <w:tcPr>
                  <w:tcW w:w="591" w:type="pct"/>
                  <w:tcBorders>
                    <w:top w:val="single" w:color="000000" w:sz="4" w:space="0"/>
                    <w:left w:val="single" w:color="000000" w:sz="4" w:space="0"/>
                    <w:bottom w:val="single" w:color="000000" w:sz="12" w:space="0"/>
                    <w:right w:val="single" w:color="000000" w:sz="4" w:space="0"/>
                  </w:tcBorders>
                  <w:noWrap w:val="0"/>
                  <w:tcMar>
                    <w:top w:w="120" w:type="dxa"/>
                    <w:left w:w="120" w:type="dxa"/>
                    <w:bottom w:w="120" w:type="dxa"/>
                    <w:right w:w="120" w:type="dxa"/>
                  </w:tcMar>
                  <w:vAlign w:val="center"/>
                </w:tcPr>
                <w:p w14:paraId="60CEDC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0.5819</w:t>
                  </w:r>
                </w:p>
              </w:tc>
              <w:tc>
                <w:tcPr>
                  <w:tcW w:w="591" w:type="pct"/>
                  <w:tcBorders>
                    <w:top w:val="single" w:color="000000" w:sz="4" w:space="0"/>
                    <w:left w:val="single" w:color="000000" w:sz="4" w:space="0"/>
                    <w:bottom w:val="single" w:color="000000" w:sz="12" w:space="0"/>
                    <w:right w:val="single" w:color="000000" w:sz="4" w:space="0"/>
                  </w:tcBorders>
                  <w:noWrap w:val="0"/>
                  <w:tcMar>
                    <w:top w:w="120" w:type="dxa"/>
                    <w:left w:w="120" w:type="dxa"/>
                    <w:bottom w:w="120" w:type="dxa"/>
                    <w:right w:w="120" w:type="dxa"/>
                  </w:tcMar>
                  <w:vAlign w:val="center"/>
                </w:tcPr>
                <w:p w14:paraId="2BB209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0.7220</w:t>
                  </w:r>
                </w:p>
              </w:tc>
              <w:tc>
                <w:tcPr>
                  <w:tcW w:w="592" w:type="pct"/>
                  <w:tcBorders>
                    <w:top w:val="single" w:color="000000" w:sz="4" w:space="0"/>
                    <w:left w:val="single" w:color="000000" w:sz="4" w:space="0"/>
                    <w:bottom w:val="single" w:color="000000" w:sz="12" w:space="0"/>
                    <w:right w:val="single" w:color="000000" w:sz="4" w:space="0"/>
                  </w:tcBorders>
                  <w:noWrap w:val="0"/>
                  <w:tcMar>
                    <w:top w:w="120" w:type="dxa"/>
                    <w:left w:w="120" w:type="dxa"/>
                    <w:bottom w:w="120" w:type="dxa"/>
                    <w:right w:w="120" w:type="dxa"/>
                  </w:tcMar>
                  <w:vAlign w:val="center"/>
                </w:tcPr>
                <w:p w14:paraId="6A0E81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0.8536</w:t>
                  </w:r>
                </w:p>
              </w:tc>
              <w:tc>
                <w:tcPr>
                  <w:tcW w:w="592" w:type="pct"/>
                  <w:tcBorders>
                    <w:top w:val="single" w:color="000000" w:sz="4" w:space="0"/>
                    <w:left w:val="single" w:color="000000" w:sz="4" w:space="0"/>
                    <w:bottom w:val="single" w:color="000000" w:sz="12" w:space="0"/>
                    <w:right w:val="nil"/>
                  </w:tcBorders>
                  <w:noWrap w:val="0"/>
                  <w:tcMar>
                    <w:top w:w="120" w:type="dxa"/>
                    <w:left w:w="120" w:type="dxa"/>
                    <w:bottom w:w="120" w:type="dxa"/>
                    <w:right w:w="120" w:type="dxa"/>
                  </w:tcMar>
                  <w:vAlign w:val="center"/>
                </w:tcPr>
                <w:p w14:paraId="56C071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1.4355</w:t>
                  </w:r>
                </w:p>
              </w:tc>
            </w:tr>
          </w:tbl>
          <w:p w14:paraId="157DACA9">
            <w:pPr>
              <w:rPr>
                <w:rFonts w:hint="default" w:ascii="Times New Roman" w:hAnsi="Times New Roman" w:eastAsia="宋体" w:cs="Times New Roman"/>
              </w:rPr>
            </w:pPr>
            <w:r>
              <w:rPr>
                <w:rFonts w:hint="default" w:ascii="Times New Roman" w:hAnsi="Times New Roman" w:eastAsia="宋体" w:cs="Times New Roman"/>
              </w:rPr>
              <w:t>根据类似施工现场汽车运输引起的扬尘现场监测资料，灰土运输车辆下风向50m处的TSP浓度为11.625mg/m</w:t>
            </w:r>
            <w:r>
              <w:rPr>
                <w:rFonts w:hint="default" w:ascii="Times New Roman" w:hAnsi="Times New Roman" w:eastAsia="宋体" w:cs="Times New Roman"/>
                <w:vertAlign w:val="superscript"/>
              </w:rPr>
              <w:t>3</w:t>
            </w:r>
            <w:r>
              <w:rPr>
                <w:rFonts w:hint="default" w:ascii="Times New Roman" w:hAnsi="Times New Roman" w:eastAsia="宋体" w:cs="Times New Roman"/>
              </w:rPr>
              <w:t>；下风向100m处的TSP浓度为9.69mg/m</w:t>
            </w:r>
            <w:r>
              <w:rPr>
                <w:rFonts w:hint="default" w:ascii="Times New Roman" w:hAnsi="Times New Roman" w:eastAsia="宋体" w:cs="Times New Roman"/>
                <w:vertAlign w:val="superscript"/>
              </w:rPr>
              <w:t>3</w:t>
            </w:r>
            <w:r>
              <w:rPr>
                <w:rFonts w:hint="default" w:ascii="Times New Roman" w:hAnsi="Times New Roman" w:eastAsia="宋体" w:cs="Times New Roman"/>
              </w:rPr>
              <w:t>；下风向150m处的TSP浓度为5.093mg/m</w:t>
            </w:r>
            <w:r>
              <w:rPr>
                <w:rFonts w:hint="default" w:ascii="Times New Roman" w:hAnsi="Times New Roman" w:eastAsia="宋体" w:cs="Times New Roman"/>
                <w:vertAlign w:val="superscript"/>
              </w:rPr>
              <w:t>3</w:t>
            </w:r>
            <w:r>
              <w:rPr>
                <w:rFonts w:hint="default" w:ascii="Times New Roman" w:hAnsi="Times New Roman" w:eastAsia="宋体" w:cs="Times New Roman"/>
              </w:rPr>
              <w:t>，超过</w:t>
            </w:r>
            <w:r>
              <w:rPr>
                <w:rFonts w:hint="default" w:ascii="Times New Roman" w:hAnsi="Times New Roman" w:eastAsia="宋体" w:cs="Times New Roman"/>
                <w:color w:val="000000"/>
                <w:kern w:val="2"/>
                <w:sz w:val="24"/>
                <w:szCs w:val="24"/>
              </w:rPr>
              <w:t>《大气污染物综合排放标准》（GB16297-1996）</w:t>
            </w:r>
            <w:r>
              <w:rPr>
                <w:rFonts w:hint="eastAsia" w:ascii="Times New Roman" w:hAnsi="Times New Roman" w:eastAsia="宋体" w:cs="Times New Roman"/>
                <w:color w:val="000000"/>
                <w:kern w:val="2"/>
                <w:sz w:val="24"/>
                <w:szCs w:val="24"/>
                <w:lang w:val="en-US" w:eastAsia="zh-CN"/>
              </w:rPr>
              <w:t>的要求</w:t>
            </w:r>
            <w:r>
              <w:rPr>
                <w:rFonts w:hint="default" w:ascii="Times New Roman" w:hAnsi="Times New Roman" w:eastAsia="宋体" w:cs="Times New Roman"/>
              </w:rPr>
              <w:t>。</w:t>
            </w:r>
          </w:p>
          <w:p w14:paraId="4770194F">
            <w:pPr>
              <w:rPr>
                <w:rFonts w:hint="default" w:ascii="Times New Roman" w:hAnsi="Times New Roman" w:eastAsia="宋体" w:cs="Times New Roman"/>
              </w:rPr>
            </w:pPr>
            <w:r>
              <w:rPr>
                <w:rFonts w:hint="default" w:ascii="Times New Roman" w:hAnsi="Times New Roman" w:eastAsia="宋体" w:cs="Times New Roman"/>
              </w:rPr>
              <w:t>本项目建筑材料及土石方</w:t>
            </w:r>
            <w:r>
              <w:rPr>
                <w:rFonts w:hint="eastAsia" w:cs="Times New Roman"/>
                <w:lang w:eastAsia="zh-CN"/>
              </w:rPr>
              <w:t>采用汽车运输，运输车辆</w:t>
            </w:r>
            <w:r>
              <w:rPr>
                <w:rFonts w:hint="default" w:ascii="Times New Roman" w:hAnsi="Times New Roman" w:eastAsia="宋体" w:cs="Times New Roman"/>
              </w:rPr>
              <w:t>沿线经过敏感目标</w:t>
            </w:r>
            <w:r>
              <w:rPr>
                <w:rFonts w:hint="eastAsia" w:cs="Times New Roman"/>
                <w:lang w:eastAsia="zh-CN"/>
              </w:rPr>
              <w:t>时，道路</w:t>
            </w:r>
            <w:r>
              <w:rPr>
                <w:rFonts w:hint="default" w:ascii="Times New Roman" w:hAnsi="Times New Roman" w:eastAsia="宋体" w:cs="Times New Roman"/>
              </w:rPr>
              <w:t>二次扬尘会对其产生不利影响。</w:t>
            </w:r>
          </w:p>
          <w:p w14:paraId="01E5F89B">
            <w:pPr>
              <w:rPr>
                <w:rFonts w:hint="default" w:ascii="Times New Roman" w:hAnsi="Times New Roman" w:eastAsia="宋体" w:cs="Times New Roman"/>
              </w:rPr>
            </w:pPr>
            <w:r>
              <w:rPr>
                <w:rFonts w:hint="default" w:ascii="Times New Roman" w:hAnsi="Times New Roman" w:eastAsia="宋体" w:cs="Times New Roman"/>
              </w:rPr>
              <w:t>根据相关洒水降尘的试验，如果在干燥、晴朗天气对汽车行驶路面勤洒水，可以使扬尘产生量减少70%左右，收到很好的降尘</w:t>
            </w:r>
            <w:r>
              <w:rPr>
                <w:rFonts w:hint="eastAsia" w:cs="Times New Roman"/>
                <w:lang w:eastAsia="zh-CN"/>
              </w:rPr>
              <w:t>效果。</w:t>
            </w:r>
            <w:r>
              <w:rPr>
                <w:rFonts w:hint="default" w:ascii="Times New Roman" w:hAnsi="Times New Roman" w:eastAsia="宋体" w:cs="Times New Roman"/>
              </w:rPr>
              <w:t>洒水降尘的试验资料见表4-5。此外，试验结果还表明，当洒水频率为4</w:t>
            </w:r>
            <w:r>
              <w:rPr>
                <w:rFonts w:hint="eastAsia" w:cs="Times New Roman"/>
                <w:lang w:eastAsia="zh-CN"/>
              </w:rPr>
              <w:t>～</w:t>
            </w:r>
            <w:r>
              <w:rPr>
                <w:rFonts w:hint="default" w:ascii="Times New Roman" w:hAnsi="Times New Roman" w:eastAsia="宋体" w:cs="Times New Roman"/>
              </w:rPr>
              <w:t>5次/d时，扬尘造成的污染距离可缩小到20</w:t>
            </w:r>
            <w:r>
              <w:rPr>
                <w:rFonts w:hint="eastAsia" w:cs="Times New Roman"/>
                <w:lang w:eastAsia="zh-CN"/>
              </w:rPr>
              <w:t>～</w:t>
            </w:r>
            <w:r>
              <w:rPr>
                <w:rFonts w:hint="default" w:ascii="Times New Roman" w:hAnsi="Times New Roman" w:eastAsia="宋体" w:cs="Times New Roman"/>
              </w:rPr>
              <w:t>50m范围内。</w:t>
            </w:r>
          </w:p>
          <w:p w14:paraId="4B7A99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rPr>
              <w:t xml:space="preserve">表4-5 </w:t>
            </w:r>
            <w:r>
              <w:rPr>
                <w:rFonts w:hint="default" w:ascii="Times New Roman" w:hAnsi="Times New Roman" w:eastAsia="宋体" w:cs="Times New Roman"/>
                <w:b/>
                <w:bCs/>
                <w:sz w:val="21"/>
                <w:szCs w:val="21"/>
                <w:lang w:val="en-US" w:eastAsia="zh-CN"/>
              </w:rPr>
              <w:t xml:space="preserve"> </w:t>
            </w:r>
            <w:r>
              <w:rPr>
                <w:rFonts w:hint="default" w:ascii="Times New Roman" w:hAnsi="Times New Roman" w:eastAsia="宋体" w:cs="Times New Roman"/>
                <w:b/>
                <w:bCs/>
                <w:sz w:val="21"/>
                <w:szCs w:val="21"/>
              </w:rPr>
              <w:t>施工道路洒水降尘试验结果</w:t>
            </w:r>
            <w:r>
              <w:rPr>
                <w:rFonts w:hint="default" w:ascii="Times New Roman" w:hAnsi="Times New Roman" w:eastAsia="宋体" w:cs="Times New Roman"/>
                <w:b/>
                <w:bCs/>
                <w:sz w:val="21"/>
                <w:szCs w:val="21"/>
                <w:lang w:val="en-US" w:eastAsia="zh-CN"/>
              </w:rPr>
              <w:t xml:space="preserve">       单位：mg/Nm</w:t>
            </w:r>
            <w:r>
              <w:rPr>
                <w:rFonts w:hint="default" w:ascii="Times New Roman" w:hAnsi="Times New Roman" w:eastAsia="宋体" w:cs="Times New Roman"/>
                <w:b/>
                <w:bCs/>
                <w:sz w:val="21"/>
                <w:szCs w:val="21"/>
                <w:vertAlign w:val="superscript"/>
                <w:lang w:val="en-US" w:eastAsia="zh-CN"/>
              </w:rPr>
              <w:t>3</w:t>
            </w:r>
          </w:p>
          <w:tbl>
            <w:tblPr>
              <w:tblStyle w:val="33"/>
              <w:tblW w:w="7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7"/>
              <w:gridCol w:w="1125"/>
              <w:gridCol w:w="987"/>
              <w:gridCol w:w="987"/>
              <w:gridCol w:w="1152"/>
            </w:tblGrid>
            <w:tr w14:paraId="201D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7" w:type="dxa"/>
                  <w:tcBorders>
                    <w:top w:val="single" w:color="auto" w:sz="12" w:space="0"/>
                    <w:left w:val="nil"/>
                    <w:bottom w:val="single" w:color="auto" w:sz="12" w:space="0"/>
                  </w:tcBorders>
                  <w:shd w:val="clear" w:color="auto" w:fill="auto"/>
                  <w:vAlign w:val="center"/>
                </w:tcPr>
                <w:p w14:paraId="64766F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距路边距离</w:t>
                  </w:r>
                </w:p>
              </w:tc>
              <w:tc>
                <w:tcPr>
                  <w:tcW w:w="1125" w:type="dxa"/>
                  <w:tcBorders>
                    <w:top w:val="single" w:color="auto" w:sz="12" w:space="0"/>
                    <w:bottom w:val="single" w:color="auto" w:sz="12" w:space="0"/>
                  </w:tcBorders>
                  <w:shd w:val="clear" w:color="auto" w:fill="auto"/>
                  <w:vAlign w:val="center"/>
                </w:tcPr>
                <w:p w14:paraId="07A58B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5m</w:t>
                  </w:r>
                </w:p>
              </w:tc>
              <w:tc>
                <w:tcPr>
                  <w:tcW w:w="987" w:type="dxa"/>
                  <w:tcBorders>
                    <w:top w:val="single" w:color="auto" w:sz="12" w:space="0"/>
                    <w:bottom w:val="single" w:color="auto" w:sz="12" w:space="0"/>
                  </w:tcBorders>
                  <w:shd w:val="clear" w:color="auto" w:fill="auto"/>
                  <w:vAlign w:val="center"/>
                </w:tcPr>
                <w:p w14:paraId="7D03C4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20m</w:t>
                  </w:r>
                </w:p>
              </w:tc>
              <w:tc>
                <w:tcPr>
                  <w:tcW w:w="987" w:type="dxa"/>
                  <w:tcBorders>
                    <w:top w:val="single" w:color="auto" w:sz="12" w:space="0"/>
                    <w:bottom w:val="single" w:color="auto" w:sz="12" w:space="0"/>
                  </w:tcBorders>
                  <w:shd w:val="clear" w:color="auto" w:fill="auto"/>
                  <w:vAlign w:val="center"/>
                </w:tcPr>
                <w:p w14:paraId="3538CC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50m</w:t>
                  </w:r>
                </w:p>
              </w:tc>
              <w:tc>
                <w:tcPr>
                  <w:tcW w:w="1152" w:type="dxa"/>
                  <w:tcBorders>
                    <w:top w:val="single" w:color="auto" w:sz="12" w:space="0"/>
                    <w:bottom w:val="single" w:color="auto" w:sz="12" w:space="0"/>
                    <w:right w:val="nil"/>
                  </w:tcBorders>
                  <w:shd w:val="clear" w:color="auto" w:fill="auto"/>
                  <w:vAlign w:val="center"/>
                </w:tcPr>
                <w:p w14:paraId="7A483C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100m</w:t>
                  </w:r>
                </w:p>
              </w:tc>
            </w:tr>
            <w:tr w14:paraId="3C8F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7" w:type="dxa"/>
                  <w:tcBorders>
                    <w:top w:val="single" w:color="auto" w:sz="12" w:space="0"/>
                    <w:left w:val="nil"/>
                  </w:tcBorders>
                  <w:shd w:val="clear" w:color="auto" w:fill="auto"/>
                  <w:vAlign w:val="center"/>
                </w:tcPr>
                <w:p w14:paraId="0ED587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TSP浓度（不洒水）</w:t>
                  </w:r>
                </w:p>
              </w:tc>
              <w:tc>
                <w:tcPr>
                  <w:tcW w:w="1125" w:type="dxa"/>
                  <w:tcBorders>
                    <w:top w:val="single" w:color="auto" w:sz="12" w:space="0"/>
                  </w:tcBorders>
                  <w:shd w:val="clear" w:color="auto" w:fill="auto"/>
                  <w:vAlign w:val="center"/>
                </w:tcPr>
                <w:p w14:paraId="41AA9B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10.14</w:t>
                  </w:r>
                </w:p>
              </w:tc>
              <w:tc>
                <w:tcPr>
                  <w:tcW w:w="987" w:type="dxa"/>
                  <w:tcBorders>
                    <w:top w:val="single" w:color="auto" w:sz="12" w:space="0"/>
                  </w:tcBorders>
                  <w:shd w:val="clear" w:color="auto" w:fill="auto"/>
                  <w:vAlign w:val="center"/>
                </w:tcPr>
                <w:p w14:paraId="2DA2DB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2.89</w:t>
                  </w:r>
                </w:p>
              </w:tc>
              <w:tc>
                <w:tcPr>
                  <w:tcW w:w="987" w:type="dxa"/>
                  <w:tcBorders>
                    <w:top w:val="single" w:color="auto" w:sz="12" w:space="0"/>
                  </w:tcBorders>
                  <w:shd w:val="clear" w:color="auto" w:fill="auto"/>
                  <w:vAlign w:val="center"/>
                </w:tcPr>
                <w:p w14:paraId="406844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1.15</w:t>
                  </w:r>
                </w:p>
              </w:tc>
              <w:tc>
                <w:tcPr>
                  <w:tcW w:w="1152" w:type="dxa"/>
                  <w:tcBorders>
                    <w:top w:val="single" w:color="auto" w:sz="12" w:space="0"/>
                    <w:right w:val="nil"/>
                  </w:tcBorders>
                  <w:shd w:val="clear" w:color="auto" w:fill="auto"/>
                  <w:vAlign w:val="center"/>
                </w:tcPr>
                <w:p w14:paraId="3CAEDE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0.86</w:t>
                  </w:r>
                </w:p>
              </w:tc>
            </w:tr>
            <w:tr w14:paraId="10CE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7" w:type="dxa"/>
                  <w:tcBorders>
                    <w:left w:val="nil"/>
                  </w:tcBorders>
                  <w:shd w:val="clear" w:color="auto" w:fill="auto"/>
                  <w:vAlign w:val="center"/>
                </w:tcPr>
                <w:p w14:paraId="695FA9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TSP浓度（洒水）</w:t>
                  </w:r>
                </w:p>
              </w:tc>
              <w:tc>
                <w:tcPr>
                  <w:tcW w:w="1125" w:type="dxa"/>
                  <w:shd w:val="clear" w:color="auto" w:fill="auto"/>
                  <w:vAlign w:val="center"/>
                </w:tcPr>
                <w:p w14:paraId="5260E2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2.01</w:t>
                  </w:r>
                </w:p>
              </w:tc>
              <w:tc>
                <w:tcPr>
                  <w:tcW w:w="987" w:type="dxa"/>
                  <w:shd w:val="clear" w:color="auto" w:fill="auto"/>
                  <w:vAlign w:val="center"/>
                </w:tcPr>
                <w:p w14:paraId="200A35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1.40</w:t>
                  </w:r>
                </w:p>
              </w:tc>
              <w:tc>
                <w:tcPr>
                  <w:tcW w:w="987" w:type="dxa"/>
                  <w:shd w:val="clear" w:color="auto" w:fill="auto"/>
                  <w:vAlign w:val="center"/>
                </w:tcPr>
                <w:p w14:paraId="4A4F93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0.68</w:t>
                  </w:r>
                </w:p>
              </w:tc>
              <w:tc>
                <w:tcPr>
                  <w:tcW w:w="1152" w:type="dxa"/>
                  <w:tcBorders>
                    <w:right w:val="nil"/>
                  </w:tcBorders>
                  <w:shd w:val="clear" w:color="auto" w:fill="auto"/>
                  <w:vAlign w:val="center"/>
                </w:tcPr>
                <w:p w14:paraId="290DD9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0.60</w:t>
                  </w:r>
                </w:p>
              </w:tc>
            </w:tr>
            <w:tr w14:paraId="0300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7" w:type="dxa"/>
                  <w:tcBorders>
                    <w:left w:val="nil"/>
                    <w:bottom w:val="single" w:color="auto" w:sz="12" w:space="0"/>
                  </w:tcBorders>
                  <w:shd w:val="clear" w:color="auto" w:fill="auto"/>
                  <w:vAlign w:val="center"/>
                </w:tcPr>
                <w:p w14:paraId="605ABE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降尘率（%）</w:t>
                  </w:r>
                </w:p>
              </w:tc>
              <w:tc>
                <w:tcPr>
                  <w:tcW w:w="1125" w:type="dxa"/>
                  <w:tcBorders>
                    <w:bottom w:val="single" w:color="auto" w:sz="12" w:space="0"/>
                  </w:tcBorders>
                  <w:shd w:val="clear" w:color="auto" w:fill="auto"/>
                  <w:vAlign w:val="center"/>
                </w:tcPr>
                <w:p w14:paraId="37EBE3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80.2</w:t>
                  </w:r>
                </w:p>
              </w:tc>
              <w:tc>
                <w:tcPr>
                  <w:tcW w:w="987" w:type="dxa"/>
                  <w:tcBorders>
                    <w:bottom w:val="single" w:color="auto" w:sz="12" w:space="0"/>
                  </w:tcBorders>
                  <w:shd w:val="clear" w:color="auto" w:fill="auto"/>
                  <w:vAlign w:val="center"/>
                </w:tcPr>
                <w:p w14:paraId="1ECFB0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51.6</w:t>
                  </w:r>
                </w:p>
              </w:tc>
              <w:tc>
                <w:tcPr>
                  <w:tcW w:w="987" w:type="dxa"/>
                  <w:tcBorders>
                    <w:bottom w:val="single" w:color="auto" w:sz="12" w:space="0"/>
                  </w:tcBorders>
                  <w:shd w:val="clear" w:color="auto" w:fill="auto"/>
                  <w:vAlign w:val="center"/>
                </w:tcPr>
                <w:p w14:paraId="42FE9E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41.7</w:t>
                  </w:r>
                </w:p>
              </w:tc>
              <w:tc>
                <w:tcPr>
                  <w:tcW w:w="1152" w:type="dxa"/>
                  <w:tcBorders>
                    <w:bottom w:val="single" w:color="auto" w:sz="12" w:space="0"/>
                    <w:right w:val="nil"/>
                  </w:tcBorders>
                  <w:shd w:val="clear" w:color="auto" w:fill="auto"/>
                  <w:vAlign w:val="center"/>
                </w:tcPr>
                <w:p w14:paraId="4B75BC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30.2</w:t>
                  </w:r>
                </w:p>
              </w:tc>
            </w:tr>
          </w:tbl>
          <w:p w14:paraId="7F31ECF6">
            <w:pPr>
              <w:rPr>
                <w:rFonts w:hint="default" w:ascii="Times New Roman" w:hAnsi="Times New Roman" w:eastAsia="宋体" w:cs="Times New Roman"/>
              </w:rPr>
            </w:pPr>
            <w:r>
              <w:rPr>
                <w:rFonts w:hint="default" w:ascii="Times New Roman" w:hAnsi="Times New Roman" w:eastAsia="宋体" w:cs="Times New Roman"/>
                <w:spacing w:val="-1"/>
              </w:rPr>
              <w:t>由上表可知，采取洒水措施可有效降低道路运输扬尘带来的不利影响。因此，</w:t>
            </w:r>
            <w:r>
              <w:rPr>
                <w:rFonts w:hint="default" w:ascii="Times New Roman" w:hAnsi="Times New Roman" w:eastAsia="宋体" w:cs="Times New Roman"/>
                <w:spacing w:val="-3"/>
              </w:rPr>
              <w:t>为尽可能</w:t>
            </w:r>
            <w:r>
              <w:rPr>
                <w:rFonts w:hint="eastAsia" w:cs="Times New Roman"/>
                <w:spacing w:val="-3"/>
                <w:lang w:eastAsia="zh-CN"/>
              </w:rPr>
              <w:t>地</w:t>
            </w:r>
            <w:r>
              <w:rPr>
                <w:rFonts w:hint="default" w:ascii="Times New Roman" w:hAnsi="Times New Roman" w:eastAsia="宋体" w:cs="Times New Roman"/>
                <w:spacing w:val="-3"/>
              </w:rPr>
              <w:t>降低道路运输扬尘对沿线敏感点的影响，应定</w:t>
            </w:r>
            <w:r>
              <w:rPr>
                <w:rFonts w:hint="default" w:ascii="Times New Roman" w:hAnsi="Times New Roman" w:eastAsia="宋体" w:cs="Times New Roman"/>
                <w:spacing w:val="-4"/>
              </w:rPr>
              <w:t>时对路面进行洒水。同时，</w:t>
            </w:r>
            <w:r>
              <w:rPr>
                <w:rFonts w:hint="default" w:ascii="Times New Roman" w:hAnsi="Times New Roman" w:eastAsia="宋体" w:cs="Times New Roman"/>
              </w:rPr>
              <w:t>进出工地的土石方、物料等运输车辆，应严格按照既定的线路进行运输，在运输过</w:t>
            </w:r>
            <w:r>
              <w:rPr>
                <w:rFonts w:hint="default" w:ascii="Times New Roman" w:hAnsi="Times New Roman" w:eastAsia="宋体" w:cs="Times New Roman"/>
                <w:spacing w:val="-1"/>
              </w:rPr>
              <w:t>程中应采用密闭车斗，并保证土石方、物料不遗撒外漏。若无密闭车斗，土石方、</w:t>
            </w:r>
            <w:r>
              <w:rPr>
                <w:rFonts w:hint="default" w:ascii="Times New Roman" w:hAnsi="Times New Roman" w:eastAsia="宋体" w:cs="Times New Roman"/>
              </w:rPr>
              <w:t>物料的装载高度不得超过车辆槽帮上沿，车斗应用苫布遮盖严实。苫布边缘至少要</w:t>
            </w:r>
            <w:r>
              <w:rPr>
                <w:rFonts w:hint="default" w:ascii="Times New Roman" w:hAnsi="Times New Roman" w:eastAsia="宋体" w:cs="Times New Roman"/>
                <w:spacing w:val="-3"/>
              </w:rPr>
              <w:t>遮住槽帮上沿以下15cm，保证土石方、物料等不露出。运输车辆应优先选择远离镇</w:t>
            </w:r>
            <w:r>
              <w:rPr>
                <w:rFonts w:hint="default" w:ascii="Times New Roman" w:hAnsi="Times New Roman" w:eastAsia="宋体" w:cs="Times New Roman"/>
              </w:rPr>
              <w:t>区的路线，尽量避免从镇区内部穿过；严格控制车速，禁止超速超载等易加重扬尘的污染行为。严格执行施工期的各项防尘措施，车辆运输路线两侧的环境空气影响将得到</w:t>
            </w:r>
            <w:r>
              <w:rPr>
                <w:rFonts w:hint="eastAsia" w:cs="Times New Roman"/>
                <w:lang w:eastAsia="zh-CN"/>
              </w:rPr>
              <w:t>有效</w:t>
            </w:r>
            <w:r>
              <w:rPr>
                <w:rFonts w:hint="default" w:ascii="Times New Roman" w:hAnsi="Times New Roman" w:eastAsia="宋体" w:cs="Times New Roman"/>
              </w:rPr>
              <w:t>控制。同时施工期严格执行各项防治措施</w:t>
            </w:r>
            <w:r>
              <w:rPr>
                <w:rFonts w:hint="default" w:ascii="Times New Roman" w:hAnsi="Times New Roman" w:eastAsia="宋体" w:cs="Times New Roman"/>
                <w:spacing w:val="-1"/>
              </w:rPr>
              <w:t>（具体见第五章</w:t>
            </w:r>
            <w:r>
              <w:rPr>
                <w:rFonts w:hint="default" w:ascii="Times New Roman" w:hAnsi="Times New Roman" w:eastAsia="宋体" w:cs="Times New Roman"/>
                <w:spacing w:val="5"/>
              </w:rPr>
              <w:t>），</w:t>
            </w:r>
            <w:r>
              <w:rPr>
                <w:rFonts w:hint="default" w:ascii="Times New Roman" w:hAnsi="Times New Roman" w:eastAsia="宋体" w:cs="Times New Roman"/>
                <w:spacing w:val="-1"/>
              </w:rPr>
              <w:t>则运输道路扬尘对运输道路沿线敏感目标不会产生明显影响，在可接受范围内。</w:t>
            </w:r>
          </w:p>
          <w:p w14:paraId="648222FE">
            <w:pPr>
              <w:rPr>
                <w:rFonts w:hint="default" w:ascii="Times New Roman" w:hAnsi="Times New Roman" w:eastAsia="宋体" w:cs="Times New Roman"/>
                <w:b/>
                <w:bCs/>
              </w:rPr>
            </w:pPr>
            <w:r>
              <w:rPr>
                <w:rFonts w:hint="default" w:ascii="Times New Roman" w:hAnsi="Times New Roman" w:eastAsia="宋体" w:cs="Times New Roman"/>
                <w:b/>
                <w:bCs/>
                <w:lang w:val="en-US" w:eastAsia="zh-CN"/>
              </w:rPr>
              <w:t>1.5</w:t>
            </w:r>
            <w:r>
              <w:rPr>
                <w:rFonts w:hint="eastAsia" w:cs="Times New Roman"/>
                <w:b/>
                <w:bCs/>
                <w:lang w:val="en-US" w:eastAsia="zh-CN"/>
              </w:rPr>
              <w:t xml:space="preserve"> </w:t>
            </w:r>
            <w:r>
              <w:rPr>
                <w:rFonts w:hint="default" w:ascii="Times New Roman" w:hAnsi="Times New Roman" w:eastAsia="宋体" w:cs="Times New Roman"/>
                <w:b/>
                <w:bCs/>
              </w:rPr>
              <w:t>施工机械尾气环境影响分析</w:t>
            </w:r>
          </w:p>
          <w:p w14:paraId="5AC03134">
            <w:pPr>
              <w:rPr>
                <w:rFonts w:hint="default" w:ascii="Times New Roman" w:hAnsi="Times New Roman" w:eastAsia="宋体" w:cs="Times New Roman"/>
              </w:rPr>
            </w:pPr>
            <w:r>
              <w:rPr>
                <w:rFonts w:hint="default" w:ascii="Times New Roman" w:hAnsi="Times New Roman" w:eastAsia="宋体" w:cs="Times New Roman"/>
              </w:rPr>
              <w:t>本项目施工期沿线燃油机械和车辆会产生含有少量烟尘、NO</w:t>
            </w:r>
            <w:r>
              <w:rPr>
                <w:rFonts w:hint="default" w:ascii="Times New Roman" w:hAnsi="Times New Roman" w:eastAsia="宋体" w:cs="Times New Roman"/>
                <w:vertAlign w:val="subscript"/>
              </w:rPr>
              <w:t>2</w:t>
            </w:r>
            <w:r>
              <w:rPr>
                <w:rFonts w:hint="default" w:ascii="Times New Roman" w:hAnsi="Times New Roman" w:eastAsia="宋体" w:cs="Times New Roman"/>
              </w:rPr>
              <w:t>、CO、非甲烷总烃等污染物废气。根据《工业交通环保概论（王肇润编著）》，每耗1L油料，排放空气污染物NOx 9g ，SO</w:t>
            </w:r>
            <w:r>
              <w:rPr>
                <w:rFonts w:hint="default" w:ascii="Times New Roman" w:hAnsi="Times New Roman" w:eastAsia="宋体" w:cs="Times New Roman"/>
                <w:vertAlign w:val="subscript"/>
              </w:rPr>
              <w:t>2</w:t>
            </w:r>
            <w:r>
              <w:rPr>
                <w:rFonts w:hint="default" w:ascii="Times New Roman" w:hAnsi="Times New Roman" w:eastAsia="宋体" w:cs="Times New Roman"/>
              </w:rPr>
              <w:t xml:space="preserve"> 3.24g ，CO 27g。由于此类燃油废气系无组织流动性排放，施工车辆、施工机械在现场范围内活动，尾气呈面源污染形式，尾气扩散范围有限。车辆为非连续行驶状态，且施工时间有限，污染物排放时间和排放量相对较少，所以不会对周围环境空气有明显影响。</w:t>
            </w:r>
          </w:p>
          <w:p w14:paraId="0E16206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bCs/>
              </w:rPr>
            </w:pPr>
            <w:r>
              <w:rPr>
                <w:rFonts w:hint="default" w:ascii="Times New Roman" w:hAnsi="Times New Roman" w:eastAsia="宋体" w:cs="Times New Roman"/>
                <w:b/>
                <w:bCs/>
                <w:lang w:val="en-US" w:eastAsia="zh-CN"/>
              </w:rPr>
              <w:t>1.6</w:t>
            </w:r>
            <w:r>
              <w:rPr>
                <w:rFonts w:hint="eastAsia" w:cs="Times New Roman"/>
                <w:b/>
                <w:bCs/>
                <w:lang w:val="en-US" w:eastAsia="zh-CN"/>
              </w:rPr>
              <w:t xml:space="preserve"> </w:t>
            </w:r>
            <w:r>
              <w:rPr>
                <w:rFonts w:hint="default" w:ascii="Times New Roman" w:hAnsi="Times New Roman" w:eastAsia="宋体" w:cs="Times New Roman"/>
                <w:b/>
                <w:bCs/>
              </w:rPr>
              <w:t>装修废气环境影响分析</w:t>
            </w:r>
          </w:p>
          <w:p w14:paraId="61F03432">
            <w:pPr>
              <w:rPr>
                <w:rFonts w:hint="default" w:ascii="Times New Roman" w:hAnsi="Times New Roman" w:eastAsia="宋体" w:cs="Times New Roman"/>
              </w:rPr>
            </w:pPr>
            <w:r>
              <w:rPr>
                <w:rFonts w:hint="default" w:ascii="Times New Roman" w:hAnsi="Times New Roman" w:eastAsia="宋体" w:cs="Times New Roman"/>
              </w:rPr>
              <w:t>本项目主体工程及</w:t>
            </w:r>
            <w:r>
              <w:rPr>
                <w:rFonts w:hint="eastAsia" w:cs="Times New Roman"/>
                <w:lang w:val="en-US" w:eastAsia="zh-CN"/>
              </w:rPr>
              <w:t>乡村会客厅</w:t>
            </w:r>
            <w:r>
              <w:rPr>
                <w:rFonts w:hint="default" w:ascii="Times New Roman" w:hAnsi="Times New Roman" w:eastAsia="宋体" w:cs="Times New Roman"/>
              </w:rPr>
              <w:t>装修期间会有一定量油漆及涂料的有机废气排放。由于装修期间油漆、涂料废气的释放较缓慢，产生的有机废气对周围环境基本不会带来明显的影响。本环评建议采用环保油漆，从而减少挥发性有机废气的排放。</w:t>
            </w:r>
          </w:p>
          <w:p w14:paraId="37686279">
            <w:pPr>
              <w:rPr>
                <w:rFonts w:hint="default" w:ascii="Times New Roman" w:hAnsi="Times New Roman" w:eastAsia="宋体" w:cs="Times New Roman"/>
              </w:rPr>
            </w:pPr>
            <w:r>
              <w:rPr>
                <w:rFonts w:hint="default" w:ascii="Times New Roman" w:hAnsi="Times New Roman" w:eastAsia="宋体" w:cs="Times New Roman"/>
              </w:rPr>
              <w:t>综上，本项目施工期大气影响对象主要为周边居民，主要影响因素是施工期产生的扬尘、施工机械废气和装修废气，采取措施后，影响程度较小，影响范围较小。</w:t>
            </w:r>
          </w:p>
          <w:p w14:paraId="3788C70D">
            <w:pPr>
              <w:rPr>
                <w:rFonts w:hint="default" w:ascii="Times New Roman" w:hAnsi="Times New Roman" w:eastAsia="宋体" w:cs="Times New Roman"/>
                <w:lang w:val="en-US" w:eastAsia="zh-CN"/>
              </w:rPr>
            </w:pPr>
            <w:r>
              <w:rPr>
                <w:rFonts w:hint="eastAsia" w:cs="Times New Roman"/>
                <w:b/>
                <w:bCs/>
                <w:lang w:val="en-US" w:eastAsia="zh-CN"/>
              </w:rPr>
              <w:t>2.</w:t>
            </w:r>
            <w:r>
              <w:rPr>
                <w:rFonts w:hint="default" w:ascii="Times New Roman" w:hAnsi="Times New Roman" w:eastAsia="宋体" w:cs="Times New Roman"/>
                <w:b/>
                <w:bCs/>
                <w:lang w:val="en-US" w:eastAsia="zh-CN"/>
              </w:rPr>
              <w:t>水环境影响分析</w:t>
            </w:r>
          </w:p>
          <w:p w14:paraId="4C76FEC3">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施工期废水来源主要是施工过</w:t>
            </w:r>
            <w:r>
              <w:rPr>
                <w:rFonts w:hint="eastAsia" w:cs="Times New Roman"/>
                <w:lang w:val="en-US" w:eastAsia="zh-CN"/>
              </w:rPr>
              <w:t>程中</w:t>
            </w:r>
            <w:r>
              <w:rPr>
                <w:rFonts w:hint="default" w:ascii="Times New Roman" w:hAnsi="Times New Roman" w:eastAsia="宋体" w:cs="Times New Roman"/>
                <w:lang w:val="en-US" w:eastAsia="zh-CN"/>
              </w:rPr>
              <w:t>产生的施工废水和施工人员产生</w:t>
            </w:r>
            <w:r>
              <w:rPr>
                <w:rFonts w:hint="eastAsia" w:cs="Times New Roman"/>
                <w:lang w:val="en-US" w:eastAsia="zh-CN"/>
              </w:rPr>
              <w:t>的</w:t>
            </w:r>
            <w:r>
              <w:rPr>
                <w:rFonts w:hint="default" w:ascii="Times New Roman" w:hAnsi="Times New Roman" w:eastAsia="宋体" w:cs="Times New Roman"/>
                <w:lang w:val="en-US" w:eastAsia="zh-CN"/>
              </w:rPr>
              <w:t>生活污水。</w:t>
            </w:r>
          </w:p>
          <w:p w14:paraId="4C7ED86F">
            <w:pPr>
              <w:rPr>
                <w:rFonts w:hint="default" w:ascii="Times New Roman" w:hAnsi="Times New Roman" w:eastAsia="宋体" w:cs="Times New Roman"/>
                <w:lang w:val="en-US" w:eastAsia="zh-CN"/>
              </w:rPr>
            </w:pPr>
            <w:r>
              <w:rPr>
                <w:rFonts w:hint="default" w:ascii="Times New Roman" w:hAnsi="Times New Roman" w:eastAsia="宋体" w:cs="Times New Roman"/>
                <w:b/>
                <w:bCs/>
                <w:lang w:val="en-US" w:eastAsia="zh-CN"/>
              </w:rPr>
              <w:t>2.1</w:t>
            </w:r>
            <w:r>
              <w:rPr>
                <w:rFonts w:hint="eastAsia" w:cs="Times New Roman"/>
                <w:b/>
                <w:bCs/>
                <w:lang w:val="en-US" w:eastAsia="zh-CN"/>
              </w:rPr>
              <w:t xml:space="preserve"> </w:t>
            </w:r>
            <w:r>
              <w:rPr>
                <w:rFonts w:hint="default" w:ascii="Times New Roman" w:hAnsi="Times New Roman" w:eastAsia="宋体" w:cs="Times New Roman"/>
                <w:b/>
                <w:bCs/>
                <w:lang w:val="en-US" w:eastAsia="zh-CN"/>
              </w:rPr>
              <w:t>施工作业废水环境影响分析</w:t>
            </w:r>
          </w:p>
          <w:p w14:paraId="6848751B">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施工废水包括开挖和钻孔产生的泥浆水、机械设备运转的冷却水和清洗水、混凝土现浇养护水、设备车辆冲洗废水等，其产生量难以确定，主要污染物为悬浮物、石油类。</w:t>
            </w:r>
          </w:p>
          <w:p w14:paraId="036D7833">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项目施工场地在项目建筑建设区范围内。施工活动中的各类作业废水如搅拌机清洗水、洗石冲灰废水以及车辆的冲洗水等，主要污染物是悬浮物、石油类等。施工场地修建临时沉淀池，含SS生产废水，废水排入沉淀池进行沉淀澄清处理后回用于车辆冲洗、洒水降尘、防止路面扬尘等，不得排入附近水体。</w:t>
            </w:r>
          </w:p>
          <w:p w14:paraId="2564DA3C">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施工废水产生量与施工方式有关。根据类比监测调查SS为1000～3000mg/L，</w:t>
            </w:r>
            <w:r>
              <w:rPr>
                <w:rFonts w:hint="eastAsia" w:cs="Times New Roman"/>
                <w:lang w:val="en-US" w:eastAsia="zh-CN"/>
              </w:rPr>
              <w:t>随意</w:t>
            </w:r>
            <w:r>
              <w:rPr>
                <w:rFonts w:hint="default" w:ascii="Times New Roman" w:hAnsi="Times New Roman" w:eastAsia="宋体" w:cs="Times New Roman"/>
                <w:lang w:val="en-US" w:eastAsia="zh-CN"/>
              </w:rPr>
              <w:t>排放会造成周边污水管网的堵塞，必须经沉淀装置处理，将施工废水沉淀处理后用于喷淋施工地表开挖造成的裸露场地，防止裸露场地在大风</w:t>
            </w:r>
            <w:r>
              <w:rPr>
                <w:rFonts w:hint="eastAsia" w:cs="Times New Roman"/>
                <w:lang w:val="en-US" w:eastAsia="zh-CN"/>
              </w:rPr>
              <w:t>天气</w:t>
            </w:r>
            <w:r>
              <w:rPr>
                <w:rFonts w:hint="default" w:ascii="Times New Roman" w:hAnsi="Times New Roman" w:eastAsia="宋体" w:cs="Times New Roman"/>
                <w:lang w:val="en-US" w:eastAsia="zh-CN"/>
              </w:rPr>
              <w:t>产生扬尘。沉淀的泥浆用封闭式运输车运至指定地区处理。</w:t>
            </w:r>
          </w:p>
          <w:p w14:paraId="5A9F43B3">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本项目施工期作业废水经处理后全部做到回用，无废水排放，各类废水禁止排入附近河流。</w:t>
            </w:r>
          </w:p>
          <w:p w14:paraId="05E82BED">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此外，施工过程中还将产生一些废土、废物或易淋易湿物资（黄沙、石灰等），露天堆放，遇暴雨时很容易冲刷进入水体，因此</w:t>
            </w:r>
            <w:r>
              <w:rPr>
                <w:rFonts w:hint="eastAsia" w:cs="Times New Roman"/>
                <w:lang w:val="en-US" w:eastAsia="zh-CN"/>
              </w:rPr>
              <w:t>，必</w:t>
            </w:r>
            <w:r>
              <w:rPr>
                <w:rFonts w:hint="default" w:ascii="Times New Roman" w:hAnsi="Times New Roman" w:eastAsia="宋体" w:cs="Times New Roman"/>
                <w:lang w:val="en-US" w:eastAsia="zh-CN"/>
              </w:rPr>
              <w:t>须对废土、废物采取防止其四散的措施。堆放的物资，应建立临时堆放场，且在堆场四周挖有截留沟；石灰、水泥等物质不能露天堆放贮存。施工人员的生活垃圾应在远离水体、不易四散流失的专门地方集中堆放，并及时清运。施工过程中的裸露边坡，应当边堆边夯实。各类堆场位置尽量安排在远离河流位置，施工场地内初期雨水应经收集沉淀后回用于场地冲洗，洒水降尘等，不外排，尽量减少对河流的影响。</w:t>
            </w:r>
          </w:p>
          <w:p w14:paraId="676DC533">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施工期废水严格执行各项污染防治措施，则其对周围水环境的</w:t>
            </w:r>
            <w:r>
              <w:rPr>
                <w:rFonts w:hint="eastAsia" w:cs="Times New Roman"/>
                <w:lang w:val="en-US" w:eastAsia="zh-CN"/>
              </w:rPr>
              <w:t>影响</w:t>
            </w:r>
            <w:r>
              <w:rPr>
                <w:rFonts w:hint="default" w:ascii="Times New Roman" w:hAnsi="Times New Roman" w:eastAsia="宋体" w:cs="Times New Roman"/>
                <w:lang w:val="en-US" w:eastAsia="zh-CN"/>
              </w:rPr>
              <w:t>较小，在可接受范围内。</w:t>
            </w:r>
          </w:p>
          <w:p w14:paraId="474366A2">
            <w:pPr>
              <w:rPr>
                <w:rFonts w:hint="default" w:ascii="Times New Roman" w:hAnsi="Times New Roman" w:eastAsia="宋体" w:cs="Times New Roman"/>
                <w:b/>
                <w:bCs/>
              </w:rPr>
            </w:pPr>
            <w:r>
              <w:rPr>
                <w:rFonts w:hint="eastAsia" w:ascii="Times New Roman" w:hAnsi="Times New Roman" w:eastAsia="宋体" w:cs="Times New Roman"/>
                <w:b/>
                <w:bCs/>
                <w:lang w:val="en-US" w:eastAsia="zh-CN"/>
              </w:rPr>
              <w:t>2.2</w:t>
            </w:r>
            <w:r>
              <w:rPr>
                <w:rFonts w:hint="eastAsia" w:cs="Times New Roman"/>
                <w:b/>
                <w:bCs/>
                <w:lang w:val="en-US" w:eastAsia="zh-CN"/>
              </w:rPr>
              <w:t xml:space="preserve"> </w:t>
            </w:r>
            <w:r>
              <w:rPr>
                <w:rFonts w:hint="default" w:ascii="Times New Roman" w:hAnsi="Times New Roman" w:eastAsia="宋体" w:cs="Times New Roman"/>
                <w:b/>
                <w:bCs/>
              </w:rPr>
              <w:t>施工生活污水环境影响分析</w:t>
            </w:r>
          </w:p>
          <w:p w14:paraId="4E4ED67A">
            <w:pPr>
              <w:rPr>
                <w:rFonts w:hint="default" w:ascii="Times New Roman" w:hAnsi="Times New Roman" w:eastAsia="宋体" w:cs="Times New Roman"/>
              </w:rPr>
            </w:pPr>
            <w:r>
              <w:rPr>
                <w:rFonts w:hint="default" w:ascii="Times New Roman" w:hAnsi="Times New Roman" w:eastAsia="宋体" w:cs="Times New Roman"/>
              </w:rPr>
              <w:t>生活污水主要源自施工人员平时的生活，主要污染物是COD、SS、NH</w:t>
            </w:r>
            <w:r>
              <w:rPr>
                <w:rFonts w:hint="default" w:ascii="Times New Roman" w:hAnsi="Times New Roman" w:eastAsia="宋体" w:cs="Times New Roman"/>
                <w:vertAlign w:val="subscript"/>
              </w:rPr>
              <w:t>3</w:t>
            </w:r>
            <w:r>
              <w:rPr>
                <w:rFonts w:hint="default" w:ascii="Times New Roman" w:hAnsi="Times New Roman" w:eastAsia="宋体" w:cs="Times New Roman"/>
              </w:rPr>
              <w:t>-N和TP等，</w:t>
            </w:r>
            <w:r>
              <w:rPr>
                <w:rFonts w:hint="default" w:ascii="Times New Roman" w:hAnsi="Times New Roman" w:eastAsia="宋体" w:cs="Times New Roman"/>
                <w:lang w:val="en-US" w:eastAsia="zh-CN"/>
              </w:rPr>
              <w:t>施工营地采用自建临时集装箱房。施工人员产生的生活污水排入移动式化粪池</w:t>
            </w:r>
            <w:r>
              <w:rPr>
                <w:rFonts w:hint="eastAsia" w:ascii="Times New Roman" w:hAnsi="Times New Roman" w:eastAsia="宋体" w:cs="Times New Roman"/>
                <w:lang w:val="en-US" w:eastAsia="zh-CN"/>
              </w:rPr>
              <w:t>处理后</w:t>
            </w:r>
            <w:r>
              <w:rPr>
                <w:rFonts w:hint="default" w:ascii="Times New Roman" w:hAnsi="Times New Roman" w:eastAsia="宋体" w:cs="Times New Roman"/>
                <w:lang w:val="en-US" w:eastAsia="zh-CN"/>
              </w:rPr>
              <w:t>，由吸污车定期抽出运送至阜康市污水处理厂处理</w:t>
            </w:r>
            <w:r>
              <w:rPr>
                <w:rFonts w:hint="default" w:ascii="Times New Roman" w:hAnsi="Times New Roman" w:eastAsia="宋体" w:cs="Times New Roman"/>
              </w:rPr>
              <w:t>。</w:t>
            </w:r>
          </w:p>
          <w:p w14:paraId="294AEA7D">
            <w:pPr>
              <w:rPr>
                <w:rFonts w:hint="default" w:ascii="Times New Roman" w:hAnsi="Times New Roman" w:eastAsia="宋体" w:cs="Times New Roman"/>
              </w:rPr>
            </w:pPr>
            <w:r>
              <w:rPr>
                <w:rFonts w:hint="default" w:ascii="Times New Roman" w:hAnsi="Times New Roman" w:eastAsia="宋体" w:cs="Times New Roman"/>
              </w:rPr>
              <w:t>本项目施工期高峰期施工人员约100人，施工人员每天生活用水以100L/人计，污水按用水量的80%计，则生活污水的排放量为8t/d，一年以</w:t>
            </w:r>
            <w:r>
              <w:rPr>
                <w:rFonts w:hint="eastAsia" w:cs="Times New Roman"/>
                <w:lang w:val="en-US" w:eastAsia="zh-CN"/>
              </w:rPr>
              <w:t>200</w:t>
            </w:r>
            <w:r>
              <w:rPr>
                <w:rFonts w:hint="default" w:ascii="Times New Roman" w:hAnsi="Times New Roman" w:eastAsia="宋体" w:cs="Times New Roman"/>
              </w:rPr>
              <w:t>日施工计，则共排放生活污水</w:t>
            </w:r>
            <w:r>
              <w:rPr>
                <w:rFonts w:hint="eastAsia" w:cs="Times New Roman"/>
                <w:lang w:val="en-US" w:eastAsia="zh-CN"/>
              </w:rPr>
              <w:t>1600</w:t>
            </w:r>
            <w:r>
              <w:rPr>
                <w:rFonts w:hint="default" w:ascii="Times New Roman" w:hAnsi="Times New Roman" w:eastAsia="宋体" w:cs="Times New Roman"/>
              </w:rPr>
              <w:t>t/a，水污染物的产生量详见4-6。</w:t>
            </w:r>
          </w:p>
          <w:p w14:paraId="06C947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vertAlign w:val="baseline"/>
              </w:rPr>
            </w:pPr>
            <w:r>
              <w:rPr>
                <w:rFonts w:hint="default" w:ascii="Times New Roman" w:hAnsi="Times New Roman" w:eastAsia="宋体" w:cs="Times New Roman"/>
                <w:b/>
                <w:bCs/>
                <w:sz w:val="21"/>
                <w:szCs w:val="21"/>
              </w:rPr>
              <w:t xml:space="preserve">表4-6 </w:t>
            </w:r>
            <w:r>
              <w:rPr>
                <w:rFonts w:hint="default" w:ascii="Times New Roman" w:hAnsi="Times New Roman" w:eastAsia="宋体" w:cs="Times New Roman"/>
                <w:b/>
                <w:bCs/>
                <w:sz w:val="21"/>
                <w:szCs w:val="21"/>
                <w:lang w:val="en-US" w:eastAsia="zh-CN"/>
              </w:rPr>
              <w:t xml:space="preserve">  </w:t>
            </w:r>
            <w:r>
              <w:rPr>
                <w:rFonts w:hint="default" w:ascii="Times New Roman" w:hAnsi="Times New Roman" w:eastAsia="宋体" w:cs="Times New Roman"/>
                <w:b/>
                <w:bCs/>
                <w:sz w:val="21"/>
                <w:szCs w:val="21"/>
              </w:rPr>
              <w:t>施工期生活污水及污染物产生情况</w:t>
            </w:r>
          </w:p>
          <w:tbl>
            <w:tblPr>
              <w:tblStyle w:val="3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1009"/>
              <w:gridCol w:w="866"/>
              <w:gridCol w:w="1062"/>
              <w:gridCol w:w="1064"/>
              <w:gridCol w:w="1070"/>
              <w:gridCol w:w="1109"/>
            </w:tblGrid>
            <w:tr w14:paraId="1687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tcBorders>
                    <w:top w:val="single" w:color="auto" w:sz="12" w:space="0"/>
                    <w:left w:val="nil"/>
                  </w:tcBorders>
                  <w:shd w:val="clear" w:color="auto" w:fill="auto"/>
                  <w:vAlign w:val="center"/>
                </w:tcPr>
                <w:p w14:paraId="0684F5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项目</w:t>
                  </w:r>
                </w:p>
              </w:tc>
              <w:tc>
                <w:tcPr>
                  <w:tcW w:w="1009" w:type="dxa"/>
                  <w:vMerge w:val="restart"/>
                  <w:tcBorders>
                    <w:top w:val="single" w:color="auto" w:sz="12" w:space="0"/>
                  </w:tcBorders>
                  <w:shd w:val="clear" w:color="auto" w:fill="auto"/>
                  <w:vAlign w:val="center"/>
                </w:tcPr>
                <w:p w14:paraId="296E47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用水量</w:t>
                  </w:r>
                </w:p>
              </w:tc>
              <w:tc>
                <w:tcPr>
                  <w:tcW w:w="866" w:type="dxa"/>
                  <w:vMerge w:val="restart"/>
                  <w:tcBorders>
                    <w:top w:val="single" w:color="auto" w:sz="12" w:space="0"/>
                  </w:tcBorders>
                  <w:shd w:val="clear" w:color="auto" w:fill="auto"/>
                  <w:vAlign w:val="center"/>
                </w:tcPr>
                <w:p w14:paraId="416173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排水量</w:t>
                  </w:r>
                </w:p>
              </w:tc>
              <w:tc>
                <w:tcPr>
                  <w:tcW w:w="4305" w:type="dxa"/>
                  <w:gridSpan w:val="4"/>
                  <w:tcBorders>
                    <w:top w:val="single" w:color="auto" w:sz="12" w:space="0"/>
                    <w:right w:val="nil"/>
                  </w:tcBorders>
                  <w:shd w:val="clear" w:color="auto" w:fill="auto"/>
                  <w:vAlign w:val="center"/>
                </w:tcPr>
                <w:p w14:paraId="604309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污染物产生情况</w:t>
                  </w:r>
                </w:p>
              </w:tc>
            </w:tr>
            <w:tr w14:paraId="7482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Borders>
                    <w:left w:val="nil"/>
                    <w:bottom w:val="single" w:color="auto" w:sz="12" w:space="0"/>
                  </w:tcBorders>
                  <w:shd w:val="clear" w:color="auto" w:fill="auto"/>
                  <w:vAlign w:val="center"/>
                </w:tcPr>
                <w:p w14:paraId="2AA67D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p>
              </w:tc>
              <w:tc>
                <w:tcPr>
                  <w:tcW w:w="1009" w:type="dxa"/>
                  <w:vMerge w:val="continue"/>
                  <w:tcBorders>
                    <w:bottom w:val="single" w:color="auto" w:sz="12" w:space="0"/>
                  </w:tcBorders>
                  <w:shd w:val="clear" w:color="auto" w:fill="auto"/>
                  <w:vAlign w:val="center"/>
                </w:tcPr>
                <w:p w14:paraId="148A87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p>
              </w:tc>
              <w:tc>
                <w:tcPr>
                  <w:tcW w:w="866" w:type="dxa"/>
                  <w:vMerge w:val="continue"/>
                  <w:tcBorders>
                    <w:bottom w:val="single" w:color="auto" w:sz="12" w:space="0"/>
                  </w:tcBorders>
                  <w:shd w:val="clear" w:color="auto" w:fill="auto"/>
                  <w:vAlign w:val="center"/>
                </w:tcPr>
                <w:p w14:paraId="47BF76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p>
              </w:tc>
              <w:tc>
                <w:tcPr>
                  <w:tcW w:w="1062" w:type="dxa"/>
                  <w:tcBorders>
                    <w:bottom w:val="single" w:color="auto" w:sz="12" w:space="0"/>
                  </w:tcBorders>
                  <w:shd w:val="clear" w:color="auto" w:fill="auto"/>
                  <w:vAlign w:val="center"/>
                </w:tcPr>
                <w:p w14:paraId="45391A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COD</w:t>
                  </w:r>
                </w:p>
              </w:tc>
              <w:tc>
                <w:tcPr>
                  <w:tcW w:w="1064" w:type="dxa"/>
                  <w:tcBorders>
                    <w:bottom w:val="single" w:color="auto" w:sz="12" w:space="0"/>
                  </w:tcBorders>
                  <w:shd w:val="clear" w:color="auto" w:fill="auto"/>
                  <w:vAlign w:val="center"/>
                </w:tcPr>
                <w:p w14:paraId="68E6D3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SS</w:t>
                  </w:r>
                </w:p>
              </w:tc>
              <w:tc>
                <w:tcPr>
                  <w:tcW w:w="1070" w:type="dxa"/>
                  <w:tcBorders>
                    <w:bottom w:val="single" w:color="auto" w:sz="12" w:space="0"/>
                  </w:tcBorders>
                  <w:shd w:val="clear" w:color="auto" w:fill="auto"/>
                  <w:vAlign w:val="center"/>
                </w:tcPr>
                <w:p w14:paraId="49F761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NH₃-N</w:t>
                  </w:r>
                </w:p>
              </w:tc>
              <w:tc>
                <w:tcPr>
                  <w:tcW w:w="1109" w:type="dxa"/>
                  <w:tcBorders>
                    <w:bottom w:val="single" w:color="auto" w:sz="12" w:space="0"/>
                    <w:right w:val="nil"/>
                  </w:tcBorders>
                  <w:shd w:val="clear" w:color="auto" w:fill="auto"/>
                  <w:vAlign w:val="center"/>
                </w:tcPr>
                <w:p w14:paraId="7AA2E4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TP</w:t>
                  </w:r>
                </w:p>
              </w:tc>
            </w:tr>
            <w:tr w14:paraId="3097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tcBorders>
                    <w:top w:val="single" w:color="auto" w:sz="12" w:space="0"/>
                    <w:left w:val="nil"/>
                  </w:tcBorders>
                  <w:shd w:val="clear" w:color="auto" w:fill="auto"/>
                  <w:vAlign w:val="center"/>
                </w:tcPr>
                <w:p w14:paraId="3C7007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浓度（mg/L）</w:t>
                  </w:r>
                </w:p>
              </w:tc>
              <w:tc>
                <w:tcPr>
                  <w:tcW w:w="1009" w:type="dxa"/>
                  <w:tcBorders>
                    <w:top w:val="single" w:color="auto" w:sz="12" w:space="0"/>
                  </w:tcBorders>
                  <w:shd w:val="clear" w:color="auto" w:fill="auto"/>
                  <w:vAlign w:val="center"/>
                </w:tcPr>
                <w:p w14:paraId="0E88C2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w:t>
                  </w:r>
                </w:p>
              </w:tc>
              <w:tc>
                <w:tcPr>
                  <w:tcW w:w="866" w:type="dxa"/>
                  <w:tcBorders>
                    <w:top w:val="single" w:color="auto" w:sz="12" w:space="0"/>
                  </w:tcBorders>
                  <w:shd w:val="clear" w:color="auto" w:fill="auto"/>
                  <w:vAlign w:val="center"/>
                </w:tcPr>
                <w:p w14:paraId="756156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w:t>
                  </w:r>
                </w:p>
              </w:tc>
              <w:tc>
                <w:tcPr>
                  <w:tcW w:w="1062" w:type="dxa"/>
                  <w:tcBorders>
                    <w:top w:val="single" w:color="auto" w:sz="12" w:space="0"/>
                  </w:tcBorders>
                  <w:shd w:val="clear" w:color="auto" w:fill="auto"/>
                  <w:vAlign w:val="center"/>
                </w:tcPr>
                <w:p w14:paraId="021C91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400</w:t>
                  </w:r>
                </w:p>
              </w:tc>
              <w:tc>
                <w:tcPr>
                  <w:tcW w:w="1064" w:type="dxa"/>
                  <w:tcBorders>
                    <w:top w:val="single" w:color="auto" w:sz="12" w:space="0"/>
                  </w:tcBorders>
                  <w:shd w:val="clear" w:color="auto" w:fill="auto"/>
                  <w:vAlign w:val="center"/>
                </w:tcPr>
                <w:p w14:paraId="16D73A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200</w:t>
                  </w:r>
                </w:p>
              </w:tc>
              <w:tc>
                <w:tcPr>
                  <w:tcW w:w="1070" w:type="dxa"/>
                  <w:tcBorders>
                    <w:top w:val="single" w:color="auto" w:sz="12" w:space="0"/>
                  </w:tcBorders>
                  <w:shd w:val="clear" w:color="auto" w:fill="auto"/>
                  <w:vAlign w:val="center"/>
                </w:tcPr>
                <w:p w14:paraId="6328E0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30</w:t>
                  </w:r>
                </w:p>
              </w:tc>
              <w:tc>
                <w:tcPr>
                  <w:tcW w:w="1109" w:type="dxa"/>
                  <w:tcBorders>
                    <w:top w:val="single" w:color="auto" w:sz="12" w:space="0"/>
                    <w:right w:val="nil"/>
                  </w:tcBorders>
                  <w:shd w:val="clear" w:color="auto" w:fill="auto"/>
                  <w:vAlign w:val="center"/>
                </w:tcPr>
                <w:p w14:paraId="2BC965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w:t>
                  </w:r>
                </w:p>
              </w:tc>
            </w:tr>
            <w:tr w14:paraId="728F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tcBorders>
                    <w:left w:val="nil"/>
                  </w:tcBorders>
                  <w:shd w:val="clear" w:color="auto" w:fill="auto"/>
                  <w:vAlign w:val="center"/>
                </w:tcPr>
                <w:p w14:paraId="7897AB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日产生量（t/d）</w:t>
                  </w:r>
                </w:p>
              </w:tc>
              <w:tc>
                <w:tcPr>
                  <w:tcW w:w="1009" w:type="dxa"/>
                  <w:shd w:val="clear" w:color="auto" w:fill="auto"/>
                  <w:vAlign w:val="center"/>
                </w:tcPr>
                <w:p w14:paraId="4FAA52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10</w:t>
                  </w:r>
                </w:p>
              </w:tc>
              <w:tc>
                <w:tcPr>
                  <w:tcW w:w="866" w:type="dxa"/>
                  <w:shd w:val="clear" w:color="auto" w:fill="auto"/>
                  <w:vAlign w:val="center"/>
                </w:tcPr>
                <w:p w14:paraId="22721B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8</w:t>
                  </w:r>
                </w:p>
              </w:tc>
              <w:tc>
                <w:tcPr>
                  <w:tcW w:w="1062" w:type="dxa"/>
                  <w:shd w:val="clear" w:color="auto" w:fill="auto"/>
                  <w:vAlign w:val="center"/>
                </w:tcPr>
                <w:p w14:paraId="72CE74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0.0032</w:t>
                  </w:r>
                </w:p>
              </w:tc>
              <w:tc>
                <w:tcPr>
                  <w:tcW w:w="1064" w:type="dxa"/>
                  <w:shd w:val="clear" w:color="auto" w:fill="auto"/>
                  <w:vAlign w:val="center"/>
                </w:tcPr>
                <w:p w14:paraId="086110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0.0016</w:t>
                  </w:r>
                </w:p>
              </w:tc>
              <w:tc>
                <w:tcPr>
                  <w:tcW w:w="1070" w:type="dxa"/>
                  <w:shd w:val="clear" w:color="auto" w:fill="auto"/>
                  <w:vAlign w:val="center"/>
                </w:tcPr>
                <w:p w14:paraId="7E47A2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0.000024</w:t>
                  </w:r>
                </w:p>
              </w:tc>
              <w:tc>
                <w:tcPr>
                  <w:tcW w:w="1109" w:type="dxa"/>
                  <w:tcBorders>
                    <w:right w:val="nil"/>
                  </w:tcBorders>
                  <w:shd w:val="clear" w:color="auto" w:fill="auto"/>
                  <w:vAlign w:val="center"/>
                </w:tcPr>
                <w:p w14:paraId="7B1001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0.0000024</w:t>
                  </w:r>
                </w:p>
              </w:tc>
            </w:tr>
            <w:tr w14:paraId="1EA3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tcBorders>
                    <w:left w:val="nil"/>
                    <w:bottom w:val="single" w:color="auto" w:sz="12" w:space="0"/>
                  </w:tcBorders>
                  <w:shd w:val="clear" w:color="auto" w:fill="auto"/>
                  <w:vAlign w:val="center"/>
                </w:tcPr>
                <w:p w14:paraId="5CAF7F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年产生量（t/a）</w:t>
                  </w:r>
                </w:p>
              </w:tc>
              <w:tc>
                <w:tcPr>
                  <w:tcW w:w="1009" w:type="dxa"/>
                  <w:tcBorders>
                    <w:bottom w:val="single" w:color="auto" w:sz="12" w:space="0"/>
                  </w:tcBorders>
                  <w:shd w:val="clear" w:color="auto" w:fill="auto"/>
                  <w:vAlign w:val="center"/>
                </w:tcPr>
                <w:p w14:paraId="290323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0"/>
                      <w:sz w:val="21"/>
                      <w:szCs w:val="21"/>
                      <w:lang w:val="en-US" w:eastAsia="zh-CN" w:bidi="ar"/>
                    </w:rPr>
                    <w:t>20</w:t>
                  </w:r>
                  <w:r>
                    <w:rPr>
                      <w:rFonts w:hint="default" w:ascii="Times New Roman" w:hAnsi="Times New Roman" w:eastAsia="宋体" w:cs="Times New Roman"/>
                      <w:kern w:val="0"/>
                      <w:sz w:val="21"/>
                      <w:szCs w:val="21"/>
                      <w:lang w:val="en-US" w:eastAsia="zh-CN" w:bidi="ar"/>
                    </w:rPr>
                    <w:t>00</w:t>
                  </w:r>
                </w:p>
              </w:tc>
              <w:tc>
                <w:tcPr>
                  <w:tcW w:w="866" w:type="dxa"/>
                  <w:tcBorders>
                    <w:bottom w:val="single" w:color="auto" w:sz="12" w:space="0"/>
                  </w:tcBorders>
                  <w:shd w:val="clear" w:color="auto" w:fill="auto"/>
                  <w:vAlign w:val="center"/>
                </w:tcPr>
                <w:p w14:paraId="2D7656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0"/>
                      <w:sz w:val="21"/>
                      <w:szCs w:val="21"/>
                      <w:lang w:val="en-US" w:eastAsia="zh-CN" w:bidi="ar"/>
                    </w:rPr>
                    <w:t>1600</w:t>
                  </w:r>
                </w:p>
              </w:tc>
              <w:tc>
                <w:tcPr>
                  <w:tcW w:w="1062" w:type="dxa"/>
                  <w:tcBorders>
                    <w:bottom w:val="single" w:color="auto" w:sz="12" w:space="0"/>
                  </w:tcBorders>
                  <w:shd w:val="clear" w:color="auto" w:fill="auto"/>
                  <w:vAlign w:val="center"/>
                </w:tcPr>
                <w:p w14:paraId="3906B8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0.64</w:t>
                  </w:r>
                </w:p>
              </w:tc>
              <w:tc>
                <w:tcPr>
                  <w:tcW w:w="1064" w:type="dxa"/>
                  <w:tcBorders>
                    <w:bottom w:val="single" w:color="auto" w:sz="12" w:space="0"/>
                  </w:tcBorders>
                  <w:shd w:val="clear" w:color="auto" w:fill="auto"/>
                  <w:vAlign w:val="center"/>
                </w:tcPr>
                <w:p w14:paraId="5A91D3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0.32</w:t>
                  </w:r>
                </w:p>
              </w:tc>
              <w:tc>
                <w:tcPr>
                  <w:tcW w:w="1070" w:type="dxa"/>
                  <w:tcBorders>
                    <w:bottom w:val="single" w:color="auto" w:sz="12" w:space="0"/>
                  </w:tcBorders>
                  <w:shd w:val="clear" w:color="auto" w:fill="auto"/>
                  <w:vAlign w:val="center"/>
                </w:tcPr>
                <w:p w14:paraId="31CC75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0.0048</w:t>
                  </w:r>
                </w:p>
              </w:tc>
              <w:tc>
                <w:tcPr>
                  <w:tcW w:w="1109" w:type="dxa"/>
                  <w:tcBorders>
                    <w:bottom w:val="single" w:color="auto" w:sz="12" w:space="0"/>
                    <w:right w:val="nil"/>
                  </w:tcBorders>
                  <w:shd w:val="clear" w:color="auto" w:fill="auto"/>
                  <w:vAlign w:val="center"/>
                </w:tcPr>
                <w:p w14:paraId="10CCE3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0.00048</w:t>
                  </w:r>
                </w:p>
              </w:tc>
            </w:tr>
          </w:tbl>
          <w:p w14:paraId="38109C04">
            <w:pPr>
              <w:rPr>
                <w:rFonts w:hint="default" w:ascii="Times New Roman" w:hAnsi="Times New Roman" w:eastAsia="宋体" w:cs="Times New Roman"/>
              </w:rPr>
            </w:pPr>
            <w:r>
              <w:rPr>
                <w:rFonts w:hint="default" w:ascii="Times New Roman" w:hAnsi="Times New Roman" w:eastAsia="宋体" w:cs="Times New Roman"/>
              </w:rPr>
              <w:t>施工期各类废水均应妥善处置，禁止排入周边水体，最大限度</w:t>
            </w:r>
            <w:r>
              <w:rPr>
                <w:rFonts w:hint="eastAsia" w:cs="Times New Roman"/>
                <w:lang w:eastAsia="zh-CN"/>
              </w:rPr>
              <w:t>地</w:t>
            </w:r>
            <w:r>
              <w:rPr>
                <w:rFonts w:hint="default" w:ascii="Times New Roman" w:hAnsi="Times New Roman" w:eastAsia="宋体" w:cs="Times New Roman"/>
              </w:rPr>
              <w:t>减少对周围水环境的影响。</w:t>
            </w:r>
          </w:p>
          <w:p w14:paraId="509F7072">
            <w:pPr>
              <w:rPr>
                <w:rFonts w:hint="default" w:ascii="Times New Roman" w:hAnsi="Times New Roman" w:eastAsia="宋体" w:cs="Times New Roman"/>
                <w:b/>
                <w:bCs/>
                <w:lang w:val="en-US" w:eastAsia="zh-CN"/>
              </w:rPr>
            </w:pPr>
            <w:r>
              <w:rPr>
                <w:rFonts w:hint="eastAsia" w:cs="Times New Roman"/>
                <w:b/>
                <w:bCs/>
                <w:lang w:val="en-US" w:eastAsia="zh-CN"/>
              </w:rPr>
              <w:t>3.</w:t>
            </w:r>
            <w:r>
              <w:rPr>
                <w:rFonts w:hint="default" w:ascii="Times New Roman" w:hAnsi="Times New Roman" w:eastAsia="宋体" w:cs="Times New Roman"/>
                <w:b/>
                <w:bCs/>
                <w:lang w:val="en-US" w:eastAsia="zh-CN"/>
              </w:rPr>
              <w:t>噪声影响分析</w:t>
            </w:r>
          </w:p>
          <w:p w14:paraId="73D6BA9D">
            <w:pPr>
              <w:rPr>
                <w:rFonts w:hint="default" w:ascii="Times New Roman" w:hAnsi="Times New Roman" w:eastAsia="宋体" w:cs="Times New Roman"/>
                <w:lang w:val="en-US" w:eastAsia="zh-CN"/>
              </w:rPr>
            </w:pPr>
            <w:r>
              <w:rPr>
                <w:rFonts w:hint="default" w:ascii="Times New Roman" w:hAnsi="Times New Roman" w:eastAsia="宋体" w:cs="Times New Roman"/>
                <w:b/>
                <w:bCs/>
                <w:lang w:val="en-US" w:eastAsia="zh-CN"/>
              </w:rPr>
              <w:t>3.1</w:t>
            </w:r>
            <w:r>
              <w:rPr>
                <w:rFonts w:hint="eastAsia" w:cs="Times New Roman"/>
                <w:b/>
                <w:bCs/>
                <w:lang w:val="en-US" w:eastAsia="zh-CN"/>
              </w:rPr>
              <w:t xml:space="preserve"> </w:t>
            </w:r>
            <w:r>
              <w:rPr>
                <w:rFonts w:hint="default" w:ascii="Times New Roman" w:hAnsi="Times New Roman" w:eastAsia="宋体" w:cs="Times New Roman"/>
                <w:b/>
                <w:bCs/>
                <w:lang w:val="en-US" w:eastAsia="zh-CN"/>
              </w:rPr>
              <w:t>施工期噪声源</w:t>
            </w:r>
          </w:p>
          <w:p w14:paraId="6C19C3AA">
            <w:pPr>
              <w:rPr>
                <w:rFonts w:hint="default" w:ascii="Times New Roman" w:hAnsi="Times New Roman" w:eastAsia="宋体" w:cs="Times New Roman"/>
              </w:rPr>
            </w:pPr>
            <w:r>
              <w:rPr>
                <w:rFonts w:hint="default" w:ascii="Times New Roman" w:hAnsi="Times New Roman" w:eastAsia="宋体" w:cs="Times New Roman"/>
              </w:rPr>
              <w:t>施工期的噪声主要可分为机械噪声、施工作业噪声和施工车辆噪声。机械噪声主要由施工机械所造成，如挖土机械、升降机等，多为点声源；施工作业噪声主要指一些零星的敲打声、装卸车辆的撞击声、吆喝声、拆装模板的撞击声等，多为瞬间噪声；施工车辆的噪声属于交通噪声。</w:t>
            </w:r>
          </w:p>
          <w:p w14:paraId="5844B6A1">
            <w:pPr>
              <w:rPr>
                <w:rFonts w:hint="default" w:ascii="Times New Roman" w:hAnsi="Times New Roman" w:eastAsia="宋体" w:cs="Times New Roman"/>
              </w:rPr>
            </w:pPr>
            <w:r>
              <w:rPr>
                <w:rFonts w:hint="default" w:ascii="Times New Roman" w:hAnsi="Times New Roman" w:eastAsia="宋体" w:cs="Times New Roman"/>
              </w:rPr>
              <w:t>（1）各施工阶段噪声</w:t>
            </w:r>
          </w:p>
          <w:p w14:paraId="352D6E4F">
            <w:pPr>
              <w:rPr>
                <w:rFonts w:hint="default" w:ascii="Times New Roman" w:hAnsi="Times New Roman" w:eastAsia="宋体" w:cs="Times New Roman"/>
              </w:rPr>
            </w:pPr>
            <w:r>
              <w:rPr>
                <w:rFonts w:hint="default" w:ascii="Times New Roman" w:hAnsi="Times New Roman" w:eastAsia="宋体" w:cs="Times New Roman"/>
              </w:rPr>
              <w:t>施工噪声贯穿于施工的全过程，不同施工阶段，使用不同的施工机械设备，因而产生不同施工阶段噪声，施工期噪声主要来自不同施工阶段所使用的不同施工机械的非连续作业噪声。</w:t>
            </w:r>
          </w:p>
          <w:p w14:paraId="52332927">
            <w:pPr>
              <w:rPr>
                <w:rFonts w:hint="default" w:ascii="Times New Roman" w:hAnsi="Times New Roman" w:eastAsia="宋体" w:cs="Times New Roman"/>
              </w:rPr>
            </w:pPr>
            <w:r>
              <w:rPr>
                <w:rFonts w:hint="default" w:ascii="Times New Roman" w:hAnsi="Times New Roman" w:eastAsia="宋体" w:cs="Times New Roman"/>
              </w:rPr>
              <w:t>①土石方施工阶段：该阶段的噪声源主要是挖掘机、</w:t>
            </w:r>
            <w:r>
              <w:rPr>
                <w:rFonts w:hint="default" w:ascii="Times New Roman" w:hAnsi="Times New Roman" w:eastAsia="宋体" w:cs="Times New Roman"/>
                <w:lang w:val="en-US" w:eastAsia="zh-CN"/>
              </w:rPr>
              <w:t>混凝土搅拌机、</w:t>
            </w:r>
            <w:r>
              <w:rPr>
                <w:rFonts w:hint="default" w:ascii="Times New Roman" w:hAnsi="Times New Roman" w:eastAsia="宋体" w:cs="Times New Roman"/>
              </w:rPr>
              <w:t>推土机、装载机及运输车辆。噪声源声功率级92-95dB</w:t>
            </w:r>
            <w:r>
              <w:rPr>
                <w:rFonts w:hint="eastAsia" w:cs="Times New Roman"/>
                <w:lang w:eastAsia="zh-CN"/>
              </w:rPr>
              <w:t>（</w:t>
            </w:r>
            <w:r>
              <w:rPr>
                <w:rFonts w:hint="default" w:ascii="Times New Roman" w:hAnsi="Times New Roman" w:eastAsia="宋体" w:cs="Times New Roman"/>
              </w:rPr>
              <w:t>A</w:t>
            </w:r>
            <w:r>
              <w:rPr>
                <w:rFonts w:hint="eastAsia" w:cs="Times New Roman"/>
                <w:lang w:eastAsia="zh-CN"/>
              </w:rPr>
              <w:t>）</w:t>
            </w:r>
            <w:r>
              <w:rPr>
                <w:rFonts w:hint="default" w:ascii="Times New Roman" w:hAnsi="Times New Roman" w:eastAsia="宋体" w:cs="Times New Roman"/>
              </w:rPr>
              <w:t>。</w:t>
            </w:r>
          </w:p>
          <w:p w14:paraId="2D534123">
            <w:pPr>
              <w:rPr>
                <w:rFonts w:hint="default" w:ascii="Times New Roman" w:hAnsi="Times New Roman" w:eastAsia="宋体" w:cs="Times New Roman"/>
              </w:rPr>
            </w:pPr>
            <w:r>
              <w:rPr>
                <w:rFonts w:hint="default" w:ascii="Times New Roman" w:hAnsi="Times New Roman" w:eastAsia="宋体" w:cs="Times New Roman"/>
              </w:rPr>
              <w:t>②基础施工阶段：该阶段噪声源主要是起重设备、推土机以及运输车辆，噪声源声功率级85-90dB</w:t>
            </w:r>
            <w:r>
              <w:rPr>
                <w:rFonts w:hint="eastAsia" w:cs="Times New Roman"/>
                <w:lang w:eastAsia="zh-CN"/>
              </w:rPr>
              <w:t>（</w:t>
            </w:r>
            <w:r>
              <w:rPr>
                <w:rFonts w:hint="default" w:ascii="Times New Roman" w:hAnsi="Times New Roman" w:eastAsia="宋体" w:cs="Times New Roman"/>
              </w:rPr>
              <w:t>A</w:t>
            </w:r>
            <w:r>
              <w:rPr>
                <w:rFonts w:hint="eastAsia" w:cs="Times New Roman"/>
                <w:lang w:eastAsia="zh-CN"/>
              </w:rPr>
              <w:t>）</w:t>
            </w:r>
            <w:r>
              <w:rPr>
                <w:rFonts w:hint="default" w:ascii="Times New Roman" w:hAnsi="Times New Roman" w:eastAsia="宋体" w:cs="Times New Roman"/>
              </w:rPr>
              <w:t>。</w:t>
            </w:r>
          </w:p>
          <w:p w14:paraId="7F838E6E">
            <w:pPr>
              <w:rPr>
                <w:rFonts w:hint="default" w:ascii="Times New Roman" w:hAnsi="Times New Roman" w:eastAsia="宋体" w:cs="Times New Roman"/>
              </w:rPr>
            </w:pPr>
            <w:r>
              <w:rPr>
                <w:rFonts w:hint="default" w:ascii="Times New Roman" w:hAnsi="Times New Roman" w:eastAsia="宋体" w:cs="Times New Roman"/>
              </w:rPr>
              <w:t>③结构施工阶段：该阶段的主要噪声源是振捣棒、吊车、电锯及运输平台等，噪声源声功率级95-102dB</w:t>
            </w:r>
            <w:r>
              <w:rPr>
                <w:rFonts w:hint="eastAsia" w:cs="Times New Roman"/>
                <w:lang w:eastAsia="zh-CN"/>
              </w:rPr>
              <w:t>（</w:t>
            </w:r>
            <w:r>
              <w:rPr>
                <w:rFonts w:hint="default" w:ascii="Times New Roman" w:hAnsi="Times New Roman" w:eastAsia="宋体" w:cs="Times New Roman"/>
              </w:rPr>
              <w:t>A</w:t>
            </w:r>
            <w:r>
              <w:rPr>
                <w:rFonts w:hint="eastAsia" w:cs="Times New Roman"/>
                <w:lang w:eastAsia="zh-CN"/>
              </w:rPr>
              <w:t>）</w:t>
            </w:r>
            <w:r>
              <w:rPr>
                <w:rFonts w:hint="default" w:ascii="Times New Roman" w:hAnsi="Times New Roman" w:eastAsia="宋体" w:cs="Times New Roman"/>
              </w:rPr>
              <w:t>。</w:t>
            </w:r>
          </w:p>
          <w:p w14:paraId="3CB42D50">
            <w:pPr>
              <w:rPr>
                <w:rFonts w:hint="default" w:ascii="Times New Roman" w:hAnsi="Times New Roman" w:eastAsia="宋体" w:cs="Times New Roman"/>
              </w:rPr>
            </w:pPr>
            <w:r>
              <w:rPr>
                <w:rFonts w:hint="default" w:ascii="Times New Roman" w:hAnsi="Times New Roman" w:eastAsia="宋体" w:cs="Times New Roman"/>
              </w:rPr>
              <w:t>④装修阶段：装修阶段主要噪声源</w:t>
            </w:r>
            <w:r>
              <w:rPr>
                <w:rFonts w:hint="eastAsia" w:cs="Times New Roman"/>
                <w:lang w:val="en-US" w:eastAsia="zh-CN"/>
              </w:rPr>
              <w:t>是</w:t>
            </w:r>
            <w:r>
              <w:rPr>
                <w:rFonts w:hint="default" w:ascii="Times New Roman" w:hAnsi="Times New Roman" w:eastAsia="宋体" w:cs="Times New Roman"/>
              </w:rPr>
              <w:t>吊车、升降机、砂轮机、切割机等。噪声源声功率级85-90dB</w:t>
            </w:r>
            <w:r>
              <w:rPr>
                <w:rFonts w:hint="eastAsia" w:cs="Times New Roman"/>
                <w:lang w:eastAsia="zh-CN"/>
              </w:rPr>
              <w:t>（</w:t>
            </w:r>
            <w:r>
              <w:rPr>
                <w:rFonts w:hint="default" w:ascii="Times New Roman" w:hAnsi="Times New Roman" w:eastAsia="宋体" w:cs="Times New Roman"/>
              </w:rPr>
              <w:t>A</w:t>
            </w:r>
            <w:r>
              <w:rPr>
                <w:rFonts w:hint="eastAsia" w:cs="Times New Roman"/>
                <w:lang w:eastAsia="zh-CN"/>
              </w:rPr>
              <w:t>）</w:t>
            </w:r>
            <w:r>
              <w:rPr>
                <w:rFonts w:hint="default" w:ascii="Times New Roman" w:hAnsi="Times New Roman" w:eastAsia="宋体" w:cs="Times New Roman"/>
              </w:rPr>
              <w:t>。</w:t>
            </w:r>
          </w:p>
          <w:p w14:paraId="673790D5">
            <w:pPr>
              <w:rPr>
                <w:rFonts w:hint="default" w:ascii="Times New Roman" w:hAnsi="Times New Roman" w:eastAsia="宋体" w:cs="Times New Roman"/>
              </w:rPr>
            </w:pPr>
            <w:r>
              <w:rPr>
                <w:rFonts w:hint="default" w:ascii="Times New Roman" w:hAnsi="Times New Roman" w:eastAsia="宋体" w:cs="Times New Roman"/>
              </w:rPr>
              <w:t>（2）施工机械噪声</w:t>
            </w:r>
          </w:p>
          <w:p w14:paraId="3C39DEE2">
            <w:pPr>
              <w:rPr>
                <w:rFonts w:hint="default" w:ascii="Times New Roman" w:hAnsi="Times New Roman" w:eastAsia="宋体" w:cs="Times New Roman"/>
              </w:rPr>
            </w:pPr>
            <w:r>
              <w:rPr>
                <w:rFonts w:hint="default" w:ascii="Times New Roman" w:hAnsi="Times New Roman" w:eastAsia="宋体" w:cs="Times New Roman"/>
              </w:rPr>
              <w:t>不同施工阶段，使用不同的施工机械设备，因而产生不同施工阶段噪声，施工期噪声主要来自不同施工阶段所使用的不同施工机械的非连续作业噪声。</w:t>
            </w:r>
          </w:p>
          <w:p w14:paraId="5B8415B2">
            <w:pPr>
              <w:rPr>
                <w:rFonts w:hint="default" w:ascii="Times New Roman" w:hAnsi="Times New Roman" w:eastAsia="宋体" w:cs="Times New Roman"/>
              </w:rPr>
            </w:pPr>
            <w:r>
              <w:rPr>
                <w:rFonts w:hint="default" w:ascii="Times New Roman" w:hAnsi="Times New Roman" w:eastAsia="宋体" w:cs="Times New Roman"/>
              </w:rPr>
              <w:t>施工期噪声具有阶段性、临时性和不固定性。不同的施工设备产生的机械噪声声级列于表4-7，在多台机械设备同时作业时，各台设备产生的噪声会互相叠加。</w:t>
            </w:r>
          </w:p>
          <w:p w14:paraId="33EDC584">
            <w:pPr>
              <w:rPr>
                <w:rFonts w:hint="default" w:ascii="Times New Roman" w:hAnsi="Times New Roman" w:eastAsia="宋体" w:cs="Times New Roman"/>
              </w:rPr>
            </w:pPr>
            <w:r>
              <w:rPr>
                <w:rFonts w:hint="default" w:ascii="Times New Roman" w:hAnsi="Times New Roman" w:eastAsia="宋体" w:cs="Times New Roman"/>
              </w:rPr>
              <w:t>施工期施工场界噪声执行《建筑施工噪声排放标准》（GB12523-20</w:t>
            </w:r>
            <w:r>
              <w:rPr>
                <w:rFonts w:hint="default" w:ascii="Times New Roman" w:hAnsi="Times New Roman" w:eastAsia="宋体" w:cs="Times New Roman"/>
                <w:lang w:val="en-US" w:eastAsia="zh-CN"/>
              </w:rPr>
              <w:t>25</w:t>
            </w:r>
            <w:r>
              <w:rPr>
                <w:rFonts w:hint="default" w:ascii="Times New Roman" w:hAnsi="Times New Roman" w:eastAsia="宋体" w:cs="Times New Roman"/>
              </w:rPr>
              <w:t>）中相应标准，其中昼间噪声不超过70dB（A），夜间噪声不超过55dB（A）。</w:t>
            </w:r>
          </w:p>
          <w:p w14:paraId="4BA0A0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vertAlign w:val="baseline"/>
              </w:rPr>
            </w:pPr>
            <w:r>
              <w:rPr>
                <w:rFonts w:hint="default" w:ascii="Times New Roman" w:hAnsi="Times New Roman" w:eastAsia="宋体" w:cs="Times New Roman"/>
                <w:b/>
                <w:bCs/>
                <w:sz w:val="21"/>
                <w:szCs w:val="21"/>
              </w:rPr>
              <w:t xml:space="preserve">表4-7 </w:t>
            </w:r>
            <w:r>
              <w:rPr>
                <w:rFonts w:hint="default" w:ascii="Times New Roman" w:hAnsi="Times New Roman" w:eastAsia="宋体" w:cs="Times New Roman"/>
                <w:b/>
                <w:bCs/>
                <w:sz w:val="21"/>
                <w:szCs w:val="21"/>
                <w:lang w:val="en-US" w:eastAsia="zh-CN"/>
              </w:rPr>
              <w:t xml:space="preserve"> </w:t>
            </w:r>
            <w:r>
              <w:rPr>
                <w:rFonts w:hint="default" w:ascii="Times New Roman" w:hAnsi="Times New Roman" w:eastAsia="宋体" w:cs="Times New Roman"/>
                <w:b/>
                <w:bCs/>
                <w:sz w:val="21"/>
                <w:szCs w:val="21"/>
              </w:rPr>
              <w:t>主要施工机械设备的噪声声级</w:t>
            </w:r>
          </w:p>
          <w:tbl>
            <w:tblPr>
              <w:tblStyle w:val="33"/>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995"/>
              <w:gridCol w:w="2280"/>
              <w:gridCol w:w="2408"/>
            </w:tblGrid>
            <w:tr w14:paraId="563A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Borders>
                    <w:top w:val="single" w:color="auto" w:sz="12" w:space="0"/>
                    <w:left w:val="nil"/>
                    <w:bottom w:val="single" w:color="auto" w:sz="12" w:space="0"/>
                  </w:tcBorders>
                  <w:shd w:val="clear" w:color="auto" w:fill="auto"/>
                  <w:noWrap w:val="0"/>
                  <w:vAlign w:val="center"/>
                </w:tcPr>
                <w:p w14:paraId="4C0EC6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序号</w:t>
                  </w:r>
                </w:p>
              </w:tc>
              <w:tc>
                <w:tcPr>
                  <w:tcW w:w="1995" w:type="dxa"/>
                  <w:tcBorders>
                    <w:top w:val="single" w:color="auto" w:sz="12" w:space="0"/>
                    <w:bottom w:val="single" w:color="auto" w:sz="12" w:space="0"/>
                  </w:tcBorders>
                  <w:shd w:val="clear" w:color="auto" w:fill="auto"/>
                  <w:noWrap w:val="0"/>
                  <w:vAlign w:val="center"/>
                </w:tcPr>
                <w:p w14:paraId="5A7BF9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施工机械</w:t>
                  </w:r>
                </w:p>
              </w:tc>
              <w:tc>
                <w:tcPr>
                  <w:tcW w:w="2280" w:type="dxa"/>
                  <w:tcBorders>
                    <w:top w:val="single" w:color="auto" w:sz="12" w:space="0"/>
                    <w:bottom w:val="single" w:color="auto" w:sz="12" w:space="0"/>
                  </w:tcBorders>
                  <w:shd w:val="clear" w:color="auto" w:fill="auto"/>
                  <w:noWrap w:val="0"/>
                  <w:vAlign w:val="center"/>
                </w:tcPr>
                <w:p w14:paraId="020765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0"/>
                      <w:sz w:val="21"/>
                      <w:szCs w:val="21"/>
                      <w:lang w:val="en-US" w:eastAsia="zh-CN" w:bidi="ar"/>
                    </w:rPr>
                    <w:t>测量距离（m）</w:t>
                  </w:r>
                </w:p>
              </w:tc>
              <w:tc>
                <w:tcPr>
                  <w:tcW w:w="2408" w:type="dxa"/>
                  <w:tcBorders>
                    <w:top w:val="single" w:color="auto" w:sz="12" w:space="0"/>
                    <w:bottom w:val="single" w:color="auto" w:sz="12" w:space="0"/>
                    <w:right w:val="nil"/>
                  </w:tcBorders>
                  <w:shd w:val="clear" w:color="auto" w:fill="auto"/>
                  <w:noWrap w:val="0"/>
                  <w:vAlign w:val="center"/>
                </w:tcPr>
                <w:p w14:paraId="7CCDF3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eastAsia" w:cs="Times New Roman"/>
                      <w:b/>
                      <w:bCs/>
                      <w:kern w:val="0"/>
                      <w:sz w:val="21"/>
                      <w:szCs w:val="21"/>
                      <w:lang w:val="en-US" w:eastAsia="zh-CN" w:bidi="ar"/>
                    </w:rPr>
                    <w:t>声压级</w:t>
                  </w:r>
                  <w:r>
                    <w:rPr>
                      <w:rFonts w:hint="default" w:ascii="Times New Roman" w:hAnsi="Times New Roman" w:eastAsia="宋体" w:cs="Times New Roman"/>
                      <w:b/>
                      <w:bCs/>
                      <w:kern w:val="0"/>
                      <w:sz w:val="21"/>
                      <w:szCs w:val="21"/>
                      <w:lang w:val="en-US" w:eastAsia="zh-CN" w:bidi="ar"/>
                    </w:rPr>
                    <w:t>（dB</w:t>
                  </w:r>
                  <w:r>
                    <w:rPr>
                      <w:rFonts w:hint="eastAsia" w:cs="Times New Roman"/>
                      <w:b/>
                      <w:bCs/>
                      <w:kern w:val="0"/>
                      <w:sz w:val="21"/>
                      <w:szCs w:val="21"/>
                      <w:lang w:val="en-US" w:eastAsia="zh-CN" w:bidi="ar"/>
                    </w:rPr>
                    <w:t>（A）</w:t>
                  </w:r>
                  <w:r>
                    <w:rPr>
                      <w:rFonts w:hint="default" w:ascii="Times New Roman" w:hAnsi="Times New Roman" w:eastAsia="宋体" w:cs="Times New Roman"/>
                      <w:b/>
                      <w:bCs/>
                      <w:kern w:val="0"/>
                      <w:sz w:val="21"/>
                      <w:szCs w:val="21"/>
                      <w:lang w:val="en-US" w:eastAsia="zh-CN" w:bidi="ar"/>
                    </w:rPr>
                    <w:t>）</w:t>
                  </w:r>
                </w:p>
              </w:tc>
            </w:tr>
            <w:tr w14:paraId="2382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Borders>
                    <w:top w:val="single" w:color="auto" w:sz="12" w:space="0"/>
                    <w:left w:val="nil"/>
                  </w:tcBorders>
                  <w:shd w:val="clear" w:color="auto" w:fill="auto"/>
                  <w:noWrap w:val="0"/>
                  <w:vAlign w:val="center"/>
                </w:tcPr>
                <w:p w14:paraId="0B017F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1</w:t>
                  </w:r>
                </w:p>
              </w:tc>
              <w:tc>
                <w:tcPr>
                  <w:tcW w:w="1995" w:type="dxa"/>
                  <w:tcBorders>
                    <w:top w:val="single" w:color="auto" w:sz="12" w:space="0"/>
                  </w:tcBorders>
                  <w:shd w:val="clear" w:color="auto" w:fill="auto"/>
                  <w:noWrap w:val="0"/>
                  <w:vAlign w:val="center"/>
                </w:tcPr>
                <w:p w14:paraId="3B3471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挖路机</w:t>
                  </w:r>
                </w:p>
              </w:tc>
              <w:tc>
                <w:tcPr>
                  <w:tcW w:w="2280" w:type="dxa"/>
                  <w:tcBorders>
                    <w:top w:val="single" w:color="auto" w:sz="12" w:space="0"/>
                  </w:tcBorders>
                  <w:shd w:val="clear" w:color="auto" w:fill="auto"/>
                  <w:noWrap w:val="0"/>
                  <w:vAlign w:val="center"/>
                </w:tcPr>
                <w:p w14:paraId="1BD802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15</w:t>
                  </w:r>
                </w:p>
              </w:tc>
              <w:tc>
                <w:tcPr>
                  <w:tcW w:w="2408" w:type="dxa"/>
                  <w:tcBorders>
                    <w:top w:val="single" w:color="auto" w:sz="12" w:space="0"/>
                    <w:right w:val="nil"/>
                  </w:tcBorders>
                  <w:shd w:val="clear" w:color="auto" w:fill="auto"/>
                  <w:noWrap w:val="0"/>
                  <w:vAlign w:val="center"/>
                </w:tcPr>
                <w:p w14:paraId="536481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79</w:t>
                  </w:r>
                </w:p>
              </w:tc>
            </w:tr>
            <w:tr w14:paraId="7F31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Borders>
                    <w:left w:val="nil"/>
                  </w:tcBorders>
                  <w:noWrap w:val="0"/>
                  <w:vAlign w:val="center"/>
                </w:tcPr>
                <w:p w14:paraId="09EF2C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2</w:t>
                  </w:r>
                </w:p>
              </w:tc>
              <w:tc>
                <w:tcPr>
                  <w:tcW w:w="1995" w:type="dxa"/>
                  <w:noWrap w:val="0"/>
                  <w:vAlign w:val="center"/>
                </w:tcPr>
                <w:p w14:paraId="100C2F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压路机</w:t>
                  </w:r>
                </w:p>
              </w:tc>
              <w:tc>
                <w:tcPr>
                  <w:tcW w:w="2280" w:type="dxa"/>
                  <w:noWrap w:val="0"/>
                  <w:vAlign w:val="center"/>
                </w:tcPr>
                <w:p w14:paraId="007FE3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10</w:t>
                  </w:r>
                </w:p>
              </w:tc>
              <w:tc>
                <w:tcPr>
                  <w:tcW w:w="2408" w:type="dxa"/>
                  <w:tcBorders>
                    <w:right w:val="nil"/>
                  </w:tcBorders>
                  <w:noWrap w:val="0"/>
                  <w:vAlign w:val="center"/>
                </w:tcPr>
                <w:p w14:paraId="5913EF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73</w:t>
                  </w:r>
                </w:p>
              </w:tc>
            </w:tr>
            <w:tr w14:paraId="7DE1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Borders>
                    <w:left w:val="nil"/>
                  </w:tcBorders>
                  <w:noWrap w:val="0"/>
                  <w:vAlign w:val="center"/>
                </w:tcPr>
                <w:p w14:paraId="4EFB9F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w:t>
                  </w:r>
                </w:p>
              </w:tc>
              <w:tc>
                <w:tcPr>
                  <w:tcW w:w="1995" w:type="dxa"/>
                  <w:noWrap w:val="0"/>
                  <w:vAlign w:val="center"/>
                </w:tcPr>
                <w:p w14:paraId="2973DE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铲土机</w:t>
                  </w:r>
                </w:p>
              </w:tc>
              <w:tc>
                <w:tcPr>
                  <w:tcW w:w="2280" w:type="dxa"/>
                  <w:noWrap w:val="0"/>
                  <w:vAlign w:val="center"/>
                </w:tcPr>
                <w:p w14:paraId="44F619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15</w:t>
                  </w:r>
                </w:p>
              </w:tc>
              <w:tc>
                <w:tcPr>
                  <w:tcW w:w="2408" w:type="dxa"/>
                  <w:tcBorders>
                    <w:right w:val="nil"/>
                  </w:tcBorders>
                  <w:noWrap w:val="0"/>
                  <w:vAlign w:val="center"/>
                </w:tcPr>
                <w:p w14:paraId="0DF8A4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75</w:t>
                  </w:r>
                </w:p>
              </w:tc>
            </w:tr>
            <w:tr w14:paraId="2A50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Borders>
                    <w:left w:val="nil"/>
                  </w:tcBorders>
                  <w:noWrap w:val="0"/>
                  <w:vAlign w:val="center"/>
                </w:tcPr>
                <w:p w14:paraId="79F88F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w:t>
                  </w:r>
                </w:p>
              </w:tc>
              <w:tc>
                <w:tcPr>
                  <w:tcW w:w="1995" w:type="dxa"/>
                  <w:noWrap w:val="0"/>
                  <w:vAlign w:val="center"/>
                </w:tcPr>
                <w:p w14:paraId="6D264A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自卸汽车</w:t>
                  </w:r>
                </w:p>
              </w:tc>
              <w:tc>
                <w:tcPr>
                  <w:tcW w:w="2280" w:type="dxa"/>
                  <w:noWrap w:val="0"/>
                  <w:vAlign w:val="center"/>
                </w:tcPr>
                <w:p w14:paraId="64B2EF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15</w:t>
                  </w:r>
                </w:p>
              </w:tc>
              <w:tc>
                <w:tcPr>
                  <w:tcW w:w="2408" w:type="dxa"/>
                  <w:tcBorders>
                    <w:right w:val="nil"/>
                  </w:tcBorders>
                  <w:noWrap w:val="0"/>
                  <w:vAlign w:val="center"/>
                </w:tcPr>
                <w:p w14:paraId="31D45B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70</w:t>
                  </w:r>
                </w:p>
              </w:tc>
            </w:tr>
            <w:tr w14:paraId="6ACC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Borders>
                    <w:left w:val="nil"/>
                  </w:tcBorders>
                  <w:noWrap w:val="0"/>
                  <w:vAlign w:val="center"/>
                </w:tcPr>
                <w:p w14:paraId="5DAC37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5</w:t>
                  </w:r>
                </w:p>
              </w:tc>
              <w:tc>
                <w:tcPr>
                  <w:tcW w:w="1995" w:type="dxa"/>
                  <w:noWrap w:val="0"/>
                  <w:vAlign w:val="center"/>
                </w:tcPr>
                <w:p w14:paraId="31AFEA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混凝土搅拌机</w:t>
                  </w:r>
                </w:p>
              </w:tc>
              <w:tc>
                <w:tcPr>
                  <w:tcW w:w="2280" w:type="dxa"/>
                  <w:noWrap w:val="0"/>
                  <w:vAlign w:val="center"/>
                </w:tcPr>
                <w:p w14:paraId="1102D9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15</w:t>
                  </w:r>
                </w:p>
              </w:tc>
              <w:tc>
                <w:tcPr>
                  <w:tcW w:w="2408" w:type="dxa"/>
                  <w:tcBorders>
                    <w:right w:val="nil"/>
                  </w:tcBorders>
                  <w:noWrap w:val="0"/>
                  <w:vAlign w:val="center"/>
                </w:tcPr>
                <w:p w14:paraId="09DA2A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79</w:t>
                  </w:r>
                </w:p>
              </w:tc>
            </w:tr>
            <w:tr w14:paraId="2E93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Borders>
                    <w:left w:val="nil"/>
                  </w:tcBorders>
                  <w:noWrap w:val="0"/>
                  <w:vAlign w:val="center"/>
                </w:tcPr>
                <w:p w14:paraId="732761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6</w:t>
                  </w:r>
                </w:p>
              </w:tc>
              <w:tc>
                <w:tcPr>
                  <w:tcW w:w="1995" w:type="dxa"/>
                  <w:noWrap w:val="0"/>
                  <w:vAlign w:val="center"/>
                </w:tcPr>
                <w:p w14:paraId="6F45C4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混凝土振捣器</w:t>
                  </w:r>
                </w:p>
              </w:tc>
              <w:tc>
                <w:tcPr>
                  <w:tcW w:w="2280" w:type="dxa"/>
                  <w:noWrap w:val="0"/>
                  <w:vAlign w:val="center"/>
                </w:tcPr>
                <w:p w14:paraId="30AF75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12</w:t>
                  </w:r>
                </w:p>
              </w:tc>
              <w:tc>
                <w:tcPr>
                  <w:tcW w:w="2408" w:type="dxa"/>
                  <w:tcBorders>
                    <w:right w:val="nil"/>
                  </w:tcBorders>
                  <w:noWrap w:val="0"/>
                  <w:vAlign w:val="center"/>
                </w:tcPr>
                <w:p w14:paraId="15E7FB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80</w:t>
                  </w:r>
                </w:p>
              </w:tc>
            </w:tr>
            <w:tr w14:paraId="2D3D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Borders>
                    <w:left w:val="nil"/>
                    <w:bottom w:val="single" w:color="auto" w:sz="12" w:space="0"/>
                  </w:tcBorders>
                  <w:noWrap w:val="0"/>
                  <w:vAlign w:val="center"/>
                </w:tcPr>
                <w:p w14:paraId="1E92F2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7</w:t>
                  </w:r>
                </w:p>
              </w:tc>
              <w:tc>
                <w:tcPr>
                  <w:tcW w:w="1995" w:type="dxa"/>
                  <w:tcBorders>
                    <w:bottom w:val="single" w:color="auto" w:sz="12" w:space="0"/>
                  </w:tcBorders>
                  <w:noWrap w:val="0"/>
                  <w:vAlign w:val="center"/>
                </w:tcPr>
                <w:p w14:paraId="4559EE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升降机</w:t>
                  </w:r>
                </w:p>
              </w:tc>
              <w:tc>
                <w:tcPr>
                  <w:tcW w:w="2280" w:type="dxa"/>
                  <w:tcBorders>
                    <w:bottom w:val="single" w:color="auto" w:sz="12" w:space="0"/>
                  </w:tcBorders>
                  <w:noWrap w:val="0"/>
                  <w:vAlign w:val="center"/>
                </w:tcPr>
                <w:p w14:paraId="48748F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15</w:t>
                  </w:r>
                </w:p>
              </w:tc>
              <w:tc>
                <w:tcPr>
                  <w:tcW w:w="2408" w:type="dxa"/>
                  <w:tcBorders>
                    <w:bottom w:val="single" w:color="auto" w:sz="12" w:space="0"/>
                    <w:right w:val="nil"/>
                  </w:tcBorders>
                  <w:noWrap w:val="0"/>
                  <w:vAlign w:val="center"/>
                </w:tcPr>
                <w:p w14:paraId="56CD1E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72</w:t>
                  </w:r>
                </w:p>
              </w:tc>
            </w:tr>
          </w:tbl>
          <w:p w14:paraId="2B4B2F45">
            <w:pPr>
              <w:rPr>
                <w:rFonts w:hint="default" w:ascii="Times New Roman" w:hAnsi="Times New Roman" w:eastAsia="宋体" w:cs="Times New Roman"/>
                <w:lang w:val="en-US" w:eastAsia="zh-CN"/>
              </w:rPr>
            </w:pPr>
            <w:r>
              <w:rPr>
                <w:rFonts w:hint="eastAsia" w:ascii="Times New Roman" w:hAnsi="Times New Roman" w:eastAsia="宋体" w:cs="Times New Roman"/>
                <w:b/>
                <w:bCs/>
                <w:lang w:val="en-US" w:eastAsia="zh-CN"/>
              </w:rPr>
              <w:t>3</w:t>
            </w:r>
            <w:r>
              <w:rPr>
                <w:rFonts w:hint="default" w:ascii="Times New Roman" w:hAnsi="Times New Roman" w:eastAsia="宋体" w:cs="Times New Roman"/>
                <w:b/>
                <w:bCs/>
                <w:lang w:val="en-US" w:eastAsia="zh-CN"/>
              </w:rPr>
              <w:t>.2施工期噪声影响分析</w:t>
            </w:r>
          </w:p>
          <w:p w14:paraId="71336017">
            <w:pPr>
              <w:rPr>
                <w:rFonts w:hint="default" w:ascii="Times New Roman" w:hAnsi="Times New Roman" w:eastAsia="宋体" w:cs="Times New Roman"/>
              </w:rPr>
            </w:pPr>
            <w:r>
              <w:rPr>
                <w:rFonts w:hint="default" w:ascii="Times New Roman" w:hAnsi="Times New Roman" w:eastAsia="宋体" w:cs="Times New Roman"/>
              </w:rPr>
              <w:t>（1）噪声预测模式</w:t>
            </w:r>
          </w:p>
          <w:p w14:paraId="743B5FFA">
            <w:pPr>
              <w:rPr>
                <w:rFonts w:hint="default" w:ascii="Times New Roman" w:hAnsi="Times New Roman" w:eastAsia="宋体" w:cs="Times New Roman"/>
              </w:rPr>
            </w:pPr>
            <w:r>
              <w:rPr>
                <w:rFonts w:hint="default" w:ascii="Times New Roman" w:hAnsi="Times New Roman" w:eastAsia="宋体" w:cs="Times New Roman"/>
              </w:rPr>
              <w:t>本项目施工过程产生的噪声在预测时仅考虑扩散衰减。</w:t>
            </w:r>
          </w:p>
          <w:p w14:paraId="4B05E9AA">
            <w:pPr>
              <w:rPr>
                <w:rFonts w:hint="default" w:ascii="Times New Roman" w:hAnsi="Times New Roman" w:eastAsia="宋体" w:cs="Times New Roman"/>
              </w:rPr>
            </w:pPr>
            <w:r>
              <w:rPr>
                <w:rFonts w:hint="default" w:ascii="Times New Roman" w:hAnsi="Times New Roman" w:eastAsia="宋体" w:cs="Times New Roman"/>
              </w:rPr>
              <w:t>施工机械一般可看作固定点源，在距离r米处的声压衰减模式为：</w:t>
            </w:r>
          </w:p>
          <w:p w14:paraId="50BE09B0">
            <w:pPr>
              <w:rPr>
                <w:rFonts w:hint="default" w:ascii="Times New Roman" w:hAnsi="Times New Roman" w:eastAsia="宋体" w:cs="Times New Roman"/>
              </w:rPr>
            </w:pPr>
            <w:r>
              <w:rPr>
                <w:rFonts w:hint="default" w:ascii="Times New Roman" w:hAnsi="Times New Roman" w:eastAsia="宋体" w:cs="Times New Roman"/>
              </w:rPr>
              <w:t>LA(r)=LA(r0)－20lg(r/r0)</w:t>
            </w:r>
          </w:p>
          <w:p w14:paraId="69FE466A">
            <w:pPr>
              <w:rPr>
                <w:rFonts w:hint="default" w:ascii="Times New Roman" w:hAnsi="Times New Roman" w:eastAsia="宋体" w:cs="Times New Roman"/>
              </w:rPr>
            </w:pPr>
            <w:r>
              <w:rPr>
                <w:rFonts w:hint="default" w:ascii="Times New Roman" w:hAnsi="Times New Roman" w:eastAsia="宋体" w:cs="Times New Roman"/>
              </w:rPr>
              <w:drawing>
                <wp:anchor distT="0" distB="0" distL="114300" distR="114300" simplePos="0" relativeHeight="251662336" behindDoc="0" locked="0" layoutInCell="1" allowOverlap="1">
                  <wp:simplePos x="0" y="0"/>
                  <wp:positionH relativeFrom="column">
                    <wp:posOffset>875030</wp:posOffset>
                  </wp:positionH>
                  <wp:positionV relativeFrom="paragraph">
                    <wp:posOffset>210820</wp:posOffset>
                  </wp:positionV>
                  <wp:extent cx="713105" cy="372110"/>
                  <wp:effectExtent l="0" t="0" r="10795" b="8890"/>
                  <wp:wrapNone/>
                  <wp:docPr id="8" name="图片 97"/>
                  <wp:cNvGraphicFramePr/>
                  <a:graphic xmlns:a="http://schemas.openxmlformats.org/drawingml/2006/main">
                    <a:graphicData uri="http://schemas.openxmlformats.org/drawingml/2006/picture">
                      <pic:pic xmlns:pic="http://schemas.openxmlformats.org/drawingml/2006/picture">
                        <pic:nvPicPr>
                          <pic:cNvPr id="8" name="图片 97"/>
                          <pic:cNvPicPr/>
                        </pic:nvPicPr>
                        <pic:blipFill>
                          <a:blip r:embed="rId22"/>
                          <a:stretch>
                            <a:fillRect/>
                          </a:stretch>
                        </pic:blipFill>
                        <pic:spPr>
                          <a:xfrm>
                            <a:off x="0" y="0"/>
                            <a:ext cx="713105" cy="372110"/>
                          </a:xfrm>
                          <a:prstGeom prst="rect">
                            <a:avLst/>
                          </a:prstGeom>
                          <a:noFill/>
                          <a:ln>
                            <a:noFill/>
                          </a:ln>
                        </pic:spPr>
                      </pic:pic>
                    </a:graphicData>
                  </a:graphic>
                </wp:anchor>
              </w:drawing>
            </w:r>
            <w:r>
              <w:rPr>
                <w:rFonts w:hint="default" w:ascii="Times New Roman" w:hAnsi="Times New Roman" w:eastAsia="宋体" w:cs="Times New Roman"/>
              </w:rPr>
              <w:t>所有声源发出的噪声在同一受声点的影响，其噪声叠加计算模式为：</w:t>
            </w:r>
          </w:p>
          <w:p w14:paraId="7F902C42">
            <w:pPr>
              <w:rPr>
                <w:rFonts w:hint="default" w:ascii="Times New Roman" w:hAnsi="Times New Roman" w:eastAsia="宋体" w:cs="Times New Roman"/>
                <w:lang w:val="en-US" w:eastAsia="zh-CN"/>
              </w:rPr>
            </w:pPr>
            <w:r>
              <w:rPr>
                <w:rFonts w:hint="default" w:ascii="Times New Roman" w:hAnsi="Times New Roman" w:eastAsia="宋体" w:cs="Times New Roman"/>
              </w:rPr>
              <w:t>LA=10lg</w:t>
            </w:r>
            <w:r>
              <w:rPr>
                <w:rFonts w:hint="default" w:ascii="Times New Roman" w:hAnsi="Times New Roman" w:eastAsia="宋体" w:cs="Times New Roman"/>
                <w:lang w:val="en-US" w:eastAsia="zh-CN"/>
              </w:rPr>
              <w:t xml:space="preserve">         </w:t>
            </w:r>
            <w:r>
              <w:rPr>
                <w:rFonts w:hint="default" w:ascii="Times New Roman" w:hAnsi="Times New Roman" w:eastAsia="宋体" w:cs="Times New Roman"/>
              </w:rPr>
              <w:t xml:space="preserve"> </w:t>
            </w:r>
            <w:r>
              <w:rPr>
                <w:rFonts w:hint="default" w:ascii="Times New Roman" w:hAnsi="Times New Roman" w:eastAsia="宋体" w:cs="Times New Roman"/>
                <w:lang w:val="en-US" w:eastAsia="zh-CN"/>
              </w:rPr>
              <w:t xml:space="preserve"> </w:t>
            </w:r>
          </w:p>
          <w:p w14:paraId="53B6BA70">
            <w:pPr>
              <w:rPr>
                <w:rFonts w:hint="default" w:ascii="Times New Roman" w:hAnsi="Times New Roman" w:eastAsia="宋体" w:cs="Times New Roman"/>
                <w:lang w:val="en-US" w:eastAsia="zh-CN"/>
              </w:rPr>
            </w:pPr>
          </w:p>
          <w:p w14:paraId="3CE705D9">
            <w:pPr>
              <w:rPr>
                <w:rFonts w:hint="default" w:ascii="Times New Roman" w:hAnsi="Times New Roman" w:eastAsia="宋体" w:cs="Times New Roman"/>
              </w:rPr>
            </w:pPr>
            <w:r>
              <w:rPr>
                <w:rFonts w:hint="default" w:ascii="Times New Roman" w:hAnsi="Times New Roman" w:eastAsia="宋体" w:cs="Times New Roman"/>
              </w:rPr>
              <w:t>以上两式中：</w:t>
            </w:r>
          </w:p>
          <w:p w14:paraId="2F9774C6">
            <w:pPr>
              <w:rPr>
                <w:rFonts w:hint="default" w:ascii="Times New Roman" w:hAnsi="Times New Roman" w:eastAsia="宋体" w:cs="Times New Roman"/>
              </w:rPr>
            </w:pPr>
            <w:r>
              <w:rPr>
                <w:rFonts w:hint="default" w:ascii="Times New Roman" w:hAnsi="Times New Roman" w:eastAsia="宋体" w:cs="Times New Roman"/>
              </w:rPr>
              <w:t>LA(r)——距离声源r米处的声压级，dB</w:t>
            </w:r>
            <w:r>
              <w:rPr>
                <w:rFonts w:hint="eastAsia" w:cs="Times New Roman"/>
                <w:lang w:eastAsia="zh-CN"/>
              </w:rPr>
              <w:t>（</w:t>
            </w:r>
            <w:r>
              <w:rPr>
                <w:rFonts w:hint="default" w:ascii="Times New Roman" w:hAnsi="Times New Roman" w:eastAsia="宋体" w:cs="Times New Roman"/>
              </w:rPr>
              <w:t>A</w:t>
            </w:r>
            <w:r>
              <w:rPr>
                <w:rFonts w:hint="eastAsia" w:cs="Times New Roman"/>
                <w:lang w:eastAsia="zh-CN"/>
              </w:rPr>
              <w:t>）</w:t>
            </w:r>
            <w:r>
              <w:rPr>
                <w:rFonts w:hint="default" w:ascii="Times New Roman" w:hAnsi="Times New Roman" w:eastAsia="宋体" w:cs="Times New Roman"/>
              </w:rPr>
              <w:t>；</w:t>
            </w:r>
          </w:p>
          <w:p w14:paraId="767856FA">
            <w:pPr>
              <w:rPr>
                <w:rFonts w:hint="default" w:ascii="Times New Roman" w:hAnsi="Times New Roman" w:eastAsia="宋体" w:cs="Times New Roman"/>
              </w:rPr>
            </w:pPr>
            <w:r>
              <w:rPr>
                <w:rFonts w:hint="default" w:ascii="Times New Roman" w:hAnsi="Times New Roman" w:eastAsia="宋体" w:cs="Times New Roman"/>
              </w:rPr>
              <w:t>LA(r0)——距离声源r0米处的声压级，dB</w:t>
            </w:r>
            <w:r>
              <w:rPr>
                <w:rFonts w:hint="eastAsia" w:cs="Times New Roman"/>
                <w:lang w:eastAsia="zh-CN"/>
              </w:rPr>
              <w:t>（</w:t>
            </w:r>
            <w:r>
              <w:rPr>
                <w:rFonts w:hint="default" w:ascii="Times New Roman" w:hAnsi="Times New Roman" w:eastAsia="宋体" w:cs="Times New Roman"/>
              </w:rPr>
              <w:t>A</w:t>
            </w:r>
            <w:r>
              <w:rPr>
                <w:rFonts w:hint="eastAsia" w:cs="Times New Roman"/>
                <w:lang w:eastAsia="zh-CN"/>
              </w:rPr>
              <w:t>）</w:t>
            </w:r>
            <w:r>
              <w:rPr>
                <w:rFonts w:hint="default" w:ascii="Times New Roman" w:hAnsi="Times New Roman" w:eastAsia="宋体" w:cs="Times New Roman"/>
              </w:rPr>
              <w:t>；</w:t>
            </w:r>
          </w:p>
          <w:p w14:paraId="3AEADDF9">
            <w:pPr>
              <w:rPr>
                <w:rFonts w:hint="default" w:ascii="Times New Roman" w:hAnsi="Times New Roman" w:eastAsia="宋体" w:cs="Times New Roman"/>
              </w:rPr>
            </w:pPr>
            <w:r>
              <w:rPr>
                <w:rFonts w:hint="default" w:ascii="Times New Roman" w:hAnsi="Times New Roman" w:eastAsia="宋体" w:cs="Times New Roman"/>
              </w:rPr>
              <w:t>r0——参考位置，本次取1m；</w:t>
            </w:r>
          </w:p>
          <w:p w14:paraId="30769401">
            <w:pPr>
              <w:rPr>
                <w:rFonts w:hint="default" w:ascii="Times New Roman" w:hAnsi="Times New Roman" w:eastAsia="宋体" w:cs="Times New Roman"/>
              </w:rPr>
            </w:pPr>
            <w:r>
              <w:rPr>
                <w:rFonts w:hint="default" w:ascii="Times New Roman" w:hAnsi="Times New Roman" w:eastAsia="宋体" w:cs="Times New Roman"/>
              </w:rPr>
              <w:t>r——预测点到声源的距离，m；</w:t>
            </w:r>
          </w:p>
          <w:p w14:paraId="1FECA4CB">
            <w:pPr>
              <w:rPr>
                <w:rFonts w:hint="default" w:ascii="Times New Roman" w:hAnsi="Times New Roman" w:eastAsia="宋体" w:cs="Times New Roman"/>
              </w:rPr>
            </w:pPr>
            <w:r>
              <w:rPr>
                <w:rFonts w:hint="default" w:ascii="Times New Roman" w:hAnsi="Times New Roman" w:eastAsia="宋体" w:cs="Times New Roman"/>
              </w:rPr>
              <w:t>LA——合成声压级，dB</w:t>
            </w:r>
            <w:r>
              <w:rPr>
                <w:rFonts w:hint="eastAsia" w:cs="Times New Roman"/>
                <w:lang w:eastAsia="zh-CN"/>
              </w:rPr>
              <w:t>（</w:t>
            </w:r>
            <w:r>
              <w:rPr>
                <w:rFonts w:hint="default" w:ascii="Times New Roman" w:hAnsi="Times New Roman" w:eastAsia="宋体" w:cs="Times New Roman"/>
              </w:rPr>
              <w:t>A</w:t>
            </w:r>
            <w:r>
              <w:rPr>
                <w:rFonts w:hint="eastAsia" w:cs="Times New Roman"/>
                <w:lang w:eastAsia="zh-CN"/>
              </w:rPr>
              <w:t>）</w:t>
            </w:r>
            <w:r>
              <w:rPr>
                <w:rFonts w:hint="default" w:ascii="Times New Roman" w:hAnsi="Times New Roman" w:eastAsia="宋体" w:cs="Times New Roman"/>
              </w:rPr>
              <w:t>；</w:t>
            </w:r>
          </w:p>
          <w:p w14:paraId="52878461">
            <w:pPr>
              <w:rPr>
                <w:rFonts w:hint="default" w:ascii="Times New Roman" w:hAnsi="Times New Roman" w:eastAsia="宋体" w:cs="Times New Roman"/>
              </w:rPr>
            </w:pPr>
            <w:r>
              <w:rPr>
                <w:rFonts w:hint="default" w:ascii="Times New Roman" w:hAnsi="Times New Roman" w:eastAsia="宋体" w:cs="Times New Roman"/>
              </w:rPr>
              <w:t>LAi——第i个声源对某个预测点的等效声级，dB</w:t>
            </w:r>
            <w:r>
              <w:rPr>
                <w:rFonts w:hint="eastAsia" w:cs="Times New Roman"/>
                <w:lang w:eastAsia="zh-CN"/>
              </w:rPr>
              <w:t>（</w:t>
            </w:r>
            <w:r>
              <w:rPr>
                <w:rFonts w:hint="default" w:ascii="Times New Roman" w:hAnsi="Times New Roman" w:eastAsia="宋体" w:cs="Times New Roman"/>
              </w:rPr>
              <w:t>A</w:t>
            </w:r>
            <w:r>
              <w:rPr>
                <w:rFonts w:hint="eastAsia" w:cs="Times New Roman"/>
                <w:lang w:eastAsia="zh-CN"/>
              </w:rPr>
              <w:t>）</w:t>
            </w:r>
            <w:r>
              <w:rPr>
                <w:rFonts w:hint="default" w:ascii="Times New Roman" w:hAnsi="Times New Roman" w:eastAsia="宋体" w:cs="Times New Roman"/>
              </w:rPr>
              <w:t>。</w:t>
            </w:r>
          </w:p>
          <w:p w14:paraId="77F148D0">
            <w:pPr>
              <w:rPr>
                <w:rFonts w:hint="default" w:ascii="Times New Roman" w:hAnsi="Times New Roman" w:eastAsia="宋体" w:cs="Times New Roman"/>
              </w:rPr>
            </w:pPr>
            <w:r>
              <w:rPr>
                <w:rFonts w:hint="default" w:ascii="Times New Roman" w:hAnsi="Times New Roman" w:eastAsia="宋体" w:cs="Times New Roman"/>
                <w:b w:val="0"/>
                <w:bCs w:val="0"/>
                <w:color w:val="000000"/>
                <w:sz w:val="24"/>
                <w:szCs w:val="24"/>
              </w:rPr>
              <w:t>距各种施工设备不同距离噪声预测结果见表</w:t>
            </w:r>
            <w:r>
              <w:rPr>
                <w:rFonts w:hint="default" w:ascii="Times New Roman" w:hAnsi="Times New Roman" w:eastAsia="宋体" w:cs="Times New Roman"/>
                <w:b w:val="0"/>
                <w:bCs w:val="0"/>
                <w:color w:val="000000"/>
                <w:sz w:val="24"/>
                <w:szCs w:val="24"/>
                <w:lang w:val="en-US" w:eastAsia="zh-CN"/>
              </w:rPr>
              <w:t>4-8</w:t>
            </w:r>
            <w:r>
              <w:rPr>
                <w:rFonts w:hint="default" w:ascii="Times New Roman" w:hAnsi="Times New Roman" w:eastAsia="宋体" w:cs="Times New Roman"/>
                <w:b w:val="0"/>
                <w:bCs w:val="0"/>
                <w:color w:val="000000"/>
                <w:sz w:val="24"/>
                <w:szCs w:val="24"/>
              </w:rPr>
              <w:t>。</w:t>
            </w:r>
          </w:p>
          <w:p w14:paraId="3D614CD4">
            <w:pPr>
              <w:pStyle w:val="108"/>
              <w:keepNext w:val="0"/>
              <w:keepLines w:val="0"/>
              <w:pageBreakBefore w:val="0"/>
              <w:widowControl w:val="0"/>
              <w:kinsoku/>
              <w:wordWrap/>
              <w:overflowPunct/>
              <w:topLinePunct w:val="0"/>
              <w:autoSpaceDE/>
              <w:autoSpaceDN/>
              <w:bidi w:val="0"/>
              <w:adjustRightInd/>
              <w:snapToGrid w:val="0"/>
              <w:spacing w:line="240" w:lineRule="auto"/>
              <w:ind w:firstLine="420"/>
              <w:jc w:val="center"/>
              <w:textAlignment w:val="auto"/>
              <w:rPr>
                <w:rFonts w:hint="default" w:ascii="Times New Roman" w:hAnsi="Times New Roman" w:eastAsia="宋体" w:cs="Times New Roman"/>
                <w:b/>
                <w:bCs/>
                <w:color w:val="000000"/>
                <w:kern w:val="0"/>
                <w:sz w:val="21"/>
                <w:szCs w:val="21"/>
                <w:lang w:val="en-US" w:eastAsia="zh-CN" w:bidi="ar-SA"/>
              </w:rPr>
            </w:pPr>
            <w:r>
              <w:rPr>
                <w:rFonts w:hint="default" w:ascii="Times New Roman" w:hAnsi="Times New Roman" w:eastAsia="宋体" w:cs="Times New Roman"/>
                <w:b/>
                <w:bCs/>
                <w:color w:val="000000"/>
                <w:kern w:val="0"/>
                <w:sz w:val="21"/>
                <w:szCs w:val="21"/>
                <w:lang w:val="en-US" w:eastAsia="zh-CN" w:bidi="ar-SA"/>
              </w:rPr>
              <w:t>表4-8   距各种施工机械不同距离的噪声值    单位：dB(A)</w:t>
            </w:r>
          </w:p>
          <w:tbl>
            <w:tblPr>
              <w:tblStyle w:val="32"/>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0"/>
              <w:gridCol w:w="781"/>
              <w:gridCol w:w="731"/>
              <w:gridCol w:w="731"/>
              <w:gridCol w:w="731"/>
              <w:gridCol w:w="731"/>
              <w:gridCol w:w="731"/>
              <w:gridCol w:w="731"/>
              <w:gridCol w:w="731"/>
              <w:gridCol w:w="745"/>
            </w:tblGrid>
            <w:tr w14:paraId="6769AF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73" w:type="pct"/>
                  <w:vMerge w:val="restart"/>
                  <w:noWrap w:val="0"/>
                  <w:vAlign w:val="center"/>
                </w:tcPr>
                <w:p w14:paraId="5A573F27">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设备名称</w:t>
                  </w:r>
                </w:p>
              </w:tc>
              <w:tc>
                <w:tcPr>
                  <w:tcW w:w="520" w:type="pct"/>
                  <w:vMerge w:val="restart"/>
                  <w:noWrap w:val="0"/>
                  <w:vAlign w:val="center"/>
                </w:tcPr>
                <w:p w14:paraId="4FBC62F6">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最大声级dB(A)</w:t>
                  </w:r>
                </w:p>
              </w:tc>
              <w:tc>
                <w:tcPr>
                  <w:tcW w:w="3905" w:type="pct"/>
                  <w:gridSpan w:val="8"/>
                  <w:noWrap w:val="0"/>
                  <w:vAlign w:val="center"/>
                </w:tcPr>
                <w:p w14:paraId="5A4B614B">
                  <w:pPr>
                    <w:pStyle w:val="109"/>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距噪声设备的距离（m）</w:t>
                  </w:r>
                </w:p>
              </w:tc>
            </w:tr>
            <w:tr w14:paraId="59392C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73" w:type="pct"/>
                  <w:vMerge w:val="continue"/>
                  <w:tcBorders>
                    <w:bottom w:val="single" w:color="auto" w:sz="12" w:space="0"/>
                  </w:tcBorders>
                  <w:noWrap w:val="0"/>
                  <w:vAlign w:val="center"/>
                </w:tcPr>
                <w:p w14:paraId="0506580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00"/>
                      <w:sz w:val="21"/>
                      <w:szCs w:val="21"/>
                    </w:rPr>
                  </w:pPr>
                </w:p>
              </w:tc>
              <w:tc>
                <w:tcPr>
                  <w:tcW w:w="520" w:type="pct"/>
                  <w:vMerge w:val="continue"/>
                  <w:tcBorders>
                    <w:bottom w:val="single" w:color="auto" w:sz="12" w:space="0"/>
                  </w:tcBorders>
                  <w:noWrap w:val="0"/>
                  <w:vAlign w:val="center"/>
                </w:tcPr>
                <w:p w14:paraId="68A8E6A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00"/>
                      <w:sz w:val="21"/>
                      <w:szCs w:val="21"/>
                    </w:rPr>
                  </w:pPr>
                </w:p>
              </w:tc>
              <w:tc>
                <w:tcPr>
                  <w:tcW w:w="487" w:type="pct"/>
                  <w:tcBorders>
                    <w:bottom w:val="single" w:color="auto" w:sz="12" w:space="0"/>
                  </w:tcBorders>
                  <w:noWrap w:val="0"/>
                  <w:vAlign w:val="center"/>
                </w:tcPr>
                <w:p w14:paraId="51919C26">
                  <w:pPr>
                    <w:pStyle w:val="109"/>
                    <w:keepNext w:val="0"/>
                    <w:keepLines w:val="0"/>
                    <w:pageBreakBefore w:val="0"/>
                    <w:widowControl w:val="0"/>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5</w:t>
                  </w:r>
                </w:p>
              </w:tc>
              <w:tc>
                <w:tcPr>
                  <w:tcW w:w="487" w:type="pct"/>
                  <w:tcBorders>
                    <w:bottom w:val="single" w:color="auto" w:sz="12" w:space="0"/>
                  </w:tcBorders>
                  <w:noWrap w:val="0"/>
                  <w:vAlign w:val="center"/>
                </w:tcPr>
                <w:p w14:paraId="026372C4">
                  <w:pPr>
                    <w:pStyle w:val="109"/>
                    <w:keepNext w:val="0"/>
                    <w:keepLines w:val="0"/>
                    <w:pageBreakBefore w:val="0"/>
                    <w:widowControl w:val="0"/>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20</w:t>
                  </w:r>
                </w:p>
              </w:tc>
              <w:tc>
                <w:tcPr>
                  <w:tcW w:w="487" w:type="pct"/>
                  <w:tcBorders>
                    <w:bottom w:val="single" w:color="auto" w:sz="12" w:space="0"/>
                  </w:tcBorders>
                  <w:noWrap w:val="0"/>
                  <w:vAlign w:val="center"/>
                </w:tcPr>
                <w:p w14:paraId="217ACC34">
                  <w:pPr>
                    <w:pStyle w:val="109"/>
                    <w:keepNext w:val="0"/>
                    <w:keepLines w:val="0"/>
                    <w:pageBreakBefore w:val="0"/>
                    <w:widowControl w:val="0"/>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40</w:t>
                  </w:r>
                </w:p>
              </w:tc>
              <w:tc>
                <w:tcPr>
                  <w:tcW w:w="487" w:type="pct"/>
                  <w:tcBorders>
                    <w:bottom w:val="single" w:color="auto" w:sz="12" w:space="0"/>
                  </w:tcBorders>
                  <w:noWrap w:val="0"/>
                  <w:vAlign w:val="center"/>
                </w:tcPr>
                <w:p w14:paraId="42770D92">
                  <w:pPr>
                    <w:pStyle w:val="109"/>
                    <w:keepNext w:val="0"/>
                    <w:keepLines w:val="0"/>
                    <w:pageBreakBefore w:val="0"/>
                    <w:widowControl w:val="0"/>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60</w:t>
                  </w:r>
                </w:p>
              </w:tc>
              <w:tc>
                <w:tcPr>
                  <w:tcW w:w="487" w:type="pct"/>
                  <w:tcBorders>
                    <w:bottom w:val="single" w:color="auto" w:sz="12" w:space="0"/>
                  </w:tcBorders>
                  <w:noWrap w:val="0"/>
                  <w:vAlign w:val="center"/>
                </w:tcPr>
                <w:p w14:paraId="5CDDF70C">
                  <w:pPr>
                    <w:pStyle w:val="109"/>
                    <w:keepNext w:val="0"/>
                    <w:keepLines w:val="0"/>
                    <w:pageBreakBefore w:val="0"/>
                    <w:widowControl w:val="0"/>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80</w:t>
                  </w:r>
                </w:p>
              </w:tc>
              <w:tc>
                <w:tcPr>
                  <w:tcW w:w="487" w:type="pct"/>
                  <w:tcBorders>
                    <w:bottom w:val="single" w:color="auto" w:sz="12" w:space="0"/>
                  </w:tcBorders>
                  <w:noWrap w:val="0"/>
                  <w:vAlign w:val="center"/>
                </w:tcPr>
                <w:p w14:paraId="11F65AF2">
                  <w:pPr>
                    <w:pStyle w:val="109"/>
                    <w:keepNext w:val="0"/>
                    <w:keepLines w:val="0"/>
                    <w:pageBreakBefore w:val="0"/>
                    <w:widowControl w:val="0"/>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100</w:t>
                  </w:r>
                </w:p>
              </w:tc>
              <w:tc>
                <w:tcPr>
                  <w:tcW w:w="487" w:type="pct"/>
                  <w:tcBorders>
                    <w:bottom w:val="single" w:color="auto" w:sz="12" w:space="0"/>
                  </w:tcBorders>
                  <w:noWrap w:val="0"/>
                  <w:vAlign w:val="center"/>
                </w:tcPr>
                <w:p w14:paraId="60B785F0">
                  <w:pPr>
                    <w:pStyle w:val="109"/>
                    <w:keepNext w:val="0"/>
                    <w:keepLines w:val="0"/>
                    <w:pageBreakBefore w:val="0"/>
                    <w:widowControl w:val="0"/>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150</w:t>
                  </w:r>
                </w:p>
              </w:tc>
              <w:tc>
                <w:tcPr>
                  <w:tcW w:w="492" w:type="pct"/>
                  <w:tcBorders>
                    <w:bottom w:val="single" w:color="auto" w:sz="12" w:space="0"/>
                  </w:tcBorders>
                  <w:noWrap w:val="0"/>
                  <w:vAlign w:val="center"/>
                </w:tcPr>
                <w:p w14:paraId="4F667FD9">
                  <w:pPr>
                    <w:pStyle w:val="109"/>
                    <w:keepNext w:val="0"/>
                    <w:keepLines w:val="0"/>
                    <w:pageBreakBefore w:val="0"/>
                    <w:widowControl w:val="0"/>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200</w:t>
                  </w:r>
                </w:p>
              </w:tc>
            </w:tr>
            <w:tr w14:paraId="6D17C2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73" w:type="pct"/>
                  <w:tcBorders>
                    <w:top w:val="single" w:color="auto" w:sz="12" w:space="0"/>
                    <w:tl2br w:val="nil"/>
                    <w:tr2bl w:val="nil"/>
                  </w:tcBorders>
                  <w:noWrap w:val="0"/>
                  <w:vAlign w:val="center"/>
                </w:tcPr>
                <w:p w14:paraId="70608C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挖路机</w:t>
                  </w:r>
                </w:p>
              </w:tc>
              <w:tc>
                <w:tcPr>
                  <w:tcW w:w="520" w:type="pct"/>
                  <w:tcBorders>
                    <w:top w:val="single" w:color="auto" w:sz="12" w:space="0"/>
                    <w:tl2br w:val="nil"/>
                    <w:tr2bl w:val="nil"/>
                  </w:tcBorders>
                  <w:noWrap w:val="0"/>
                  <w:vAlign w:val="center"/>
                </w:tcPr>
                <w:p w14:paraId="7D8D0A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79</w:t>
                  </w:r>
                </w:p>
              </w:tc>
              <w:tc>
                <w:tcPr>
                  <w:tcW w:w="487" w:type="pct"/>
                  <w:tcBorders>
                    <w:top w:val="single" w:color="auto" w:sz="12" w:space="0"/>
                    <w:tl2br w:val="nil"/>
                    <w:tr2bl w:val="nil"/>
                  </w:tcBorders>
                  <w:noWrap w:val="0"/>
                  <w:vAlign w:val="center"/>
                </w:tcPr>
                <w:p w14:paraId="7B642A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65.02</w:t>
                  </w:r>
                </w:p>
              </w:tc>
              <w:tc>
                <w:tcPr>
                  <w:tcW w:w="487" w:type="pct"/>
                  <w:tcBorders>
                    <w:top w:val="single" w:color="auto" w:sz="12" w:space="0"/>
                    <w:tl2br w:val="nil"/>
                    <w:tr2bl w:val="nil"/>
                  </w:tcBorders>
                  <w:noWrap w:val="0"/>
                  <w:vAlign w:val="center"/>
                </w:tcPr>
                <w:p w14:paraId="771A6F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52.98</w:t>
                  </w:r>
                </w:p>
              </w:tc>
              <w:tc>
                <w:tcPr>
                  <w:tcW w:w="487" w:type="pct"/>
                  <w:tcBorders>
                    <w:top w:val="single" w:color="auto" w:sz="12" w:space="0"/>
                    <w:tl2br w:val="nil"/>
                    <w:tr2bl w:val="nil"/>
                  </w:tcBorders>
                  <w:noWrap w:val="0"/>
                  <w:vAlign w:val="center"/>
                </w:tcPr>
                <w:p w14:paraId="7A390C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46.96</w:t>
                  </w:r>
                </w:p>
              </w:tc>
              <w:tc>
                <w:tcPr>
                  <w:tcW w:w="487" w:type="pct"/>
                  <w:tcBorders>
                    <w:top w:val="single" w:color="auto" w:sz="12" w:space="0"/>
                    <w:tl2br w:val="nil"/>
                    <w:tr2bl w:val="nil"/>
                  </w:tcBorders>
                  <w:noWrap w:val="0"/>
                  <w:vAlign w:val="center"/>
                </w:tcPr>
                <w:p w14:paraId="75FC09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43.44</w:t>
                  </w:r>
                </w:p>
              </w:tc>
              <w:tc>
                <w:tcPr>
                  <w:tcW w:w="487" w:type="pct"/>
                  <w:tcBorders>
                    <w:top w:val="single" w:color="auto" w:sz="12" w:space="0"/>
                    <w:tl2br w:val="nil"/>
                    <w:tr2bl w:val="nil"/>
                  </w:tcBorders>
                  <w:noWrap w:val="0"/>
                  <w:vAlign w:val="center"/>
                </w:tcPr>
                <w:p w14:paraId="4CEB49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40.94</w:t>
                  </w:r>
                </w:p>
              </w:tc>
              <w:tc>
                <w:tcPr>
                  <w:tcW w:w="487" w:type="pct"/>
                  <w:tcBorders>
                    <w:top w:val="single" w:color="auto" w:sz="12" w:space="0"/>
                    <w:tl2br w:val="nil"/>
                    <w:tr2bl w:val="nil"/>
                  </w:tcBorders>
                  <w:noWrap w:val="0"/>
                  <w:vAlign w:val="center"/>
                </w:tcPr>
                <w:p w14:paraId="3BB139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39.00</w:t>
                  </w:r>
                </w:p>
              </w:tc>
              <w:tc>
                <w:tcPr>
                  <w:tcW w:w="487" w:type="pct"/>
                  <w:tcBorders>
                    <w:top w:val="single" w:color="auto" w:sz="12" w:space="0"/>
                    <w:tl2br w:val="nil"/>
                    <w:tr2bl w:val="nil"/>
                  </w:tcBorders>
                  <w:noWrap w:val="0"/>
                  <w:vAlign w:val="center"/>
                </w:tcPr>
                <w:p w14:paraId="316E36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35.48</w:t>
                  </w:r>
                </w:p>
              </w:tc>
              <w:tc>
                <w:tcPr>
                  <w:tcW w:w="492" w:type="pct"/>
                  <w:tcBorders>
                    <w:top w:val="single" w:color="auto" w:sz="12" w:space="0"/>
                    <w:tl2br w:val="nil"/>
                    <w:tr2bl w:val="nil"/>
                  </w:tcBorders>
                  <w:noWrap w:val="0"/>
                  <w:vAlign w:val="center"/>
                </w:tcPr>
                <w:p w14:paraId="58E200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kern w:val="0"/>
                      <w:sz w:val="21"/>
                      <w:szCs w:val="21"/>
                      <w:lang w:val="en-US" w:eastAsia="zh-CN" w:bidi="ar"/>
                    </w:rPr>
                    <w:t>32.98</w:t>
                  </w:r>
                </w:p>
              </w:tc>
            </w:tr>
            <w:tr w14:paraId="267128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73" w:type="pct"/>
                  <w:tcBorders>
                    <w:tl2br w:val="nil"/>
                    <w:tr2bl w:val="nil"/>
                  </w:tcBorders>
                  <w:noWrap w:val="0"/>
                  <w:vAlign w:val="center"/>
                </w:tcPr>
                <w:p w14:paraId="732846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压路机</w:t>
                  </w:r>
                </w:p>
              </w:tc>
              <w:tc>
                <w:tcPr>
                  <w:tcW w:w="520" w:type="pct"/>
                  <w:tcBorders>
                    <w:tl2br w:val="nil"/>
                    <w:tr2bl w:val="nil"/>
                  </w:tcBorders>
                  <w:noWrap w:val="0"/>
                  <w:vAlign w:val="center"/>
                </w:tcPr>
                <w:p w14:paraId="450E69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73</w:t>
                  </w:r>
                </w:p>
              </w:tc>
              <w:tc>
                <w:tcPr>
                  <w:tcW w:w="487" w:type="pct"/>
                  <w:tcBorders>
                    <w:tl2br w:val="nil"/>
                    <w:tr2bl w:val="nil"/>
                  </w:tcBorders>
                  <w:noWrap w:val="0"/>
                  <w:vAlign w:val="center"/>
                </w:tcPr>
                <w:p w14:paraId="28B8D5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59.02</w:t>
                  </w:r>
                </w:p>
              </w:tc>
              <w:tc>
                <w:tcPr>
                  <w:tcW w:w="487" w:type="pct"/>
                  <w:tcBorders>
                    <w:tl2br w:val="nil"/>
                    <w:tr2bl w:val="nil"/>
                  </w:tcBorders>
                  <w:noWrap w:val="0"/>
                  <w:vAlign w:val="center"/>
                </w:tcPr>
                <w:p w14:paraId="1B8379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46.98</w:t>
                  </w:r>
                </w:p>
              </w:tc>
              <w:tc>
                <w:tcPr>
                  <w:tcW w:w="487" w:type="pct"/>
                  <w:tcBorders>
                    <w:tl2br w:val="nil"/>
                    <w:tr2bl w:val="nil"/>
                  </w:tcBorders>
                  <w:noWrap w:val="0"/>
                  <w:vAlign w:val="center"/>
                </w:tcPr>
                <w:p w14:paraId="1E843E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40.96</w:t>
                  </w:r>
                </w:p>
              </w:tc>
              <w:tc>
                <w:tcPr>
                  <w:tcW w:w="487" w:type="pct"/>
                  <w:tcBorders>
                    <w:tl2br w:val="nil"/>
                    <w:tr2bl w:val="nil"/>
                  </w:tcBorders>
                  <w:noWrap w:val="0"/>
                  <w:vAlign w:val="center"/>
                </w:tcPr>
                <w:p w14:paraId="5044E8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37.44</w:t>
                  </w:r>
                </w:p>
              </w:tc>
              <w:tc>
                <w:tcPr>
                  <w:tcW w:w="487" w:type="pct"/>
                  <w:tcBorders>
                    <w:tl2br w:val="nil"/>
                    <w:tr2bl w:val="nil"/>
                  </w:tcBorders>
                  <w:noWrap w:val="0"/>
                  <w:vAlign w:val="center"/>
                </w:tcPr>
                <w:p w14:paraId="6076C9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34.94</w:t>
                  </w:r>
                </w:p>
              </w:tc>
              <w:tc>
                <w:tcPr>
                  <w:tcW w:w="487" w:type="pct"/>
                  <w:tcBorders>
                    <w:tl2br w:val="nil"/>
                    <w:tr2bl w:val="nil"/>
                  </w:tcBorders>
                  <w:noWrap w:val="0"/>
                  <w:vAlign w:val="center"/>
                </w:tcPr>
                <w:p w14:paraId="623291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33.00</w:t>
                  </w:r>
                </w:p>
              </w:tc>
              <w:tc>
                <w:tcPr>
                  <w:tcW w:w="487" w:type="pct"/>
                  <w:tcBorders>
                    <w:tl2br w:val="nil"/>
                    <w:tr2bl w:val="nil"/>
                  </w:tcBorders>
                  <w:noWrap w:val="0"/>
                  <w:vAlign w:val="center"/>
                </w:tcPr>
                <w:p w14:paraId="0AF5B3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29.48</w:t>
                  </w:r>
                </w:p>
              </w:tc>
              <w:tc>
                <w:tcPr>
                  <w:tcW w:w="492" w:type="pct"/>
                  <w:tcBorders>
                    <w:tl2br w:val="nil"/>
                    <w:tr2bl w:val="nil"/>
                  </w:tcBorders>
                  <w:noWrap w:val="0"/>
                  <w:vAlign w:val="center"/>
                </w:tcPr>
                <w:p w14:paraId="489B91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kern w:val="0"/>
                      <w:sz w:val="21"/>
                      <w:szCs w:val="21"/>
                      <w:lang w:val="en-US" w:eastAsia="zh-CN" w:bidi="ar"/>
                    </w:rPr>
                    <w:t>26.98</w:t>
                  </w:r>
                </w:p>
              </w:tc>
            </w:tr>
            <w:tr w14:paraId="6114CA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73" w:type="pct"/>
                  <w:tcBorders>
                    <w:tl2br w:val="nil"/>
                    <w:tr2bl w:val="nil"/>
                  </w:tcBorders>
                  <w:noWrap w:val="0"/>
                  <w:vAlign w:val="center"/>
                </w:tcPr>
                <w:p w14:paraId="26FA47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铲土机</w:t>
                  </w:r>
                </w:p>
              </w:tc>
              <w:tc>
                <w:tcPr>
                  <w:tcW w:w="520" w:type="pct"/>
                  <w:tcBorders>
                    <w:tl2br w:val="nil"/>
                    <w:tr2bl w:val="nil"/>
                  </w:tcBorders>
                  <w:noWrap w:val="0"/>
                  <w:vAlign w:val="center"/>
                </w:tcPr>
                <w:p w14:paraId="6A2775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75</w:t>
                  </w:r>
                </w:p>
              </w:tc>
              <w:tc>
                <w:tcPr>
                  <w:tcW w:w="487" w:type="pct"/>
                  <w:tcBorders>
                    <w:tl2br w:val="nil"/>
                    <w:tr2bl w:val="nil"/>
                  </w:tcBorders>
                  <w:noWrap w:val="0"/>
                  <w:vAlign w:val="center"/>
                </w:tcPr>
                <w:p w14:paraId="1C0603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61.02</w:t>
                  </w:r>
                </w:p>
              </w:tc>
              <w:tc>
                <w:tcPr>
                  <w:tcW w:w="487" w:type="pct"/>
                  <w:tcBorders>
                    <w:tl2br w:val="nil"/>
                    <w:tr2bl w:val="nil"/>
                  </w:tcBorders>
                  <w:noWrap w:val="0"/>
                  <w:vAlign w:val="center"/>
                </w:tcPr>
                <w:p w14:paraId="127DA4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48.98</w:t>
                  </w:r>
                </w:p>
              </w:tc>
              <w:tc>
                <w:tcPr>
                  <w:tcW w:w="487" w:type="pct"/>
                  <w:tcBorders>
                    <w:tl2br w:val="nil"/>
                    <w:tr2bl w:val="nil"/>
                  </w:tcBorders>
                  <w:noWrap w:val="0"/>
                  <w:vAlign w:val="center"/>
                </w:tcPr>
                <w:p w14:paraId="166960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42.96</w:t>
                  </w:r>
                </w:p>
              </w:tc>
              <w:tc>
                <w:tcPr>
                  <w:tcW w:w="487" w:type="pct"/>
                  <w:tcBorders>
                    <w:tl2br w:val="nil"/>
                    <w:tr2bl w:val="nil"/>
                  </w:tcBorders>
                  <w:noWrap w:val="0"/>
                  <w:vAlign w:val="center"/>
                </w:tcPr>
                <w:p w14:paraId="71D542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39.44</w:t>
                  </w:r>
                </w:p>
              </w:tc>
              <w:tc>
                <w:tcPr>
                  <w:tcW w:w="487" w:type="pct"/>
                  <w:tcBorders>
                    <w:tl2br w:val="nil"/>
                    <w:tr2bl w:val="nil"/>
                  </w:tcBorders>
                  <w:noWrap w:val="0"/>
                  <w:vAlign w:val="center"/>
                </w:tcPr>
                <w:p w14:paraId="43AB5C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36.94</w:t>
                  </w:r>
                </w:p>
              </w:tc>
              <w:tc>
                <w:tcPr>
                  <w:tcW w:w="487" w:type="pct"/>
                  <w:tcBorders>
                    <w:tl2br w:val="nil"/>
                    <w:tr2bl w:val="nil"/>
                  </w:tcBorders>
                  <w:noWrap w:val="0"/>
                  <w:vAlign w:val="center"/>
                </w:tcPr>
                <w:p w14:paraId="54BF62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35.00</w:t>
                  </w:r>
                </w:p>
              </w:tc>
              <w:tc>
                <w:tcPr>
                  <w:tcW w:w="487" w:type="pct"/>
                  <w:tcBorders>
                    <w:tl2br w:val="nil"/>
                    <w:tr2bl w:val="nil"/>
                  </w:tcBorders>
                  <w:noWrap w:val="0"/>
                  <w:vAlign w:val="center"/>
                </w:tcPr>
                <w:p w14:paraId="57E898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31.48</w:t>
                  </w:r>
                </w:p>
              </w:tc>
              <w:tc>
                <w:tcPr>
                  <w:tcW w:w="492" w:type="pct"/>
                  <w:tcBorders>
                    <w:tl2br w:val="nil"/>
                    <w:tr2bl w:val="nil"/>
                  </w:tcBorders>
                  <w:noWrap w:val="0"/>
                  <w:vAlign w:val="center"/>
                </w:tcPr>
                <w:p w14:paraId="7C0492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kern w:val="0"/>
                      <w:sz w:val="21"/>
                      <w:szCs w:val="21"/>
                      <w:lang w:val="en-US" w:eastAsia="zh-CN" w:bidi="ar"/>
                    </w:rPr>
                    <w:t>28.98</w:t>
                  </w:r>
                </w:p>
              </w:tc>
            </w:tr>
            <w:tr w14:paraId="1A9084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73" w:type="pct"/>
                  <w:noWrap w:val="0"/>
                  <w:vAlign w:val="center"/>
                </w:tcPr>
                <w:p w14:paraId="536FCF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自卸汽车</w:t>
                  </w:r>
                </w:p>
              </w:tc>
              <w:tc>
                <w:tcPr>
                  <w:tcW w:w="520" w:type="pct"/>
                  <w:noWrap w:val="0"/>
                  <w:vAlign w:val="center"/>
                </w:tcPr>
                <w:p w14:paraId="6B3E56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70</w:t>
                  </w:r>
                </w:p>
              </w:tc>
              <w:tc>
                <w:tcPr>
                  <w:tcW w:w="487" w:type="pct"/>
                  <w:noWrap w:val="0"/>
                  <w:vAlign w:val="center"/>
                </w:tcPr>
                <w:p w14:paraId="3A74FF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56.02</w:t>
                  </w:r>
                </w:p>
              </w:tc>
              <w:tc>
                <w:tcPr>
                  <w:tcW w:w="487" w:type="pct"/>
                  <w:noWrap w:val="0"/>
                  <w:vAlign w:val="center"/>
                </w:tcPr>
                <w:p w14:paraId="7B7509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43.98</w:t>
                  </w:r>
                </w:p>
              </w:tc>
              <w:tc>
                <w:tcPr>
                  <w:tcW w:w="487" w:type="pct"/>
                  <w:noWrap w:val="0"/>
                  <w:vAlign w:val="center"/>
                </w:tcPr>
                <w:p w14:paraId="064651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37.96</w:t>
                  </w:r>
                </w:p>
              </w:tc>
              <w:tc>
                <w:tcPr>
                  <w:tcW w:w="487" w:type="pct"/>
                  <w:noWrap w:val="0"/>
                  <w:vAlign w:val="center"/>
                </w:tcPr>
                <w:p w14:paraId="66CB0B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34.44</w:t>
                  </w:r>
                </w:p>
              </w:tc>
              <w:tc>
                <w:tcPr>
                  <w:tcW w:w="487" w:type="pct"/>
                  <w:noWrap w:val="0"/>
                  <w:vAlign w:val="center"/>
                </w:tcPr>
                <w:p w14:paraId="453A28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31.94</w:t>
                  </w:r>
                </w:p>
              </w:tc>
              <w:tc>
                <w:tcPr>
                  <w:tcW w:w="487" w:type="pct"/>
                  <w:noWrap w:val="0"/>
                  <w:vAlign w:val="center"/>
                </w:tcPr>
                <w:p w14:paraId="090D2B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30.00</w:t>
                  </w:r>
                </w:p>
              </w:tc>
              <w:tc>
                <w:tcPr>
                  <w:tcW w:w="487" w:type="pct"/>
                  <w:noWrap w:val="0"/>
                  <w:vAlign w:val="center"/>
                </w:tcPr>
                <w:p w14:paraId="732767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26.48</w:t>
                  </w:r>
                </w:p>
              </w:tc>
              <w:tc>
                <w:tcPr>
                  <w:tcW w:w="492" w:type="pct"/>
                  <w:noWrap w:val="0"/>
                  <w:vAlign w:val="center"/>
                </w:tcPr>
                <w:p w14:paraId="532C26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kern w:val="0"/>
                      <w:sz w:val="21"/>
                      <w:szCs w:val="21"/>
                      <w:lang w:val="en-US" w:eastAsia="zh-CN" w:bidi="ar"/>
                    </w:rPr>
                    <w:t>23.98</w:t>
                  </w:r>
                </w:p>
              </w:tc>
            </w:tr>
            <w:tr w14:paraId="1C0985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73" w:type="pct"/>
                  <w:noWrap w:val="0"/>
                  <w:vAlign w:val="center"/>
                </w:tcPr>
                <w:p w14:paraId="122B61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混凝土搅拌机</w:t>
                  </w:r>
                </w:p>
              </w:tc>
              <w:tc>
                <w:tcPr>
                  <w:tcW w:w="520" w:type="pct"/>
                  <w:noWrap w:val="0"/>
                  <w:vAlign w:val="center"/>
                </w:tcPr>
                <w:p w14:paraId="54A90D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79</w:t>
                  </w:r>
                </w:p>
              </w:tc>
              <w:tc>
                <w:tcPr>
                  <w:tcW w:w="487" w:type="pct"/>
                  <w:noWrap w:val="0"/>
                  <w:vAlign w:val="center"/>
                </w:tcPr>
                <w:p w14:paraId="28B4A0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65.02</w:t>
                  </w:r>
                </w:p>
              </w:tc>
              <w:tc>
                <w:tcPr>
                  <w:tcW w:w="487" w:type="pct"/>
                  <w:noWrap w:val="0"/>
                  <w:vAlign w:val="center"/>
                </w:tcPr>
                <w:p w14:paraId="33A948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52.98</w:t>
                  </w:r>
                </w:p>
              </w:tc>
              <w:tc>
                <w:tcPr>
                  <w:tcW w:w="487" w:type="pct"/>
                  <w:noWrap w:val="0"/>
                  <w:vAlign w:val="center"/>
                </w:tcPr>
                <w:p w14:paraId="4AF8BD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46.96</w:t>
                  </w:r>
                </w:p>
              </w:tc>
              <w:tc>
                <w:tcPr>
                  <w:tcW w:w="487" w:type="pct"/>
                  <w:noWrap w:val="0"/>
                  <w:vAlign w:val="center"/>
                </w:tcPr>
                <w:p w14:paraId="6986BF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43.44</w:t>
                  </w:r>
                </w:p>
              </w:tc>
              <w:tc>
                <w:tcPr>
                  <w:tcW w:w="487" w:type="pct"/>
                  <w:noWrap w:val="0"/>
                  <w:vAlign w:val="center"/>
                </w:tcPr>
                <w:p w14:paraId="4FD985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40.94</w:t>
                  </w:r>
                </w:p>
              </w:tc>
              <w:tc>
                <w:tcPr>
                  <w:tcW w:w="487" w:type="pct"/>
                  <w:noWrap w:val="0"/>
                  <w:vAlign w:val="center"/>
                </w:tcPr>
                <w:p w14:paraId="1DD6FB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39.00</w:t>
                  </w:r>
                </w:p>
              </w:tc>
              <w:tc>
                <w:tcPr>
                  <w:tcW w:w="487" w:type="pct"/>
                  <w:noWrap w:val="0"/>
                  <w:vAlign w:val="center"/>
                </w:tcPr>
                <w:p w14:paraId="757123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35.48</w:t>
                  </w:r>
                </w:p>
              </w:tc>
              <w:tc>
                <w:tcPr>
                  <w:tcW w:w="492" w:type="pct"/>
                  <w:noWrap w:val="0"/>
                  <w:vAlign w:val="center"/>
                </w:tcPr>
                <w:p w14:paraId="426CA4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kern w:val="0"/>
                      <w:sz w:val="21"/>
                      <w:szCs w:val="21"/>
                      <w:lang w:val="en-US" w:eastAsia="zh-CN" w:bidi="ar"/>
                    </w:rPr>
                    <w:t>32.98</w:t>
                  </w:r>
                </w:p>
              </w:tc>
            </w:tr>
            <w:tr w14:paraId="4D0492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73" w:type="pct"/>
                  <w:noWrap w:val="0"/>
                  <w:vAlign w:val="center"/>
                </w:tcPr>
                <w:p w14:paraId="162376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混凝土振捣器</w:t>
                  </w:r>
                </w:p>
              </w:tc>
              <w:tc>
                <w:tcPr>
                  <w:tcW w:w="520" w:type="pct"/>
                  <w:noWrap w:val="0"/>
                  <w:vAlign w:val="center"/>
                </w:tcPr>
                <w:p w14:paraId="625D44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80</w:t>
                  </w:r>
                </w:p>
              </w:tc>
              <w:tc>
                <w:tcPr>
                  <w:tcW w:w="487" w:type="pct"/>
                  <w:noWrap w:val="0"/>
                  <w:vAlign w:val="center"/>
                </w:tcPr>
                <w:p w14:paraId="7BE3ED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66.02</w:t>
                  </w:r>
                </w:p>
              </w:tc>
              <w:tc>
                <w:tcPr>
                  <w:tcW w:w="487" w:type="pct"/>
                  <w:noWrap w:val="0"/>
                  <w:vAlign w:val="center"/>
                </w:tcPr>
                <w:p w14:paraId="1AD4AB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53.98</w:t>
                  </w:r>
                </w:p>
              </w:tc>
              <w:tc>
                <w:tcPr>
                  <w:tcW w:w="487" w:type="pct"/>
                  <w:noWrap w:val="0"/>
                  <w:vAlign w:val="center"/>
                </w:tcPr>
                <w:p w14:paraId="5129C3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47.96</w:t>
                  </w:r>
                </w:p>
              </w:tc>
              <w:tc>
                <w:tcPr>
                  <w:tcW w:w="487" w:type="pct"/>
                  <w:noWrap w:val="0"/>
                  <w:vAlign w:val="center"/>
                </w:tcPr>
                <w:p w14:paraId="49BDEF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44.44</w:t>
                  </w:r>
                </w:p>
              </w:tc>
              <w:tc>
                <w:tcPr>
                  <w:tcW w:w="487" w:type="pct"/>
                  <w:noWrap w:val="0"/>
                  <w:vAlign w:val="center"/>
                </w:tcPr>
                <w:p w14:paraId="65F357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41.94</w:t>
                  </w:r>
                </w:p>
              </w:tc>
              <w:tc>
                <w:tcPr>
                  <w:tcW w:w="487" w:type="pct"/>
                  <w:noWrap w:val="0"/>
                  <w:vAlign w:val="center"/>
                </w:tcPr>
                <w:p w14:paraId="6C353F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40.00</w:t>
                  </w:r>
                </w:p>
              </w:tc>
              <w:tc>
                <w:tcPr>
                  <w:tcW w:w="487" w:type="pct"/>
                  <w:noWrap w:val="0"/>
                  <w:vAlign w:val="center"/>
                </w:tcPr>
                <w:p w14:paraId="6CAD95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36.48</w:t>
                  </w:r>
                </w:p>
              </w:tc>
              <w:tc>
                <w:tcPr>
                  <w:tcW w:w="492" w:type="pct"/>
                  <w:noWrap w:val="0"/>
                  <w:vAlign w:val="center"/>
                </w:tcPr>
                <w:p w14:paraId="2D761C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kern w:val="0"/>
                      <w:sz w:val="21"/>
                      <w:szCs w:val="21"/>
                      <w:lang w:val="en-US" w:eastAsia="zh-CN" w:bidi="ar"/>
                    </w:rPr>
                    <w:t>33.98</w:t>
                  </w:r>
                </w:p>
              </w:tc>
            </w:tr>
            <w:tr w14:paraId="69A5B4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73" w:type="pct"/>
                  <w:noWrap w:val="0"/>
                  <w:vAlign w:val="center"/>
                </w:tcPr>
                <w:p w14:paraId="3583DA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升降机</w:t>
                  </w:r>
                </w:p>
              </w:tc>
              <w:tc>
                <w:tcPr>
                  <w:tcW w:w="520" w:type="pct"/>
                  <w:noWrap w:val="0"/>
                  <w:vAlign w:val="center"/>
                </w:tcPr>
                <w:p w14:paraId="2FD124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72</w:t>
                  </w:r>
                </w:p>
              </w:tc>
              <w:tc>
                <w:tcPr>
                  <w:tcW w:w="487" w:type="pct"/>
                  <w:noWrap w:val="0"/>
                  <w:vAlign w:val="center"/>
                </w:tcPr>
                <w:p w14:paraId="24676E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58.02</w:t>
                  </w:r>
                </w:p>
              </w:tc>
              <w:tc>
                <w:tcPr>
                  <w:tcW w:w="487" w:type="pct"/>
                  <w:noWrap w:val="0"/>
                  <w:vAlign w:val="center"/>
                </w:tcPr>
                <w:p w14:paraId="395147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45.98</w:t>
                  </w:r>
                </w:p>
              </w:tc>
              <w:tc>
                <w:tcPr>
                  <w:tcW w:w="487" w:type="pct"/>
                  <w:noWrap w:val="0"/>
                  <w:vAlign w:val="center"/>
                </w:tcPr>
                <w:p w14:paraId="57F43D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39.96</w:t>
                  </w:r>
                </w:p>
              </w:tc>
              <w:tc>
                <w:tcPr>
                  <w:tcW w:w="487" w:type="pct"/>
                  <w:noWrap w:val="0"/>
                  <w:vAlign w:val="center"/>
                </w:tcPr>
                <w:p w14:paraId="5890F4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36.44</w:t>
                  </w:r>
                </w:p>
              </w:tc>
              <w:tc>
                <w:tcPr>
                  <w:tcW w:w="487" w:type="pct"/>
                  <w:noWrap w:val="0"/>
                  <w:vAlign w:val="center"/>
                </w:tcPr>
                <w:p w14:paraId="3BD2FA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33.94</w:t>
                  </w:r>
                </w:p>
              </w:tc>
              <w:tc>
                <w:tcPr>
                  <w:tcW w:w="487" w:type="pct"/>
                  <w:noWrap w:val="0"/>
                  <w:vAlign w:val="center"/>
                </w:tcPr>
                <w:p w14:paraId="5131BB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32.00</w:t>
                  </w:r>
                </w:p>
              </w:tc>
              <w:tc>
                <w:tcPr>
                  <w:tcW w:w="487" w:type="pct"/>
                  <w:noWrap w:val="0"/>
                  <w:vAlign w:val="center"/>
                </w:tcPr>
                <w:p w14:paraId="298355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lang w:val="en-US" w:eastAsia="zh-CN" w:bidi="ar"/>
                    </w:rPr>
                    <w:t>28.48</w:t>
                  </w:r>
                </w:p>
              </w:tc>
              <w:tc>
                <w:tcPr>
                  <w:tcW w:w="492" w:type="pct"/>
                  <w:noWrap w:val="0"/>
                  <w:vAlign w:val="center"/>
                </w:tcPr>
                <w:p w14:paraId="767902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kern w:val="0"/>
                      <w:sz w:val="21"/>
                      <w:szCs w:val="21"/>
                      <w:lang w:val="en-US" w:eastAsia="zh-CN" w:bidi="ar"/>
                    </w:rPr>
                    <w:t>25.98</w:t>
                  </w:r>
                </w:p>
              </w:tc>
            </w:tr>
          </w:tbl>
          <w:p w14:paraId="6E873C27">
            <w:pPr>
              <w:rPr>
                <w:rFonts w:hint="default" w:ascii="Times New Roman" w:hAnsi="Times New Roman" w:eastAsia="宋体" w:cs="Times New Roman"/>
                <w:lang w:val="en-US" w:eastAsia="zh-CN"/>
              </w:rPr>
            </w:pP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2</w:t>
            </w: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声环境影响分析</w:t>
            </w:r>
          </w:p>
          <w:p w14:paraId="707B10D5">
            <w:pPr>
              <w:rPr>
                <w:rFonts w:hint="default" w:ascii="Times New Roman" w:hAnsi="Times New Roman" w:eastAsia="宋体" w:cs="Times New Roman"/>
              </w:rPr>
            </w:pPr>
            <w:r>
              <w:rPr>
                <w:rFonts w:hint="default" w:ascii="Times New Roman" w:hAnsi="Times New Roman" w:eastAsia="宋体" w:cs="Times New Roman"/>
              </w:rPr>
              <w:t>项目</w:t>
            </w:r>
            <w:r>
              <w:rPr>
                <w:rFonts w:hint="eastAsia" w:cs="Times New Roman"/>
                <w:lang w:val="en-US" w:eastAsia="zh-CN"/>
              </w:rPr>
              <w:t>5</w:t>
            </w:r>
            <w:r>
              <w:rPr>
                <w:rFonts w:hint="default" w:ascii="Times New Roman" w:hAnsi="Times New Roman" w:eastAsia="宋体" w:cs="Times New Roman"/>
              </w:rPr>
              <w:t>00m范围内有</w:t>
            </w:r>
            <w:r>
              <w:rPr>
                <w:rFonts w:hint="eastAsia" w:ascii="Times New Roman" w:hAnsi="Times New Roman" w:eastAsia="宋体" w:cs="Times New Roman"/>
                <w:lang w:val="en-US" w:eastAsia="zh-CN"/>
              </w:rPr>
              <w:t>花儿沟村</w:t>
            </w:r>
            <w:r>
              <w:rPr>
                <w:rFonts w:hint="default" w:ascii="Times New Roman" w:hAnsi="Times New Roman" w:eastAsia="宋体" w:cs="Times New Roman"/>
              </w:rPr>
              <w:t>敏感点，需建立围挡，避免对附近敏感点正常的生活产生影响。为进一步降低施工噪声，建议如下：</w:t>
            </w:r>
          </w:p>
          <w:p w14:paraId="3F34E395">
            <w:pPr>
              <w:rPr>
                <w:rFonts w:hint="default" w:ascii="Times New Roman" w:hAnsi="Times New Roman" w:eastAsia="宋体" w:cs="Times New Roman"/>
              </w:rPr>
            </w:pPr>
            <w:r>
              <w:rPr>
                <w:rFonts w:hint="default" w:ascii="Times New Roman" w:hAnsi="Times New Roman" w:eastAsia="宋体" w:cs="Times New Roman"/>
              </w:rPr>
              <w:t>①加强施工管理，合理布局和使用施工机械，尽量将高噪声设备安置在远离敏感目标的一侧；</w:t>
            </w:r>
          </w:p>
          <w:p w14:paraId="65B9F984">
            <w:pPr>
              <w:rPr>
                <w:rFonts w:hint="default" w:ascii="Times New Roman" w:hAnsi="Times New Roman" w:eastAsia="宋体" w:cs="Times New Roman"/>
              </w:rPr>
            </w:pPr>
            <w:r>
              <w:rPr>
                <w:rFonts w:hint="default" w:ascii="Times New Roman" w:hAnsi="Times New Roman" w:eastAsia="宋体" w:cs="Times New Roman"/>
              </w:rPr>
              <w:t>②加强设备维护，保证车辆、施工设备处于良好工作状况；</w:t>
            </w:r>
          </w:p>
          <w:p w14:paraId="3F3C5D88">
            <w:pPr>
              <w:rPr>
                <w:rFonts w:hint="default" w:ascii="Times New Roman" w:hAnsi="Times New Roman" w:eastAsia="宋体" w:cs="Times New Roman"/>
              </w:rPr>
            </w:pPr>
            <w:r>
              <w:rPr>
                <w:rFonts w:hint="default" w:ascii="Times New Roman" w:hAnsi="Times New Roman" w:eastAsia="宋体" w:cs="Times New Roman"/>
              </w:rPr>
              <w:t>③尽量选用低噪声的施工设备，将高声功率设备的运作时间错开，尽量避免同时操作，作业时尽量在高噪声设备周围设置屏蔽；</w:t>
            </w:r>
          </w:p>
          <w:p w14:paraId="44EF05EE">
            <w:pPr>
              <w:rPr>
                <w:rFonts w:hint="default" w:ascii="Times New Roman" w:hAnsi="Times New Roman" w:eastAsia="宋体" w:cs="Times New Roman"/>
              </w:rPr>
            </w:pPr>
            <w:r>
              <w:rPr>
                <w:rFonts w:hint="default" w:ascii="Times New Roman" w:hAnsi="Times New Roman" w:eastAsia="宋体" w:cs="Times New Roman"/>
              </w:rPr>
              <w:t>④建立挡墙、合理安排施工时间，尤其是距离敏感点较近的地方；</w:t>
            </w:r>
          </w:p>
          <w:p w14:paraId="7FAD8FDF">
            <w:pPr>
              <w:rPr>
                <w:rFonts w:hint="default" w:ascii="Times New Roman" w:hAnsi="Times New Roman" w:eastAsia="宋体" w:cs="Times New Roman"/>
              </w:rPr>
            </w:pPr>
            <w:r>
              <w:rPr>
                <w:rFonts w:hint="default" w:ascii="Times New Roman" w:hAnsi="Times New Roman" w:eastAsia="宋体" w:cs="Times New Roman"/>
              </w:rPr>
              <w:t>⑤合理安排各类施工机械的工作时间，尤其是夜间严禁打桩机等强噪声机械进行施工；如果因为必须连续作业而进行夜间施工的，应得到当地相关主管部门的批准；中高考期间禁止施工；进场车辆应当缓行且禁止鸣笛，以免对环境产生大的影响；</w:t>
            </w:r>
          </w:p>
          <w:p w14:paraId="6AE2A98C">
            <w:pPr>
              <w:rPr>
                <w:rFonts w:hint="default" w:ascii="Times New Roman" w:hAnsi="Times New Roman" w:eastAsia="宋体" w:cs="Times New Roman"/>
              </w:rPr>
            </w:pPr>
            <w:r>
              <w:rPr>
                <w:rFonts w:hint="default" w:ascii="Times New Roman" w:hAnsi="Times New Roman" w:eastAsia="宋体" w:cs="Times New Roman"/>
              </w:rPr>
              <w:t>⑥对不同施工阶段，严格按《建筑施工噪声排放标准》（GB12523-20</w:t>
            </w:r>
            <w:r>
              <w:rPr>
                <w:rFonts w:hint="default" w:ascii="Times New Roman" w:hAnsi="Times New Roman" w:eastAsia="宋体" w:cs="Times New Roman"/>
                <w:lang w:val="en-US" w:eastAsia="zh-CN"/>
              </w:rPr>
              <w:t>25</w:t>
            </w:r>
            <w:r>
              <w:rPr>
                <w:rFonts w:hint="default" w:ascii="Times New Roman" w:hAnsi="Times New Roman" w:eastAsia="宋体" w:cs="Times New Roman"/>
              </w:rPr>
              <w:t>）对施工场界进行噪声控制。</w:t>
            </w:r>
          </w:p>
          <w:p w14:paraId="7AABDAD7">
            <w:pPr>
              <w:rPr>
                <w:rFonts w:hint="default" w:ascii="Times New Roman" w:hAnsi="Times New Roman" w:eastAsia="宋体" w:cs="Times New Roman"/>
              </w:rPr>
            </w:pPr>
            <w:r>
              <w:rPr>
                <w:rFonts w:hint="default" w:ascii="Times New Roman" w:hAnsi="Times New Roman" w:eastAsia="宋体" w:cs="Times New Roman"/>
              </w:rPr>
              <w:t>⑦施工场地的施工车辆出入地点应尽量远离敏感点，车辆出入现场时应低速、禁鸣。</w:t>
            </w:r>
          </w:p>
          <w:p w14:paraId="5D1159C2">
            <w:pPr>
              <w:rPr>
                <w:rFonts w:hint="default" w:ascii="Times New Roman" w:hAnsi="Times New Roman" w:eastAsia="宋体" w:cs="Times New Roman"/>
              </w:rPr>
            </w:pPr>
            <w:r>
              <w:rPr>
                <w:rFonts w:hint="default" w:ascii="Times New Roman" w:hAnsi="Times New Roman" w:eastAsia="宋体" w:cs="Times New Roman"/>
              </w:rPr>
              <w:t>施工方在施工作业时需严格把握好各类施工机械的工作时间，对钢管、模</w:t>
            </w:r>
            <w:r>
              <w:rPr>
                <w:rFonts w:hint="eastAsia" w:cs="Times New Roman"/>
                <w:lang w:val="en-US" w:eastAsia="zh-CN"/>
              </w:rPr>
              <w:t>板</w:t>
            </w:r>
            <w:r>
              <w:rPr>
                <w:rFonts w:hint="default" w:ascii="Times New Roman" w:hAnsi="Times New Roman" w:eastAsia="宋体" w:cs="Times New Roman"/>
              </w:rPr>
              <w:t>、脚手架等构件撤卸、搬运应该轻拿轻放，严禁抛掷；严禁夜间施工，以免对周边居民造成影响；同时加强管理和监督，做到文明施工。严格执行各项噪声防治措施（具体见第五章），施工噪声对周围环境敏感点的影响不大，在可接受范围内。</w:t>
            </w:r>
          </w:p>
          <w:p w14:paraId="0AB590F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4.</w:t>
            </w:r>
            <w:r>
              <w:rPr>
                <w:rFonts w:hint="default" w:ascii="Times New Roman" w:hAnsi="Times New Roman" w:eastAsia="宋体" w:cs="Times New Roman"/>
                <w:b/>
                <w:bCs/>
                <w:color w:val="000000"/>
                <w:kern w:val="0"/>
                <w:sz w:val="24"/>
                <w:szCs w:val="24"/>
                <w:highlight w:val="none"/>
                <w:lang w:val="en-US" w:eastAsia="zh-CN" w:bidi="ar"/>
              </w:rPr>
              <w:t>固体废物影响分析</w:t>
            </w:r>
          </w:p>
          <w:p w14:paraId="5443AD8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工期固体废弃物主要为建筑垃圾、开挖土方和施工人员的生活垃圾，包括施工过程中丢弃的包装袋、废建材等，管理部门应妥善安排收集。</w:t>
            </w:r>
          </w:p>
          <w:p w14:paraId="3011C22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4.1、建筑垃圾</w:t>
            </w:r>
          </w:p>
          <w:p w14:paraId="1DA018C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建筑垃圾主要产生于主体工程建设过程。在施工过程中会产生建筑施工材料的废弃边角料，如碎砖、水泥块、装修类材料、塑料、废钢筋、木材、碎玻璃、塑料制品等。</w:t>
            </w:r>
          </w:p>
          <w:p w14:paraId="27CBDB2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建设过程中建筑垃圾产生量约为4.4kg/m</w:t>
            </w:r>
            <w:r>
              <w:rPr>
                <w:rFonts w:hint="default" w:ascii="Times New Roman" w:hAnsi="Times New Roman" w:eastAsia="宋体" w:cs="Times New Roman"/>
                <w:color w:val="000000"/>
                <w:kern w:val="0"/>
                <w:sz w:val="24"/>
                <w:szCs w:val="24"/>
                <w:highlight w:val="none"/>
                <w:vertAlign w:val="superscript"/>
                <w:lang w:val="en-US" w:eastAsia="zh-CN" w:bidi="ar"/>
              </w:rPr>
              <w:t>2</w:t>
            </w:r>
            <w:r>
              <w:rPr>
                <w:rFonts w:hint="default" w:ascii="Times New Roman" w:hAnsi="Times New Roman" w:eastAsia="宋体" w:cs="Times New Roman"/>
                <w:color w:val="000000"/>
                <w:kern w:val="0"/>
                <w:sz w:val="24"/>
                <w:szCs w:val="24"/>
                <w:highlight w:val="none"/>
                <w:lang w:val="en-US" w:eastAsia="zh-CN" w:bidi="ar"/>
              </w:rPr>
              <w:t>，本项目建筑面积为1663.48m</w:t>
            </w:r>
            <w:r>
              <w:rPr>
                <w:rFonts w:hint="default" w:ascii="Times New Roman" w:hAnsi="Times New Roman" w:eastAsia="宋体" w:cs="Times New Roman"/>
                <w:color w:val="000000"/>
                <w:kern w:val="0"/>
                <w:sz w:val="24"/>
                <w:szCs w:val="24"/>
                <w:highlight w:val="none"/>
                <w:vertAlign w:val="superscript"/>
                <w:lang w:val="en-US" w:eastAsia="zh-CN" w:bidi="ar"/>
              </w:rPr>
              <w:t>2</w:t>
            </w:r>
            <w:r>
              <w:rPr>
                <w:rFonts w:hint="default" w:ascii="Times New Roman" w:hAnsi="Times New Roman" w:eastAsia="宋体" w:cs="Times New Roman"/>
                <w:color w:val="000000"/>
                <w:kern w:val="0"/>
                <w:sz w:val="24"/>
                <w:szCs w:val="24"/>
                <w:highlight w:val="none"/>
                <w:lang w:val="en-US" w:eastAsia="zh-CN" w:bidi="ar"/>
              </w:rPr>
              <w:t>，产生建筑垃圾共计7.32t。</w:t>
            </w:r>
          </w:p>
          <w:p w14:paraId="0D03AA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建筑垃圾在不能得到及时清运的情况下，建筑垃圾中的弃土、砖瓦沙石、混凝土碎块等无机成分的影响主要表现为：在旱季，受季风的作用，垃圾中的比重较轻的（例如塑料袋、水泥袋碎片）和粒径稍小的尘埃随风扬起污染附近区域的大气环境和环境卫生。在雨季，</w:t>
            </w:r>
            <w:r>
              <w:rPr>
                <w:rFonts w:hint="eastAsia" w:cs="Times New Roman"/>
                <w:color w:val="000000"/>
                <w:kern w:val="0"/>
                <w:sz w:val="24"/>
                <w:szCs w:val="24"/>
                <w:highlight w:val="none"/>
                <w:lang w:val="en-US" w:eastAsia="zh-CN" w:bidi="ar"/>
              </w:rPr>
              <w:t>随着</w:t>
            </w:r>
            <w:r>
              <w:rPr>
                <w:rFonts w:hint="default" w:ascii="Times New Roman" w:hAnsi="Times New Roman" w:eastAsia="宋体" w:cs="Times New Roman"/>
                <w:color w:val="000000"/>
                <w:kern w:val="0"/>
                <w:sz w:val="24"/>
                <w:szCs w:val="24"/>
                <w:highlight w:val="none"/>
                <w:lang w:val="en-US" w:eastAsia="zh-CN" w:bidi="ar"/>
              </w:rPr>
              <w:t>暴雨和地表径流的冲刷，泥沙将堵塞下水管涵、污染附近的水体等。这种影响将比较现实和比较经常，因而应引起足够重视。对建筑垃圾进行分类处理，</w:t>
            </w:r>
            <w:r>
              <w:rPr>
                <w:rFonts w:hint="eastAsia" w:ascii="Times New Roman" w:hAnsi="Times New Roman" w:eastAsia="宋体" w:cs="Times New Roman"/>
                <w:color w:val="000000"/>
                <w:kern w:val="0"/>
                <w:sz w:val="24"/>
                <w:szCs w:val="24"/>
                <w:highlight w:val="none"/>
                <w:lang w:val="en-US" w:eastAsia="zh-CN" w:bidi="ar"/>
              </w:rPr>
              <w:t>分拣</w:t>
            </w:r>
            <w:r>
              <w:rPr>
                <w:rFonts w:hint="default" w:ascii="Times New Roman" w:hAnsi="Times New Roman" w:eastAsia="宋体" w:cs="Times New Roman"/>
                <w:color w:val="000000"/>
                <w:kern w:val="0"/>
                <w:sz w:val="24"/>
                <w:szCs w:val="24"/>
                <w:highlight w:val="none"/>
                <w:lang w:val="en-US" w:eastAsia="zh-CN" w:bidi="ar"/>
              </w:rPr>
              <w:t>出具有回收价值的废钢筋、废木材、废塑料、废包装材料等，可送废品收购站回收利用；不能回收的运至</w:t>
            </w:r>
            <w:r>
              <w:rPr>
                <w:rFonts w:ascii="宋体" w:hAnsi="宋体" w:eastAsia="宋体" w:cs="宋体"/>
                <w:sz w:val="24"/>
                <w:szCs w:val="24"/>
              </w:rPr>
              <w:t>新疆阜康产业园固废综合处置静脉园（一期）</w:t>
            </w:r>
            <w:r>
              <w:rPr>
                <w:rFonts w:hint="default" w:ascii="Times New Roman" w:hAnsi="Times New Roman" w:eastAsia="宋体" w:cs="Times New Roman"/>
                <w:color w:val="000000"/>
                <w:kern w:val="0"/>
                <w:sz w:val="24"/>
                <w:szCs w:val="24"/>
                <w:highlight w:val="none"/>
                <w:lang w:val="en-US" w:eastAsia="zh-CN" w:bidi="ar"/>
              </w:rPr>
              <w:t>处置。</w:t>
            </w:r>
          </w:p>
          <w:p w14:paraId="52A9B41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4.</w:t>
            </w:r>
            <w:r>
              <w:rPr>
                <w:rFonts w:hint="eastAsia" w:ascii="Times New Roman" w:hAnsi="Times New Roman" w:eastAsia="宋体" w:cs="Times New Roman"/>
                <w:b/>
                <w:bCs/>
                <w:color w:val="000000"/>
                <w:kern w:val="0"/>
                <w:sz w:val="24"/>
                <w:szCs w:val="24"/>
                <w:highlight w:val="none"/>
                <w:lang w:val="en-US" w:eastAsia="zh-CN" w:bidi="ar"/>
              </w:rPr>
              <w:t>2</w:t>
            </w:r>
            <w:r>
              <w:rPr>
                <w:rFonts w:hint="default" w:ascii="Times New Roman" w:hAnsi="Times New Roman" w:eastAsia="宋体" w:cs="Times New Roman"/>
                <w:b/>
                <w:bCs/>
                <w:color w:val="000000"/>
                <w:kern w:val="0"/>
                <w:sz w:val="24"/>
                <w:szCs w:val="24"/>
                <w:highlight w:val="none"/>
                <w:lang w:val="en-US" w:eastAsia="zh-CN" w:bidi="ar"/>
              </w:rPr>
              <w:t>、施工人员的生活垃圾</w:t>
            </w:r>
          </w:p>
          <w:p w14:paraId="7FFCE61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建设期现场施工人员产生的生活垃圾按每人每天产生1kg计算，施工期高峰人员100人，年工作日按</w:t>
            </w:r>
            <w:r>
              <w:rPr>
                <w:rFonts w:hint="eastAsia" w:cs="Times New Roman"/>
                <w:color w:val="000000"/>
                <w:kern w:val="0"/>
                <w:sz w:val="24"/>
                <w:szCs w:val="24"/>
                <w:highlight w:val="none"/>
                <w:lang w:val="en-US" w:eastAsia="zh-CN" w:bidi="ar"/>
              </w:rPr>
              <w:t>200</w:t>
            </w:r>
            <w:r>
              <w:rPr>
                <w:rFonts w:hint="default" w:ascii="Times New Roman" w:hAnsi="Times New Roman" w:eastAsia="宋体" w:cs="Times New Roman"/>
                <w:color w:val="000000"/>
                <w:kern w:val="0"/>
                <w:sz w:val="24"/>
                <w:szCs w:val="24"/>
                <w:highlight w:val="none"/>
                <w:lang w:val="en-US" w:eastAsia="zh-CN" w:bidi="ar"/>
              </w:rPr>
              <w:t>天</w:t>
            </w:r>
            <w:r>
              <w:rPr>
                <w:rFonts w:hint="eastAsia" w:cs="Times New Roman"/>
                <w:color w:val="000000"/>
                <w:kern w:val="0"/>
                <w:sz w:val="24"/>
                <w:szCs w:val="24"/>
                <w:highlight w:val="none"/>
                <w:lang w:val="en-US" w:eastAsia="zh-CN" w:bidi="ar"/>
              </w:rPr>
              <w:t>计算</w:t>
            </w:r>
            <w:r>
              <w:rPr>
                <w:rFonts w:hint="default" w:ascii="Times New Roman" w:hAnsi="Times New Roman" w:eastAsia="宋体" w:cs="Times New Roman"/>
                <w:color w:val="000000"/>
                <w:kern w:val="0"/>
                <w:sz w:val="24"/>
                <w:szCs w:val="24"/>
                <w:highlight w:val="none"/>
                <w:lang w:val="en-US" w:eastAsia="zh-CN" w:bidi="ar"/>
              </w:rPr>
              <w:t xml:space="preserve">，预计生活垃圾产生量为 </w:t>
            </w:r>
            <w:r>
              <w:rPr>
                <w:rFonts w:hint="eastAsia" w:cs="Times New Roman"/>
                <w:color w:val="000000"/>
                <w:kern w:val="0"/>
                <w:sz w:val="24"/>
                <w:szCs w:val="24"/>
                <w:highlight w:val="none"/>
                <w:lang w:val="en-US" w:eastAsia="zh-CN" w:bidi="ar"/>
              </w:rPr>
              <w:t>20</w:t>
            </w:r>
            <w:r>
              <w:rPr>
                <w:rFonts w:hint="default" w:ascii="Times New Roman" w:hAnsi="Times New Roman" w:eastAsia="宋体" w:cs="Times New Roman"/>
                <w:color w:val="000000"/>
                <w:kern w:val="0"/>
                <w:sz w:val="24"/>
                <w:szCs w:val="24"/>
                <w:highlight w:val="none"/>
                <w:lang w:val="en-US" w:eastAsia="zh-CN" w:bidi="ar"/>
              </w:rPr>
              <w:t>t/a。</w:t>
            </w:r>
          </w:p>
          <w:p w14:paraId="0879FBF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在采取上述措施后，项目施工期的固体废弃物对周围环境影响较小。</w:t>
            </w:r>
          </w:p>
          <w:p w14:paraId="6BF7521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5.</w:t>
            </w:r>
            <w:r>
              <w:rPr>
                <w:rFonts w:hint="default" w:ascii="Times New Roman" w:hAnsi="Times New Roman" w:eastAsia="宋体" w:cs="Times New Roman"/>
                <w:b/>
                <w:bCs/>
                <w:spacing w:val="10"/>
              </w:rPr>
              <w:t>生态环境影响分析</w:t>
            </w:r>
          </w:p>
          <w:p w14:paraId="217C36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（1）对陆生动物影响分析</w:t>
            </w:r>
          </w:p>
          <w:p w14:paraId="3EE283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施工期施工机械作业、车辆运输及人员活动将产生短时噪声、扬尘扰动，对场地周边野兔、啮齿类、小型鸟类、蜥蜴等常见陆生动物产生轻微惊扰，促使其向周边林草地迁移。本项目选址为村庄建成区，长期受人类活动干扰，并非野生动物核心栖息、繁殖及觅食栖息地，无集中陆生动物种群分布。项目施工范围严格受控，不破坏动物迁徙通道与活动廊道，不会造成陆生动物死亡、种群减少及栖息地破碎化。</w:t>
            </w:r>
          </w:p>
          <w:p w14:paraId="008455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（2）对植被影响分析</w:t>
            </w:r>
          </w:p>
          <w:p w14:paraId="3F0903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项目主体工程的建设和道路系统的建设，会对原生植被损毁。项目严格控制施工边界，不大规模开挖、碾压外围成片林草地、山地灌丛及草本植被，不会破坏天山北坡原生草原植被群落结构。施工期临时裸露地表、局部扬尘沉降会对周边近</w:t>
            </w:r>
            <w:r>
              <w:rPr>
                <w:rFonts w:hint="eastAsia" w:cs="Times New Roman"/>
                <w:color w:val="000000"/>
                <w:kern w:val="0"/>
                <w:sz w:val="24"/>
                <w:szCs w:val="24"/>
                <w:highlight w:val="none"/>
                <w:lang w:val="en-US" w:eastAsia="zh-CN" w:bidi="ar"/>
              </w:rPr>
              <w:t>距离</w:t>
            </w:r>
            <w:r>
              <w:rPr>
                <w:rFonts w:hint="default" w:ascii="Times New Roman" w:hAnsi="Times New Roman" w:eastAsia="宋体" w:cs="Times New Roman"/>
                <w:color w:val="000000"/>
                <w:kern w:val="0"/>
                <w:sz w:val="24"/>
                <w:szCs w:val="24"/>
                <w:highlight w:val="none"/>
                <w:lang w:val="en-US" w:eastAsia="zh-CN" w:bidi="ar"/>
              </w:rPr>
              <w:t>草本植被产生短暂轻微影响，通过裸土全覆盖、常态化洒水抑尘、划定施工红线等措施可有效消除扰动。</w:t>
            </w:r>
          </w:p>
          <w:p w14:paraId="3C56BF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sz w:val="24"/>
                <w:szCs w:val="24"/>
              </w:rPr>
              <w:t>项目建设扰动地表，造成区域植被生物量损失。根据占地类型统计，永久占用天然草地</w:t>
            </w:r>
            <w:r>
              <w:rPr>
                <w:rFonts w:hint="default" w:ascii="Times New Roman" w:hAnsi="Times New Roman" w:eastAsia="宋体" w:cs="Times New Roman"/>
                <w:sz w:val="24"/>
                <w:szCs w:val="24"/>
                <w:lang w:val="en-US" w:eastAsia="zh-CN"/>
              </w:rPr>
              <w:t>1.2253</w:t>
            </w:r>
            <w:r>
              <w:rPr>
                <w:rFonts w:hint="default" w:ascii="Times New Roman" w:hAnsi="Times New Roman" w:eastAsia="宋体" w:cs="Times New Roman"/>
                <w:sz w:val="24"/>
                <w:szCs w:val="24"/>
              </w:rPr>
              <w:t>hm²，参照天</w:t>
            </w:r>
            <w:r>
              <w:rPr>
                <w:rFonts w:hint="default" w:ascii="Times New Roman" w:hAnsi="Times New Roman" w:eastAsia="宋体" w:cs="Times New Roman"/>
                <w:sz w:val="24"/>
                <w:szCs w:val="24"/>
                <w:lang w:val="en-US" w:eastAsia="zh-CN"/>
              </w:rPr>
              <w:t>山北坡温性草原单位面积地上生物量2.5t/hm²进行核算，项目永久植被生物损失量约</w:t>
            </w:r>
            <w:r>
              <w:rPr>
                <w:rFonts w:hint="eastAsia" w:ascii="Times New Roman" w:hAnsi="Times New Roman" w:eastAsia="宋体" w:cs="Times New Roman"/>
                <w:sz w:val="24"/>
                <w:szCs w:val="24"/>
                <w:lang w:val="en-US" w:eastAsia="zh-CN"/>
              </w:rPr>
              <w:t>3.063</w:t>
            </w:r>
            <w:r>
              <w:rPr>
                <w:rFonts w:hint="default" w:ascii="Times New Roman" w:hAnsi="Times New Roman" w:eastAsia="宋体" w:cs="Times New Roman"/>
                <w:sz w:val="24"/>
                <w:szCs w:val="24"/>
                <w:lang w:val="en-US" w:eastAsia="zh-CN"/>
              </w:rPr>
              <w:t>t</w:t>
            </w:r>
            <w:r>
              <w:rPr>
                <w:rFonts w:hint="eastAsia" w:eastAsia="宋体" w:cs="Times New Roman"/>
                <w:sz w:val="24"/>
                <w:szCs w:val="24"/>
                <w:lang w:val="en-US" w:eastAsia="zh-CN"/>
              </w:rPr>
              <w:t>。</w:t>
            </w:r>
          </w:p>
          <w:p w14:paraId="6AA87BA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（3）</w:t>
            </w:r>
            <w:r>
              <w:rPr>
                <w:rFonts w:hint="default" w:ascii="Times New Roman" w:hAnsi="Times New Roman" w:eastAsia="宋体" w:cs="Times New Roman"/>
                <w:color w:val="000000"/>
                <w:kern w:val="0"/>
                <w:sz w:val="24"/>
                <w:szCs w:val="24"/>
                <w:highlight w:val="none"/>
                <w:lang w:val="en-US" w:eastAsia="zh-CN" w:bidi="ar"/>
              </w:rPr>
              <w:t>对珍稀保护植物及古树名木、生态公益林、珍稀保护动物影响分析</w:t>
            </w:r>
          </w:p>
          <w:p w14:paraId="64FD239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经现场全面踏勘，项目建设用地及周边扰动范围内无古树名木分布，无雪莲、野生贝母等珍稀保护野生植物，项目建设不会造成珍稀植物损毁、生境破坏。项目建设范围不占用、不侵占生态公益林，施工活动不越界扰动公益林植被与土壤，不影响公益林水源涵养、水土保持核心生态功能。区域分布的雪豹、北山羊、马鹿、猞猁、暗腹雪鸡等珍稀保护动物，多活动于高海拔深山保育区域，本项目所在村庄区域无珍稀动物固定栖息、繁殖点位，施工仅产生短时、轻微惊扰，不会阻断动物迁徙廊道、破坏栖息地，不会对珍稀保护动物种群生存造成不利影响。</w:t>
            </w:r>
          </w:p>
          <w:p w14:paraId="1BDD8C4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4</w:t>
            </w:r>
            <w:r>
              <w:rPr>
                <w:rFonts w:hint="default" w:ascii="Times New Roman" w:hAnsi="Times New Roman" w:eastAsia="宋体" w:cs="Times New Roman"/>
                <w:color w:val="000000"/>
                <w:kern w:val="0"/>
                <w:sz w:val="24"/>
                <w:szCs w:val="24"/>
                <w:highlight w:val="none"/>
                <w:lang w:val="en-US" w:eastAsia="zh-CN" w:bidi="ar"/>
              </w:rPr>
              <w:t>）景观影响分析</w:t>
            </w:r>
          </w:p>
          <w:p w14:paraId="0E687B4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由于工程建设活动施工会对局部地形、植被带来一定的破坏，施工场地的布设等等，都会对景观与视觉环境造成不良影响，破坏场地原有的环境的景观，影响对施工场地原有良好的视觉效果。施工期的景观影响短暂的，随着施工的结束对景观的影响也随之消失。</w:t>
            </w:r>
          </w:p>
          <w:p w14:paraId="39C786A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5</w:t>
            </w:r>
            <w:r>
              <w:rPr>
                <w:rFonts w:hint="default" w:ascii="Times New Roman" w:hAnsi="Times New Roman" w:eastAsia="宋体" w:cs="Times New Roman"/>
                <w:color w:val="000000"/>
                <w:kern w:val="0"/>
                <w:sz w:val="24"/>
                <w:szCs w:val="24"/>
                <w:highlight w:val="none"/>
                <w:lang w:val="en-US" w:eastAsia="zh-CN" w:bidi="ar"/>
              </w:rPr>
              <w:t>）对农业系统的影响分析</w:t>
            </w:r>
          </w:p>
          <w:p w14:paraId="66C950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本项目利用存量建设用地</w:t>
            </w:r>
            <w:r>
              <w:rPr>
                <w:rFonts w:hint="eastAsia" w:ascii="Times New Roman" w:hAnsi="Times New Roman" w:eastAsia="宋体" w:cs="Times New Roman"/>
                <w:color w:val="000000"/>
                <w:kern w:val="0"/>
                <w:sz w:val="24"/>
                <w:szCs w:val="24"/>
                <w:highlight w:val="none"/>
                <w:lang w:val="en-US" w:eastAsia="zh-CN" w:bidi="ar"/>
              </w:rPr>
              <w:t>、少量林草地</w:t>
            </w:r>
            <w:r>
              <w:rPr>
                <w:rFonts w:hint="default" w:ascii="Times New Roman" w:hAnsi="Times New Roman" w:eastAsia="宋体" w:cs="Times New Roman"/>
                <w:color w:val="000000"/>
                <w:kern w:val="0"/>
                <w:sz w:val="24"/>
                <w:szCs w:val="24"/>
                <w:highlight w:val="none"/>
                <w:lang w:val="en-US" w:eastAsia="zh-CN" w:bidi="ar"/>
              </w:rPr>
              <w:t>建设，不占用耕地、基本农田、饲草基地及各类农业生产用地，不会造成农业用地减少、农业产能下降。施工期轻微扬尘、噪声对周边零星农牧种植、草场生长仅存在短时轻微影响，可通过围挡隔离、洒水抑尘有效消减。</w:t>
            </w:r>
          </w:p>
          <w:p w14:paraId="153B2A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6</w:t>
            </w:r>
            <w:r>
              <w:rPr>
                <w:rFonts w:hint="default" w:ascii="Times New Roman" w:hAnsi="Times New Roman" w:eastAsia="宋体" w:cs="Times New Roman"/>
                <w:color w:val="000000"/>
                <w:kern w:val="0"/>
                <w:sz w:val="24"/>
                <w:szCs w:val="24"/>
                <w:highlight w:val="none"/>
                <w:lang w:val="en-US" w:eastAsia="zh-CN" w:bidi="ar"/>
              </w:rPr>
              <w:t>）对生态系统稳定性的影响分析</w:t>
            </w:r>
          </w:p>
          <w:p w14:paraId="1095A3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项目所在区域为</w:t>
            </w:r>
            <w:r>
              <w:rPr>
                <w:rFonts w:hint="default" w:ascii="Times New Roman" w:hAnsi="Times New Roman" w:eastAsia="宋体" w:cs="Times New Roman"/>
                <w:color w:val="000000"/>
                <w:highlight w:val="none"/>
                <w:lang w:val="en-US" w:eastAsia="zh-CN"/>
              </w:rPr>
              <w:t>天山北坡东段博格达峰及天池自然景观保护生态功能区</w:t>
            </w:r>
            <w:r>
              <w:rPr>
                <w:rFonts w:hint="default" w:ascii="Times New Roman" w:hAnsi="Times New Roman" w:eastAsia="宋体" w:cs="Times New Roman"/>
                <w:color w:val="000000"/>
                <w:kern w:val="0"/>
                <w:sz w:val="24"/>
                <w:szCs w:val="24"/>
                <w:highlight w:val="none"/>
                <w:lang w:val="en-US" w:eastAsia="zh-CN" w:bidi="ar"/>
              </w:rPr>
              <w:t>，本项目扰动范围小、扰动强度低，施工及运营均严格限定在建设用地范围内，未破坏区域原生植被群落、未切割生态连通格局、未损毁</w:t>
            </w:r>
            <w:r>
              <w:rPr>
                <w:rFonts w:hint="eastAsia" w:cs="Times New Roman"/>
                <w:color w:val="000000"/>
                <w:kern w:val="0"/>
                <w:sz w:val="24"/>
                <w:szCs w:val="24"/>
                <w:highlight w:val="none"/>
                <w:lang w:val="en-US" w:eastAsia="zh-CN" w:bidi="ar"/>
              </w:rPr>
              <w:t>水源涵养与水土保持</w:t>
            </w:r>
            <w:r>
              <w:rPr>
                <w:rFonts w:hint="default" w:ascii="Times New Roman" w:hAnsi="Times New Roman" w:eastAsia="宋体" w:cs="Times New Roman"/>
                <w:color w:val="000000"/>
                <w:kern w:val="0"/>
                <w:sz w:val="24"/>
                <w:szCs w:val="24"/>
                <w:highlight w:val="none"/>
                <w:lang w:val="en-US" w:eastAsia="zh-CN" w:bidi="ar"/>
              </w:rPr>
              <w:t>生态载体。项目建设不会改变区域生态系统物质循环、能量流动及生物栖息格局，生态系统生产者、消费者、分解者结构完整，食物链稳定连续。施工期短暂扰动可通过生态修复、水土保持措施快速恢复</w:t>
            </w:r>
          </w:p>
          <w:p w14:paraId="579F731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7</w:t>
            </w:r>
            <w:r>
              <w:rPr>
                <w:rFonts w:hint="default" w:ascii="Times New Roman" w:hAnsi="Times New Roman" w:eastAsia="宋体" w:cs="Times New Roman"/>
                <w:color w:val="000000"/>
                <w:kern w:val="0"/>
                <w:sz w:val="24"/>
                <w:szCs w:val="24"/>
                <w:highlight w:val="none"/>
                <w:lang w:val="en-US" w:eastAsia="zh-CN" w:bidi="ar"/>
              </w:rPr>
              <w:t>）对</w:t>
            </w:r>
            <w:r>
              <w:rPr>
                <w:rFonts w:hint="eastAsia" w:ascii="Times New Roman" w:hAnsi="Times New Roman" w:eastAsia="宋体" w:cs="Times New Roman"/>
                <w:color w:val="000000"/>
                <w:kern w:val="0"/>
                <w:sz w:val="24"/>
                <w:szCs w:val="24"/>
                <w:highlight w:val="none"/>
                <w:lang w:val="en-US" w:eastAsia="zh-CN" w:bidi="ar"/>
              </w:rPr>
              <w:t>新疆天山天池国家地质公园</w:t>
            </w:r>
            <w:r>
              <w:rPr>
                <w:rFonts w:hint="default" w:ascii="Times New Roman" w:hAnsi="Times New Roman" w:eastAsia="宋体" w:cs="Times New Roman"/>
                <w:color w:val="000000"/>
                <w:kern w:val="0"/>
                <w:sz w:val="24"/>
                <w:szCs w:val="24"/>
                <w:highlight w:val="none"/>
                <w:lang w:val="en-US" w:eastAsia="zh-CN" w:bidi="ar"/>
              </w:rPr>
              <w:t>影响分析</w:t>
            </w:r>
          </w:p>
          <w:p w14:paraId="0E48FB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项目选址范围内及周边管控区域无永久基本农田分布，建设过程不涉及永久基本农田占用、扰动、损毁，严格符合耕地保护相关管控要求。项目位于天山天池国家地质公园外围管控区域，不属于核心保育区与地质遗迹核心保护区，项目</w:t>
            </w:r>
            <w:r>
              <w:rPr>
                <w:rFonts w:hint="eastAsia" w:ascii="Times New Roman" w:hAnsi="Times New Roman" w:eastAsia="宋体" w:cs="Times New Roman"/>
                <w:color w:val="000000"/>
                <w:kern w:val="0"/>
                <w:sz w:val="24"/>
                <w:szCs w:val="24"/>
                <w:highlight w:val="none"/>
                <w:lang w:val="en-US" w:eastAsia="zh-CN" w:bidi="ar"/>
              </w:rPr>
              <w:t>占用少量林草地（已签订林草地补偿协议，见附件）和</w:t>
            </w:r>
            <w:r>
              <w:rPr>
                <w:rFonts w:hint="default" w:ascii="Times New Roman" w:hAnsi="Times New Roman" w:eastAsia="宋体" w:cs="Times New Roman"/>
                <w:color w:val="000000"/>
                <w:kern w:val="0"/>
                <w:sz w:val="24"/>
                <w:szCs w:val="24"/>
                <w:highlight w:val="none"/>
                <w:lang w:val="en-US" w:eastAsia="zh-CN" w:bidi="ar"/>
              </w:rPr>
              <w:t>依托</w:t>
            </w:r>
            <w:r>
              <w:rPr>
                <w:rFonts w:hint="eastAsia" w:ascii="Times New Roman" w:hAnsi="Times New Roman" w:eastAsia="宋体" w:cs="Times New Roman"/>
                <w:color w:val="000000"/>
                <w:kern w:val="0"/>
                <w:sz w:val="24"/>
                <w:szCs w:val="24"/>
                <w:highlight w:val="none"/>
                <w:lang w:val="en-US" w:eastAsia="zh-CN" w:bidi="ar"/>
              </w:rPr>
              <w:t>花儿沟村宅基地以及已有建筑物改造</w:t>
            </w:r>
            <w:r>
              <w:rPr>
                <w:rFonts w:hint="default" w:ascii="Times New Roman" w:hAnsi="Times New Roman" w:eastAsia="宋体" w:cs="Times New Roman"/>
                <w:color w:val="000000"/>
                <w:kern w:val="0"/>
                <w:sz w:val="24"/>
                <w:szCs w:val="24"/>
                <w:highlight w:val="none"/>
                <w:lang w:val="en-US" w:eastAsia="zh-CN" w:bidi="ar"/>
              </w:rPr>
              <w:t>建设，不破坏地质公园地质地貌、地质遗迹资源，不新增生态用地占用。项目严格落实一类区大气、水环境管控要求，废气、废水、固废、噪声均得到有效治理，施工不越界扰动原生生态，运营符合景区规划管控要求，不会损害天池地质公园生态屏障功能与景观完整性，对天山天池国家地质公园整体生态、地质资源影响轻微且可接受。</w:t>
            </w:r>
          </w:p>
          <w:p w14:paraId="1E51952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8</w:t>
            </w:r>
            <w:r>
              <w:rPr>
                <w:rFonts w:hint="default" w:ascii="Times New Roman" w:hAnsi="Times New Roman" w:eastAsia="宋体" w:cs="Times New Roman"/>
                <w:color w:val="000000"/>
                <w:kern w:val="0"/>
                <w:sz w:val="24"/>
                <w:szCs w:val="24"/>
                <w:highlight w:val="none"/>
                <w:lang w:val="en-US" w:eastAsia="zh-CN" w:bidi="ar"/>
              </w:rPr>
              <w:t>）水体流失影响分析</w:t>
            </w:r>
          </w:p>
          <w:p w14:paraId="7EF74E4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eastAsia="zh-CN"/>
              </w:rPr>
            </w:pPr>
            <w:r>
              <w:rPr>
                <w:rFonts w:hint="default" w:ascii="Times New Roman" w:hAnsi="Times New Roman" w:eastAsia="宋体" w:cs="Times New Roman"/>
                <w:sz w:val="24"/>
                <w:szCs w:val="24"/>
                <w:lang w:val="en-US" w:eastAsia="zh-CN"/>
              </w:rPr>
              <w:t>项目防治责任范围1.99hm²，地处天山北坡浅山区域，气候干旱、多大风，同时存在短时暴雨，风蚀、水蚀双重侵蚀风险突出。经预测，不采取任何水土保持措施条件下，项目建设期间水土流失总量96t；工程新增土壤流失量68t；落实表土防护、截排水、苫盖、植被恢复等综合水土保持措施后，可减少土壤流失量28t。场地平整、建筑基础开挖破坏原有地表结皮与植被固土体系，裸露松散土体在春</w:t>
            </w:r>
            <w:r>
              <w:rPr>
                <w:rFonts w:hint="default" w:ascii="宋体" w:hAnsi="宋体" w:eastAsia="宋体" w:cs="宋体"/>
                <w:sz w:val="24"/>
                <w:szCs w:val="24"/>
                <w:lang w:val="en-US" w:eastAsia="zh-CN"/>
              </w:rPr>
              <w:t>季大风天气易产生风蚀扬尘；雨季短时径流冲刷开挖坡面、表土堆体，诱发面蚀、细沟侵蚀。永久占地硬化区域地表径流系数增大；临时占地若防护不到位，松散土方随径流汇入周边天然冲沟、草地，引发泥沙淤积，加剧区域水土流失。</w:t>
            </w:r>
          </w:p>
        </w:tc>
      </w:tr>
      <w:tr w14:paraId="1BF3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98" w:type="dxa"/>
            <w:noWrap w:val="0"/>
            <w:vAlign w:val="center"/>
          </w:tcPr>
          <w:p w14:paraId="4A961CD7">
            <w:pPr>
              <w:spacing w:line="240" w:lineRule="auto"/>
              <w:ind w:left="0" w:leftChars="0" w:firstLine="0" w:firstLineChars="0"/>
              <w:jc w:val="center"/>
              <w:rPr>
                <w:rFonts w:hint="default" w:ascii="Times New Roman" w:hAnsi="Times New Roman" w:eastAsia="宋体" w:cs="Times New Roman"/>
                <w:bCs/>
                <w:color w:val="000000"/>
                <w:spacing w:val="10"/>
                <w:kern w:val="2"/>
                <w:sz w:val="24"/>
                <w:szCs w:val="24"/>
                <w:highlight w:val="none"/>
                <w:lang w:val="en-US" w:eastAsia="zh-CN" w:bidi="ar-SA"/>
              </w:rPr>
            </w:pPr>
            <w:r>
              <w:rPr>
                <w:rFonts w:hint="default" w:ascii="Times New Roman" w:hAnsi="Times New Roman" w:eastAsia="宋体" w:cs="Times New Roman"/>
                <w:bCs/>
                <w:color w:val="000000"/>
                <w:spacing w:val="10"/>
                <w:kern w:val="2"/>
                <w:sz w:val="24"/>
                <w:szCs w:val="24"/>
                <w:highlight w:val="none"/>
              </w:rPr>
              <w:t>运营期生态环境影响分析</w:t>
            </w:r>
          </w:p>
        </w:tc>
        <w:tc>
          <w:tcPr>
            <w:tcW w:w="7724" w:type="dxa"/>
            <w:noWrap w:val="0"/>
            <w:vAlign w:val="top"/>
          </w:tcPr>
          <w:p w14:paraId="06D3B345">
            <w:pPr>
              <w:keepNext w:val="0"/>
              <w:keepLines w:val="0"/>
              <w:pageBreakBefore w:val="0"/>
              <w:widowControl/>
              <w:suppressLineNumbers w:val="0"/>
              <w:kinsoku/>
              <w:wordWrap/>
              <w:overflowPunct/>
              <w:topLinePunct w:val="0"/>
              <w:autoSpaceDE/>
              <w:autoSpaceDN/>
              <w:bidi w:val="0"/>
              <w:adjustRightInd/>
              <w:snapToGrid w:val="0"/>
              <w:ind w:firstLine="482" w:firstLineChars="200"/>
              <w:jc w:val="both"/>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eastAsia" w:cs="Times New Roman"/>
                <w:b/>
                <w:bCs/>
                <w:color w:val="000000"/>
                <w:kern w:val="2"/>
                <w:sz w:val="24"/>
                <w:szCs w:val="24"/>
                <w:highlight w:val="none"/>
                <w:lang w:val="en-US" w:eastAsia="zh-CN" w:bidi="ar-SA"/>
              </w:rPr>
              <w:t>1.</w:t>
            </w:r>
            <w:r>
              <w:rPr>
                <w:rFonts w:hint="default" w:ascii="Times New Roman" w:hAnsi="Times New Roman" w:eastAsia="宋体" w:cs="Times New Roman"/>
                <w:b/>
                <w:bCs/>
                <w:color w:val="000000"/>
                <w:kern w:val="2"/>
                <w:sz w:val="24"/>
                <w:szCs w:val="24"/>
                <w:highlight w:val="none"/>
                <w:lang w:val="en-US" w:eastAsia="zh-CN" w:bidi="ar-SA"/>
              </w:rPr>
              <w:t>运营期大气环境影响分析</w:t>
            </w:r>
          </w:p>
          <w:p w14:paraId="223F4BA3">
            <w:pPr>
              <w:keepNext w:val="0"/>
              <w:keepLines w:val="0"/>
              <w:pageBreakBefore w:val="0"/>
              <w:widowControl/>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b w:val="0"/>
                <w:bCs w:val="0"/>
                <w:color w:val="000000"/>
                <w:kern w:val="2"/>
                <w:sz w:val="24"/>
                <w:szCs w:val="24"/>
                <w:highlight w:val="none"/>
                <w:lang w:val="en-US" w:eastAsia="zh-CN" w:bidi="ar-SA"/>
              </w:rPr>
              <w:t>本项目大气主要污染源为厨房油烟废气、机动车尾气、恶臭。</w:t>
            </w:r>
          </w:p>
          <w:p w14:paraId="6F614B40">
            <w:pPr>
              <w:keepNext w:val="0"/>
              <w:keepLines w:val="0"/>
              <w:pageBreakBefore w:val="0"/>
              <w:widowControl/>
              <w:suppressLineNumbers w:val="0"/>
              <w:kinsoku/>
              <w:wordWrap/>
              <w:overflowPunct/>
              <w:topLinePunct w:val="0"/>
              <w:autoSpaceDE/>
              <w:autoSpaceDN/>
              <w:bidi w:val="0"/>
              <w:adjustRightInd/>
              <w:snapToGrid w:val="0"/>
              <w:ind w:firstLine="482" w:firstLineChars="200"/>
              <w:jc w:val="both"/>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bCs/>
                <w:color w:val="000000"/>
                <w:kern w:val="2"/>
                <w:sz w:val="24"/>
                <w:szCs w:val="24"/>
                <w:highlight w:val="none"/>
                <w:lang w:val="en-US" w:eastAsia="zh-CN" w:bidi="ar-SA"/>
              </w:rPr>
              <w:t>1.1、厨房油烟废气</w:t>
            </w:r>
          </w:p>
          <w:p w14:paraId="197AB8CC">
            <w:pPr>
              <w:keepNext w:val="0"/>
              <w:keepLines w:val="0"/>
              <w:pageBreakBefore w:val="0"/>
              <w:widowControl/>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b w:val="0"/>
                <w:bCs w:val="0"/>
                <w:color w:val="000000"/>
                <w:kern w:val="2"/>
                <w:sz w:val="24"/>
                <w:szCs w:val="24"/>
                <w:highlight w:val="none"/>
                <w:lang w:val="en-US" w:eastAsia="zh-CN" w:bidi="ar-SA"/>
              </w:rPr>
              <w:t>餐饮油烟成分十分复杂，既含有油脂、蛋白质及原料佐料在受热条件下进行物理化学反应产生的有机烟气，也有加热操作过程中液滴溅裂、油料物料分解、氧化、聚合的高分子化合物，因此存在的形态有TSP，又有气体分子的有机态污染物。测试发现，食用油加热到150～200℃时产生的气态污染物中有不少是致癌物质，油烟废气在净化处理前浓度约为40mg/m</w:t>
            </w:r>
            <w:r>
              <w:rPr>
                <w:rFonts w:hint="default" w:ascii="Times New Roman" w:hAnsi="Times New Roman" w:eastAsia="宋体" w:cs="Times New Roman"/>
                <w:b w:val="0"/>
                <w:bCs w:val="0"/>
                <w:color w:val="000000"/>
                <w:kern w:val="2"/>
                <w:sz w:val="24"/>
                <w:szCs w:val="24"/>
                <w:highlight w:val="none"/>
                <w:vertAlign w:val="superscript"/>
                <w:lang w:val="en-US" w:eastAsia="zh-CN" w:bidi="ar-SA"/>
              </w:rPr>
              <w:t>3</w:t>
            </w:r>
            <w:r>
              <w:rPr>
                <w:rFonts w:hint="default" w:ascii="Times New Roman" w:hAnsi="Times New Roman" w:eastAsia="宋体" w:cs="Times New Roman"/>
                <w:b w:val="0"/>
                <w:bCs w:val="0"/>
                <w:color w:val="000000"/>
                <w:kern w:val="2"/>
                <w:sz w:val="24"/>
                <w:szCs w:val="24"/>
                <w:highlight w:val="none"/>
                <w:lang w:val="en-US" w:eastAsia="zh-CN" w:bidi="ar-SA"/>
              </w:rPr>
              <w:t>，最高允许排放浓度为2.0mg/m</w:t>
            </w:r>
            <w:r>
              <w:rPr>
                <w:rFonts w:hint="default" w:ascii="Times New Roman" w:hAnsi="Times New Roman" w:eastAsia="宋体" w:cs="Times New Roman"/>
                <w:b w:val="0"/>
                <w:bCs w:val="0"/>
                <w:color w:val="000000"/>
                <w:kern w:val="2"/>
                <w:sz w:val="24"/>
                <w:szCs w:val="24"/>
                <w:highlight w:val="none"/>
                <w:vertAlign w:val="superscript"/>
                <w:lang w:val="en-US" w:eastAsia="zh-CN" w:bidi="ar-SA"/>
              </w:rPr>
              <w:t>3</w:t>
            </w:r>
            <w:r>
              <w:rPr>
                <w:rFonts w:hint="default" w:ascii="Times New Roman" w:hAnsi="Times New Roman" w:eastAsia="宋体" w:cs="Times New Roman"/>
                <w:b w:val="0"/>
                <w:bCs w:val="0"/>
                <w:color w:val="000000"/>
                <w:kern w:val="2"/>
                <w:sz w:val="24"/>
                <w:szCs w:val="24"/>
                <w:highlight w:val="none"/>
                <w:lang w:val="en-US" w:eastAsia="zh-CN" w:bidi="ar-SA"/>
              </w:rPr>
              <w:t>。</w:t>
            </w:r>
          </w:p>
          <w:p w14:paraId="5DF07C9B">
            <w:pPr>
              <w:keepNext w:val="0"/>
              <w:keepLines w:val="0"/>
              <w:pageBreakBefore w:val="0"/>
              <w:widowControl/>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b w:val="0"/>
                <w:bCs w:val="0"/>
                <w:color w:val="000000"/>
                <w:kern w:val="2"/>
                <w:sz w:val="24"/>
                <w:szCs w:val="24"/>
                <w:highlight w:val="none"/>
                <w:lang w:val="en-US" w:eastAsia="zh-CN" w:bidi="ar-SA"/>
              </w:rPr>
              <w:t>参考《全国污染源普查生活污染源产排污系数手册》，本项目位于</w:t>
            </w:r>
            <w:r>
              <w:rPr>
                <w:rFonts w:hint="eastAsia" w:ascii="Times New Roman" w:hAnsi="Times New Roman" w:eastAsia="宋体" w:cs="Times New Roman"/>
                <w:b w:val="0"/>
                <w:bCs w:val="0"/>
                <w:color w:val="000000"/>
                <w:kern w:val="2"/>
                <w:sz w:val="24"/>
                <w:szCs w:val="24"/>
                <w:highlight w:val="none"/>
                <w:lang w:val="en-US" w:eastAsia="zh-CN" w:bidi="ar-SA"/>
              </w:rPr>
              <w:t>新疆</w:t>
            </w:r>
            <w:r>
              <w:rPr>
                <w:rFonts w:hint="default" w:ascii="Times New Roman" w:hAnsi="Times New Roman" w:eastAsia="宋体" w:cs="Times New Roman"/>
                <w:b w:val="0"/>
                <w:bCs w:val="0"/>
                <w:color w:val="000000"/>
                <w:kern w:val="2"/>
                <w:sz w:val="24"/>
                <w:szCs w:val="24"/>
                <w:highlight w:val="none"/>
                <w:lang w:val="en-US" w:eastAsia="zh-CN" w:bidi="ar-SA"/>
              </w:rPr>
              <w:t>，属于</w:t>
            </w:r>
            <w:r>
              <w:rPr>
                <w:rFonts w:hint="eastAsia" w:ascii="Times New Roman" w:hAnsi="Times New Roman" w:eastAsia="宋体" w:cs="Times New Roman"/>
                <w:b w:val="0"/>
                <w:bCs w:val="0"/>
                <w:color w:val="000000"/>
                <w:kern w:val="2"/>
                <w:sz w:val="24"/>
                <w:szCs w:val="24"/>
                <w:highlight w:val="none"/>
                <w:lang w:val="en-US" w:eastAsia="zh-CN" w:bidi="ar-SA"/>
              </w:rPr>
              <w:t>三</w:t>
            </w:r>
            <w:r>
              <w:rPr>
                <w:rFonts w:hint="default" w:ascii="Times New Roman" w:hAnsi="Times New Roman" w:eastAsia="宋体" w:cs="Times New Roman"/>
                <w:b w:val="0"/>
                <w:bCs w:val="0"/>
                <w:color w:val="000000"/>
                <w:kern w:val="2"/>
                <w:sz w:val="24"/>
                <w:szCs w:val="24"/>
                <w:highlight w:val="none"/>
                <w:lang w:val="en-US" w:eastAsia="zh-CN" w:bidi="ar-SA"/>
              </w:rPr>
              <w:t>区，其油烟的产生系数为</w:t>
            </w:r>
            <w:r>
              <w:rPr>
                <w:rFonts w:hint="eastAsia" w:ascii="Times New Roman" w:hAnsi="Times New Roman" w:eastAsia="宋体" w:cs="Times New Roman"/>
                <w:b w:val="0"/>
                <w:bCs w:val="0"/>
                <w:color w:val="000000"/>
                <w:kern w:val="2"/>
                <w:sz w:val="24"/>
                <w:szCs w:val="24"/>
                <w:highlight w:val="none"/>
                <w:lang w:val="en-US" w:eastAsia="zh-CN" w:bidi="ar-SA"/>
              </w:rPr>
              <w:t>301</w:t>
            </w:r>
            <w:r>
              <w:rPr>
                <w:rFonts w:hint="default" w:ascii="Times New Roman" w:hAnsi="Times New Roman" w:eastAsia="宋体" w:cs="Times New Roman"/>
                <w:b w:val="0"/>
                <w:bCs w:val="0"/>
                <w:color w:val="000000"/>
                <w:kern w:val="2"/>
                <w:sz w:val="24"/>
                <w:szCs w:val="24"/>
                <w:highlight w:val="none"/>
                <w:lang w:val="en-US" w:eastAsia="zh-CN" w:bidi="ar-SA"/>
              </w:rPr>
              <w:t>g/（人·年）；本项目在乡村会客厅综合体设有1处大食堂，可容纳56人同时进餐，</w:t>
            </w:r>
            <w:r>
              <w:rPr>
                <w:spacing w:val="-1"/>
              </w:rPr>
              <w:t>项目年营业时间以</w:t>
            </w:r>
            <w:r>
              <w:rPr>
                <w:rFonts w:ascii="Times New Roman" w:hAnsi="Times New Roman" w:eastAsia="Times New Roman" w:cs="Times New Roman"/>
                <w:spacing w:val="-1"/>
              </w:rPr>
              <w:t>365</w:t>
            </w:r>
            <w:r>
              <w:rPr>
                <w:spacing w:val="-1"/>
              </w:rPr>
              <w:t>天计，则本项目厨房油烟产生量为</w:t>
            </w:r>
            <w:r>
              <w:rPr>
                <w:rFonts w:hint="eastAsia"/>
                <w:spacing w:val="-1"/>
                <w:lang w:val="en-US" w:eastAsia="zh-CN"/>
              </w:rPr>
              <w:t>0.0169t/a。</w:t>
            </w:r>
          </w:p>
          <w:p w14:paraId="027CC420">
            <w:pPr>
              <w:keepNext w:val="0"/>
              <w:keepLines w:val="0"/>
              <w:pageBreakBefore w:val="0"/>
              <w:widowControl/>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b w:val="0"/>
                <w:bCs w:val="0"/>
                <w:color w:val="000000"/>
                <w:kern w:val="2"/>
                <w:sz w:val="24"/>
                <w:szCs w:val="24"/>
                <w:highlight w:val="none"/>
                <w:lang w:val="en-US" w:eastAsia="zh-CN" w:bidi="ar-SA"/>
              </w:rPr>
              <w:t>厨房每天工作时间约4h，则本项目油烟的油烟量为</w:t>
            </w:r>
            <w:r>
              <w:rPr>
                <w:rFonts w:hint="eastAsia" w:ascii="Times New Roman" w:hAnsi="Times New Roman" w:eastAsia="宋体" w:cs="Times New Roman"/>
                <w:b w:val="0"/>
                <w:bCs w:val="0"/>
                <w:color w:val="000000"/>
                <w:kern w:val="2"/>
                <w:sz w:val="24"/>
                <w:szCs w:val="24"/>
                <w:highlight w:val="none"/>
                <w:lang w:val="en-US" w:eastAsia="zh-CN" w:bidi="ar-SA"/>
              </w:rPr>
              <w:t>11.6</w:t>
            </w:r>
            <w:r>
              <w:rPr>
                <w:rFonts w:hint="default" w:ascii="Times New Roman" w:hAnsi="Times New Roman" w:eastAsia="宋体" w:cs="Times New Roman"/>
                <w:b w:val="0"/>
                <w:bCs w:val="0"/>
                <w:color w:val="000000"/>
                <w:kern w:val="2"/>
                <w:sz w:val="24"/>
                <w:szCs w:val="24"/>
                <w:highlight w:val="none"/>
                <w:lang w:val="en-US" w:eastAsia="zh-CN" w:bidi="ar-SA"/>
              </w:rPr>
              <w:t>g/h。</w:t>
            </w:r>
          </w:p>
          <w:p w14:paraId="785B9F52">
            <w:pPr>
              <w:keepNext w:val="0"/>
              <w:keepLines w:val="0"/>
              <w:pageBreakBefore w:val="0"/>
              <w:widowControl/>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b w:val="0"/>
                <w:bCs w:val="0"/>
                <w:color w:val="000000"/>
                <w:kern w:val="2"/>
                <w:sz w:val="24"/>
                <w:szCs w:val="24"/>
                <w:highlight w:val="none"/>
                <w:lang w:val="en-US" w:eastAsia="zh-CN" w:bidi="ar-SA"/>
              </w:rPr>
              <w:t>本项目基准灶头</w:t>
            </w:r>
            <w:r>
              <w:rPr>
                <w:rFonts w:hint="eastAsia" w:ascii="Times New Roman" w:hAnsi="Times New Roman" w:eastAsia="宋体" w:cs="Times New Roman"/>
                <w:b w:val="0"/>
                <w:bCs w:val="0"/>
                <w:color w:val="000000"/>
                <w:kern w:val="2"/>
                <w:sz w:val="24"/>
                <w:szCs w:val="24"/>
                <w:highlight w:val="none"/>
                <w:lang w:val="en-US" w:eastAsia="zh-CN" w:bidi="ar-SA"/>
              </w:rPr>
              <w:t>4</w:t>
            </w:r>
            <w:r>
              <w:rPr>
                <w:rFonts w:hint="default" w:ascii="Times New Roman" w:hAnsi="Times New Roman" w:eastAsia="宋体" w:cs="Times New Roman"/>
                <w:b w:val="0"/>
                <w:bCs w:val="0"/>
                <w:color w:val="000000"/>
                <w:kern w:val="2"/>
                <w:sz w:val="24"/>
                <w:szCs w:val="24"/>
                <w:highlight w:val="none"/>
                <w:lang w:val="en-US" w:eastAsia="zh-CN" w:bidi="ar-SA"/>
              </w:rPr>
              <w:t>个，安装1台油烟净化装置，风机风量为</w:t>
            </w:r>
            <w:r>
              <w:rPr>
                <w:rFonts w:hint="eastAsia" w:ascii="Times New Roman" w:hAnsi="Times New Roman" w:eastAsia="宋体" w:cs="Times New Roman"/>
                <w:b w:val="0"/>
                <w:bCs w:val="0"/>
                <w:color w:val="000000"/>
                <w:kern w:val="2"/>
                <w:sz w:val="24"/>
                <w:szCs w:val="24"/>
                <w:highlight w:val="none"/>
                <w:lang w:val="en-US" w:eastAsia="zh-CN" w:bidi="ar-SA"/>
              </w:rPr>
              <w:t>8</w:t>
            </w:r>
            <w:r>
              <w:rPr>
                <w:rFonts w:hint="default" w:ascii="Times New Roman" w:hAnsi="Times New Roman" w:eastAsia="宋体" w:cs="Times New Roman"/>
                <w:b w:val="0"/>
                <w:bCs w:val="0"/>
                <w:color w:val="000000"/>
                <w:kern w:val="2"/>
                <w:sz w:val="24"/>
                <w:szCs w:val="24"/>
                <w:highlight w:val="none"/>
                <w:lang w:val="en-US" w:eastAsia="zh-CN" w:bidi="ar-SA"/>
              </w:rPr>
              <w:t>000m</w:t>
            </w:r>
            <w:r>
              <w:rPr>
                <w:rFonts w:hint="default" w:ascii="Times New Roman" w:hAnsi="Times New Roman" w:eastAsia="宋体" w:cs="Times New Roman"/>
                <w:b w:val="0"/>
                <w:bCs w:val="0"/>
                <w:color w:val="000000"/>
                <w:kern w:val="2"/>
                <w:sz w:val="24"/>
                <w:szCs w:val="24"/>
                <w:highlight w:val="none"/>
                <w:vertAlign w:val="superscript"/>
                <w:lang w:val="en-US" w:eastAsia="zh-CN" w:bidi="ar-SA"/>
              </w:rPr>
              <w:t>3</w:t>
            </w:r>
            <w:r>
              <w:rPr>
                <w:rFonts w:hint="default" w:ascii="Times New Roman" w:hAnsi="Times New Roman" w:eastAsia="宋体" w:cs="Times New Roman"/>
                <w:b w:val="0"/>
                <w:bCs w:val="0"/>
                <w:color w:val="000000"/>
                <w:kern w:val="2"/>
                <w:sz w:val="24"/>
                <w:szCs w:val="24"/>
                <w:highlight w:val="none"/>
                <w:lang w:val="en-US" w:eastAsia="zh-CN" w:bidi="ar-SA"/>
              </w:rPr>
              <w:t>/h，则本项目油烟的产生浓度分别为</w:t>
            </w:r>
            <w:r>
              <w:rPr>
                <w:rFonts w:hint="eastAsia" w:ascii="Times New Roman" w:hAnsi="Times New Roman" w:eastAsia="宋体" w:cs="Times New Roman"/>
                <w:b w:val="0"/>
                <w:bCs w:val="0"/>
                <w:color w:val="000000"/>
                <w:kern w:val="2"/>
                <w:sz w:val="24"/>
                <w:szCs w:val="24"/>
                <w:highlight w:val="none"/>
                <w:lang w:val="en-US" w:eastAsia="zh-CN" w:bidi="ar-SA"/>
              </w:rPr>
              <w:t>1.45</w:t>
            </w:r>
            <w:r>
              <w:rPr>
                <w:rFonts w:hint="default" w:ascii="Times New Roman" w:hAnsi="Times New Roman" w:eastAsia="宋体" w:cs="Times New Roman"/>
                <w:b w:val="0"/>
                <w:bCs w:val="0"/>
                <w:color w:val="000000"/>
                <w:kern w:val="2"/>
                <w:sz w:val="24"/>
                <w:szCs w:val="24"/>
                <w:highlight w:val="none"/>
                <w:lang w:val="en-US" w:eastAsia="zh-CN" w:bidi="ar-SA"/>
              </w:rPr>
              <w:t>mg/m</w:t>
            </w:r>
            <w:r>
              <w:rPr>
                <w:rFonts w:hint="default" w:ascii="Times New Roman" w:hAnsi="Times New Roman" w:eastAsia="宋体" w:cs="Times New Roman"/>
                <w:b w:val="0"/>
                <w:bCs w:val="0"/>
                <w:color w:val="000000"/>
                <w:kern w:val="2"/>
                <w:sz w:val="24"/>
                <w:szCs w:val="24"/>
                <w:highlight w:val="none"/>
                <w:vertAlign w:val="superscript"/>
                <w:lang w:val="en-US" w:eastAsia="zh-CN" w:bidi="ar-SA"/>
              </w:rPr>
              <w:t>3</w:t>
            </w:r>
            <w:r>
              <w:rPr>
                <w:rFonts w:hint="default" w:ascii="Times New Roman" w:hAnsi="Times New Roman" w:eastAsia="宋体" w:cs="Times New Roman"/>
                <w:b w:val="0"/>
                <w:bCs w:val="0"/>
                <w:color w:val="000000"/>
                <w:kern w:val="2"/>
                <w:sz w:val="24"/>
                <w:szCs w:val="24"/>
                <w:highlight w:val="none"/>
                <w:lang w:val="en-US" w:eastAsia="zh-CN" w:bidi="ar-SA"/>
              </w:rPr>
              <w:t>。</w:t>
            </w:r>
          </w:p>
          <w:p w14:paraId="59CA9ECE">
            <w:pPr>
              <w:keepNext w:val="0"/>
              <w:keepLines w:val="0"/>
              <w:pageBreakBefore w:val="0"/>
              <w:widowControl/>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b w:val="0"/>
                <w:bCs w:val="0"/>
                <w:color w:val="000000"/>
                <w:kern w:val="2"/>
                <w:sz w:val="24"/>
                <w:szCs w:val="24"/>
                <w:highlight w:val="none"/>
                <w:lang w:val="en-US" w:eastAsia="zh-CN" w:bidi="ar-SA"/>
              </w:rPr>
              <w:t>厨房共设置</w:t>
            </w:r>
            <w:r>
              <w:rPr>
                <w:rFonts w:hint="eastAsia" w:ascii="Times New Roman" w:hAnsi="Times New Roman" w:eastAsia="宋体" w:cs="Times New Roman"/>
                <w:b w:val="0"/>
                <w:bCs w:val="0"/>
                <w:color w:val="000000"/>
                <w:kern w:val="2"/>
                <w:sz w:val="24"/>
                <w:szCs w:val="24"/>
                <w:highlight w:val="none"/>
                <w:lang w:val="en-US" w:eastAsia="zh-CN" w:bidi="ar-SA"/>
              </w:rPr>
              <w:t>4</w:t>
            </w:r>
            <w:r>
              <w:rPr>
                <w:rFonts w:hint="default" w:ascii="Times New Roman" w:hAnsi="Times New Roman" w:eastAsia="宋体" w:cs="Times New Roman"/>
                <w:b w:val="0"/>
                <w:bCs w:val="0"/>
                <w:color w:val="000000"/>
                <w:kern w:val="2"/>
                <w:sz w:val="24"/>
                <w:szCs w:val="24"/>
                <w:highlight w:val="none"/>
                <w:lang w:val="en-US" w:eastAsia="zh-CN" w:bidi="ar-SA"/>
              </w:rPr>
              <w:t>个基准灶头，为</w:t>
            </w:r>
            <w:r>
              <w:rPr>
                <w:rFonts w:hint="eastAsia" w:ascii="Times New Roman" w:hAnsi="Times New Roman" w:eastAsia="宋体" w:cs="Times New Roman"/>
                <w:b w:val="0"/>
                <w:bCs w:val="0"/>
                <w:color w:val="000000"/>
                <w:kern w:val="2"/>
                <w:sz w:val="24"/>
                <w:szCs w:val="24"/>
                <w:highlight w:val="none"/>
                <w:lang w:val="en-US" w:eastAsia="zh-CN" w:bidi="ar-SA"/>
              </w:rPr>
              <w:t>中</w:t>
            </w:r>
            <w:r>
              <w:rPr>
                <w:rFonts w:hint="default" w:ascii="Times New Roman" w:hAnsi="Times New Roman" w:eastAsia="宋体" w:cs="Times New Roman"/>
                <w:b w:val="0"/>
                <w:bCs w:val="0"/>
                <w:color w:val="000000"/>
                <w:kern w:val="2"/>
                <w:sz w:val="24"/>
                <w:szCs w:val="24"/>
                <w:highlight w:val="none"/>
                <w:lang w:val="en-US" w:eastAsia="zh-CN" w:bidi="ar-SA"/>
              </w:rPr>
              <w:t>型，净化效率按</w:t>
            </w:r>
            <w:r>
              <w:rPr>
                <w:rFonts w:hint="eastAsia" w:ascii="Times New Roman" w:hAnsi="Times New Roman" w:eastAsia="宋体" w:cs="Times New Roman"/>
                <w:b w:val="0"/>
                <w:bCs w:val="0"/>
                <w:color w:val="000000"/>
                <w:kern w:val="2"/>
                <w:sz w:val="24"/>
                <w:szCs w:val="24"/>
                <w:highlight w:val="none"/>
                <w:lang w:val="en-US" w:eastAsia="zh-CN" w:bidi="ar-SA"/>
              </w:rPr>
              <w:t>7</w:t>
            </w:r>
            <w:r>
              <w:rPr>
                <w:rFonts w:hint="default" w:ascii="Times New Roman" w:hAnsi="Times New Roman" w:eastAsia="宋体" w:cs="Times New Roman"/>
                <w:b w:val="0"/>
                <w:bCs w:val="0"/>
                <w:color w:val="000000"/>
                <w:kern w:val="2"/>
                <w:sz w:val="24"/>
                <w:szCs w:val="24"/>
                <w:highlight w:val="none"/>
                <w:lang w:val="en-US" w:eastAsia="zh-CN" w:bidi="ar-SA"/>
              </w:rPr>
              <w:t>5%计，则油烟的排放浓度为</w:t>
            </w:r>
            <w:r>
              <w:rPr>
                <w:rFonts w:hint="eastAsia" w:ascii="Times New Roman" w:hAnsi="Times New Roman" w:eastAsia="宋体" w:cs="Times New Roman"/>
                <w:b w:val="0"/>
                <w:bCs w:val="0"/>
                <w:color w:val="auto"/>
                <w:kern w:val="2"/>
                <w:sz w:val="24"/>
                <w:szCs w:val="24"/>
                <w:highlight w:val="none"/>
                <w:lang w:val="en-US" w:eastAsia="zh-CN" w:bidi="ar-SA"/>
              </w:rPr>
              <w:t>0.362</w:t>
            </w:r>
            <w:r>
              <w:rPr>
                <w:rFonts w:hint="default" w:ascii="Times New Roman" w:hAnsi="Times New Roman" w:eastAsia="宋体" w:cs="Times New Roman"/>
                <w:b w:val="0"/>
                <w:bCs w:val="0"/>
                <w:color w:val="auto"/>
                <w:kern w:val="2"/>
                <w:sz w:val="24"/>
                <w:szCs w:val="24"/>
                <w:highlight w:val="none"/>
                <w:lang w:val="en-US" w:eastAsia="zh-CN" w:bidi="ar-SA"/>
              </w:rPr>
              <w:t>mg/m</w:t>
            </w:r>
            <w:r>
              <w:rPr>
                <w:rFonts w:hint="default" w:ascii="Times New Roman" w:hAnsi="Times New Roman" w:eastAsia="宋体" w:cs="Times New Roman"/>
                <w:b w:val="0"/>
                <w:bCs w:val="0"/>
                <w:color w:val="auto"/>
                <w:kern w:val="2"/>
                <w:sz w:val="24"/>
                <w:szCs w:val="24"/>
                <w:highlight w:val="none"/>
                <w:vertAlign w:val="superscript"/>
                <w:lang w:val="en-US" w:eastAsia="zh-CN" w:bidi="ar-SA"/>
              </w:rPr>
              <w:t>3</w:t>
            </w:r>
            <w:r>
              <w:rPr>
                <w:rFonts w:hint="default" w:ascii="Times New Roman" w:hAnsi="Times New Roman" w:eastAsia="宋体" w:cs="Times New Roman"/>
                <w:b w:val="0"/>
                <w:bCs w:val="0"/>
                <w:color w:val="auto"/>
                <w:kern w:val="2"/>
                <w:sz w:val="24"/>
                <w:szCs w:val="24"/>
                <w:highlight w:val="none"/>
                <w:lang w:val="en-US" w:eastAsia="zh-CN" w:bidi="ar-SA"/>
              </w:rPr>
              <w:t>，排放量为</w:t>
            </w:r>
            <w:r>
              <w:rPr>
                <w:rFonts w:hint="eastAsia" w:ascii="Times New Roman" w:hAnsi="Times New Roman" w:eastAsia="宋体" w:cs="Times New Roman"/>
                <w:b w:val="0"/>
                <w:bCs w:val="0"/>
                <w:color w:val="auto"/>
                <w:kern w:val="2"/>
                <w:sz w:val="24"/>
                <w:szCs w:val="24"/>
                <w:highlight w:val="none"/>
                <w:lang w:val="en-US" w:eastAsia="zh-CN" w:bidi="ar-SA"/>
              </w:rPr>
              <w:t>0.00106</w:t>
            </w:r>
            <w:r>
              <w:rPr>
                <w:rFonts w:hint="default" w:ascii="Times New Roman" w:hAnsi="Times New Roman" w:eastAsia="宋体" w:cs="Times New Roman"/>
                <w:b w:val="0"/>
                <w:bCs w:val="0"/>
                <w:color w:val="auto"/>
                <w:kern w:val="2"/>
                <w:sz w:val="24"/>
                <w:szCs w:val="24"/>
                <w:highlight w:val="none"/>
                <w:lang w:val="en-US" w:eastAsia="zh-CN" w:bidi="ar-SA"/>
              </w:rPr>
              <w:t>t/a</w:t>
            </w:r>
            <w:r>
              <w:rPr>
                <w:rFonts w:hint="eastAsia" w:ascii="Times New Roman" w:hAnsi="Times New Roman" w:eastAsia="宋体" w:cs="Times New Roman"/>
                <w:b w:val="0"/>
                <w:bCs w:val="0"/>
                <w:color w:val="auto"/>
                <w:kern w:val="2"/>
                <w:sz w:val="24"/>
                <w:szCs w:val="24"/>
                <w:highlight w:val="none"/>
                <w:lang w:val="en-US" w:eastAsia="zh-CN" w:bidi="ar-SA"/>
              </w:rPr>
              <w:t>。</w:t>
            </w:r>
          </w:p>
          <w:p w14:paraId="32843B94">
            <w:pPr>
              <w:keepNext w:val="0"/>
              <w:keepLines w:val="0"/>
              <w:pageBreakBefore w:val="0"/>
              <w:widowControl/>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b w:val="0"/>
                <w:bCs w:val="0"/>
                <w:color w:val="000000"/>
                <w:kern w:val="2"/>
                <w:sz w:val="24"/>
                <w:szCs w:val="24"/>
                <w:highlight w:val="none"/>
                <w:lang w:val="en-US" w:eastAsia="zh-CN" w:bidi="ar-SA"/>
              </w:rPr>
              <w:t>本项目厨房燃料采用管道天然气，本项目厨房油烟均经专用油烟净化设备处理后至屋顶排放。</w:t>
            </w:r>
          </w:p>
          <w:p w14:paraId="7069AD8A">
            <w:pPr>
              <w:keepNext w:val="0"/>
              <w:keepLines w:val="0"/>
              <w:pageBreakBefore w:val="0"/>
              <w:widowControl/>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b w:val="0"/>
                <w:bCs w:val="0"/>
                <w:color w:val="000000"/>
                <w:kern w:val="2"/>
                <w:sz w:val="24"/>
                <w:szCs w:val="24"/>
                <w:highlight w:val="none"/>
                <w:lang w:val="en-US" w:eastAsia="zh-CN" w:bidi="ar-SA"/>
              </w:rPr>
              <w:t>餐厅厨房内设有油烟净化器，产生的油烟经油烟净化器处理后经专用烟道至屋顶排放，其油烟废气排放可满足《饮食业油烟排放标准</w:t>
            </w:r>
            <w:r>
              <w:rPr>
                <w:rFonts w:hint="eastAsia" w:cs="Times New Roman"/>
                <w:b w:val="0"/>
                <w:bCs w:val="0"/>
                <w:color w:val="000000"/>
                <w:kern w:val="2"/>
                <w:sz w:val="24"/>
                <w:szCs w:val="24"/>
                <w:highlight w:val="none"/>
                <w:lang w:val="en-US" w:eastAsia="zh-CN" w:bidi="ar-SA"/>
              </w:rPr>
              <w:t>（</w:t>
            </w:r>
            <w:r>
              <w:rPr>
                <w:rFonts w:hint="default" w:ascii="Times New Roman" w:hAnsi="Times New Roman" w:eastAsia="宋体" w:cs="Times New Roman"/>
                <w:b w:val="0"/>
                <w:bCs w:val="0"/>
                <w:color w:val="000000"/>
                <w:kern w:val="2"/>
                <w:sz w:val="24"/>
                <w:szCs w:val="24"/>
                <w:highlight w:val="none"/>
                <w:lang w:val="en-US" w:eastAsia="zh-CN" w:bidi="ar-SA"/>
              </w:rPr>
              <w:t>试行</w:t>
            </w:r>
            <w:r>
              <w:rPr>
                <w:rFonts w:hint="eastAsia" w:cs="Times New Roman"/>
                <w:b w:val="0"/>
                <w:bCs w:val="0"/>
                <w:color w:val="000000"/>
                <w:kern w:val="2"/>
                <w:sz w:val="24"/>
                <w:szCs w:val="24"/>
                <w:highlight w:val="none"/>
                <w:lang w:val="en-US" w:eastAsia="zh-CN" w:bidi="ar-SA"/>
              </w:rPr>
              <w:t>）</w:t>
            </w:r>
            <w:r>
              <w:rPr>
                <w:rFonts w:hint="default" w:ascii="Times New Roman" w:hAnsi="Times New Roman" w:eastAsia="宋体" w:cs="Times New Roman"/>
                <w:b w:val="0"/>
                <w:bCs w:val="0"/>
                <w:color w:val="000000"/>
                <w:kern w:val="2"/>
                <w:sz w:val="24"/>
                <w:szCs w:val="24"/>
                <w:highlight w:val="none"/>
                <w:lang w:val="en-US" w:eastAsia="zh-CN" w:bidi="ar-SA"/>
              </w:rPr>
              <w:t>》（GB18483-2001）中相关标准，油烟废气经过扩散后基本不会对周围环境产生影响。</w:t>
            </w:r>
          </w:p>
          <w:p w14:paraId="31029DF4">
            <w:pPr>
              <w:keepNext w:val="0"/>
              <w:keepLines w:val="0"/>
              <w:pageBreakBefore w:val="0"/>
              <w:widowControl/>
              <w:suppressLineNumbers w:val="0"/>
              <w:kinsoku/>
              <w:wordWrap/>
              <w:overflowPunct/>
              <w:topLinePunct w:val="0"/>
              <w:autoSpaceDE/>
              <w:autoSpaceDN/>
              <w:bidi w:val="0"/>
              <w:adjustRightInd/>
              <w:snapToGrid w:val="0"/>
              <w:ind w:firstLine="466" w:firstLineChars="200"/>
              <w:jc w:val="both"/>
              <w:textAlignment w:val="auto"/>
              <w:rPr>
                <w:rFonts w:hint="default" w:ascii="Times New Roman" w:hAnsi="Times New Roman" w:eastAsia="宋体" w:cs="Times New Roman"/>
                <w:b/>
                <w:bCs/>
                <w:spacing w:val="-4"/>
                <w:lang w:val="en-US" w:eastAsia="zh-CN"/>
              </w:rPr>
            </w:pPr>
            <w:r>
              <w:rPr>
                <w:rFonts w:hint="default" w:ascii="Times New Roman" w:hAnsi="Times New Roman" w:eastAsia="宋体" w:cs="Times New Roman"/>
                <w:b/>
                <w:bCs/>
                <w:spacing w:val="-4"/>
                <w:lang w:val="en-US" w:eastAsia="zh-CN"/>
              </w:rPr>
              <w:t>1.2机动车尾气</w:t>
            </w:r>
          </w:p>
          <w:p w14:paraId="79416223">
            <w:pPr>
              <w:keepNext w:val="0"/>
              <w:keepLines w:val="0"/>
              <w:pageBreakBefore w:val="0"/>
              <w:widowControl/>
              <w:suppressLineNumbers w:val="0"/>
              <w:kinsoku/>
              <w:wordWrap/>
              <w:overflowPunct/>
              <w:topLinePunct w:val="0"/>
              <w:autoSpaceDE/>
              <w:autoSpaceDN/>
              <w:bidi w:val="0"/>
              <w:adjustRightInd/>
              <w:snapToGrid w:val="0"/>
              <w:ind w:firstLine="464" w:firstLineChars="200"/>
              <w:jc w:val="both"/>
              <w:textAlignment w:val="auto"/>
              <w:rPr>
                <w:rFonts w:hint="default" w:ascii="Times New Roman" w:hAnsi="Times New Roman" w:eastAsia="宋体" w:cs="Times New Roman"/>
                <w:spacing w:val="-3"/>
              </w:rPr>
            </w:pPr>
            <w:r>
              <w:rPr>
                <w:rFonts w:hint="default" w:ascii="Times New Roman" w:hAnsi="Times New Roman" w:eastAsia="宋体" w:cs="Times New Roman"/>
                <w:spacing w:val="-4"/>
              </w:rPr>
              <w:t>本项目停车场为地面停车场，汽车在进、出停车场时</w:t>
            </w:r>
            <w:r>
              <w:rPr>
                <w:rFonts w:hint="eastAsia" w:ascii="Times New Roman" w:hAnsi="Times New Roman" w:eastAsia="宋体" w:cs="Times New Roman"/>
                <w:spacing w:val="-4"/>
                <w:lang w:eastAsia="zh-CN"/>
              </w:rPr>
              <w:t>具备</w:t>
            </w:r>
            <w:r>
              <w:rPr>
                <w:rFonts w:hint="default" w:ascii="Times New Roman" w:hAnsi="Times New Roman" w:eastAsia="宋体" w:cs="Times New Roman"/>
                <w:spacing w:val="-4"/>
              </w:rPr>
              <w:t>怠速行驶和启动状态，</w:t>
            </w:r>
            <w:r>
              <w:rPr>
                <w:rFonts w:hint="default" w:ascii="Times New Roman" w:hAnsi="Times New Roman" w:eastAsia="宋体" w:cs="Times New Roman"/>
                <w:spacing w:val="3"/>
              </w:rPr>
              <w:t>汽车怠速及慢速</w:t>
            </w:r>
            <w:r>
              <w:rPr>
                <w:rFonts w:hint="eastAsia" w:cs="Times New Roman"/>
                <w:spacing w:val="3"/>
                <w:lang w:eastAsia="zh-CN"/>
              </w:rPr>
              <w:t>（</w:t>
            </w:r>
            <w:r>
              <w:rPr>
                <w:rFonts w:hint="default" w:ascii="Times New Roman" w:hAnsi="Times New Roman" w:eastAsia="宋体" w:cs="Times New Roman"/>
                <w:spacing w:val="3"/>
              </w:rPr>
              <w:t>≤5</w:t>
            </w:r>
            <w:r>
              <w:rPr>
                <w:rFonts w:hint="default" w:ascii="Times New Roman" w:hAnsi="Times New Roman" w:eastAsia="宋体" w:cs="Times New Roman"/>
              </w:rPr>
              <w:t>km</w:t>
            </w:r>
            <w:r>
              <w:rPr>
                <w:rFonts w:hint="default" w:ascii="Times New Roman" w:hAnsi="Times New Roman" w:eastAsia="宋体" w:cs="Times New Roman"/>
                <w:spacing w:val="3"/>
              </w:rPr>
              <w:t>/h）状态下的尾气排放，包括排气管尾气、曲轴箱漏气及油</w:t>
            </w:r>
            <w:r>
              <w:rPr>
                <w:rFonts w:hint="default" w:ascii="Times New Roman" w:hAnsi="Times New Roman" w:eastAsia="宋体" w:cs="Times New Roman"/>
                <w:spacing w:val="-2"/>
              </w:rPr>
              <w:t>箱和化油箱等燃料系统的泄漏等。汽车尾气中主要</w:t>
            </w:r>
            <w:r>
              <w:rPr>
                <w:rFonts w:hint="default" w:ascii="Times New Roman" w:hAnsi="Times New Roman" w:eastAsia="宋体" w:cs="Times New Roman"/>
                <w:spacing w:val="-3"/>
              </w:rPr>
              <w:t>污染因子为</w:t>
            </w:r>
            <w:r>
              <w:rPr>
                <w:rFonts w:hint="default" w:ascii="Times New Roman" w:hAnsi="Times New Roman" w:eastAsia="宋体" w:cs="Times New Roman"/>
                <w:spacing w:val="-55"/>
              </w:rPr>
              <w:t xml:space="preserve"> </w:t>
            </w:r>
            <w:r>
              <w:rPr>
                <w:rFonts w:hint="default" w:ascii="Times New Roman" w:hAnsi="Times New Roman" w:eastAsia="宋体" w:cs="Times New Roman"/>
                <w:spacing w:val="-3"/>
              </w:rPr>
              <w:t>NOx、CO、非甲烷总烃等，CO是汽油燃烧的产物；NOx是汽油燃烧时空气中的氮气与氧气化合而成的产物；非甲烷总烃是汽油不完全燃烧的产物。</w:t>
            </w:r>
          </w:p>
          <w:p w14:paraId="118CF376">
            <w:pPr>
              <w:keepNext w:val="0"/>
              <w:keepLines w:val="0"/>
              <w:pageBreakBefore w:val="0"/>
              <w:widowControl/>
              <w:suppressLineNumbers w:val="0"/>
              <w:kinsoku/>
              <w:wordWrap/>
              <w:overflowPunct/>
              <w:topLinePunct w:val="0"/>
              <w:autoSpaceDE/>
              <w:autoSpaceDN/>
              <w:bidi w:val="0"/>
              <w:adjustRightInd/>
              <w:snapToGrid w:val="0"/>
              <w:ind w:firstLine="468" w:firstLineChars="200"/>
              <w:jc w:val="both"/>
              <w:textAlignment w:val="auto"/>
              <w:rPr>
                <w:rFonts w:hint="default" w:ascii="Times New Roman" w:hAnsi="Times New Roman" w:eastAsia="宋体" w:cs="Times New Roman"/>
                <w:spacing w:val="-3"/>
              </w:rPr>
            </w:pPr>
            <w:r>
              <w:rPr>
                <w:rFonts w:hint="default" w:ascii="Times New Roman" w:hAnsi="Times New Roman" w:eastAsia="宋体" w:cs="Times New Roman"/>
                <w:spacing w:val="-3"/>
              </w:rPr>
              <w:t>汽车尾气的排放量与车型、车况和车辆数等有关，本项目停车场进出车辆基本为小型车（轿车和小面包车等），参照《环境保护实用数据手册》，有代表性的汽车排出物的测定结果和大气污染物排放系数为：CO：191g/L、NO</w:t>
            </w:r>
            <w:r>
              <w:rPr>
                <w:rFonts w:hint="default" w:ascii="Times New Roman" w:hAnsi="Times New Roman" w:eastAsia="宋体" w:cs="Times New Roman"/>
                <w:spacing w:val="-3"/>
                <w:vertAlign w:val="subscript"/>
              </w:rPr>
              <w:t>X</w:t>
            </w:r>
            <w:r>
              <w:rPr>
                <w:rFonts w:hint="default" w:ascii="Times New Roman" w:hAnsi="Times New Roman" w:eastAsia="宋体" w:cs="Times New Roman"/>
                <w:spacing w:val="-3"/>
              </w:rPr>
              <w:t>：22.3g/L、非甲烷总烃：24.1g/L。</w:t>
            </w:r>
          </w:p>
          <w:p w14:paraId="03517F78">
            <w:pPr>
              <w:keepNext w:val="0"/>
              <w:keepLines w:val="0"/>
              <w:pageBreakBefore w:val="0"/>
              <w:widowControl/>
              <w:suppressLineNumbers w:val="0"/>
              <w:kinsoku/>
              <w:wordWrap/>
              <w:overflowPunct/>
              <w:topLinePunct w:val="0"/>
              <w:autoSpaceDE/>
              <w:autoSpaceDN/>
              <w:bidi w:val="0"/>
              <w:adjustRightInd/>
              <w:snapToGrid w:val="0"/>
              <w:ind w:firstLine="468" w:firstLineChars="200"/>
              <w:jc w:val="both"/>
              <w:textAlignment w:val="auto"/>
              <w:rPr>
                <w:rFonts w:hint="default" w:ascii="Times New Roman" w:hAnsi="Times New Roman" w:eastAsia="宋体" w:cs="Times New Roman"/>
                <w:spacing w:val="-3"/>
              </w:rPr>
            </w:pPr>
            <w:r>
              <w:rPr>
                <w:rFonts w:hint="default" w:ascii="Times New Roman" w:hAnsi="Times New Roman" w:eastAsia="宋体" w:cs="Times New Roman"/>
                <w:spacing w:val="-3"/>
              </w:rPr>
              <w:t>停车场的汽车尾气排放量与汽车在停车场内的运行时间和车流量有关。根据统计资料及类比调查，车辆进出（怠速＜5km/h）的平均耗油速率为0.20L/km，则每辆汽车进出停车场产生的废气污染物的量可以由下式计算，计算公式如下：g=f×M</w:t>
            </w:r>
          </w:p>
          <w:p w14:paraId="2F23A770">
            <w:pPr>
              <w:keepNext w:val="0"/>
              <w:keepLines w:val="0"/>
              <w:pageBreakBefore w:val="0"/>
              <w:widowControl/>
              <w:suppressLineNumbers w:val="0"/>
              <w:kinsoku/>
              <w:wordWrap/>
              <w:overflowPunct/>
              <w:topLinePunct w:val="0"/>
              <w:autoSpaceDE/>
              <w:autoSpaceDN/>
              <w:bidi w:val="0"/>
              <w:adjustRightInd/>
              <w:snapToGrid w:val="0"/>
              <w:ind w:firstLine="468" w:firstLineChars="200"/>
              <w:jc w:val="both"/>
              <w:textAlignment w:val="auto"/>
              <w:rPr>
                <w:rFonts w:hint="default" w:ascii="Times New Roman" w:hAnsi="Times New Roman" w:eastAsia="宋体" w:cs="Times New Roman"/>
                <w:spacing w:val="-3"/>
              </w:rPr>
            </w:pPr>
            <w:r>
              <w:rPr>
                <w:rFonts w:hint="default" w:ascii="Times New Roman" w:hAnsi="Times New Roman" w:eastAsia="宋体" w:cs="Times New Roman"/>
                <w:spacing w:val="-3"/>
              </w:rPr>
              <w:t>其中：M=m×t</w:t>
            </w:r>
          </w:p>
          <w:p w14:paraId="789C5EAF">
            <w:pPr>
              <w:keepNext w:val="0"/>
              <w:keepLines w:val="0"/>
              <w:pageBreakBefore w:val="0"/>
              <w:widowControl/>
              <w:suppressLineNumbers w:val="0"/>
              <w:kinsoku/>
              <w:wordWrap/>
              <w:overflowPunct/>
              <w:topLinePunct w:val="0"/>
              <w:autoSpaceDE/>
              <w:autoSpaceDN/>
              <w:bidi w:val="0"/>
              <w:adjustRightInd/>
              <w:snapToGrid w:val="0"/>
              <w:ind w:firstLine="468" w:firstLineChars="200"/>
              <w:jc w:val="both"/>
              <w:textAlignment w:val="auto"/>
              <w:rPr>
                <w:rFonts w:hint="default" w:ascii="Times New Roman" w:hAnsi="Times New Roman" w:eastAsia="宋体" w:cs="Times New Roman"/>
                <w:spacing w:val="-3"/>
              </w:rPr>
            </w:pPr>
            <w:r>
              <w:rPr>
                <w:rFonts w:hint="default" w:ascii="Times New Roman" w:hAnsi="Times New Roman" w:eastAsia="宋体" w:cs="Times New Roman"/>
                <w:spacing w:val="-3"/>
              </w:rPr>
              <w:t>式中：f—大气污染物排放系数（g/L汽油）；</w:t>
            </w:r>
          </w:p>
          <w:p w14:paraId="1E6253B8">
            <w:pPr>
              <w:keepNext w:val="0"/>
              <w:keepLines w:val="0"/>
              <w:pageBreakBefore w:val="0"/>
              <w:widowControl/>
              <w:suppressLineNumbers w:val="0"/>
              <w:kinsoku/>
              <w:wordWrap/>
              <w:overflowPunct/>
              <w:topLinePunct w:val="0"/>
              <w:autoSpaceDE/>
              <w:autoSpaceDN/>
              <w:bidi w:val="0"/>
              <w:adjustRightInd/>
              <w:snapToGrid w:val="0"/>
              <w:ind w:firstLine="1170" w:firstLineChars="500"/>
              <w:jc w:val="both"/>
              <w:textAlignment w:val="auto"/>
              <w:rPr>
                <w:rFonts w:hint="default" w:ascii="Times New Roman" w:hAnsi="Times New Roman" w:eastAsia="宋体" w:cs="Times New Roman"/>
                <w:spacing w:val="-3"/>
              </w:rPr>
            </w:pPr>
            <w:r>
              <w:rPr>
                <w:rFonts w:hint="default" w:ascii="Times New Roman" w:hAnsi="Times New Roman" w:eastAsia="宋体" w:cs="Times New Roman"/>
                <w:spacing w:val="-3"/>
              </w:rPr>
              <w:t>M—每辆汽车进出停车场耗油量（L）；</w:t>
            </w:r>
          </w:p>
          <w:p w14:paraId="7C28524E">
            <w:pPr>
              <w:keepNext w:val="0"/>
              <w:keepLines w:val="0"/>
              <w:pageBreakBefore w:val="0"/>
              <w:widowControl/>
              <w:suppressLineNumbers w:val="0"/>
              <w:kinsoku/>
              <w:wordWrap/>
              <w:overflowPunct/>
              <w:topLinePunct w:val="0"/>
              <w:autoSpaceDE/>
              <w:autoSpaceDN/>
              <w:bidi w:val="0"/>
              <w:adjustRightInd/>
              <w:snapToGrid w:val="0"/>
              <w:ind w:firstLine="1170" w:firstLineChars="500"/>
              <w:jc w:val="both"/>
              <w:textAlignment w:val="auto"/>
              <w:rPr>
                <w:rFonts w:hint="default" w:ascii="Times New Roman" w:hAnsi="Times New Roman" w:eastAsia="宋体" w:cs="Times New Roman"/>
                <w:spacing w:val="-3"/>
              </w:rPr>
            </w:pPr>
            <w:r>
              <w:rPr>
                <w:rFonts w:hint="default" w:ascii="Times New Roman" w:hAnsi="Times New Roman" w:eastAsia="宋体" w:cs="Times New Roman"/>
                <w:spacing w:val="-3"/>
              </w:rPr>
              <w:t>t —汽车出入停车场与在停车场内的运行时间总和，类比取 100s；</w:t>
            </w:r>
          </w:p>
          <w:p w14:paraId="05B1DFA8">
            <w:pPr>
              <w:keepNext w:val="0"/>
              <w:keepLines w:val="0"/>
              <w:pageBreakBefore w:val="0"/>
              <w:widowControl/>
              <w:suppressLineNumbers w:val="0"/>
              <w:kinsoku/>
              <w:wordWrap/>
              <w:overflowPunct/>
              <w:topLinePunct w:val="0"/>
              <w:autoSpaceDE/>
              <w:autoSpaceDN/>
              <w:bidi w:val="0"/>
              <w:adjustRightInd/>
              <w:snapToGrid w:val="0"/>
              <w:ind w:firstLine="1170" w:firstLineChars="500"/>
              <w:jc w:val="both"/>
              <w:textAlignment w:val="auto"/>
              <w:rPr>
                <w:rFonts w:hint="default" w:ascii="Times New Roman" w:hAnsi="Times New Roman" w:eastAsia="宋体" w:cs="Times New Roman"/>
                <w:spacing w:val="-3"/>
              </w:rPr>
            </w:pPr>
            <w:r>
              <w:rPr>
                <w:rFonts w:hint="default" w:ascii="Times New Roman" w:hAnsi="Times New Roman" w:eastAsia="宋体" w:cs="Times New Roman"/>
                <w:spacing w:val="-3"/>
              </w:rPr>
              <w:t>m—车辆进出停车场的平均耗油速率，约为0.20L/km，</w:t>
            </w:r>
          </w:p>
          <w:p w14:paraId="5BF0805E">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spacing w:val="-3"/>
                <w:lang w:val="en-US" w:eastAsia="zh-CN"/>
              </w:rPr>
            </w:pPr>
            <w:r>
              <w:rPr>
                <w:rFonts w:hint="default" w:ascii="Times New Roman" w:hAnsi="Times New Roman" w:eastAsia="宋体" w:cs="Times New Roman"/>
                <w:spacing w:val="-3"/>
              </w:rPr>
              <w:t>按照车速5km/h计算，可得M=0.0139L。由此计算得，每辆汽车进出停车场产生的废气污染物CO、非甲烷总烃、NOx的量分别为5.3g、0.68g、0.62g。</w:t>
            </w:r>
            <w:r>
              <w:rPr>
                <w:rFonts w:hint="eastAsia" w:cs="Times New Roman"/>
                <w:spacing w:val="-3"/>
                <w:lang w:val="en-US" w:eastAsia="zh-CN"/>
              </w:rPr>
              <w:t>按照最大每天有100辆车进入停车场，则机动车尾气的年产生量分别为</w:t>
            </w:r>
            <w:r>
              <w:rPr>
                <w:rFonts w:hint="default" w:ascii="Times New Roman" w:hAnsi="Times New Roman" w:eastAsia="宋体" w:cs="Times New Roman"/>
                <w:spacing w:val="-3"/>
              </w:rPr>
              <w:t>CO</w:t>
            </w:r>
            <w:r>
              <w:rPr>
                <w:rFonts w:hint="eastAsia" w:cs="Times New Roman"/>
                <w:spacing w:val="-3"/>
                <w:lang w:val="en-US" w:eastAsia="zh-CN"/>
              </w:rPr>
              <w:t xml:space="preserve"> 0.193t/a</w:t>
            </w:r>
            <w:r>
              <w:rPr>
                <w:rFonts w:hint="default" w:ascii="Times New Roman" w:hAnsi="Times New Roman" w:eastAsia="宋体" w:cs="Times New Roman"/>
                <w:spacing w:val="-3"/>
              </w:rPr>
              <w:t>、非甲烷总烃</w:t>
            </w:r>
            <w:r>
              <w:rPr>
                <w:rFonts w:hint="eastAsia" w:cs="Times New Roman"/>
                <w:spacing w:val="-3"/>
                <w:lang w:val="en-US" w:eastAsia="zh-CN"/>
              </w:rPr>
              <w:t>0.025t/a</w:t>
            </w:r>
            <w:r>
              <w:rPr>
                <w:rFonts w:hint="default" w:ascii="Times New Roman" w:hAnsi="Times New Roman" w:eastAsia="宋体" w:cs="Times New Roman"/>
                <w:spacing w:val="-3"/>
              </w:rPr>
              <w:t>、NOx</w:t>
            </w:r>
            <w:r>
              <w:rPr>
                <w:rFonts w:hint="eastAsia" w:cs="Times New Roman"/>
                <w:spacing w:val="-3"/>
                <w:lang w:val="en-US" w:eastAsia="zh-CN"/>
              </w:rPr>
              <w:t xml:space="preserve"> 0.023t/a。</w:t>
            </w:r>
          </w:p>
          <w:p w14:paraId="12072C7C">
            <w:pPr>
              <w:keepNext w:val="0"/>
              <w:keepLines w:val="0"/>
              <w:pageBreakBefore w:val="0"/>
              <w:widowControl/>
              <w:suppressLineNumbers w:val="0"/>
              <w:kinsoku/>
              <w:wordWrap/>
              <w:overflowPunct/>
              <w:topLinePunct w:val="0"/>
              <w:autoSpaceDE/>
              <w:autoSpaceDN/>
              <w:bidi w:val="0"/>
              <w:adjustRightInd/>
              <w:snapToGrid w:val="0"/>
              <w:ind w:firstLine="468" w:firstLineChars="200"/>
              <w:jc w:val="both"/>
              <w:textAlignment w:val="auto"/>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spacing w:val="-3"/>
              </w:rPr>
              <w:t>地上停车场车位位于开阔地带，机动车尾气易于被稀释扩散，对周围环境影响不大。</w:t>
            </w:r>
          </w:p>
          <w:p w14:paraId="5CDB86F9">
            <w:pPr>
              <w:keepNext w:val="0"/>
              <w:keepLines w:val="0"/>
              <w:pageBreakBefore w:val="0"/>
              <w:widowControl/>
              <w:suppressLineNumbers w:val="0"/>
              <w:kinsoku/>
              <w:wordWrap/>
              <w:overflowPunct/>
              <w:topLinePunct w:val="0"/>
              <w:autoSpaceDE/>
              <w:autoSpaceDN/>
              <w:bidi w:val="0"/>
              <w:adjustRightInd/>
              <w:snapToGrid w:val="0"/>
              <w:ind w:firstLine="482" w:firstLineChars="200"/>
              <w:jc w:val="both"/>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bCs/>
                <w:color w:val="000000"/>
                <w:kern w:val="2"/>
                <w:sz w:val="24"/>
                <w:szCs w:val="24"/>
                <w:highlight w:val="none"/>
                <w:lang w:val="en-US" w:eastAsia="zh-CN" w:bidi="ar-SA"/>
              </w:rPr>
              <w:t>1.3、恶臭</w:t>
            </w:r>
          </w:p>
          <w:p w14:paraId="5395B1A4">
            <w:pPr>
              <w:keepNext w:val="0"/>
              <w:keepLines w:val="0"/>
              <w:pageBreakBefore w:val="0"/>
              <w:widowControl/>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b w:val="0"/>
                <w:bCs w:val="0"/>
                <w:color w:val="000000"/>
                <w:kern w:val="2"/>
                <w:sz w:val="24"/>
                <w:szCs w:val="24"/>
                <w:highlight w:val="none"/>
                <w:lang w:val="en-US" w:eastAsia="zh-CN" w:bidi="ar-SA"/>
              </w:rPr>
              <w:t>①垃圾箱恶臭</w:t>
            </w:r>
          </w:p>
          <w:p w14:paraId="436C4B45">
            <w:pPr>
              <w:keepNext w:val="0"/>
              <w:keepLines w:val="0"/>
              <w:pageBreakBefore w:val="0"/>
              <w:widowControl/>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b w:val="0"/>
                <w:bCs w:val="0"/>
                <w:color w:val="000000"/>
                <w:kern w:val="2"/>
                <w:sz w:val="24"/>
                <w:szCs w:val="24"/>
                <w:highlight w:val="none"/>
                <w:lang w:val="en-US" w:eastAsia="zh-CN" w:bidi="ar-SA"/>
              </w:rPr>
              <w:t>项目配套设置垃圾箱，生活垃圾中含有各类易发酵的有机物，尤其是在气温较高时，如果管理不当，生活垃圾在堆存、运输过程中会散发出较难闻的恶臭气体，这些恶臭物质主要包括氨、硫化氢、硫醇类、</w:t>
            </w:r>
            <w:r>
              <w:rPr>
                <w:rFonts w:hint="eastAsia" w:ascii="Times New Roman" w:hAnsi="Times New Roman" w:eastAsia="宋体" w:cs="Times New Roman"/>
                <w:b w:val="0"/>
                <w:bCs w:val="0"/>
                <w:color w:val="000000"/>
                <w:kern w:val="2"/>
                <w:sz w:val="24"/>
                <w:szCs w:val="24"/>
                <w:highlight w:val="none"/>
                <w:lang w:val="en-US" w:eastAsia="zh-CN" w:bidi="ar-SA"/>
              </w:rPr>
              <w:t>酮类</w:t>
            </w:r>
            <w:r>
              <w:rPr>
                <w:rFonts w:hint="default" w:ascii="Times New Roman" w:hAnsi="Times New Roman" w:eastAsia="宋体" w:cs="Times New Roman"/>
                <w:b w:val="0"/>
                <w:bCs w:val="0"/>
                <w:color w:val="000000"/>
                <w:kern w:val="2"/>
                <w:sz w:val="24"/>
                <w:szCs w:val="24"/>
                <w:highlight w:val="none"/>
                <w:lang w:val="en-US" w:eastAsia="zh-CN" w:bidi="ar-SA"/>
              </w:rPr>
              <w:t>、胺类、吲哚类和醛类，且容易滋生蚊蝇，对局部环境卫生产生一定的影响。项目设置垃圾桶若干，并实行每天清运，做到日清日运，以保持环境卫生；尤其是夏季高温时，防止垃圾腐败产生异味，降低对周围环境的影响。</w:t>
            </w:r>
          </w:p>
          <w:p w14:paraId="2DAADF77">
            <w:pPr>
              <w:keepNext w:val="0"/>
              <w:keepLines w:val="0"/>
              <w:pageBreakBefore w:val="0"/>
              <w:widowControl/>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b w:val="0"/>
                <w:bCs w:val="0"/>
                <w:color w:val="000000"/>
                <w:kern w:val="2"/>
                <w:sz w:val="24"/>
                <w:szCs w:val="24"/>
                <w:highlight w:val="none"/>
                <w:lang w:val="en-US" w:eastAsia="zh-CN" w:bidi="ar-SA"/>
              </w:rPr>
              <w:t>②公厕恶臭</w:t>
            </w:r>
          </w:p>
          <w:p w14:paraId="3BAE5840">
            <w:pPr>
              <w:keepNext w:val="0"/>
              <w:keepLines w:val="0"/>
              <w:pageBreakBefore w:val="0"/>
              <w:widowControl/>
              <w:suppressLineNumbers w:val="0"/>
              <w:kinsoku/>
              <w:wordWrap/>
              <w:overflowPunct/>
              <w:topLinePunct w:val="0"/>
              <w:autoSpaceDE/>
              <w:autoSpaceDN/>
              <w:bidi w:val="0"/>
              <w:adjustRightInd/>
              <w:snapToGrid w:val="0"/>
              <w:ind w:firstLine="480" w:firstLineChars="200"/>
              <w:jc w:val="both"/>
              <w:textAlignment w:val="auto"/>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b w:val="0"/>
                <w:bCs w:val="0"/>
                <w:color w:val="000000"/>
                <w:kern w:val="2"/>
                <w:sz w:val="24"/>
                <w:szCs w:val="24"/>
                <w:highlight w:val="none"/>
                <w:lang w:val="en-US" w:eastAsia="zh-CN" w:bidi="ar-SA"/>
              </w:rPr>
              <w:t>项目公厕会产生少量恶臭，但项目公厕为室内冲水式公厕，使用后立即进行冲水，同时通过公厕内配套设置的送、排风系统进行换气，工作人员每天清洁、定期消毒等措施，以保持公厕环境卫生，公厕的恶臭对周围环境的影响较小。</w:t>
            </w:r>
          </w:p>
          <w:p w14:paraId="0B27EB79">
            <w:pPr>
              <w:keepNext w:val="0"/>
              <w:keepLines w:val="0"/>
              <w:pageBreakBefore w:val="0"/>
              <w:widowControl/>
              <w:suppressLineNumbers w:val="0"/>
              <w:kinsoku/>
              <w:wordWrap/>
              <w:overflowPunct/>
              <w:topLinePunct w:val="0"/>
              <w:autoSpaceDE/>
              <w:autoSpaceDN/>
              <w:bidi w:val="0"/>
              <w:adjustRightInd/>
              <w:snapToGrid w:val="0"/>
              <w:ind w:firstLine="482" w:firstLineChars="200"/>
              <w:jc w:val="both"/>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eastAsia" w:cs="Times New Roman"/>
                <w:b/>
                <w:bCs/>
                <w:color w:val="000000"/>
                <w:kern w:val="2"/>
                <w:sz w:val="24"/>
                <w:szCs w:val="24"/>
                <w:highlight w:val="none"/>
                <w:lang w:val="en-US" w:eastAsia="zh-CN" w:bidi="ar-SA"/>
              </w:rPr>
              <w:t>2.</w:t>
            </w:r>
            <w:r>
              <w:rPr>
                <w:rFonts w:hint="default" w:ascii="Times New Roman" w:hAnsi="Times New Roman" w:eastAsia="宋体" w:cs="Times New Roman"/>
                <w:b/>
                <w:bCs/>
                <w:color w:val="000000"/>
                <w:kern w:val="2"/>
                <w:sz w:val="24"/>
                <w:szCs w:val="24"/>
                <w:highlight w:val="none"/>
                <w:lang w:val="en-US" w:eastAsia="zh-CN" w:bidi="ar-SA"/>
              </w:rPr>
              <w:t>运营期水环境影响分析</w:t>
            </w:r>
          </w:p>
          <w:p w14:paraId="60FBFB29">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kern w:val="0"/>
                <w:sz w:val="24"/>
                <w:szCs w:val="24"/>
                <w:lang w:val="en-US" w:eastAsia="zh-CN" w:bidi="ar"/>
              </w:rPr>
              <w:t>本项目</w:t>
            </w:r>
            <w:r>
              <w:rPr>
                <w:rFonts w:hint="eastAsia" w:cs="Times New Roman"/>
                <w:color w:val="000000"/>
                <w:kern w:val="0"/>
                <w:sz w:val="24"/>
                <w:szCs w:val="24"/>
                <w:lang w:val="en-US" w:eastAsia="zh-CN" w:bidi="ar"/>
              </w:rPr>
              <w:t>生活污水</w:t>
            </w:r>
            <w:r>
              <w:rPr>
                <w:rFonts w:hint="default" w:ascii="Times New Roman" w:hAnsi="Times New Roman" w:eastAsia="宋体" w:cs="Times New Roman"/>
                <w:color w:val="000000"/>
                <w:kern w:val="0"/>
                <w:sz w:val="24"/>
                <w:szCs w:val="24"/>
                <w:lang w:val="en-US" w:eastAsia="zh-CN" w:bidi="ar"/>
              </w:rPr>
              <w:t>主要为民宿客房</w:t>
            </w:r>
            <w:r>
              <w:rPr>
                <w:rFonts w:hint="eastAsia" w:cs="Times New Roman"/>
                <w:color w:val="000000"/>
                <w:kern w:val="0"/>
                <w:sz w:val="24"/>
                <w:szCs w:val="24"/>
                <w:lang w:val="en-US" w:eastAsia="zh-CN" w:bidi="ar"/>
              </w:rPr>
              <w:t>废水</w:t>
            </w:r>
            <w:r>
              <w:rPr>
                <w:rFonts w:hint="default" w:ascii="Times New Roman" w:hAnsi="Times New Roman" w:eastAsia="宋体" w:cs="Times New Roman"/>
                <w:color w:val="000000"/>
                <w:kern w:val="0"/>
                <w:sz w:val="24"/>
                <w:szCs w:val="24"/>
                <w:lang w:val="en-US" w:eastAsia="zh-CN" w:bidi="ar"/>
              </w:rPr>
              <w:t>、乡村会客厅综合体</w:t>
            </w:r>
            <w:r>
              <w:rPr>
                <w:rFonts w:hint="eastAsia" w:cs="Times New Roman"/>
                <w:color w:val="000000"/>
                <w:kern w:val="0"/>
                <w:sz w:val="24"/>
                <w:szCs w:val="24"/>
                <w:lang w:val="en-US" w:eastAsia="zh-CN" w:bidi="ar"/>
              </w:rPr>
              <w:t>废</w:t>
            </w:r>
            <w:r>
              <w:rPr>
                <w:rFonts w:hint="default" w:ascii="Times New Roman" w:hAnsi="Times New Roman" w:eastAsia="宋体" w:cs="Times New Roman"/>
                <w:color w:val="000000"/>
                <w:kern w:val="0"/>
                <w:sz w:val="24"/>
                <w:szCs w:val="24"/>
                <w:lang w:val="en-US" w:eastAsia="zh-CN" w:bidi="ar"/>
              </w:rPr>
              <w:t>水、管理及服务人员</w:t>
            </w:r>
            <w:r>
              <w:rPr>
                <w:rFonts w:hint="eastAsia" w:cs="Times New Roman"/>
                <w:color w:val="000000"/>
                <w:kern w:val="0"/>
                <w:sz w:val="24"/>
                <w:szCs w:val="24"/>
                <w:lang w:val="en-US" w:eastAsia="zh-CN" w:bidi="ar"/>
              </w:rPr>
              <w:t>废水、餐饮含油废水</w:t>
            </w:r>
            <w:r>
              <w:rPr>
                <w:rFonts w:hint="default" w:ascii="Times New Roman" w:hAnsi="Times New Roman" w:eastAsia="宋体" w:cs="Times New Roman"/>
                <w:color w:val="000000"/>
                <w:kern w:val="0"/>
                <w:sz w:val="24"/>
                <w:szCs w:val="24"/>
                <w:lang w:val="en-US" w:eastAsia="zh-CN" w:bidi="ar"/>
              </w:rPr>
              <w:t xml:space="preserve">等。 </w:t>
            </w:r>
          </w:p>
          <w:p w14:paraId="40D89762">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（1）民宿客房废水</w:t>
            </w:r>
          </w:p>
          <w:p w14:paraId="5414AA33">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本项目共新建</w:t>
            </w:r>
            <w:r>
              <w:rPr>
                <w:rFonts w:hint="eastAsia" w:ascii="Times New Roman" w:hAnsi="Times New Roman" w:eastAsia="宋体" w:cs="Times New Roman"/>
                <w:color w:val="000000"/>
                <w:kern w:val="0"/>
                <w:sz w:val="24"/>
                <w:szCs w:val="24"/>
                <w:lang w:val="en-US" w:eastAsia="zh-CN" w:bidi="ar"/>
              </w:rPr>
              <w:t>51</w:t>
            </w:r>
            <w:r>
              <w:rPr>
                <w:rFonts w:hint="default" w:ascii="Times New Roman" w:hAnsi="Times New Roman" w:eastAsia="宋体" w:cs="Times New Roman"/>
                <w:color w:val="000000"/>
                <w:kern w:val="0"/>
                <w:sz w:val="24"/>
                <w:szCs w:val="24"/>
                <w:lang w:val="en-US" w:eastAsia="zh-CN" w:bidi="ar"/>
              </w:rPr>
              <w:t>间精品民宿，按每间客房2人计算，最高日用水定额取</w:t>
            </w:r>
            <w:r>
              <w:rPr>
                <w:rFonts w:hint="eastAsia" w:ascii="Times New Roman" w:hAnsi="Times New Roman" w:eastAsia="宋体" w:cs="Times New Roman"/>
                <w:color w:val="000000"/>
                <w:kern w:val="0"/>
                <w:sz w:val="24"/>
                <w:szCs w:val="24"/>
                <w:lang w:val="en-US" w:eastAsia="zh-CN" w:bidi="ar"/>
              </w:rPr>
              <w:t>400</w:t>
            </w:r>
            <w:r>
              <w:rPr>
                <w:rFonts w:hint="default" w:ascii="Times New Roman" w:hAnsi="Times New Roman" w:eastAsia="宋体" w:cs="Times New Roman"/>
                <w:color w:val="000000"/>
                <w:kern w:val="0"/>
                <w:sz w:val="24"/>
                <w:szCs w:val="24"/>
                <w:lang w:val="en-US" w:eastAsia="zh-CN" w:bidi="ar"/>
              </w:rPr>
              <w:t>L/（床·d），则最高日用水量为</w:t>
            </w:r>
            <w:r>
              <w:rPr>
                <w:rFonts w:hint="eastAsia" w:ascii="Times New Roman" w:hAnsi="Times New Roman" w:eastAsia="宋体" w:cs="Times New Roman"/>
                <w:color w:val="000000"/>
                <w:kern w:val="0"/>
                <w:sz w:val="24"/>
                <w:szCs w:val="24"/>
                <w:lang w:val="en-US" w:eastAsia="zh-CN" w:bidi="ar"/>
              </w:rPr>
              <w:t>40.8</w:t>
            </w:r>
            <w:r>
              <w:rPr>
                <w:rFonts w:hint="default" w:ascii="Times New Roman" w:hAnsi="Times New Roman" w:eastAsia="宋体" w:cs="Times New Roman"/>
                <w:color w:val="000000"/>
                <w:kern w:val="0"/>
                <w:sz w:val="24"/>
                <w:szCs w:val="24"/>
                <w:lang w:val="en-US" w:eastAsia="zh-CN" w:bidi="ar"/>
              </w:rPr>
              <w:t>m³/d（</w:t>
            </w:r>
            <w:r>
              <w:rPr>
                <w:rFonts w:hint="eastAsia" w:ascii="Times New Roman" w:hAnsi="Times New Roman" w:eastAsia="宋体" w:cs="Times New Roman"/>
                <w:color w:val="000000"/>
                <w:kern w:val="0"/>
                <w:sz w:val="24"/>
                <w:szCs w:val="24"/>
                <w:lang w:val="en-US" w:eastAsia="zh-CN" w:bidi="ar"/>
              </w:rPr>
              <w:t>14892</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/a）。</w:t>
            </w:r>
            <w:r>
              <w:rPr>
                <w:rFonts w:hint="default" w:ascii="Times New Roman" w:hAnsi="Times New Roman" w:eastAsia="宋体" w:cs="Times New Roman"/>
                <w:spacing w:val="-2"/>
              </w:rPr>
              <w:t>排污系</w:t>
            </w:r>
            <w:r>
              <w:rPr>
                <w:rFonts w:hint="default" w:ascii="Times New Roman" w:hAnsi="Times New Roman" w:eastAsia="宋体" w:cs="Times New Roman"/>
                <w:spacing w:val="1"/>
              </w:rPr>
              <w:t>数以0.8计，</w:t>
            </w:r>
            <w:r>
              <w:rPr>
                <w:rFonts w:hint="default" w:ascii="Times New Roman" w:hAnsi="Times New Roman" w:eastAsia="宋体" w:cs="Times New Roman"/>
                <w:spacing w:val="1"/>
                <w:lang w:val="en-US" w:eastAsia="zh-CN"/>
              </w:rPr>
              <w:t>则</w:t>
            </w:r>
            <w:r>
              <w:rPr>
                <w:rFonts w:hint="default" w:ascii="Times New Roman" w:hAnsi="Times New Roman" w:eastAsia="宋体" w:cs="Times New Roman"/>
                <w:color w:val="000000"/>
                <w:kern w:val="0"/>
                <w:sz w:val="24"/>
                <w:szCs w:val="24"/>
                <w:lang w:val="en-US" w:eastAsia="zh-CN" w:bidi="ar"/>
              </w:rPr>
              <w:t>民宿客房</w:t>
            </w:r>
            <w:r>
              <w:rPr>
                <w:rFonts w:hint="default" w:ascii="Times New Roman" w:hAnsi="Times New Roman" w:eastAsia="宋体" w:cs="Times New Roman"/>
                <w:color w:val="000000"/>
                <w:kern w:val="0"/>
                <w:szCs w:val="21"/>
                <w:highlight w:val="none"/>
                <w:lang w:val="en-US" w:eastAsia="zh-CN"/>
              </w:rPr>
              <w:t>排水量为</w:t>
            </w:r>
            <w:r>
              <w:rPr>
                <w:rFonts w:hint="eastAsia" w:ascii="Times New Roman" w:hAnsi="Times New Roman" w:eastAsia="宋体" w:cs="Times New Roman"/>
                <w:color w:val="000000"/>
                <w:kern w:val="0"/>
                <w:szCs w:val="21"/>
                <w:highlight w:val="none"/>
                <w:lang w:val="en-US" w:eastAsia="zh-CN"/>
              </w:rPr>
              <w:t>32.64</w:t>
            </w:r>
            <w:r>
              <w:rPr>
                <w:rFonts w:hint="default" w:ascii="Times New Roman" w:hAnsi="Times New Roman" w:eastAsia="宋体" w:cs="Times New Roman"/>
                <w:color w:val="000000"/>
                <w:kern w:val="0"/>
                <w:szCs w:val="21"/>
                <w:highlight w:val="none"/>
                <w:lang w:val="en-US" w:eastAsia="zh-CN"/>
              </w:rPr>
              <w:t>m</w:t>
            </w:r>
            <w:r>
              <w:rPr>
                <w:rFonts w:hint="default" w:ascii="Times New Roman" w:hAnsi="Times New Roman" w:eastAsia="宋体" w:cs="Times New Roman"/>
                <w:color w:val="000000"/>
                <w:kern w:val="0"/>
                <w:szCs w:val="21"/>
                <w:highlight w:val="none"/>
                <w:vertAlign w:val="superscript"/>
                <w:lang w:val="en-US" w:eastAsia="zh-CN"/>
              </w:rPr>
              <w:t>3</w:t>
            </w:r>
            <w:r>
              <w:rPr>
                <w:rFonts w:hint="default" w:ascii="Times New Roman" w:hAnsi="Times New Roman" w:eastAsia="宋体" w:cs="Times New Roman"/>
                <w:color w:val="000000"/>
                <w:kern w:val="0"/>
                <w:szCs w:val="21"/>
                <w:highlight w:val="none"/>
                <w:lang w:val="en-US" w:eastAsia="zh-CN"/>
              </w:rPr>
              <w:t>/d（</w:t>
            </w:r>
            <w:r>
              <w:rPr>
                <w:rFonts w:hint="eastAsia" w:ascii="Times New Roman" w:hAnsi="Times New Roman" w:eastAsia="宋体" w:cs="Times New Roman"/>
                <w:color w:val="000000"/>
                <w:kern w:val="0"/>
                <w:szCs w:val="21"/>
                <w:highlight w:val="none"/>
                <w:lang w:val="en-US" w:eastAsia="zh-CN"/>
              </w:rPr>
              <w:t>11913.60</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/a</w:t>
            </w:r>
            <w:r>
              <w:rPr>
                <w:rFonts w:hint="default" w:ascii="Times New Roman" w:hAnsi="Times New Roman" w:eastAsia="宋体" w:cs="Times New Roman"/>
                <w:color w:val="000000"/>
                <w:kern w:val="0"/>
                <w:szCs w:val="21"/>
                <w:highlight w:val="none"/>
                <w:lang w:val="en-US" w:eastAsia="zh-CN"/>
              </w:rPr>
              <w:t>）。</w:t>
            </w:r>
          </w:p>
          <w:p w14:paraId="5738B346">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（2）游客废水</w:t>
            </w:r>
          </w:p>
          <w:p w14:paraId="60722D8A">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包括会客厅（780m</w:t>
            </w:r>
            <w:r>
              <w:rPr>
                <w:rFonts w:hint="default" w:ascii="Times New Roman" w:hAnsi="Times New Roman" w:eastAsia="宋体" w:cs="Times New Roman"/>
                <w:color w:val="000000"/>
                <w:kern w:val="0"/>
                <w:sz w:val="24"/>
                <w:szCs w:val="24"/>
                <w:vertAlign w:val="superscript"/>
                <w:lang w:val="en-US" w:eastAsia="zh-CN" w:bidi="ar"/>
              </w:rPr>
              <w:t>2</w:t>
            </w:r>
            <w:r>
              <w:rPr>
                <w:rFonts w:hint="default" w:ascii="Times New Roman" w:hAnsi="Times New Roman" w:eastAsia="宋体" w:cs="Times New Roman"/>
                <w:color w:val="000000"/>
                <w:kern w:val="0"/>
                <w:sz w:val="24"/>
                <w:szCs w:val="24"/>
                <w:lang w:val="en-US" w:eastAsia="zh-CN" w:bidi="ar"/>
              </w:rPr>
              <w:t>）、研学区、多功能厅等。会客厅按游客人数估算，最高日用水定额取</w:t>
            </w:r>
            <w:r>
              <w:rPr>
                <w:rFonts w:hint="eastAsia" w:ascii="Times New Roman" w:hAnsi="Times New Roman" w:eastAsia="宋体" w:cs="Times New Roman"/>
                <w:color w:val="000000"/>
                <w:kern w:val="0"/>
                <w:sz w:val="24"/>
                <w:szCs w:val="24"/>
                <w:lang w:val="en-US" w:eastAsia="zh-CN" w:bidi="ar"/>
              </w:rPr>
              <w:t>35</w:t>
            </w:r>
            <w:r>
              <w:rPr>
                <w:rFonts w:hint="default" w:ascii="Times New Roman" w:hAnsi="Times New Roman" w:eastAsia="宋体" w:cs="Times New Roman"/>
                <w:color w:val="000000"/>
                <w:kern w:val="0"/>
                <w:sz w:val="24"/>
                <w:szCs w:val="24"/>
                <w:lang w:val="en-US" w:eastAsia="zh-CN" w:bidi="ar"/>
              </w:rPr>
              <w:t>L/（人·d），按日均接待200人计算，则最高日用水量为</w:t>
            </w:r>
            <w:r>
              <w:rPr>
                <w:rFonts w:hint="eastAsia" w:ascii="Times New Roman" w:hAnsi="Times New Roman" w:eastAsia="宋体" w:cs="Times New Roman"/>
                <w:color w:val="000000"/>
                <w:kern w:val="0"/>
                <w:sz w:val="24"/>
                <w:szCs w:val="24"/>
                <w:lang w:val="en-US" w:eastAsia="zh-CN" w:bidi="ar"/>
              </w:rPr>
              <w:t>7</w:t>
            </w:r>
            <w:r>
              <w:rPr>
                <w:rFonts w:hint="default" w:ascii="Times New Roman" w:hAnsi="Times New Roman" w:eastAsia="宋体" w:cs="Times New Roman"/>
                <w:color w:val="000000"/>
                <w:kern w:val="0"/>
                <w:sz w:val="24"/>
                <w:szCs w:val="24"/>
                <w:lang w:val="en-US" w:eastAsia="zh-CN" w:bidi="ar"/>
              </w:rPr>
              <w:t>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/d（</w:t>
            </w:r>
            <w:r>
              <w:rPr>
                <w:rFonts w:hint="eastAsia" w:ascii="Times New Roman" w:hAnsi="Times New Roman" w:eastAsia="宋体" w:cs="Times New Roman"/>
                <w:color w:val="000000"/>
                <w:kern w:val="0"/>
                <w:sz w:val="24"/>
                <w:szCs w:val="24"/>
                <w:lang w:val="en-US" w:eastAsia="zh-CN" w:bidi="ar"/>
              </w:rPr>
              <w:t>2555</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/a）。</w:t>
            </w:r>
            <w:r>
              <w:rPr>
                <w:rFonts w:hint="default" w:ascii="Times New Roman" w:hAnsi="Times New Roman" w:eastAsia="宋体" w:cs="Times New Roman"/>
                <w:spacing w:val="-2"/>
              </w:rPr>
              <w:t>排污系</w:t>
            </w:r>
            <w:r>
              <w:rPr>
                <w:rFonts w:hint="default" w:ascii="Times New Roman" w:hAnsi="Times New Roman" w:eastAsia="宋体" w:cs="Times New Roman"/>
                <w:spacing w:val="1"/>
              </w:rPr>
              <w:t>数以0.8计，</w:t>
            </w:r>
            <w:r>
              <w:rPr>
                <w:rFonts w:hint="default" w:ascii="Times New Roman" w:hAnsi="Times New Roman" w:eastAsia="宋体" w:cs="Times New Roman"/>
                <w:spacing w:val="1"/>
                <w:lang w:val="en-US" w:eastAsia="zh-CN"/>
              </w:rPr>
              <w:t>则</w:t>
            </w:r>
            <w:r>
              <w:rPr>
                <w:rFonts w:hint="default" w:ascii="Times New Roman" w:hAnsi="Times New Roman" w:eastAsia="宋体" w:cs="Times New Roman"/>
                <w:color w:val="000000"/>
                <w:kern w:val="0"/>
                <w:sz w:val="24"/>
                <w:szCs w:val="24"/>
                <w:lang w:val="en-US" w:eastAsia="zh-CN" w:bidi="ar"/>
              </w:rPr>
              <w:t>游客废水</w:t>
            </w:r>
            <w:r>
              <w:rPr>
                <w:rFonts w:hint="default" w:ascii="Times New Roman" w:hAnsi="Times New Roman" w:eastAsia="宋体" w:cs="Times New Roman"/>
                <w:color w:val="000000"/>
                <w:kern w:val="0"/>
                <w:szCs w:val="21"/>
                <w:highlight w:val="none"/>
                <w:lang w:val="en-US" w:eastAsia="zh-CN"/>
              </w:rPr>
              <w:t>排水量为</w:t>
            </w:r>
            <w:r>
              <w:rPr>
                <w:rFonts w:hint="eastAsia" w:ascii="Times New Roman" w:hAnsi="Times New Roman" w:eastAsia="宋体" w:cs="Times New Roman"/>
                <w:color w:val="000000"/>
                <w:kern w:val="0"/>
                <w:szCs w:val="21"/>
                <w:highlight w:val="none"/>
                <w:lang w:val="en-US" w:eastAsia="zh-CN"/>
              </w:rPr>
              <w:t>5.6</w:t>
            </w:r>
            <w:r>
              <w:rPr>
                <w:rFonts w:hint="default" w:ascii="Times New Roman" w:hAnsi="Times New Roman" w:eastAsia="宋体" w:cs="Times New Roman"/>
                <w:color w:val="000000"/>
                <w:kern w:val="0"/>
                <w:szCs w:val="21"/>
                <w:highlight w:val="none"/>
                <w:lang w:val="en-US" w:eastAsia="zh-CN"/>
              </w:rPr>
              <w:t>m</w:t>
            </w:r>
            <w:r>
              <w:rPr>
                <w:rFonts w:hint="default" w:ascii="Times New Roman" w:hAnsi="Times New Roman" w:eastAsia="宋体" w:cs="Times New Roman"/>
                <w:color w:val="000000"/>
                <w:kern w:val="0"/>
                <w:szCs w:val="21"/>
                <w:highlight w:val="none"/>
                <w:vertAlign w:val="superscript"/>
                <w:lang w:val="en-US" w:eastAsia="zh-CN"/>
              </w:rPr>
              <w:t>3</w:t>
            </w:r>
            <w:r>
              <w:rPr>
                <w:rFonts w:hint="default" w:ascii="Times New Roman" w:hAnsi="Times New Roman" w:eastAsia="宋体" w:cs="Times New Roman"/>
                <w:color w:val="000000"/>
                <w:kern w:val="0"/>
                <w:szCs w:val="21"/>
                <w:highlight w:val="none"/>
                <w:lang w:val="en-US" w:eastAsia="zh-CN"/>
              </w:rPr>
              <w:t>/d（</w:t>
            </w:r>
            <w:r>
              <w:rPr>
                <w:rFonts w:hint="eastAsia" w:ascii="Times New Roman" w:hAnsi="Times New Roman" w:eastAsia="宋体" w:cs="Times New Roman"/>
                <w:color w:val="000000"/>
                <w:kern w:val="0"/>
                <w:szCs w:val="21"/>
                <w:highlight w:val="none"/>
                <w:lang w:val="en-US" w:eastAsia="zh-CN"/>
              </w:rPr>
              <w:t>2044</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/a</w:t>
            </w:r>
            <w:r>
              <w:rPr>
                <w:rFonts w:hint="default" w:ascii="Times New Roman" w:hAnsi="Times New Roman" w:eastAsia="宋体" w:cs="Times New Roman"/>
                <w:color w:val="000000"/>
                <w:kern w:val="0"/>
                <w:szCs w:val="21"/>
                <w:highlight w:val="none"/>
                <w:lang w:val="en-US" w:eastAsia="zh-CN"/>
              </w:rPr>
              <w:t>）。</w:t>
            </w:r>
          </w:p>
          <w:p w14:paraId="32256D6F">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（3）餐饮含油废水</w:t>
            </w:r>
          </w:p>
          <w:p w14:paraId="78A39F15">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大食堂（275m</w:t>
            </w:r>
            <w:r>
              <w:rPr>
                <w:rFonts w:hint="default" w:ascii="Times New Roman" w:hAnsi="Times New Roman" w:eastAsia="宋体" w:cs="Times New Roman"/>
                <w:color w:val="000000"/>
                <w:kern w:val="0"/>
                <w:sz w:val="24"/>
                <w:szCs w:val="24"/>
                <w:vertAlign w:val="superscript"/>
                <w:lang w:val="en-US" w:eastAsia="zh-CN" w:bidi="ar"/>
              </w:rPr>
              <w:t>2</w:t>
            </w:r>
            <w:r>
              <w:rPr>
                <w:rFonts w:hint="default" w:ascii="Times New Roman" w:hAnsi="Times New Roman" w:eastAsia="宋体" w:cs="Times New Roman"/>
                <w:color w:val="000000"/>
                <w:kern w:val="0"/>
                <w:sz w:val="24"/>
                <w:szCs w:val="24"/>
                <w:lang w:val="en-US" w:eastAsia="zh-CN" w:bidi="ar"/>
              </w:rPr>
              <w:t>）可供56人同时进餐，按最高日用水定额取</w:t>
            </w:r>
            <w:r>
              <w:rPr>
                <w:rFonts w:hint="eastAsia" w:ascii="Times New Roman" w:hAnsi="Times New Roman" w:eastAsia="宋体" w:cs="Times New Roman"/>
                <w:color w:val="000000"/>
                <w:kern w:val="0"/>
                <w:sz w:val="24"/>
                <w:szCs w:val="24"/>
                <w:lang w:val="en-US" w:eastAsia="zh-CN" w:bidi="ar"/>
              </w:rPr>
              <w:t>40</w:t>
            </w:r>
            <w:r>
              <w:rPr>
                <w:rFonts w:hint="default" w:ascii="Times New Roman" w:hAnsi="Times New Roman" w:eastAsia="宋体" w:cs="Times New Roman"/>
                <w:color w:val="000000"/>
                <w:kern w:val="0"/>
                <w:sz w:val="24"/>
                <w:szCs w:val="24"/>
                <w:lang w:val="en-US" w:eastAsia="zh-CN" w:bidi="ar"/>
              </w:rPr>
              <w:t>L/（人·</w:t>
            </w:r>
            <w:r>
              <w:rPr>
                <w:rFonts w:hint="eastAsia" w:ascii="Times New Roman" w:hAnsi="Times New Roman" w:eastAsia="宋体" w:cs="Times New Roman"/>
                <w:color w:val="000000"/>
                <w:kern w:val="0"/>
                <w:sz w:val="24"/>
                <w:szCs w:val="24"/>
                <w:lang w:val="en-US" w:eastAsia="zh-CN" w:bidi="ar"/>
              </w:rPr>
              <w:t>餐</w:t>
            </w:r>
            <w:r>
              <w:rPr>
                <w:rFonts w:hint="default" w:ascii="Times New Roman" w:hAnsi="Times New Roman" w:eastAsia="宋体" w:cs="Times New Roman"/>
                <w:color w:val="000000"/>
                <w:kern w:val="0"/>
                <w:sz w:val="24"/>
                <w:szCs w:val="24"/>
                <w:lang w:val="en-US" w:eastAsia="zh-CN" w:bidi="ar"/>
              </w:rPr>
              <w:t>），按每日3餐计算，则最高日用水量为</w:t>
            </w:r>
            <w:r>
              <w:rPr>
                <w:rFonts w:hint="eastAsia" w:ascii="Times New Roman" w:hAnsi="Times New Roman" w:eastAsia="宋体" w:cs="Times New Roman"/>
                <w:color w:val="000000"/>
                <w:kern w:val="0"/>
                <w:sz w:val="24"/>
                <w:szCs w:val="24"/>
                <w:lang w:val="en-US" w:eastAsia="zh-CN" w:bidi="ar"/>
              </w:rPr>
              <w:t>6.72</w:t>
            </w:r>
            <w:r>
              <w:rPr>
                <w:rFonts w:hint="default" w:ascii="Times New Roman" w:hAnsi="Times New Roman" w:eastAsia="宋体" w:cs="Times New Roman"/>
                <w:color w:val="000000"/>
                <w:kern w:val="0"/>
                <w:sz w:val="24"/>
                <w:szCs w:val="24"/>
                <w:lang w:val="en-US" w:eastAsia="zh-CN" w:bidi="ar"/>
              </w:rPr>
              <w:t>m³/d（</w:t>
            </w:r>
            <w:r>
              <w:rPr>
                <w:rFonts w:hint="eastAsia" w:ascii="Times New Roman" w:hAnsi="Times New Roman" w:eastAsia="宋体" w:cs="Times New Roman"/>
                <w:color w:val="000000"/>
                <w:kern w:val="0"/>
                <w:sz w:val="24"/>
                <w:szCs w:val="24"/>
                <w:lang w:val="en-US" w:eastAsia="zh-CN" w:bidi="ar"/>
              </w:rPr>
              <w:t>2452.80</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/a）。</w:t>
            </w:r>
            <w:r>
              <w:rPr>
                <w:rFonts w:hint="default" w:ascii="Times New Roman" w:hAnsi="Times New Roman" w:eastAsia="宋体" w:cs="Times New Roman"/>
                <w:spacing w:val="-2"/>
              </w:rPr>
              <w:t>排污系</w:t>
            </w:r>
            <w:r>
              <w:rPr>
                <w:rFonts w:hint="default" w:ascii="Times New Roman" w:hAnsi="Times New Roman" w:eastAsia="宋体" w:cs="Times New Roman"/>
                <w:spacing w:val="1"/>
              </w:rPr>
              <w:t>数以0.8计，</w:t>
            </w:r>
            <w:r>
              <w:rPr>
                <w:rFonts w:hint="default" w:ascii="Times New Roman" w:hAnsi="Times New Roman" w:eastAsia="宋体" w:cs="Times New Roman"/>
                <w:spacing w:val="1"/>
                <w:lang w:val="en-US" w:eastAsia="zh-CN"/>
              </w:rPr>
              <w:t>则</w:t>
            </w:r>
            <w:r>
              <w:rPr>
                <w:rFonts w:hint="default" w:ascii="Times New Roman" w:hAnsi="Times New Roman" w:eastAsia="宋体" w:cs="Times New Roman"/>
                <w:color w:val="000000"/>
                <w:kern w:val="0"/>
                <w:sz w:val="24"/>
                <w:szCs w:val="24"/>
                <w:lang w:val="en-US" w:eastAsia="zh-CN" w:bidi="ar"/>
              </w:rPr>
              <w:t>餐饮含油废水</w:t>
            </w:r>
            <w:r>
              <w:rPr>
                <w:rFonts w:hint="default" w:ascii="Times New Roman" w:hAnsi="Times New Roman" w:eastAsia="宋体" w:cs="Times New Roman"/>
                <w:color w:val="000000"/>
                <w:kern w:val="0"/>
                <w:szCs w:val="21"/>
                <w:highlight w:val="none"/>
                <w:lang w:val="en-US" w:eastAsia="zh-CN"/>
              </w:rPr>
              <w:t>排水量为</w:t>
            </w:r>
            <w:r>
              <w:rPr>
                <w:rFonts w:hint="eastAsia" w:ascii="Times New Roman" w:hAnsi="Times New Roman" w:eastAsia="宋体" w:cs="Times New Roman"/>
                <w:color w:val="000000"/>
                <w:kern w:val="0"/>
                <w:szCs w:val="21"/>
                <w:highlight w:val="none"/>
                <w:lang w:val="en-US" w:eastAsia="zh-CN"/>
              </w:rPr>
              <w:t>5.38</w:t>
            </w:r>
            <w:r>
              <w:rPr>
                <w:rFonts w:hint="default" w:ascii="Times New Roman" w:hAnsi="Times New Roman" w:eastAsia="宋体" w:cs="Times New Roman"/>
                <w:color w:val="000000"/>
                <w:kern w:val="0"/>
                <w:szCs w:val="21"/>
                <w:highlight w:val="none"/>
                <w:lang w:val="en-US" w:eastAsia="zh-CN"/>
              </w:rPr>
              <w:t>m</w:t>
            </w:r>
            <w:r>
              <w:rPr>
                <w:rFonts w:hint="default" w:ascii="Times New Roman" w:hAnsi="Times New Roman" w:eastAsia="宋体" w:cs="Times New Roman"/>
                <w:color w:val="000000"/>
                <w:kern w:val="0"/>
                <w:szCs w:val="21"/>
                <w:highlight w:val="none"/>
                <w:vertAlign w:val="superscript"/>
                <w:lang w:val="en-US" w:eastAsia="zh-CN"/>
              </w:rPr>
              <w:t>3</w:t>
            </w:r>
            <w:r>
              <w:rPr>
                <w:rFonts w:hint="default" w:ascii="Times New Roman" w:hAnsi="Times New Roman" w:eastAsia="宋体" w:cs="Times New Roman"/>
                <w:color w:val="000000"/>
                <w:kern w:val="0"/>
                <w:szCs w:val="21"/>
                <w:highlight w:val="none"/>
                <w:lang w:val="en-US" w:eastAsia="zh-CN"/>
              </w:rPr>
              <w:t>/d（</w:t>
            </w:r>
            <w:r>
              <w:rPr>
                <w:rFonts w:hint="eastAsia" w:ascii="Times New Roman" w:hAnsi="Times New Roman" w:eastAsia="宋体" w:cs="Times New Roman"/>
                <w:color w:val="000000"/>
                <w:kern w:val="0"/>
                <w:szCs w:val="21"/>
                <w:highlight w:val="none"/>
                <w:lang w:val="en-US" w:eastAsia="zh-CN"/>
              </w:rPr>
              <w:t>1963.70</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/a</w:t>
            </w:r>
            <w:r>
              <w:rPr>
                <w:rFonts w:hint="default" w:ascii="Times New Roman" w:hAnsi="Times New Roman" w:eastAsia="宋体" w:cs="Times New Roman"/>
                <w:color w:val="000000"/>
                <w:kern w:val="0"/>
                <w:szCs w:val="21"/>
                <w:highlight w:val="none"/>
                <w:lang w:val="en-US" w:eastAsia="zh-CN"/>
              </w:rPr>
              <w:t>）</w:t>
            </w:r>
          </w:p>
          <w:p w14:paraId="06AE4394">
            <w:pPr>
              <w:keepNext w:val="0"/>
              <w:keepLines w:val="0"/>
              <w:pageBreakBefore w:val="0"/>
              <w:widowControl/>
              <w:numPr>
                <w:ilvl w:val="0"/>
                <w:numId w:val="12"/>
              </w:numPr>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室外绿化及道路浇洒用水</w:t>
            </w:r>
          </w:p>
          <w:p w14:paraId="31607407">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根据建设单位提供</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绿化面积</w:t>
            </w:r>
            <w:r>
              <w:rPr>
                <w:rFonts w:hint="default" w:ascii="Times New Roman" w:hAnsi="Times New Roman" w:eastAsia="宋体" w:cs="Times New Roman"/>
                <w:color w:val="000000"/>
                <w:kern w:val="0"/>
                <w:sz w:val="24"/>
                <w:szCs w:val="24"/>
                <w:lang w:val="en-US" w:eastAsia="zh-CN" w:bidi="ar"/>
              </w:rPr>
              <w:t>约</w:t>
            </w: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000m</w:t>
            </w:r>
            <w:r>
              <w:rPr>
                <w:rFonts w:hint="default" w:ascii="Times New Roman" w:hAnsi="Times New Roman" w:eastAsia="宋体" w:cs="Times New Roman"/>
                <w:color w:val="000000"/>
                <w:kern w:val="0"/>
                <w:sz w:val="24"/>
                <w:szCs w:val="24"/>
                <w:vertAlign w:val="superscript"/>
                <w:lang w:val="en-US" w:eastAsia="zh-CN" w:bidi="ar"/>
              </w:rPr>
              <w:t>2</w:t>
            </w:r>
            <w:r>
              <w:rPr>
                <w:rFonts w:hint="eastAsia" w:cs="Times New Roman"/>
                <w:color w:val="000000"/>
                <w:kern w:val="0"/>
                <w:sz w:val="24"/>
                <w:szCs w:val="24"/>
                <w:vertAlign w:val="baseline"/>
                <w:lang w:val="en-US" w:eastAsia="zh-CN" w:bidi="ar"/>
              </w:rPr>
              <w:t>即</w:t>
            </w:r>
            <w:r>
              <w:rPr>
                <w:rFonts w:hint="eastAsia" w:ascii="Times New Roman" w:hAnsi="Times New Roman" w:eastAsia="宋体" w:cs="Times New Roman"/>
                <w:color w:val="000000"/>
                <w:kern w:val="0"/>
                <w:sz w:val="24"/>
                <w:szCs w:val="24"/>
                <w:vertAlign w:val="baseline"/>
                <w:lang w:val="en-US" w:eastAsia="zh-CN" w:bidi="ar"/>
              </w:rPr>
              <w:t>1.5亩</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按照《新疆维吾尔自治区生活用水定额》</w:t>
            </w:r>
            <w:r>
              <w:rPr>
                <w:rFonts w:hint="eastAsia" w:cs="Times New Roman"/>
                <w:color w:val="000000"/>
                <w:kern w:val="0"/>
                <w:sz w:val="24"/>
                <w:szCs w:val="24"/>
                <w:lang w:val="en-US" w:eastAsia="zh-CN" w:bidi="ar"/>
              </w:rPr>
              <w:t>（北疆天山北坡区），</w:t>
            </w:r>
            <w:r>
              <w:rPr>
                <w:rFonts w:hint="default" w:ascii="Times New Roman" w:hAnsi="Times New Roman" w:eastAsia="宋体" w:cs="Times New Roman"/>
                <w:color w:val="000000"/>
                <w:kern w:val="0"/>
                <w:sz w:val="24"/>
                <w:szCs w:val="24"/>
                <w:lang w:val="en-US" w:eastAsia="zh-CN" w:bidi="ar"/>
              </w:rPr>
              <w:t>最高</w:t>
            </w:r>
            <w:r>
              <w:rPr>
                <w:rFonts w:hint="eastAsia" w:cs="Times New Roman"/>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用水定额取</w:t>
            </w:r>
            <w:r>
              <w:rPr>
                <w:rFonts w:hint="eastAsia" w:ascii="Times New Roman" w:hAnsi="Times New Roman" w:eastAsia="宋体" w:cs="Times New Roman"/>
                <w:color w:val="000000"/>
                <w:kern w:val="0"/>
                <w:sz w:val="24"/>
                <w:szCs w:val="24"/>
                <w:lang w:val="en-US" w:eastAsia="zh-CN" w:bidi="ar"/>
              </w:rPr>
              <w:t>500</w:t>
            </w:r>
            <w:r>
              <w:rPr>
                <w:rFonts w:hint="default" w:ascii="Times New Roman" w:hAnsi="Times New Roman" w:eastAsia="宋体" w:cs="Times New Roman"/>
                <w:color w:val="000000"/>
                <w:kern w:val="0"/>
                <w:sz w:val="24"/>
                <w:szCs w:val="24"/>
                <w:lang w:val="en-US" w:eastAsia="zh-CN" w:bidi="ar"/>
              </w:rPr>
              <w:t>m³/（</w:t>
            </w:r>
            <w:r>
              <w:rPr>
                <w:rFonts w:hint="eastAsia" w:ascii="Times New Roman" w:hAnsi="Times New Roman" w:eastAsia="宋体" w:cs="Times New Roman"/>
                <w:color w:val="000000"/>
                <w:kern w:val="0"/>
                <w:sz w:val="24"/>
                <w:szCs w:val="24"/>
                <w:lang w:val="en-US" w:eastAsia="zh-CN" w:bidi="ar"/>
              </w:rPr>
              <w:t>亩</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），则最高日用水量为</w:t>
            </w:r>
            <w:r>
              <w:rPr>
                <w:rFonts w:hint="eastAsia" w:ascii="Times New Roman" w:hAnsi="Times New Roman" w:eastAsia="宋体" w:cs="Times New Roman"/>
                <w:color w:val="000000"/>
                <w:kern w:val="0"/>
                <w:sz w:val="24"/>
                <w:szCs w:val="24"/>
                <w:lang w:val="en-US" w:eastAsia="zh-CN" w:bidi="ar"/>
              </w:rPr>
              <w:t>750</w:t>
            </w:r>
            <w:r>
              <w:rPr>
                <w:rFonts w:hint="default" w:ascii="Times New Roman" w:hAnsi="Times New Roman" w:eastAsia="宋体" w:cs="Times New Roman"/>
                <w:color w:val="000000"/>
                <w:kern w:val="0"/>
                <w:sz w:val="24"/>
                <w:szCs w:val="24"/>
                <w:lang w:val="en-US" w:eastAsia="zh-CN" w:bidi="ar"/>
              </w:rPr>
              <w:t>m³/a。</w:t>
            </w:r>
            <w:r>
              <w:rPr>
                <w:rFonts w:hint="default" w:ascii="Times New Roman" w:hAnsi="Times New Roman" w:eastAsia="宋体" w:cs="Times New Roman"/>
                <w:spacing w:val="-2"/>
              </w:rPr>
              <w:t>均损耗，绿化无废水</w:t>
            </w:r>
            <w:r>
              <w:rPr>
                <w:rFonts w:hint="default" w:ascii="Times New Roman" w:hAnsi="Times New Roman" w:eastAsia="宋体" w:cs="Times New Roman"/>
                <w:spacing w:val="-3"/>
              </w:rPr>
              <w:t>排放。</w:t>
            </w:r>
          </w:p>
          <w:p w14:paraId="7623FA1F">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（5）管理及服务人员用水量：本项目管理及服务人员为</w:t>
            </w:r>
            <w:r>
              <w:rPr>
                <w:rFonts w:hint="eastAsia" w:ascii="Times New Roman" w:hAnsi="Times New Roman" w:eastAsia="宋体" w:cs="Times New Roman"/>
                <w:color w:val="000000"/>
                <w:kern w:val="0"/>
                <w:sz w:val="24"/>
                <w:szCs w:val="24"/>
                <w:highlight w:val="none"/>
                <w:lang w:val="en-US" w:eastAsia="zh-CN" w:bidi="ar"/>
              </w:rPr>
              <w:t>20</w:t>
            </w:r>
            <w:r>
              <w:rPr>
                <w:rFonts w:hint="eastAsia" w:ascii="Times New Roman" w:hAnsi="Times New Roman" w:eastAsia="宋体" w:cs="Times New Roman"/>
                <w:color w:val="000000"/>
                <w:kern w:val="0"/>
                <w:sz w:val="24"/>
                <w:szCs w:val="24"/>
                <w:lang w:val="en-US" w:eastAsia="zh-CN" w:bidi="ar"/>
              </w:rPr>
              <w:t>人</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及旅游旺季工作人员为9人，</w:t>
            </w:r>
            <w:r>
              <w:rPr>
                <w:rFonts w:hint="default" w:ascii="Times New Roman" w:hAnsi="Times New Roman" w:eastAsia="宋体" w:cs="Times New Roman"/>
                <w:color w:val="000000"/>
                <w:kern w:val="0"/>
                <w:sz w:val="24"/>
                <w:szCs w:val="24"/>
                <w:lang w:val="en-US" w:eastAsia="zh-CN" w:bidi="ar"/>
              </w:rPr>
              <w:t>最高日用水定额取100L/（人·d），则最高日用水量为</w:t>
            </w:r>
            <w:r>
              <w:rPr>
                <w:rFonts w:hint="eastAsia" w:ascii="Times New Roman" w:hAnsi="Times New Roman" w:eastAsia="宋体" w:cs="Times New Roman"/>
                <w:color w:val="000000"/>
                <w:kern w:val="0"/>
                <w:sz w:val="24"/>
                <w:szCs w:val="24"/>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m³/</w:t>
            </w:r>
            <w:r>
              <w:rPr>
                <w:rFonts w:hint="eastAsia" w:ascii="Times New Roman" w:hAnsi="Times New Roman" w:eastAsia="宋体" w:cs="Times New Roman"/>
                <w:color w:val="000000"/>
                <w:kern w:val="0"/>
                <w:sz w:val="24"/>
                <w:szCs w:val="24"/>
                <w:highlight w:val="none"/>
                <w:lang w:val="en-US" w:eastAsia="zh-CN" w:bidi="ar"/>
              </w:rPr>
              <w:t>d（</w:t>
            </w:r>
            <w:r>
              <w:rPr>
                <w:rFonts w:hint="eastAsia" w:ascii="Times New Roman" w:hAnsi="Times New Roman" w:eastAsia="宋体" w:cs="Times New Roman"/>
                <w:color w:val="000000"/>
                <w:kern w:val="0"/>
                <w:sz w:val="24"/>
                <w:szCs w:val="24"/>
                <w:lang w:val="en-US" w:eastAsia="zh-CN" w:bidi="ar"/>
              </w:rPr>
              <w:t>730</w:t>
            </w:r>
            <w:r>
              <w:rPr>
                <w:rFonts w:hint="default" w:ascii="Times New Roman" w:hAnsi="Times New Roman" w:eastAsia="宋体" w:cs="Times New Roman"/>
                <w:color w:val="000000"/>
                <w:kern w:val="0"/>
                <w:sz w:val="24"/>
                <w:szCs w:val="24"/>
                <w:highlight w:val="none"/>
                <w:lang w:val="en-US" w:eastAsia="zh-CN" w:bidi="ar"/>
              </w:rPr>
              <w:t>m³/</w:t>
            </w:r>
            <w:r>
              <w:rPr>
                <w:rFonts w:hint="eastAsia" w:ascii="Times New Roman" w:hAnsi="Times New Roman" w:eastAsia="宋体" w:cs="Times New Roman"/>
                <w:color w:val="000000"/>
                <w:kern w:val="0"/>
                <w:sz w:val="24"/>
                <w:szCs w:val="24"/>
                <w:highlight w:val="none"/>
                <w:lang w:val="en-US" w:eastAsia="zh-CN" w:bidi="ar"/>
              </w:rPr>
              <w:t>a）</w:t>
            </w:r>
            <w:r>
              <w:rPr>
                <w:rFonts w:hint="default"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spacing w:val="-2"/>
              </w:rPr>
              <w:t>排污系</w:t>
            </w:r>
            <w:r>
              <w:rPr>
                <w:rFonts w:hint="default" w:ascii="Times New Roman" w:hAnsi="Times New Roman" w:eastAsia="宋体" w:cs="Times New Roman"/>
                <w:spacing w:val="1"/>
              </w:rPr>
              <w:t>数以0.8计，</w:t>
            </w:r>
            <w:r>
              <w:rPr>
                <w:rFonts w:hint="default" w:ascii="Times New Roman" w:hAnsi="Times New Roman" w:eastAsia="宋体" w:cs="Times New Roman"/>
                <w:spacing w:val="1"/>
                <w:lang w:val="en-US" w:eastAsia="zh-CN"/>
              </w:rPr>
              <w:t>则</w:t>
            </w:r>
            <w:r>
              <w:rPr>
                <w:rFonts w:hint="default" w:ascii="Times New Roman" w:hAnsi="Times New Roman" w:eastAsia="宋体" w:cs="Times New Roman"/>
                <w:color w:val="000000"/>
                <w:kern w:val="0"/>
                <w:sz w:val="24"/>
                <w:szCs w:val="24"/>
                <w:lang w:val="en-US" w:eastAsia="zh-CN" w:bidi="ar"/>
              </w:rPr>
              <w:t>管理及服务人员</w:t>
            </w:r>
            <w:r>
              <w:rPr>
                <w:rFonts w:hint="default" w:ascii="Times New Roman" w:hAnsi="Times New Roman" w:eastAsia="宋体" w:cs="Times New Roman"/>
                <w:color w:val="000000"/>
                <w:kern w:val="0"/>
                <w:szCs w:val="21"/>
                <w:highlight w:val="none"/>
                <w:lang w:val="en-US" w:eastAsia="zh-CN"/>
              </w:rPr>
              <w:t>排水量为</w:t>
            </w:r>
            <w:r>
              <w:rPr>
                <w:rFonts w:hint="eastAsia" w:ascii="Times New Roman" w:hAnsi="Times New Roman" w:eastAsia="宋体" w:cs="Times New Roman"/>
                <w:color w:val="000000"/>
                <w:kern w:val="0"/>
                <w:szCs w:val="21"/>
                <w:highlight w:val="none"/>
                <w:lang w:val="en-US" w:eastAsia="zh-CN"/>
              </w:rPr>
              <w:t>1.6</w:t>
            </w:r>
            <w:r>
              <w:rPr>
                <w:rFonts w:hint="default" w:ascii="Times New Roman" w:hAnsi="Times New Roman" w:eastAsia="宋体" w:cs="Times New Roman"/>
                <w:color w:val="000000"/>
                <w:kern w:val="0"/>
                <w:szCs w:val="21"/>
                <w:highlight w:val="none"/>
                <w:lang w:val="en-US" w:eastAsia="zh-CN"/>
              </w:rPr>
              <w:t>m</w:t>
            </w:r>
            <w:r>
              <w:rPr>
                <w:rFonts w:hint="default" w:ascii="Times New Roman" w:hAnsi="Times New Roman" w:eastAsia="宋体" w:cs="Times New Roman"/>
                <w:color w:val="000000"/>
                <w:kern w:val="0"/>
                <w:szCs w:val="21"/>
                <w:highlight w:val="none"/>
                <w:vertAlign w:val="superscript"/>
                <w:lang w:val="en-US" w:eastAsia="zh-CN"/>
              </w:rPr>
              <w:t>3</w:t>
            </w:r>
            <w:r>
              <w:rPr>
                <w:rFonts w:hint="default" w:ascii="Times New Roman" w:hAnsi="Times New Roman" w:eastAsia="宋体" w:cs="Times New Roman"/>
                <w:color w:val="000000"/>
                <w:kern w:val="0"/>
                <w:szCs w:val="21"/>
                <w:highlight w:val="none"/>
                <w:lang w:val="en-US" w:eastAsia="zh-CN"/>
              </w:rPr>
              <w:t>/d（</w:t>
            </w:r>
            <w:r>
              <w:rPr>
                <w:rFonts w:hint="eastAsia" w:ascii="Times New Roman" w:hAnsi="Times New Roman" w:eastAsia="宋体" w:cs="Times New Roman"/>
                <w:color w:val="000000"/>
                <w:kern w:val="0"/>
                <w:szCs w:val="21"/>
                <w:highlight w:val="none"/>
                <w:lang w:val="en-US" w:eastAsia="zh-CN"/>
              </w:rPr>
              <w:t>584</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/a</w:t>
            </w:r>
            <w:r>
              <w:rPr>
                <w:rFonts w:hint="default" w:ascii="Times New Roman" w:hAnsi="Times New Roman" w:eastAsia="宋体" w:cs="Times New Roman"/>
                <w:color w:val="000000"/>
                <w:kern w:val="0"/>
                <w:szCs w:val="21"/>
                <w:highlight w:val="none"/>
                <w:lang w:val="en-US" w:eastAsia="zh-CN"/>
              </w:rPr>
              <w:t>）。</w:t>
            </w:r>
          </w:p>
          <w:p w14:paraId="294F5732">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本项目用水及污水情况一览表见表4-9。</w:t>
            </w:r>
          </w:p>
          <w:p w14:paraId="68D743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表4-9</w:t>
            </w:r>
            <w:r>
              <w:rPr>
                <w:rFonts w:hint="default" w:ascii="Times New Roman" w:hAnsi="Times New Roman" w:eastAsia="宋体" w:cs="Times New Roman"/>
                <w:b/>
                <w:bCs/>
                <w:spacing w:val="-2"/>
                <w:sz w:val="21"/>
                <w:szCs w:val="21"/>
              </w:rPr>
              <w:t>项目用水及污水情况一览表</w:t>
            </w:r>
          </w:p>
          <w:tbl>
            <w:tblPr>
              <w:tblStyle w:val="33"/>
              <w:tblW w:w="7488"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6"/>
              <w:gridCol w:w="2496"/>
              <w:gridCol w:w="2496"/>
            </w:tblGrid>
            <w:tr w14:paraId="12ED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Borders>
                    <w:top w:val="single" w:color="auto" w:sz="12" w:space="0"/>
                    <w:left w:val="nil"/>
                    <w:bottom w:val="single" w:color="auto" w:sz="12" w:space="0"/>
                  </w:tcBorders>
                  <w:noWrap w:val="0"/>
                  <w:vAlign w:val="top"/>
                </w:tcPr>
                <w:p w14:paraId="276DEA28">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vertAlign w:val="baseline"/>
                      <w:lang w:val="en-US" w:eastAsia="zh-CN"/>
                    </w:rPr>
                    <w:t>用水环节</w:t>
                  </w:r>
                </w:p>
              </w:tc>
              <w:tc>
                <w:tcPr>
                  <w:tcW w:w="2496" w:type="dxa"/>
                  <w:tcBorders>
                    <w:top w:val="single" w:color="auto" w:sz="12" w:space="0"/>
                    <w:bottom w:val="single" w:color="auto" w:sz="12" w:space="0"/>
                  </w:tcBorders>
                  <w:noWrap w:val="0"/>
                  <w:vAlign w:val="top"/>
                </w:tcPr>
                <w:p w14:paraId="10155E5C">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vertAlign w:val="baseline"/>
                      <w:lang w:val="en-US" w:eastAsia="zh-CN"/>
                    </w:rPr>
                    <w:t>用水量（t/a）</w:t>
                  </w:r>
                </w:p>
              </w:tc>
              <w:tc>
                <w:tcPr>
                  <w:tcW w:w="2496" w:type="dxa"/>
                  <w:tcBorders>
                    <w:top w:val="single" w:color="auto" w:sz="12" w:space="0"/>
                    <w:bottom w:val="single" w:color="auto" w:sz="12" w:space="0"/>
                    <w:right w:val="nil"/>
                  </w:tcBorders>
                  <w:noWrap w:val="0"/>
                  <w:vAlign w:val="top"/>
                </w:tcPr>
                <w:p w14:paraId="1DA04865">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vertAlign w:val="baseline"/>
                      <w:lang w:val="en-US" w:eastAsia="zh-CN"/>
                    </w:rPr>
                    <w:t>废水量（t/a）</w:t>
                  </w:r>
                </w:p>
              </w:tc>
            </w:tr>
            <w:tr w14:paraId="5D44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Borders>
                    <w:top w:val="single" w:color="auto" w:sz="12" w:space="0"/>
                    <w:left w:val="nil"/>
                  </w:tcBorders>
                  <w:noWrap w:val="0"/>
                  <w:vAlign w:val="top"/>
                </w:tcPr>
                <w:p w14:paraId="1E864FE9">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vertAlign w:val="baseline"/>
                      <w:lang w:val="en-US" w:eastAsia="zh-CN"/>
                    </w:rPr>
                    <w:t>民宿客房</w:t>
                  </w:r>
                </w:p>
              </w:tc>
              <w:tc>
                <w:tcPr>
                  <w:tcW w:w="2496" w:type="dxa"/>
                  <w:tcBorders>
                    <w:top w:val="single" w:color="auto" w:sz="12" w:space="0"/>
                  </w:tcBorders>
                  <w:noWrap w:val="0"/>
                  <w:vAlign w:val="top"/>
                </w:tcPr>
                <w:p w14:paraId="7B8D286A">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14892</w:t>
                  </w:r>
                </w:p>
              </w:tc>
              <w:tc>
                <w:tcPr>
                  <w:tcW w:w="2496" w:type="dxa"/>
                  <w:tcBorders>
                    <w:top w:val="single" w:color="auto" w:sz="12" w:space="0"/>
                    <w:right w:val="nil"/>
                  </w:tcBorders>
                  <w:noWrap w:val="0"/>
                  <w:vAlign w:val="top"/>
                </w:tcPr>
                <w:p w14:paraId="538B0912">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11913.60</w:t>
                  </w:r>
                </w:p>
              </w:tc>
            </w:tr>
            <w:tr w14:paraId="3E47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Borders>
                    <w:left w:val="nil"/>
                  </w:tcBorders>
                  <w:noWrap w:val="0"/>
                  <w:vAlign w:val="top"/>
                </w:tcPr>
                <w:p w14:paraId="79EBED6A">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vertAlign w:val="baseline"/>
                      <w:lang w:val="en-US" w:eastAsia="zh-CN"/>
                    </w:rPr>
                    <w:t>游客</w:t>
                  </w:r>
                </w:p>
              </w:tc>
              <w:tc>
                <w:tcPr>
                  <w:tcW w:w="2496" w:type="dxa"/>
                  <w:noWrap w:val="0"/>
                  <w:vAlign w:val="top"/>
                </w:tcPr>
                <w:p w14:paraId="1115E493">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2555</w:t>
                  </w:r>
                </w:p>
              </w:tc>
              <w:tc>
                <w:tcPr>
                  <w:tcW w:w="2496" w:type="dxa"/>
                  <w:tcBorders>
                    <w:right w:val="nil"/>
                  </w:tcBorders>
                  <w:noWrap w:val="0"/>
                  <w:vAlign w:val="top"/>
                </w:tcPr>
                <w:p w14:paraId="6F242F58">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2044</w:t>
                  </w:r>
                </w:p>
              </w:tc>
            </w:tr>
            <w:tr w14:paraId="5D3F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Borders>
                    <w:left w:val="nil"/>
                  </w:tcBorders>
                  <w:noWrap w:val="0"/>
                  <w:vAlign w:val="top"/>
                </w:tcPr>
                <w:p w14:paraId="44DC6664">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vertAlign w:val="baseline"/>
                      <w:lang w:val="en-US" w:eastAsia="zh-CN"/>
                    </w:rPr>
                    <w:t>厨房</w:t>
                  </w:r>
                </w:p>
              </w:tc>
              <w:tc>
                <w:tcPr>
                  <w:tcW w:w="2496" w:type="dxa"/>
                  <w:noWrap w:val="0"/>
                  <w:vAlign w:val="top"/>
                </w:tcPr>
                <w:p w14:paraId="01B3AF52">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2452.80</w:t>
                  </w:r>
                </w:p>
              </w:tc>
              <w:tc>
                <w:tcPr>
                  <w:tcW w:w="2496" w:type="dxa"/>
                  <w:tcBorders>
                    <w:right w:val="nil"/>
                  </w:tcBorders>
                  <w:noWrap w:val="0"/>
                  <w:vAlign w:val="top"/>
                </w:tcPr>
                <w:p w14:paraId="42CE6F53">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1963.70</w:t>
                  </w:r>
                </w:p>
              </w:tc>
            </w:tr>
            <w:tr w14:paraId="06B1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Borders>
                    <w:left w:val="nil"/>
                  </w:tcBorders>
                  <w:noWrap w:val="0"/>
                  <w:vAlign w:val="top"/>
                </w:tcPr>
                <w:p w14:paraId="563E47CA">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vertAlign w:val="baseline"/>
                      <w:lang w:val="en-US" w:eastAsia="zh-CN"/>
                    </w:rPr>
                    <w:t>绿化及道路浇洒</w:t>
                  </w:r>
                </w:p>
              </w:tc>
              <w:tc>
                <w:tcPr>
                  <w:tcW w:w="2496" w:type="dxa"/>
                  <w:noWrap w:val="0"/>
                  <w:vAlign w:val="top"/>
                </w:tcPr>
                <w:p w14:paraId="6014BBD0">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750</w:t>
                  </w:r>
                </w:p>
              </w:tc>
              <w:tc>
                <w:tcPr>
                  <w:tcW w:w="2496" w:type="dxa"/>
                  <w:tcBorders>
                    <w:right w:val="nil"/>
                  </w:tcBorders>
                  <w:noWrap w:val="0"/>
                  <w:vAlign w:val="top"/>
                </w:tcPr>
                <w:p w14:paraId="79A7D453">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0</w:t>
                  </w:r>
                </w:p>
              </w:tc>
            </w:tr>
            <w:tr w14:paraId="529B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Borders>
                    <w:left w:val="nil"/>
                  </w:tcBorders>
                  <w:noWrap w:val="0"/>
                  <w:vAlign w:val="top"/>
                </w:tcPr>
                <w:p w14:paraId="3BDA2CA3">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lang w:val="en-US" w:eastAsia="zh-CN" w:bidi="ar"/>
                    </w:rPr>
                    <w:t>管理及服务人员</w:t>
                  </w:r>
                </w:p>
              </w:tc>
              <w:tc>
                <w:tcPr>
                  <w:tcW w:w="2496" w:type="dxa"/>
                  <w:noWrap w:val="0"/>
                  <w:vAlign w:val="top"/>
                </w:tcPr>
                <w:p w14:paraId="6C601D13">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730</w:t>
                  </w:r>
                </w:p>
              </w:tc>
              <w:tc>
                <w:tcPr>
                  <w:tcW w:w="2496" w:type="dxa"/>
                  <w:tcBorders>
                    <w:right w:val="nil"/>
                  </w:tcBorders>
                  <w:noWrap w:val="0"/>
                  <w:vAlign w:val="top"/>
                </w:tcPr>
                <w:p w14:paraId="02851DBA">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584</w:t>
                  </w:r>
                </w:p>
              </w:tc>
            </w:tr>
            <w:tr w14:paraId="08EB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Borders>
                    <w:left w:val="nil"/>
                  </w:tcBorders>
                  <w:noWrap w:val="0"/>
                  <w:vAlign w:val="top"/>
                </w:tcPr>
                <w:p w14:paraId="2B72D292">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不可预计水</w:t>
                  </w:r>
                </w:p>
              </w:tc>
              <w:tc>
                <w:tcPr>
                  <w:tcW w:w="2496" w:type="dxa"/>
                  <w:noWrap w:val="0"/>
                  <w:vAlign w:val="top"/>
                </w:tcPr>
                <w:p w14:paraId="47E6FD8F">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2138.90</w:t>
                  </w:r>
                </w:p>
              </w:tc>
              <w:tc>
                <w:tcPr>
                  <w:tcW w:w="2496" w:type="dxa"/>
                  <w:tcBorders>
                    <w:right w:val="nil"/>
                  </w:tcBorders>
                  <w:noWrap w:val="0"/>
                  <w:vAlign w:val="top"/>
                </w:tcPr>
                <w:p w14:paraId="14E3AE78">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1711.85</w:t>
                  </w:r>
                </w:p>
              </w:tc>
            </w:tr>
            <w:tr w14:paraId="0AFD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6" w:type="dxa"/>
                  <w:tcBorders>
                    <w:left w:val="nil"/>
                  </w:tcBorders>
                  <w:noWrap w:val="0"/>
                  <w:vAlign w:val="top"/>
                </w:tcPr>
                <w:p w14:paraId="1A444015">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总计</w:t>
                  </w:r>
                </w:p>
              </w:tc>
              <w:tc>
                <w:tcPr>
                  <w:tcW w:w="2496" w:type="dxa"/>
                  <w:noWrap w:val="0"/>
                  <w:vAlign w:val="top"/>
                </w:tcPr>
                <w:p w14:paraId="03EEC809">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cs="Times New Roman"/>
                      <w:color w:val="000000"/>
                      <w:kern w:val="0"/>
                      <w:sz w:val="21"/>
                      <w:szCs w:val="21"/>
                      <w:highlight w:val="none"/>
                      <w:vertAlign w:val="baseline"/>
                      <w:lang w:val="en-US" w:eastAsia="zh-CN"/>
                    </w:rPr>
                    <w:t>23518.7</w:t>
                  </w:r>
                </w:p>
              </w:tc>
              <w:tc>
                <w:tcPr>
                  <w:tcW w:w="2496" w:type="dxa"/>
                  <w:tcBorders>
                    <w:right w:val="nil"/>
                  </w:tcBorders>
                  <w:noWrap w:val="0"/>
                  <w:vAlign w:val="top"/>
                </w:tcPr>
                <w:p w14:paraId="5D39925B">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cs="Times New Roman"/>
                      <w:color w:val="000000"/>
                      <w:kern w:val="0"/>
                      <w:sz w:val="21"/>
                      <w:szCs w:val="21"/>
                      <w:highlight w:val="none"/>
                      <w:vertAlign w:val="baseline"/>
                      <w:lang w:val="en-US" w:eastAsia="zh-CN"/>
                    </w:rPr>
                    <w:t>18217.15</w:t>
                  </w:r>
                </w:p>
              </w:tc>
            </w:tr>
            <w:tr w14:paraId="5DDD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3"/>
                  <w:tcBorders>
                    <w:left w:val="nil"/>
                    <w:bottom w:val="single" w:color="auto" w:sz="12" w:space="0"/>
                    <w:right w:val="nil"/>
                  </w:tcBorders>
                  <w:noWrap w:val="0"/>
                  <w:vAlign w:val="top"/>
                </w:tcPr>
                <w:p w14:paraId="317456B5">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lang w:val="en-US" w:eastAsia="zh-CN" w:bidi="ar"/>
                    </w:rPr>
                    <w:t>不可预计水为以上用水量的10%。</w:t>
                  </w:r>
                </w:p>
              </w:tc>
            </w:tr>
          </w:tbl>
          <w:p w14:paraId="0E07AB79">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firstLine="464" w:firstLineChars="200"/>
              <w:jc w:val="both"/>
              <w:textAlignment w:val="auto"/>
              <w:rPr>
                <w:rFonts w:hint="default" w:ascii="Times New Roman" w:hAnsi="Times New Roman" w:eastAsia="宋体" w:cs="Times New Roman"/>
                <w:color w:val="000000"/>
                <w:spacing w:val="-4"/>
                <w:lang w:eastAsia="zh-CN"/>
              </w:rPr>
            </w:pPr>
            <w:r>
              <w:rPr>
                <w:rFonts w:hint="default" w:ascii="Times New Roman" w:hAnsi="Times New Roman" w:eastAsia="宋体" w:cs="Times New Roman"/>
                <w:color w:val="000000"/>
                <w:spacing w:val="-4"/>
              </w:rPr>
              <w:t>生活污水中COD浓度为250～500mg/L，BOD浓度为200~ 300mg/L，氨氮为25～40mg/L，SS为100～200mg/L（引自《废水工程处理及回用（第四版）》）</w:t>
            </w:r>
            <w:r>
              <w:rPr>
                <w:rFonts w:hint="default" w:ascii="Times New Roman" w:hAnsi="Times New Roman" w:eastAsia="宋体" w:cs="Times New Roman"/>
                <w:color w:val="000000"/>
                <w:spacing w:val="-4"/>
                <w:lang w:eastAsia="zh-CN"/>
              </w:rPr>
              <w:t>。</w:t>
            </w:r>
          </w:p>
          <w:p w14:paraId="772738B1">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0"/>
                <w:szCs w:val="21"/>
                <w:highlight w:val="none"/>
                <w:lang w:val="en-US" w:eastAsia="zh-CN"/>
              </w:rPr>
              <w:t>本项目共设置4座化粪池，分别是乡村会客厅设置1座25m</w:t>
            </w:r>
            <w:r>
              <w:rPr>
                <w:rFonts w:hint="eastAsia" w:ascii="Times New Roman" w:hAnsi="Times New Roman" w:eastAsia="宋体" w:cs="Times New Roman"/>
                <w:color w:val="000000"/>
                <w:kern w:val="0"/>
                <w:szCs w:val="21"/>
                <w:highlight w:val="none"/>
                <w:vertAlign w:val="superscript"/>
                <w:lang w:val="en-US" w:eastAsia="zh-CN"/>
              </w:rPr>
              <w:t>3</w:t>
            </w:r>
            <w:r>
              <w:rPr>
                <w:rFonts w:hint="eastAsia" w:ascii="Times New Roman" w:hAnsi="Times New Roman" w:eastAsia="宋体" w:cs="Times New Roman"/>
                <w:color w:val="000000"/>
                <w:kern w:val="0"/>
                <w:szCs w:val="21"/>
                <w:highlight w:val="none"/>
                <w:lang w:val="en-US" w:eastAsia="zh-CN"/>
              </w:rPr>
              <w:t>化粪池、</w:t>
            </w:r>
            <w:r>
              <w:rPr>
                <w:rFonts w:hint="eastAsia" w:cs="Times New Roman"/>
                <w:color w:val="000000"/>
                <w:kern w:val="0"/>
                <w:szCs w:val="21"/>
                <w:highlight w:val="none"/>
                <w:lang w:val="en-US" w:eastAsia="zh-CN"/>
              </w:rPr>
              <w:t>地块二</w:t>
            </w:r>
            <w:r>
              <w:rPr>
                <w:rFonts w:hint="eastAsia" w:ascii="Times New Roman" w:hAnsi="Times New Roman" w:eastAsia="宋体" w:cs="Times New Roman"/>
                <w:color w:val="000000"/>
                <w:kern w:val="0"/>
                <w:szCs w:val="21"/>
                <w:highlight w:val="none"/>
                <w:lang w:val="en-US" w:eastAsia="zh-CN"/>
              </w:rPr>
              <w:t>设置1座25m</w:t>
            </w:r>
            <w:r>
              <w:rPr>
                <w:rFonts w:hint="eastAsia" w:ascii="Times New Roman" w:hAnsi="Times New Roman" w:eastAsia="宋体" w:cs="Times New Roman"/>
                <w:color w:val="000000"/>
                <w:kern w:val="0"/>
                <w:szCs w:val="21"/>
                <w:highlight w:val="none"/>
                <w:vertAlign w:val="superscript"/>
                <w:lang w:val="en-US" w:eastAsia="zh-CN"/>
              </w:rPr>
              <w:t>3</w:t>
            </w:r>
            <w:r>
              <w:rPr>
                <w:rFonts w:hint="eastAsia" w:ascii="Times New Roman" w:hAnsi="Times New Roman" w:eastAsia="宋体" w:cs="Times New Roman"/>
                <w:color w:val="000000"/>
                <w:kern w:val="0"/>
                <w:szCs w:val="21"/>
                <w:highlight w:val="none"/>
                <w:lang w:val="en-US" w:eastAsia="zh-CN"/>
              </w:rPr>
              <w:t>化粪池、</w:t>
            </w:r>
            <w:r>
              <w:rPr>
                <w:rFonts w:hint="eastAsia" w:cs="Times New Roman"/>
                <w:color w:val="000000"/>
                <w:kern w:val="0"/>
                <w:szCs w:val="21"/>
                <w:highlight w:val="none"/>
                <w:lang w:val="en-US" w:eastAsia="zh-CN"/>
              </w:rPr>
              <w:t>地块五</w:t>
            </w:r>
            <w:r>
              <w:rPr>
                <w:rFonts w:hint="eastAsia" w:ascii="Times New Roman" w:hAnsi="Times New Roman" w:eastAsia="宋体" w:cs="Times New Roman"/>
                <w:color w:val="000000"/>
                <w:kern w:val="0"/>
                <w:szCs w:val="21"/>
                <w:highlight w:val="none"/>
                <w:lang w:val="en-US" w:eastAsia="zh-CN"/>
              </w:rPr>
              <w:t>设置1座20m</w:t>
            </w:r>
            <w:r>
              <w:rPr>
                <w:rFonts w:hint="eastAsia" w:ascii="Times New Roman" w:hAnsi="Times New Roman" w:eastAsia="宋体" w:cs="Times New Roman"/>
                <w:color w:val="000000"/>
                <w:kern w:val="0"/>
                <w:szCs w:val="21"/>
                <w:highlight w:val="none"/>
                <w:vertAlign w:val="superscript"/>
                <w:lang w:val="en-US" w:eastAsia="zh-CN"/>
              </w:rPr>
              <w:t>3</w:t>
            </w:r>
            <w:r>
              <w:rPr>
                <w:rFonts w:hint="eastAsia" w:ascii="Times New Roman" w:hAnsi="Times New Roman" w:eastAsia="宋体" w:cs="Times New Roman"/>
                <w:color w:val="000000"/>
                <w:kern w:val="0"/>
                <w:szCs w:val="21"/>
                <w:highlight w:val="none"/>
                <w:lang w:val="en-US" w:eastAsia="zh-CN"/>
              </w:rPr>
              <w:t>化粪池、</w:t>
            </w:r>
            <w:r>
              <w:rPr>
                <w:rFonts w:hint="eastAsia" w:cs="Times New Roman"/>
                <w:color w:val="000000"/>
                <w:kern w:val="0"/>
                <w:szCs w:val="21"/>
                <w:highlight w:val="none"/>
                <w:lang w:val="en-US" w:eastAsia="zh-CN"/>
              </w:rPr>
              <w:t>地块六</w:t>
            </w:r>
            <w:r>
              <w:rPr>
                <w:rFonts w:hint="eastAsia" w:ascii="Times New Roman" w:hAnsi="Times New Roman" w:eastAsia="宋体" w:cs="Times New Roman"/>
                <w:color w:val="000000"/>
                <w:kern w:val="0"/>
                <w:szCs w:val="21"/>
                <w:highlight w:val="none"/>
                <w:lang w:val="en-US" w:eastAsia="zh-CN"/>
              </w:rPr>
              <w:t>和</w:t>
            </w:r>
            <w:r>
              <w:rPr>
                <w:rFonts w:hint="eastAsia" w:cs="Times New Roman"/>
                <w:color w:val="000000"/>
                <w:kern w:val="0"/>
                <w:szCs w:val="21"/>
                <w:highlight w:val="none"/>
                <w:lang w:val="en-US" w:eastAsia="zh-CN"/>
              </w:rPr>
              <w:t>地块七</w:t>
            </w:r>
            <w:r>
              <w:rPr>
                <w:rFonts w:hint="eastAsia" w:ascii="Times New Roman" w:hAnsi="Times New Roman" w:eastAsia="宋体" w:cs="Times New Roman"/>
                <w:color w:val="000000"/>
                <w:kern w:val="0"/>
                <w:szCs w:val="21"/>
                <w:highlight w:val="none"/>
                <w:lang w:val="en-US" w:eastAsia="zh-CN"/>
              </w:rPr>
              <w:t>共用1座20m</w:t>
            </w:r>
            <w:r>
              <w:rPr>
                <w:rFonts w:hint="eastAsia" w:ascii="Times New Roman" w:hAnsi="Times New Roman" w:eastAsia="宋体" w:cs="Times New Roman"/>
                <w:color w:val="000000"/>
                <w:kern w:val="0"/>
                <w:szCs w:val="21"/>
                <w:highlight w:val="none"/>
                <w:vertAlign w:val="superscript"/>
                <w:lang w:val="en-US" w:eastAsia="zh-CN"/>
              </w:rPr>
              <w:t>3</w:t>
            </w:r>
            <w:r>
              <w:rPr>
                <w:rFonts w:hint="eastAsia" w:ascii="Times New Roman" w:hAnsi="Times New Roman" w:eastAsia="宋体" w:cs="Times New Roman"/>
                <w:color w:val="000000"/>
                <w:kern w:val="0"/>
                <w:szCs w:val="21"/>
                <w:highlight w:val="none"/>
                <w:lang w:val="en-US" w:eastAsia="zh-CN"/>
              </w:rPr>
              <w:t>化粪池，餐饮废水经隔油池后排入乡村会客厅处的化粪池。生活污水经过化粪池处理后定期由吸污车抽出运至阜康市污水处理厂处理。</w:t>
            </w:r>
          </w:p>
          <w:p w14:paraId="17F05577">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firstLine="464"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pacing w:val="-4"/>
              </w:rPr>
              <w:t>综上所述，本项目生活污水可以做到全部综合利用，不外排，对周围水</w:t>
            </w:r>
            <w:r>
              <w:rPr>
                <w:rFonts w:hint="default" w:ascii="Times New Roman" w:hAnsi="Times New Roman" w:eastAsia="宋体" w:cs="Times New Roman"/>
                <w:color w:val="000000"/>
                <w:spacing w:val="-6"/>
              </w:rPr>
              <w:t>环境影响较小</w:t>
            </w:r>
            <w:r>
              <w:rPr>
                <w:rFonts w:hint="default" w:ascii="Times New Roman" w:hAnsi="Times New Roman" w:eastAsia="宋体" w:cs="Times New Roman"/>
                <w:b w:val="0"/>
                <w:bCs w:val="0"/>
                <w:color w:val="000000"/>
                <w:sz w:val="24"/>
                <w:szCs w:val="24"/>
                <w:lang w:val="en-US" w:eastAsia="zh-CN"/>
              </w:rPr>
              <w:t>。</w:t>
            </w:r>
          </w:p>
          <w:p w14:paraId="538F4199">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3.</w:t>
            </w:r>
            <w:r>
              <w:rPr>
                <w:rFonts w:hint="default" w:ascii="Times New Roman" w:hAnsi="Times New Roman" w:eastAsia="宋体" w:cs="Times New Roman"/>
                <w:b/>
                <w:bCs/>
                <w:color w:val="000000"/>
                <w:kern w:val="0"/>
                <w:sz w:val="24"/>
                <w:szCs w:val="24"/>
                <w:highlight w:val="none"/>
                <w:lang w:val="en-US" w:eastAsia="zh-CN" w:bidi="ar"/>
              </w:rPr>
              <w:t>声环境影响分析</w:t>
            </w:r>
          </w:p>
          <w:p w14:paraId="00EC0FCF">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firstLine="482"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3.1、噪声源强</w:t>
            </w:r>
          </w:p>
          <w:p w14:paraId="119BB293">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项目营运期噪声污染源主要来自食堂厨房的油烟净化器风机、配电房、生活水泵以及单体空调等运行时产生的设备噪声及停车场进出车辆交通噪声，源强在60-85dB</w:t>
            </w:r>
            <w:r>
              <w:rPr>
                <w:rFonts w:hint="eastAsia" w:cs="Times New Roman"/>
                <w:b w:val="0"/>
                <w:bCs w:val="0"/>
                <w:color w:val="000000"/>
                <w:kern w:val="0"/>
                <w:sz w:val="24"/>
                <w:szCs w:val="24"/>
                <w:highlight w:val="none"/>
                <w:lang w:val="en-US" w:eastAsia="zh-CN" w:bidi="ar"/>
              </w:rPr>
              <w:t>（</w:t>
            </w:r>
            <w:r>
              <w:rPr>
                <w:rFonts w:hint="default" w:ascii="Times New Roman" w:hAnsi="Times New Roman" w:eastAsia="宋体" w:cs="Times New Roman"/>
                <w:b w:val="0"/>
                <w:bCs w:val="0"/>
                <w:color w:val="000000"/>
                <w:kern w:val="0"/>
                <w:sz w:val="24"/>
                <w:szCs w:val="24"/>
                <w:highlight w:val="none"/>
                <w:lang w:val="en-US" w:eastAsia="zh-CN" w:bidi="ar"/>
              </w:rPr>
              <w:t>A</w:t>
            </w:r>
            <w:r>
              <w:rPr>
                <w:rFonts w:hint="eastAsia" w:cs="Times New Roman"/>
                <w:b w:val="0"/>
                <w:bCs w:val="0"/>
                <w:color w:val="000000"/>
                <w:kern w:val="0"/>
                <w:sz w:val="24"/>
                <w:szCs w:val="24"/>
                <w:highlight w:val="none"/>
                <w:lang w:val="en-US" w:eastAsia="zh-CN" w:bidi="ar"/>
              </w:rPr>
              <w:t>）</w:t>
            </w:r>
            <w:r>
              <w:rPr>
                <w:rFonts w:hint="default" w:ascii="Times New Roman" w:hAnsi="Times New Roman" w:eastAsia="宋体" w:cs="Times New Roman"/>
                <w:b w:val="0"/>
                <w:bCs w:val="0"/>
                <w:color w:val="000000"/>
                <w:kern w:val="0"/>
                <w:sz w:val="24"/>
                <w:szCs w:val="24"/>
                <w:highlight w:val="none"/>
                <w:lang w:val="en-US" w:eastAsia="zh-CN" w:bidi="ar"/>
              </w:rPr>
              <w:t>之间，以上声源的源强列于表4.10。</w:t>
            </w:r>
          </w:p>
          <w:p w14:paraId="4686EF25">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 xml:space="preserve">表4-10 </w:t>
            </w:r>
            <w:r>
              <w:rPr>
                <w:rFonts w:hint="default" w:ascii="Times New Roman" w:hAnsi="Times New Roman" w:eastAsia="宋体" w:cs="Times New Roman"/>
                <w:b/>
                <w:bCs/>
                <w:color w:val="000000"/>
                <w:sz w:val="21"/>
                <w:szCs w:val="21"/>
                <w:highlight w:val="none"/>
              </w:rPr>
              <w:t>本项目噪声源强一览表</w:t>
            </w:r>
          </w:p>
          <w:tbl>
            <w:tblPr>
              <w:tblStyle w:val="33"/>
              <w:tblW w:w="7488"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609"/>
              <w:gridCol w:w="1872"/>
              <w:gridCol w:w="1872"/>
            </w:tblGrid>
            <w:tr w14:paraId="40C5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5" w:type="dxa"/>
                  <w:tcBorders>
                    <w:top w:val="single" w:color="auto" w:sz="12" w:space="0"/>
                    <w:left w:val="nil"/>
                    <w:bottom w:val="single" w:color="auto" w:sz="12" w:space="0"/>
                  </w:tcBorders>
                  <w:noWrap w:val="0"/>
                  <w:vAlign w:val="top"/>
                </w:tcPr>
                <w:p w14:paraId="67DBE71B">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序号</w:t>
                  </w:r>
                </w:p>
              </w:tc>
              <w:tc>
                <w:tcPr>
                  <w:tcW w:w="2609" w:type="dxa"/>
                  <w:tcBorders>
                    <w:top w:val="single" w:color="auto" w:sz="12" w:space="0"/>
                    <w:bottom w:val="single" w:color="auto" w:sz="12" w:space="0"/>
                  </w:tcBorders>
                  <w:noWrap w:val="0"/>
                  <w:vAlign w:val="top"/>
                </w:tcPr>
                <w:p w14:paraId="46EE2CD1">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噪声源</w:t>
                  </w:r>
                </w:p>
              </w:tc>
              <w:tc>
                <w:tcPr>
                  <w:tcW w:w="1872" w:type="dxa"/>
                  <w:tcBorders>
                    <w:top w:val="single" w:color="auto" w:sz="12" w:space="0"/>
                    <w:bottom w:val="single" w:color="auto" w:sz="12" w:space="0"/>
                  </w:tcBorders>
                  <w:noWrap w:val="0"/>
                  <w:vAlign w:val="top"/>
                </w:tcPr>
                <w:p w14:paraId="29F8E4B9">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源强dB（A）</w:t>
                  </w:r>
                </w:p>
              </w:tc>
              <w:tc>
                <w:tcPr>
                  <w:tcW w:w="1872" w:type="dxa"/>
                  <w:tcBorders>
                    <w:top w:val="single" w:color="auto" w:sz="12" w:space="0"/>
                    <w:bottom w:val="single" w:color="auto" w:sz="12" w:space="0"/>
                    <w:right w:val="nil"/>
                  </w:tcBorders>
                  <w:noWrap w:val="0"/>
                  <w:vAlign w:val="top"/>
                </w:tcPr>
                <w:p w14:paraId="3DA624C9">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备注</w:t>
                  </w:r>
                </w:p>
              </w:tc>
            </w:tr>
            <w:tr w14:paraId="70B5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tcBorders>
                    <w:top w:val="single" w:color="auto" w:sz="12" w:space="0"/>
                    <w:left w:val="nil"/>
                  </w:tcBorders>
                  <w:noWrap w:val="0"/>
                  <w:vAlign w:val="top"/>
                </w:tcPr>
                <w:p w14:paraId="57C67602">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1</w:t>
                  </w:r>
                </w:p>
              </w:tc>
              <w:tc>
                <w:tcPr>
                  <w:tcW w:w="2609" w:type="dxa"/>
                  <w:tcBorders>
                    <w:top w:val="single" w:color="auto" w:sz="12" w:space="0"/>
                  </w:tcBorders>
                  <w:noWrap w:val="0"/>
                  <w:vAlign w:val="top"/>
                </w:tcPr>
                <w:p w14:paraId="639B2BFB">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油烟净化器风机</w:t>
                  </w:r>
                </w:p>
              </w:tc>
              <w:tc>
                <w:tcPr>
                  <w:tcW w:w="1872" w:type="dxa"/>
                  <w:tcBorders>
                    <w:top w:val="single" w:color="auto" w:sz="12" w:space="0"/>
                  </w:tcBorders>
                  <w:noWrap w:val="0"/>
                  <w:vAlign w:val="top"/>
                </w:tcPr>
                <w:p w14:paraId="46857EC2">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75-80</w:t>
                  </w:r>
                </w:p>
              </w:tc>
              <w:tc>
                <w:tcPr>
                  <w:tcW w:w="1872" w:type="dxa"/>
                  <w:tcBorders>
                    <w:top w:val="single" w:color="auto" w:sz="12" w:space="0"/>
                    <w:right w:val="nil"/>
                  </w:tcBorders>
                  <w:noWrap w:val="0"/>
                  <w:vAlign w:val="top"/>
                </w:tcPr>
                <w:p w14:paraId="3C3A7FA7">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安装于室内</w:t>
                  </w:r>
                </w:p>
              </w:tc>
            </w:tr>
            <w:tr w14:paraId="4F4D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tcBorders>
                    <w:left w:val="nil"/>
                  </w:tcBorders>
                  <w:noWrap w:val="0"/>
                  <w:vAlign w:val="top"/>
                </w:tcPr>
                <w:p w14:paraId="2C1369D1">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2</w:t>
                  </w:r>
                </w:p>
              </w:tc>
              <w:tc>
                <w:tcPr>
                  <w:tcW w:w="2609" w:type="dxa"/>
                  <w:noWrap w:val="0"/>
                  <w:vAlign w:val="top"/>
                </w:tcPr>
                <w:p w14:paraId="62C161B1">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社会生活噪声</w:t>
                  </w:r>
                </w:p>
              </w:tc>
              <w:tc>
                <w:tcPr>
                  <w:tcW w:w="1872" w:type="dxa"/>
                  <w:noWrap w:val="0"/>
                  <w:vAlign w:val="top"/>
                </w:tcPr>
                <w:p w14:paraId="4CEFB869">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55-65</w:t>
                  </w:r>
                </w:p>
              </w:tc>
              <w:tc>
                <w:tcPr>
                  <w:tcW w:w="1872" w:type="dxa"/>
                  <w:tcBorders>
                    <w:right w:val="nil"/>
                  </w:tcBorders>
                  <w:noWrap w:val="0"/>
                  <w:vAlign w:val="top"/>
                </w:tcPr>
                <w:p w14:paraId="7A354BF0">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室内、室外</w:t>
                  </w:r>
                </w:p>
              </w:tc>
            </w:tr>
            <w:tr w14:paraId="35D1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tcBorders>
                    <w:left w:val="nil"/>
                  </w:tcBorders>
                  <w:noWrap w:val="0"/>
                  <w:vAlign w:val="top"/>
                </w:tcPr>
                <w:p w14:paraId="321C4491">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3</w:t>
                  </w:r>
                </w:p>
              </w:tc>
              <w:tc>
                <w:tcPr>
                  <w:tcW w:w="2609" w:type="dxa"/>
                  <w:noWrap w:val="0"/>
                  <w:vAlign w:val="top"/>
                </w:tcPr>
                <w:p w14:paraId="3A3090FF">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水泵</w:t>
                  </w:r>
                </w:p>
              </w:tc>
              <w:tc>
                <w:tcPr>
                  <w:tcW w:w="1872" w:type="dxa"/>
                  <w:noWrap w:val="0"/>
                  <w:vAlign w:val="top"/>
                </w:tcPr>
                <w:p w14:paraId="7BB6CBCA">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75-85</w:t>
                  </w:r>
                </w:p>
              </w:tc>
              <w:tc>
                <w:tcPr>
                  <w:tcW w:w="1872" w:type="dxa"/>
                  <w:tcBorders>
                    <w:right w:val="nil"/>
                  </w:tcBorders>
                  <w:noWrap w:val="0"/>
                  <w:vAlign w:val="top"/>
                </w:tcPr>
                <w:p w14:paraId="06887F21">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室内</w:t>
                  </w:r>
                </w:p>
              </w:tc>
            </w:tr>
            <w:tr w14:paraId="2206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tcBorders>
                    <w:left w:val="nil"/>
                  </w:tcBorders>
                  <w:noWrap w:val="0"/>
                  <w:vAlign w:val="top"/>
                </w:tcPr>
                <w:p w14:paraId="3ED58CBB">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4</w:t>
                  </w:r>
                </w:p>
              </w:tc>
              <w:tc>
                <w:tcPr>
                  <w:tcW w:w="2609" w:type="dxa"/>
                  <w:noWrap w:val="0"/>
                  <w:vAlign w:val="top"/>
                </w:tcPr>
                <w:p w14:paraId="4630562D">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停车场噪声</w:t>
                  </w:r>
                </w:p>
              </w:tc>
              <w:tc>
                <w:tcPr>
                  <w:tcW w:w="1872" w:type="dxa"/>
                  <w:noWrap w:val="0"/>
                  <w:vAlign w:val="top"/>
                </w:tcPr>
                <w:p w14:paraId="7179C996">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60-65</w:t>
                  </w:r>
                </w:p>
              </w:tc>
              <w:tc>
                <w:tcPr>
                  <w:tcW w:w="1872" w:type="dxa"/>
                  <w:tcBorders>
                    <w:right w:val="nil"/>
                  </w:tcBorders>
                  <w:noWrap w:val="0"/>
                  <w:vAlign w:val="top"/>
                </w:tcPr>
                <w:p w14:paraId="1696577E">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室外</w:t>
                  </w:r>
                </w:p>
              </w:tc>
            </w:tr>
            <w:tr w14:paraId="497C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tcBorders>
                    <w:left w:val="nil"/>
                  </w:tcBorders>
                  <w:noWrap w:val="0"/>
                  <w:vAlign w:val="top"/>
                </w:tcPr>
                <w:p w14:paraId="30823BEA">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5</w:t>
                  </w:r>
                </w:p>
              </w:tc>
              <w:tc>
                <w:tcPr>
                  <w:tcW w:w="2609" w:type="dxa"/>
                  <w:noWrap w:val="0"/>
                  <w:vAlign w:val="top"/>
                </w:tcPr>
                <w:p w14:paraId="7F9C1029">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空调室外机</w:t>
                  </w:r>
                </w:p>
              </w:tc>
              <w:tc>
                <w:tcPr>
                  <w:tcW w:w="1872" w:type="dxa"/>
                  <w:noWrap w:val="0"/>
                  <w:vAlign w:val="top"/>
                </w:tcPr>
                <w:p w14:paraId="61AD490B">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50-60</w:t>
                  </w:r>
                </w:p>
              </w:tc>
              <w:tc>
                <w:tcPr>
                  <w:tcW w:w="1872" w:type="dxa"/>
                  <w:tcBorders>
                    <w:right w:val="nil"/>
                  </w:tcBorders>
                  <w:noWrap w:val="0"/>
                  <w:vAlign w:val="top"/>
                </w:tcPr>
                <w:p w14:paraId="0F32A623">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室外</w:t>
                  </w:r>
                </w:p>
              </w:tc>
            </w:tr>
            <w:tr w14:paraId="1F54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tcBorders>
                    <w:left w:val="nil"/>
                  </w:tcBorders>
                  <w:noWrap w:val="0"/>
                  <w:vAlign w:val="top"/>
                </w:tcPr>
                <w:p w14:paraId="564D668D">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6</w:t>
                  </w:r>
                </w:p>
              </w:tc>
              <w:tc>
                <w:tcPr>
                  <w:tcW w:w="2609" w:type="dxa"/>
                  <w:noWrap w:val="0"/>
                  <w:vAlign w:val="top"/>
                </w:tcPr>
                <w:p w14:paraId="3BB84A56">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变、配电房</w:t>
                  </w:r>
                </w:p>
              </w:tc>
              <w:tc>
                <w:tcPr>
                  <w:tcW w:w="1872" w:type="dxa"/>
                  <w:noWrap w:val="0"/>
                  <w:vAlign w:val="top"/>
                </w:tcPr>
                <w:p w14:paraId="020D8570">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70-80</w:t>
                  </w:r>
                </w:p>
              </w:tc>
              <w:tc>
                <w:tcPr>
                  <w:tcW w:w="1872" w:type="dxa"/>
                  <w:tcBorders>
                    <w:right w:val="nil"/>
                  </w:tcBorders>
                  <w:noWrap w:val="0"/>
                  <w:vAlign w:val="top"/>
                </w:tcPr>
                <w:p w14:paraId="60BE7F96">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室内</w:t>
                  </w:r>
                </w:p>
              </w:tc>
            </w:tr>
            <w:tr w14:paraId="3BBD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tcBorders>
                    <w:left w:val="nil"/>
                    <w:bottom w:val="single" w:color="auto" w:sz="12" w:space="0"/>
                  </w:tcBorders>
                  <w:noWrap w:val="0"/>
                  <w:vAlign w:val="top"/>
                </w:tcPr>
                <w:p w14:paraId="2E9AEEC0">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7</w:t>
                  </w:r>
                </w:p>
              </w:tc>
              <w:tc>
                <w:tcPr>
                  <w:tcW w:w="2609" w:type="dxa"/>
                  <w:tcBorders>
                    <w:bottom w:val="single" w:color="auto" w:sz="12" w:space="0"/>
                  </w:tcBorders>
                  <w:noWrap w:val="0"/>
                  <w:vAlign w:val="top"/>
                </w:tcPr>
                <w:p w14:paraId="160BACE3">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道路车辆行驶</w:t>
                  </w:r>
                </w:p>
              </w:tc>
              <w:tc>
                <w:tcPr>
                  <w:tcW w:w="1872" w:type="dxa"/>
                  <w:tcBorders>
                    <w:bottom w:val="single" w:color="auto" w:sz="12" w:space="0"/>
                  </w:tcBorders>
                  <w:noWrap w:val="0"/>
                  <w:vAlign w:val="top"/>
                </w:tcPr>
                <w:p w14:paraId="3DBA7CB2">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60-70</w:t>
                  </w:r>
                </w:p>
              </w:tc>
              <w:tc>
                <w:tcPr>
                  <w:tcW w:w="1872" w:type="dxa"/>
                  <w:tcBorders>
                    <w:bottom w:val="single" w:color="auto" w:sz="12" w:space="0"/>
                    <w:right w:val="nil"/>
                  </w:tcBorders>
                  <w:noWrap w:val="0"/>
                  <w:vAlign w:val="top"/>
                </w:tcPr>
                <w:p w14:paraId="621D5D09">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
                    </w:rPr>
                  </w:pPr>
                  <w:r>
                    <w:rPr>
                      <w:rFonts w:hint="default" w:ascii="Times New Roman" w:hAnsi="Times New Roman" w:eastAsia="宋体" w:cs="Times New Roman"/>
                      <w:b w:val="0"/>
                      <w:bCs w:val="0"/>
                      <w:color w:val="000000"/>
                      <w:kern w:val="0"/>
                      <w:sz w:val="21"/>
                      <w:szCs w:val="21"/>
                      <w:highlight w:val="none"/>
                      <w:vertAlign w:val="baseline"/>
                      <w:lang w:val="en-US" w:eastAsia="zh-CN" w:bidi="ar"/>
                    </w:rPr>
                    <w:t>室外</w:t>
                  </w:r>
                </w:p>
              </w:tc>
            </w:tr>
          </w:tbl>
          <w:p w14:paraId="6B6A2CAB">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spacing w:val="1"/>
                <w:sz w:val="24"/>
                <w:szCs w:val="24"/>
              </w:rPr>
            </w:pPr>
            <w:r>
              <w:rPr>
                <w:rFonts w:hint="default" w:ascii="Times New Roman" w:hAnsi="Times New Roman" w:eastAsia="宋体" w:cs="Times New Roman"/>
                <w:b w:val="0"/>
                <w:bCs w:val="0"/>
                <w:color w:val="000000"/>
                <w:kern w:val="0"/>
                <w:sz w:val="24"/>
                <w:szCs w:val="24"/>
                <w:highlight w:val="none"/>
                <w:lang w:val="en-US" w:eastAsia="zh-CN" w:bidi="ar"/>
              </w:rPr>
              <w:t>3.2</w:t>
            </w:r>
            <w:r>
              <w:rPr>
                <w:rFonts w:hint="default" w:ascii="Times New Roman" w:hAnsi="Times New Roman" w:eastAsia="宋体" w:cs="Times New Roman"/>
                <w:spacing w:val="1"/>
                <w:sz w:val="24"/>
                <w:szCs w:val="24"/>
              </w:rPr>
              <w:t>噪声预测模式</w:t>
            </w:r>
          </w:p>
          <w:p w14:paraId="4650C35A">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spacing w:val="1"/>
                <w:sz w:val="24"/>
                <w:szCs w:val="24"/>
                <w:lang w:val="en-US" w:eastAsia="zh-CN"/>
              </w:rPr>
            </w:pPr>
            <w:r>
              <w:rPr>
                <w:rFonts w:hint="default" w:ascii="Times New Roman" w:hAnsi="Times New Roman" w:eastAsia="宋体" w:cs="Times New Roman"/>
                <w:spacing w:val="0"/>
                <w:sz w:val="24"/>
                <w:szCs w:val="24"/>
              </w:rPr>
              <w:t>项目油烟净化器、水泵安装在室内，噪声传播受墙壁阻隔；配电房为封闭式建筑，噪声传播受墙壁阻隔，拟建项目各种设备在运行时产生的噪声，通过所在项目建筑物</w:t>
            </w:r>
            <w:r>
              <w:rPr>
                <w:rFonts w:hint="eastAsia" w:cs="Times New Roman"/>
                <w:spacing w:val="0"/>
                <w:sz w:val="24"/>
                <w:szCs w:val="24"/>
                <w:lang w:eastAsia="zh-CN"/>
              </w:rPr>
              <w:t>（</w:t>
            </w:r>
            <w:r>
              <w:rPr>
                <w:rFonts w:hint="default" w:ascii="Times New Roman" w:hAnsi="Times New Roman" w:eastAsia="宋体" w:cs="Times New Roman"/>
                <w:spacing w:val="0"/>
                <w:sz w:val="24"/>
                <w:szCs w:val="24"/>
              </w:rPr>
              <w:t>或围护结构</w:t>
            </w:r>
            <w:r>
              <w:rPr>
                <w:rFonts w:hint="eastAsia" w:cs="Times New Roman"/>
                <w:spacing w:val="0"/>
                <w:sz w:val="24"/>
                <w:szCs w:val="24"/>
                <w:lang w:eastAsia="zh-CN"/>
              </w:rPr>
              <w:t>）</w:t>
            </w:r>
            <w:r>
              <w:rPr>
                <w:rFonts w:hint="default" w:ascii="Times New Roman" w:hAnsi="Times New Roman" w:eastAsia="宋体" w:cs="Times New Roman"/>
                <w:spacing w:val="0"/>
                <w:sz w:val="24"/>
                <w:szCs w:val="24"/>
              </w:rPr>
              <w:t>的屏蔽效应、声源至受声点的距离衰减以及空 气吸收衰减后，到达受声点，受声点噪声值的预测应考虑以上三个主要因素。根据本项目的声源情况，将各噪声源看作点声源，采用下述模式进行预测：</w:t>
            </w:r>
          </w:p>
          <w:p w14:paraId="26EC8362">
            <w:pPr>
              <w:spacing w:line="360" w:lineRule="auto"/>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1</w:t>
            </w:r>
            <w:r>
              <w:rPr>
                <w:rFonts w:hint="default" w:ascii="Times New Roman" w:hAnsi="Times New Roman" w:eastAsia="宋体" w:cs="Times New Roman"/>
                <w:color w:val="auto"/>
                <w:sz w:val="24"/>
                <w:highlight w:val="none"/>
              </w:rPr>
              <w:t>-20lg</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r/r</w:t>
            </w:r>
            <w:r>
              <w:rPr>
                <w:rFonts w:hint="default" w:ascii="Times New Roman" w:hAnsi="Times New Roman" w:eastAsia="宋体" w:cs="Times New Roman"/>
                <w:color w:val="auto"/>
                <w:sz w:val="24"/>
                <w:highlight w:val="none"/>
                <w:vertAlign w:val="subscript"/>
                <w:lang w:val="en-US" w:eastAsia="zh-CN"/>
              </w:rPr>
              <w:t>0</w:t>
            </w:r>
            <w:r>
              <w:rPr>
                <w:rFonts w:hint="default" w:ascii="Times New Roman" w:hAnsi="Times New Roman" w:eastAsia="宋体" w:cs="Times New Roman"/>
                <w:color w:val="auto"/>
                <w:sz w:val="24"/>
                <w:highlight w:val="none"/>
                <w:lang w:eastAsia="zh-CN"/>
              </w:rPr>
              <w:t>）</w:t>
            </w:r>
          </w:p>
          <w:p w14:paraId="30AB41D2">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highlight w:val="none"/>
              </w:rPr>
              <w:t>式中：</w:t>
            </w:r>
            <w:r>
              <w:rPr>
                <w:rFonts w:hint="default" w:ascii="Times New Roman" w:hAnsi="Times New Roman" w:eastAsia="宋体" w:cs="Times New Roman"/>
                <w:color w:val="auto"/>
                <w:sz w:val="24"/>
                <w:szCs w:val="24"/>
                <w:highlight w:val="none"/>
              </w:rPr>
              <w:t>L</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距源</w:t>
            </w:r>
            <w:r>
              <w:rPr>
                <w:rFonts w:hint="default" w:ascii="Times New Roman" w:hAnsi="Times New Roman" w:eastAsia="宋体" w:cs="Times New Roman"/>
                <w:color w:val="auto"/>
                <w:sz w:val="24"/>
                <w:szCs w:val="24"/>
                <w:highlight w:val="none"/>
                <w:vertAlign w:val="baseline"/>
              </w:rPr>
              <w:t>r</w:t>
            </w:r>
            <w:r>
              <w:rPr>
                <w:rFonts w:hint="default" w:ascii="Times New Roman" w:hAnsi="Times New Roman" w:eastAsia="宋体" w:cs="Times New Roman"/>
                <w:color w:val="auto"/>
                <w:sz w:val="24"/>
                <w:szCs w:val="24"/>
                <w:highlight w:val="none"/>
              </w:rPr>
              <w:t>处噪声级，dB</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A</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14:paraId="671BE47A">
            <w:pPr>
              <w:keepNext w:val="0"/>
              <w:keepLines w:val="0"/>
              <w:pageBreakBefore w:val="0"/>
              <w:widowControl/>
              <w:suppressLineNumbers w:val="0"/>
              <w:kinsoku/>
              <w:wordWrap/>
              <w:overflowPunct/>
              <w:topLinePunct w:val="0"/>
              <w:autoSpaceDE/>
              <w:autoSpaceDN/>
              <w:bidi w:val="0"/>
              <w:adjustRightInd/>
              <w:snapToGrid w:val="0"/>
              <w:spacing w:line="360" w:lineRule="auto"/>
              <w:ind w:right="0" w:firstLine="1200" w:firstLineChars="500"/>
              <w:jc w:val="both"/>
              <w:textAlignment w:val="auto"/>
              <w:rPr>
                <w:rFonts w:hint="default" w:ascii="Times New Roman" w:hAnsi="Times New Roman" w:eastAsia="宋体" w:cs="Times New Roman"/>
                <w:spacing w:val="1"/>
                <w:sz w:val="24"/>
                <w:szCs w:val="24"/>
                <w:lang w:val="en-US" w:eastAsia="zh-CN"/>
              </w:rPr>
            </w:pPr>
            <w:r>
              <w:rPr>
                <w:rFonts w:hint="default" w:ascii="Times New Roman" w:hAnsi="Times New Roman" w:eastAsia="宋体" w:cs="Times New Roman"/>
                <w:color w:val="auto"/>
                <w:sz w:val="24"/>
                <w:szCs w:val="24"/>
                <w:highlight w:val="none"/>
              </w:rPr>
              <w:t>L</w:t>
            </w:r>
            <w:r>
              <w:rPr>
                <w:rFonts w:hint="default" w:ascii="Times New Roman" w:hAnsi="Times New Roman" w:eastAsia="宋体" w:cs="Times New Roman"/>
                <w:color w:val="auto"/>
                <w:sz w:val="24"/>
                <w:szCs w:val="24"/>
                <w:highlight w:val="none"/>
                <w:vertAlign w:val="subscript"/>
              </w:rPr>
              <w:t>1</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距源r</w:t>
            </w:r>
            <w:r>
              <w:rPr>
                <w:rFonts w:hint="default" w:ascii="Times New Roman" w:hAnsi="Times New Roman" w:eastAsia="宋体" w:cs="Times New Roman"/>
                <w:color w:val="auto"/>
                <w:sz w:val="24"/>
                <w:szCs w:val="24"/>
                <w:highlight w:val="none"/>
                <w:vertAlign w:val="subscript"/>
                <w:lang w:val="en-US" w:eastAsia="zh-CN"/>
              </w:rPr>
              <w:t>0</w:t>
            </w:r>
            <w:r>
              <w:rPr>
                <w:rFonts w:hint="default" w:ascii="Times New Roman" w:hAnsi="Times New Roman" w:eastAsia="宋体" w:cs="Times New Roman"/>
                <w:color w:val="auto"/>
                <w:sz w:val="24"/>
                <w:szCs w:val="24"/>
                <w:highlight w:val="none"/>
              </w:rPr>
              <w:t>处噪声级，dB</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A</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w:t>
            </w:r>
          </w:p>
          <w:p w14:paraId="506B1C0E">
            <w:pPr>
              <w:keepNext w:val="0"/>
              <w:keepLines w:val="0"/>
              <w:pageBreakBefore w:val="0"/>
              <w:kinsoku/>
              <w:wordWrap/>
              <w:overflowPunct/>
              <w:topLinePunct w:val="0"/>
              <w:autoSpaceDE/>
              <w:autoSpaceDN/>
              <w:bidi w:val="0"/>
              <w:adjustRightInd/>
              <w:ind w:firstLine="1200" w:firstLineChars="6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20"/>
                <w:sz w:val="24"/>
                <w:szCs w:val="24"/>
              </w:rPr>
              <w:t>r</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pacing w:val="0"/>
                <w:sz w:val="24"/>
                <w:szCs w:val="24"/>
              </w:rPr>
              <w:t>预测点至声源的距离</w:t>
            </w:r>
            <w:r>
              <w:rPr>
                <w:rFonts w:hint="default" w:ascii="Times New Roman" w:hAnsi="Times New Roman" w:eastAsia="宋体" w:cs="Times New Roman"/>
                <w:spacing w:val="-20"/>
                <w:sz w:val="24"/>
                <w:szCs w:val="24"/>
              </w:rPr>
              <w:t>，m</w:t>
            </w:r>
            <w:r>
              <w:rPr>
                <w:rFonts w:hint="default" w:ascii="Times New Roman" w:hAnsi="Times New Roman" w:eastAsia="宋体" w:cs="Times New Roman"/>
                <w:spacing w:val="-20"/>
                <w:sz w:val="24"/>
                <w:szCs w:val="24"/>
                <w:lang w:eastAsia="zh-CN"/>
              </w:rPr>
              <w:t>；</w:t>
            </w:r>
          </w:p>
          <w:p w14:paraId="4182EC3A">
            <w:pPr>
              <w:keepNext w:val="0"/>
              <w:keepLines w:val="0"/>
              <w:pageBreakBefore w:val="0"/>
              <w:widowControl/>
              <w:suppressLineNumbers w:val="0"/>
              <w:kinsoku/>
              <w:wordWrap/>
              <w:overflowPunct/>
              <w:topLinePunct w:val="0"/>
              <w:autoSpaceDE/>
              <w:autoSpaceDN/>
              <w:bidi w:val="0"/>
              <w:adjustRightInd/>
              <w:snapToGrid w:val="0"/>
              <w:spacing w:line="360" w:lineRule="auto"/>
              <w:ind w:right="0" w:firstLine="1272" w:firstLineChars="600"/>
              <w:jc w:val="both"/>
              <w:textAlignment w:val="auto"/>
              <w:rPr>
                <w:rFonts w:hint="default" w:ascii="Times New Roman" w:hAnsi="Times New Roman" w:eastAsia="宋体" w:cs="Times New Roman"/>
                <w:spacing w:val="1"/>
                <w:sz w:val="24"/>
                <w:szCs w:val="24"/>
                <w:lang w:val="en-US" w:eastAsia="zh-CN"/>
              </w:rPr>
            </w:pPr>
            <w:r>
              <w:rPr>
                <w:rFonts w:hint="default" w:ascii="Times New Roman" w:hAnsi="Times New Roman" w:eastAsia="宋体" w:cs="Times New Roman"/>
                <w:spacing w:val="-14"/>
                <w:sz w:val="24"/>
                <w:szCs w:val="24"/>
                <w:lang w:val="en-US" w:eastAsia="zh-CN"/>
              </w:rPr>
              <w:t>r</w:t>
            </w:r>
            <w:r>
              <w:rPr>
                <w:rFonts w:hint="default" w:ascii="Times New Roman" w:hAnsi="Times New Roman" w:eastAsia="宋体" w:cs="Times New Roman"/>
                <w:spacing w:val="-14"/>
                <w:sz w:val="24"/>
                <w:szCs w:val="24"/>
                <w:vertAlign w:val="subscript"/>
                <w:lang w:val="en-US" w:eastAsia="zh-CN"/>
              </w:rPr>
              <w:t>0</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pacing w:val="0"/>
                <w:sz w:val="24"/>
                <w:szCs w:val="24"/>
              </w:rPr>
              <w:t>参考点距声源的距离</w:t>
            </w:r>
            <w:r>
              <w:rPr>
                <w:rFonts w:hint="default" w:ascii="Times New Roman" w:hAnsi="Times New Roman" w:eastAsia="宋体" w:cs="Times New Roman"/>
                <w:spacing w:val="-14"/>
                <w:sz w:val="24"/>
                <w:szCs w:val="24"/>
              </w:rPr>
              <w:t>，1m</w:t>
            </w:r>
            <w:r>
              <w:rPr>
                <w:rFonts w:hint="default" w:ascii="Times New Roman" w:hAnsi="Times New Roman" w:eastAsia="宋体" w:cs="Times New Roman"/>
                <w:spacing w:val="-14"/>
                <w:sz w:val="24"/>
                <w:szCs w:val="24"/>
                <w:lang w:eastAsia="zh-CN"/>
              </w:rPr>
              <w:t>。</w:t>
            </w:r>
          </w:p>
          <w:p w14:paraId="19479138">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spacing w:val="1"/>
                <w:sz w:val="24"/>
                <w:szCs w:val="24"/>
                <w:lang w:val="en-US" w:eastAsia="zh-CN"/>
              </w:rPr>
            </w:pPr>
            <w:r>
              <w:rPr>
                <w:rFonts w:hint="default" w:ascii="Times New Roman" w:hAnsi="Times New Roman" w:eastAsia="宋体" w:cs="Times New Roman"/>
                <w:spacing w:val="1"/>
                <w:sz w:val="24"/>
                <w:szCs w:val="24"/>
                <w:lang w:val="en-US" w:eastAsia="zh-CN"/>
              </w:rPr>
              <w:t>噪声叠加公式：</w:t>
            </w:r>
          </w:p>
          <w:p w14:paraId="2A6EBFAB">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spacing w:val="1"/>
                <w:sz w:val="24"/>
                <w:szCs w:val="24"/>
                <w:lang w:val="en-US" w:eastAsia="zh-CN"/>
              </w:rPr>
            </w:pPr>
            <w:r>
              <w:rPr>
                <w:rFonts w:hint="default" w:ascii="Times New Roman" w:hAnsi="Times New Roman" w:eastAsia="宋体" w:cs="Times New Roman"/>
                <w:color w:val="auto"/>
                <w:sz w:val="24"/>
                <w:highlight w:val="none"/>
              </w:rPr>
              <w:object>
                <v:shape id="_x0000_i1025" o:spt="75" type="#_x0000_t75" style="height:36pt;width:108pt;" o:ole="t" filled="f" o:preferrelative="t" stroked="f" coordsize="21600,21600">
                  <v:path/>
                  <v:fill on="f" focussize="0,0"/>
                  <v:stroke on="f" joinstyle="miter"/>
                  <v:imagedata r:id="rId24" o:title=""/>
                  <o:lock v:ext="edit" aspectratio="t"/>
                  <w10:wrap type="none"/>
                  <w10:anchorlock/>
                </v:shape>
                <o:OLEObject Type="Embed" ProgID="Equation.3" ShapeID="_x0000_i1025" DrawAspect="Content" ObjectID="_1468075725" r:id="rId23">
                  <o:LockedField>false</o:LockedField>
                </o:OLEObject>
              </w:object>
            </w:r>
          </w:p>
          <w:p w14:paraId="0613C7E1">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w:t>
            </w:r>
            <w:r>
              <w:rPr>
                <w:rFonts w:hint="default" w:ascii="Times New Roman" w:hAnsi="Times New Roman" w:eastAsia="宋体" w:cs="Times New Roman"/>
                <w:color w:val="auto"/>
                <w:sz w:val="24"/>
                <w:highlight w:val="none"/>
              </w:rPr>
              <w:object>
                <v:shape id="_x0000_i1026" o:spt="75" type="#_x0000_t75" style="height:18pt;width:12pt;" o:ole="t" filled="f" o:preferrelative="t" stroked="f" coordsize="21600,21600">
                  <v:path/>
                  <v:fill on="f" focussize="0,0"/>
                  <v:stroke on="f" joinstyle="miter"/>
                  <v:imagedata r:id="rId26" o:title=""/>
                  <o:lock v:ext="edit" aspectratio="t"/>
                  <w10:wrap type="none"/>
                  <w10:anchorlock/>
                </v:shape>
                <o:OLEObject Type="Embed" ProgID="Equation.3" ShapeID="_x0000_i1026" DrawAspect="Content" ObjectID="_1468075726" r:id="rId25">
                  <o:LockedField>false</o:LockedField>
                </o:OLEObject>
              </w:object>
            </w:r>
            <w:r>
              <w:rPr>
                <w:rFonts w:hint="default" w:ascii="Times New Roman" w:hAnsi="Times New Roman" w:eastAsia="宋体" w:cs="Times New Roman"/>
                <w:color w:val="auto"/>
                <w:sz w:val="24"/>
                <w:highlight w:val="none"/>
              </w:rPr>
              <w:t>—多个噪声源叠加的综合噪声声级，dB（A）；</w:t>
            </w:r>
          </w:p>
          <w:p w14:paraId="7272FD97">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object>
                <v:shape id="_x0000_i1027" o:spt="75" type="#_x0000_t75" style="height:18pt;width:12pt;" o:ole="t" filled="f" o:preferrelative="t" stroked="f" coordsize="21600,21600">
                  <v:path/>
                  <v:fill on="f" focussize="0,0"/>
                  <v:stroke on="f" joinstyle="miter"/>
                  <v:imagedata r:id="rId28" o:title=""/>
                  <o:lock v:ext="edit" aspectratio="t"/>
                  <w10:wrap type="none"/>
                  <w10:anchorlock/>
                </v:shape>
                <o:OLEObject Type="Embed" ProgID="Equation.3" ShapeID="_x0000_i1027" DrawAspect="Content" ObjectID="_1468075727" r:id="rId27">
                  <o:LockedField>false</o:LockedField>
                </o:OLEObject>
              </w:object>
            </w:r>
            <w:r>
              <w:rPr>
                <w:rFonts w:hint="default" w:ascii="Times New Roman" w:hAnsi="Times New Roman" w:eastAsia="宋体" w:cs="Times New Roman"/>
                <w:color w:val="auto"/>
                <w:sz w:val="24"/>
                <w:highlight w:val="none"/>
              </w:rPr>
              <w:t>—第I个噪声源的声级，dB（A）；</w:t>
            </w:r>
          </w:p>
          <w:p w14:paraId="3FA2DB34">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spacing w:val="1"/>
                <w:sz w:val="24"/>
                <w:szCs w:val="24"/>
                <w:lang w:val="en-US" w:eastAsia="zh-CN"/>
              </w:rPr>
            </w:pPr>
            <w:r>
              <w:rPr>
                <w:rFonts w:hint="default" w:ascii="Times New Roman" w:hAnsi="Times New Roman" w:eastAsia="宋体" w:cs="Times New Roman"/>
                <w:color w:val="auto"/>
                <w:sz w:val="24"/>
                <w:highlight w:val="none"/>
              </w:rPr>
              <w:object>
                <v:shape id="_x0000_i1028" o:spt="75" type="#_x0000_t75" style="height:14.3pt;width:11.7pt;" o:ole="t" filled="f" o:preferrelative="t" stroked="f" coordsize="21600,21600">
                  <v:path/>
                  <v:fill on="f" focussize="0,0"/>
                  <v:stroke on="f"/>
                  <v:imagedata r:id="rId30" o:title=""/>
                  <o:lock v:ext="edit" aspectratio="t"/>
                  <w10:wrap type="none"/>
                  <w10:anchorlock/>
                </v:shape>
                <o:OLEObject Type="Embed" ProgID="Equation.3" ShapeID="_x0000_i1028" DrawAspect="Content" ObjectID="_1468075728" r:id="rId29">
                  <o:LockedField>false</o:LockedField>
                </o:OLEObject>
              </w:object>
            </w:r>
            <w:r>
              <w:rPr>
                <w:rFonts w:hint="default" w:ascii="Times New Roman" w:hAnsi="Times New Roman" w:eastAsia="宋体" w:cs="Times New Roman"/>
                <w:color w:val="auto"/>
                <w:sz w:val="24"/>
                <w:highlight w:val="none"/>
              </w:rPr>
              <w:t>—噪声源的个数。</w:t>
            </w:r>
          </w:p>
          <w:p w14:paraId="6818891F">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spacing w:val="1"/>
                <w:sz w:val="24"/>
                <w:szCs w:val="24"/>
                <w:lang w:val="en-US" w:eastAsia="zh-CN"/>
              </w:rPr>
            </w:pPr>
            <w:r>
              <w:rPr>
                <w:rFonts w:hint="default" w:ascii="Times New Roman" w:hAnsi="Times New Roman" w:eastAsia="宋体" w:cs="Times New Roman"/>
                <w:b/>
                <w:bCs/>
                <w:spacing w:val="1"/>
                <w:sz w:val="24"/>
                <w:szCs w:val="24"/>
                <w:lang w:val="en-US" w:eastAsia="zh-CN"/>
              </w:rPr>
              <w:t>3.3项目噪声预测及影响分析</w:t>
            </w:r>
          </w:p>
          <w:p w14:paraId="5C568C91">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根据前述运营期噪声源强估算，本次预测源强以项目主要噪声源运营期产生噪声的最高分贝计；本次预测按噪声级下降15dB计，由此预测出采取房间隔声前后各噪声源产生的噪声随距离的衰减情况，计算结果见表</w:t>
            </w:r>
            <w:r>
              <w:rPr>
                <w:rFonts w:hint="eastAsia" w:cs="Times New Roman"/>
                <w:color w:val="auto"/>
                <w:sz w:val="24"/>
                <w:highlight w:val="none"/>
                <w:lang w:val="en-US" w:eastAsia="zh-CN"/>
              </w:rPr>
              <w:t>4</w:t>
            </w:r>
            <w:r>
              <w:rPr>
                <w:rFonts w:hint="eastAsia" w:ascii="Times New Roman" w:hAnsi="Times New Roman" w:eastAsia="宋体" w:cs="Times New Roman"/>
                <w:color w:val="auto"/>
                <w:sz w:val="24"/>
                <w:highlight w:val="none"/>
                <w:lang w:val="en-US" w:eastAsia="zh-CN"/>
              </w:rPr>
              <w:t>-11</w:t>
            </w:r>
            <w:r>
              <w:rPr>
                <w:rFonts w:hint="eastAsia" w:cs="Times New Roman"/>
                <w:color w:val="auto"/>
                <w:sz w:val="24"/>
                <w:highlight w:val="none"/>
                <w:lang w:val="en-US" w:eastAsia="zh-CN"/>
              </w:rPr>
              <w:t>。</w:t>
            </w:r>
          </w:p>
          <w:p w14:paraId="15FEE84E">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center"/>
              <w:textAlignment w:val="auto"/>
              <w:rPr>
                <w:rFonts w:hint="default" w:ascii="Times New Roman" w:hAnsi="Times New Roman" w:eastAsia="宋体" w:cs="Times New Roman"/>
                <w:spacing w:val="1"/>
                <w:sz w:val="24"/>
                <w:szCs w:val="24"/>
                <w:lang w:val="en-US" w:eastAsia="zh-CN"/>
              </w:rPr>
            </w:pPr>
            <w:r>
              <w:rPr>
                <w:rFonts w:hint="default" w:ascii="Times New Roman" w:hAnsi="Times New Roman" w:eastAsia="宋体" w:cs="Times New Roman"/>
                <w:b/>
                <w:bCs/>
                <w:spacing w:val="1"/>
                <w:sz w:val="21"/>
                <w:szCs w:val="21"/>
                <w:lang w:val="en-US" w:eastAsia="zh-CN"/>
              </w:rPr>
              <w:t>表4-11</w:t>
            </w:r>
            <w:r>
              <w:rPr>
                <w:rFonts w:hint="default" w:ascii="Times New Roman" w:hAnsi="Times New Roman" w:eastAsia="宋体" w:cs="Times New Roman"/>
                <w:b/>
                <w:bCs/>
                <w:color w:val="000000"/>
                <w:spacing w:val="5"/>
                <w:sz w:val="21"/>
                <w:szCs w:val="21"/>
              </w:rPr>
              <w:t>厂界噪声预测结果  单位：dB(A)</w:t>
            </w:r>
          </w:p>
          <w:tbl>
            <w:tblPr>
              <w:tblStyle w:val="33"/>
              <w:tblW w:w="7488"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628"/>
              <w:gridCol w:w="629"/>
              <w:gridCol w:w="674"/>
              <w:gridCol w:w="679"/>
              <w:gridCol w:w="629"/>
              <w:gridCol w:w="629"/>
              <w:gridCol w:w="694"/>
              <w:gridCol w:w="629"/>
              <w:gridCol w:w="629"/>
              <w:gridCol w:w="637"/>
            </w:tblGrid>
            <w:tr w14:paraId="3CF6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1031" w:type="dxa"/>
                  <w:vMerge w:val="restart"/>
                  <w:tcBorders>
                    <w:top w:val="single" w:color="auto" w:sz="12" w:space="0"/>
                    <w:left w:val="nil"/>
                  </w:tcBorders>
                  <w:noWrap w:val="0"/>
                  <w:vAlign w:val="center"/>
                </w:tcPr>
                <w:p w14:paraId="59253A59">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预测点</w:t>
                  </w:r>
                </w:p>
              </w:tc>
              <w:tc>
                <w:tcPr>
                  <w:tcW w:w="1257" w:type="dxa"/>
                  <w:gridSpan w:val="2"/>
                  <w:tcBorders>
                    <w:top w:val="single" w:color="auto" w:sz="12" w:space="0"/>
                  </w:tcBorders>
                  <w:noWrap w:val="0"/>
                  <w:vAlign w:val="center"/>
                </w:tcPr>
                <w:p w14:paraId="398E7CD8">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噪声标准</w:t>
                  </w:r>
                </w:p>
              </w:tc>
              <w:tc>
                <w:tcPr>
                  <w:tcW w:w="1353" w:type="dxa"/>
                  <w:gridSpan w:val="2"/>
                  <w:tcBorders>
                    <w:top w:val="single" w:color="auto" w:sz="12" w:space="0"/>
                  </w:tcBorders>
                  <w:noWrap w:val="0"/>
                  <w:vAlign w:val="center"/>
                </w:tcPr>
                <w:p w14:paraId="72E269DE">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贡献值</w:t>
                  </w:r>
                </w:p>
              </w:tc>
              <w:tc>
                <w:tcPr>
                  <w:tcW w:w="1258" w:type="dxa"/>
                  <w:gridSpan w:val="2"/>
                  <w:tcBorders>
                    <w:top w:val="single" w:color="auto" w:sz="12" w:space="0"/>
                  </w:tcBorders>
                  <w:noWrap w:val="0"/>
                  <w:vAlign w:val="center"/>
                </w:tcPr>
                <w:p w14:paraId="0F613137">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eastAsia="宋体" w:cs="Times New Roman"/>
                      <w:spacing w:val="1"/>
                      <w:sz w:val="21"/>
                      <w:szCs w:val="21"/>
                      <w:vertAlign w:val="baseline"/>
                      <w:lang w:val="en-US" w:eastAsia="zh-CN"/>
                    </w:rPr>
                    <w:t>背景值</w:t>
                  </w:r>
                </w:p>
              </w:tc>
              <w:tc>
                <w:tcPr>
                  <w:tcW w:w="1323" w:type="dxa"/>
                  <w:gridSpan w:val="2"/>
                  <w:tcBorders>
                    <w:top w:val="single" w:color="auto" w:sz="12" w:space="0"/>
                  </w:tcBorders>
                  <w:noWrap w:val="0"/>
                  <w:vAlign w:val="center"/>
                </w:tcPr>
                <w:p w14:paraId="498A8A6B">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eastAsia="宋体" w:cs="Times New Roman"/>
                      <w:spacing w:val="1"/>
                      <w:sz w:val="21"/>
                      <w:szCs w:val="21"/>
                      <w:vertAlign w:val="baseline"/>
                      <w:lang w:val="en-US" w:eastAsia="zh-CN"/>
                    </w:rPr>
                    <w:t>预测值</w:t>
                  </w:r>
                </w:p>
              </w:tc>
              <w:tc>
                <w:tcPr>
                  <w:tcW w:w="1266" w:type="dxa"/>
                  <w:gridSpan w:val="2"/>
                  <w:tcBorders>
                    <w:top w:val="single" w:color="auto" w:sz="12" w:space="0"/>
                    <w:right w:val="nil"/>
                  </w:tcBorders>
                  <w:noWrap w:val="0"/>
                  <w:vAlign w:val="center"/>
                </w:tcPr>
                <w:p w14:paraId="6215A4CB">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达标情况</w:t>
                  </w:r>
                </w:p>
              </w:tc>
            </w:tr>
            <w:tr w14:paraId="133D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 w:type="dxa"/>
                  <w:vMerge w:val="continue"/>
                  <w:tcBorders>
                    <w:left w:val="nil"/>
                    <w:bottom w:val="single" w:color="auto" w:sz="12" w:space="0"/>
                  </w:tcBorders>
                  <w:noWrap w:val="0"/>
                  <w:vAlign w:val="center"/>
                </w:tcPr>
                <w:p w14:paraId="02B8B7DE">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p>
              </w:tc>
              <w:tc>
                <w:tcPr>
                  <w:tcW w:w="628" w:type="dxa"/>
                  <w:tcBorders>
                    <w:bottom w:val="single" w:color="auto" w:sz="12" w:space="0"/>
                  </w:tcBorders>
                  <w:noWrap w:val="0"/>
                  <w:vAlign w:val="center"/>
                </w:tcPr>
                <w:p w14:paraId="2E6BE793">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昼间</w:t>
                  </w:r>
                </w:p>
              </w:tc>
              <w:tc>
                <w:tcPr>
                  <w:tcW w:w="629" w:type="dxa"/>
                  <w:tcBorders>
                    <w:bottom w:val="single" w:color="auto" w:sz="12" w:space="0"/>
                  </w:tcBorders>
                  <w:noWrap w:val="0"/>
                  <w:vAlign w:val="center"/>
                </w:tcPr>
                <w:p w14:paraId="6DAAFFF1">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夜间</w:t>
                  </w:r>
                </w:p>
              </w:tc>
              <w:tc>
                <w:tcPr>
                  <w:tcW w:w="674" w:type="dxa"/>
                  <w:tcBorders>
                    <w:bottom w:val="single" w:color="auto" w:sz="12" w:space="0"/>
                  </w:tcBorders>
                  <w:noWrap w:val="0"/>
                  <w:vAlign w:val="center"/>
                </w:tcPr>
                <w:p w14:paraId="0589621B">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kern w:val="2"/>
                      <w:sz w:val="21"/>
                      <w:szCs w:val="21"/>
                      <w:vertAlign w:val="baseline"/>
                      <w:lang w:val="en-US" w:eastAsia="zh-CN" w:bidi="ar-SA"/>
                    </w:rPr>
                  </w:pPr>
                  <w:r>
                    <w:rPr>
                      <w:rFonts w:hint="default" w:ascii="Times New Roman" w:hAnsi="Times New Roman" w:eastAsia="宋体" w:cs="Times New Roman"/>
                      <w:spacing w:val="1"/>
                      <w:sz w:val="21"/>
                      <w:szCs w:val="21"/>
                      <w:vertAlign w:val="baseline"/>
                      <w:lang w:val="en-US" w:eastAsia="zh-CN"/>
                    </w:rPr>
                    <w:t>昼间</w:t>
                  </w:r>
                </w:p>
              </w:tc>
              <w:tc>
                <w:tcPr>
                  <w:tcW w:w="679" w:type="dxa"/>
                  <w:tcBorders>
                    <w:bottom w:val="single" w:color="auto" w:sz="12" w:space="0"/>
                  </w:tcBorders>
                  <w:noWrap w:val="0"/>
                  <w:vAlign w:val="center"/>
                </w:tcPr>
                <w:p w14:paraId="237C141C">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夜间</w:t>
                  </w:r>
                </w:p>
              </w:tc>
              <w:tc>
                <w:tcPr>
                  <w:tcW w:w="629" w:type="dxa"/>
                  <w:tcBorders>
                    <w:bottom w:val="single" w:color="auto" w:sz="12" w:space="0"/>
                  </w:tcBorders>
                  <w:shd w:val="clear" w:color="auto" w:fill="auto"/>
                  <w:noWrap w:val="0"/>
                  <w:vAlign w:val="center"/>
                </w:tcPr>
                <w:p w14:paraId="1348A1A6">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kern w:val="2"/>
                      <w:sz w:val="21"/>
                      <w:szCs w:val="21"/>
                      <w:vertAlign w:val="baseline"/>
                      <w:lang w:val="en-US" w:eastAsia="zh-CN" w:bidi="ar-SA"/>
                    </w:rPr>
                  </w:pPr>
                  <w:r>
                    <w:rPr>
                      <w:rFonts w:hint="default" w:ascii="Times New Roman" w:hAnsi="Times New Roman" w:eastAsia="宋体" w:cs="Times New Roman"/>
                      <w:spacing w:val="1"/>
                      <w:sz w:val="21"/>
                      <w:szCs w:val="21"/>
                      <w:vertAlign w:val="baseline"/>
                      <w:lang w:val="en-US" w:eastAsia="zh-CN"/>
                    </w:rPr>
                    <w:t>昼间</w:t>
                  </w:r>
                </w:p>
              </w:tc>
              <w:tc>
                <w:tcPr>
                  <w:tcW w:w="629" w:type="dxa"/>
                  <w:tcBorders>
                    <w:bottom w:val="single" w:color="auto" w:sz="12" w:space="0"/>
                  </w:tcBorders>
                  <w:shd w:val="clear" w:color="auto" w:fill="auto"/>
                  <w:noWrap w:val="0"/>
                  <w:vAlign w:val="center"/>
                </w:tcPr>
                <w:p w14:paraId="2CE7B714">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kern w:val="2"/>
                      <w:sz w:val="21"/>
                      <w:szCs w:val="21"/>
                      <w:vertAlign w:val="baseline"/>
                      <w:lang w:val="en-US" w:eastAsia="zh-CN" w:bidi="ar-SA"/>
                    </w:rPr>
                  </w:pPr>
                  <w:r>
                    <w:rPr>
                      <w:rFonts w:hint="default" w:ascii="Times New Roman" w:hAnsi="Times New Roman" w:eastAsia="宋体" w:cs="Times New Roman"/>
                      <w:spacing w:val="1"/>
                      <w:sz w:val="21"/>
                      <w:szCs w:val="21"/>
                      <w:vertAlign w:val="baseline"/>
                      <w:lang w:val="en-US" w:eastAsia="zh-CN"/>
                    </w:rPr>
                    <w:t>夜间</w:t>
                  </w:r>
                </w:p>
              </w:tc>
              <w:tc>
                <w:tcPr>
                  <w:tcW w:w="694" w:type="dxa"/>
                  <w:tcBorders>
                    <w:bottom w:val="single" w:color="auto" w:sz="12" w:space="0"/>
                  </w:tcBorders>
                  <w:shd w:val="clear" w:color="auto" w:fill="auto"/>
                  <w:noWrap w:val="0"/>
                  <w:vAlign w:val="center"/>
                </w:tcPr>
                <w:p w14:paraId="206A80A4">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kern w:val="2"/>
                      <w:sz w:val="21"/>
                      <w:szCs w:val="21"/>
                      <w:vertAlign w:val="baseline"/>
                      <w:lang w:val="en-US" w:eastAsia="zh-CN" w:bidi="ar-SA"/>
                    </w:rPr>
                  </w:pPr>
                  <w:r>
                    <w:rPr>
                      <w:rFonts w:hint="default" w:ascii="Times New Roman" w:hAnsi="Times New Roman" w:eastAsia="宋体" w:cs="Times New Roman"/>
                      <w:spacing w:val="1"/>
                      <w:sz w:val="21"/>
                      <w:szCs w:val="21"/>
                      <w:vertAlign w:val="baseline"/>
                      <w:lang w:val="en-US" w:eastAsia="zh-CN"/>
                    </w:rPr>
                    <w:t>昼间</w:t>
                  </w:r>
                </w:p>
              </w:tc>
              <w:tc>
                <w:tcPr>
                  <w:tcW w:w="629" w:type="dxa"/>
                  <w:tcBorders>
                    <w:bottom w:val="single" w:color="auto" w:sz="12" w:space="0"/>
                  </w:tcBorders>
                  <w:shd w:val="clear" w:color="auto" w:fill="auto"/>
                  <w:noWrap w:val="0"/>
                  <w:vAlign w:val="center"/>
                </w:tcPr>
                <w:p w14:paraId="2DC7EAD4">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kern w:val="2"/>
                      <w:sz w:val="21"/>
                      <w:szCs w:val="21"/>
                      <w:vertAlign w:val="baseline"/>
                      <w:lang w:val="en-US" w:eastAsia="zh-CN" w:bidi="ar-SA"/>
                    </w:rPr>
                  </w:pPr>
                  <w:r>
                    <w:rPr>
                      <w:rFonts w:hint="default" w:ascii="Times New Roman" w:hAnsi="Times New Roman" w:eastAsia="宋体" w:cs="Times New Roman"/>
                      <w:spacing w:val="1"/>
                      <w:sz w:val="21"/>
                      <w:szCs w:val="21"/>
                      <w:vertAlign w:val="baseline"/>
                      <w:lang w:val="en-US" w:eastAsia="zh-CN"/>
                    </w:rPr>
                    <w:t>夜间</w:t>
                  </w:r>
                </w:p>
              </w:tc>
              <w:tc>
                <w:tcPr>
                  <w:tcW w:w="629" w:type="dxa"/>
                  <w:tcBorders>
                    <w:bottom w:val="single" w:color="auto" w:sz="12" w:space="0"/>
                  </w:tcBorders>
                  <w:noWrap w:val="0"/>
                  <w:vAlign w:val="center"/>
                </w:tcPr>
                <w:p w14:paraId="4F2D4625">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kern w:val="2"/>
                      <w:sz w:val="21"/>
                      <w:szCs w:val="21"/>
                      <w:vertAlign w:val="baseline"/>
                      <w:lang w:val="en-US" w:eastAsia="zh-CN" w:bidi="ar-SA"/>
                    </w:rPr>
                  </w:pPr>
                  <w:r>
                    <w:rPr>
                      <w:rFonts w:hint="default" w:ascii="Times New Roman" w:hAnsi="Times New Roman" w:eastAsia="宋体" w:cs="Times New Roman"/>
                      <w:spacing w:val="1"/>
                      <w:sz w:val="21"/>
                      <w:szCs w:val="21"/>
                      <w:vertAlign w:val="baseline"/>
                      <w:lang w:val="en-US" w:eastAsia="zh-CN"/>
                    </w:rPr>
                    <w:t>昼间</w:t>
                  </w:r>
                </w:p>
              </w:tc>
              <w:tc>
                <w:tcPr>
                  <w:tcW w:w="637" w:type="dxa"/>
                  <w:tcBorders>
                    <w:bottom w:val="single" w:color="auto" w:sz="12" w:space="0"/>
                    <w:right w:val="nil"/>
                  </w:tcBorders>
                  <w:noWrap w:val="0"/>
                  <w:vAlign w:val="center"/>
                </w:tcPr>
                <w:p w14:paraId="1654CB07">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kern w:val="2"/>
                      <w:sz w:val="21"/>
                      <w:szCs w:val="21"/>
                      <w:vertAlign w:val="baseline"/>
                      <w:lang w:val="en-US" w:eastAsia="zh-CN" w:bidi="ar-SA"/>
                    </w:rPr>
                  </w:pPr>
                  <w:r>
                    <w:rPr>
                      <w:rFonts w:hint="default" w:ascii="Times New Roman" w:hAnsi="Times New Roman" w:eastAsia="宋体" w:cs="Times New Roman"/>
                      <w:spacing w:val="1"/>
                      <w:sz w:val="21"/>
                      <w:szCs w:val="21"/>
                      <w:vertAlign w:val="baseline"/>
                      <w:lang w:val="en-US" w:eastAsia="zh-CN"/>
                    </w:rPr>
                    <w:t>夜间</w:t>
                  </w:r>
                </w:p>
              </w:tc>
            </w:tr>
            <w:tr w14:paraId="20EB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 w:type="dxa"/>
                  <w:tcBorders>
                    <w:top w:val="single" w:color="auto" w:sz="12" w:space="0"/>
                    <w:left w:val="nil"/>
                  </w:tcBorders>
                  <w:noWrap w:val="0"/>
                  <w:vAlign w:val="center"/>
                </w:tcPr>
                <w:p w14:paraId="1FF7DA30">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厂界东侧</w:t>
                  </w:r>
                </w:p>
              </w:tc>
              <w:tc>
                <w:tcPr>
                  <w:tcW w:w="628" w:type="dxa"/>
                  <w:tcBorders>
                    <w:top w:val="single" w:color="auto" w:sz="12" w:space="0"/>
                  </w:tcBorders>
                  <w:noWrap w:val="0"/>
                  <w:vAlign w:val="center"/>
                </w:tcPr>
                <w:p w14:paraId="50801D12">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55</w:t>
                  </w:r>
                </w:p>
              </w:tc>
              <w:tc>
                <w:tcPr>
                  <w:tcW w:w="629" w:type="dxa"/>
                  <w:tcBorders>
                    <w:top w:val="single" w:color="auto" w:sz="12" w:space="0"/>
                  </w:tcBorders>
                  <w:noWrap w:val="0"/>
                  <w:vAlign w:val="center"/>
                </w:tcPr>
                <w:p w14:paraId="7A4A1798">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45</w:t>
                  </w:r>
                </w:p>
              </w:tc>
              <w:tc>
                <w:tcPr>
                  <w:tcW w:w="674" w:type="dxa"/>
                  <w:tcBorders>
                    <w:top w:val="single" w:color="auto" w:sz="12" w:space="0"/>
                  </w:tcBorders>
                  <w:noWrap w:val="0"/>
                  <w:vAlign w:val="center"/>
                </w:tcPr>
                <w:p w14:paraId="6A216342">
                  <w:pPr>
                    <w:pStyle w:val="8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cs="Times New Roman"/>
                      <w:spacing w:val="-3"/>
                      <w:sz w:val="21"/>
                      <w:szCs w:val="21"/>
                      <w:lang w:val="en-US" w:eastAsia="zh-CN"/>
                    </w:rPr>
                    <w:t>38</w:t>
                  </w:r>
                  <w:r>
                    <w:rPr>
                      <w:rFonts w:hint="default" w:ascii="Times New Roman" w:hAnsi="Times New Roman" w:cs="Times New Roman"/>
                      <w:spacing w:val="-3"/>
                      <w:sz w:val="21"/>
                      <w:szCs w:val="21"/>
                    </w:rPr>
                    <w:t>.48</w:t>
                  </w:r>
                </w:p>
              </w:tc>
              <w:tc>
                <w:tcPr>
                  <w:tcW w:w="679" w:type="dxa"/>
                  <w:tcBorders>
                    <w:top w:val="single" w:color="auto" w:sz="12" w:space="0"/>
                  </w:tcBorders>
                  <w:noWrap w:val="0"/>
                  <w:vAlign w:val="center"/>
                </w:tcPr>
                <w:p w14:paraId="6ED20F3D">
                  <w:pPr>
                    <w:pStyle w:val="8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cs="Times New Roman"/>
                      <w:spacing w:val="-2"/>
                      <w:sz w:val="21"/>
                      <w:szCs w:val="21"/>
                      <w:lang w:val="en-US" w:eastAsia="zh-CN"/>
                    </w:rPr>
                    <w:t>30.</w:t>
                  </w:r>
                  <w:r>
                    <w:rPr>
                      <w:rFonts w:hint="default" w:ascii="Times New Roman" w:hAnsi="Times New Roman" w:cs="Times New Roman"/>
                      <w:spacing w:val="-2"/>
                      <w:sz w:val="21"/>
                      <w:szCs w:val="21"/>
                    </w:rPr>
                    <w:t>59</w:t>
                  </w:r>
                </w:p>
              </w:tc>
              <w:tc>
                <w:tcPr>
                  <w:tcW w:w="629" w:type="dxa"/>
                  <w:tcBorders>
                    <w:top w:val="single" w:color="auto" w:sz="12" w:space="0"/>
                  </w:tcBorders>
                  <w:noWrap w:val="0"/>
                  <w:vAlign w:val="center"/>
                </w:tcPr>
                <w:p w14:paraId="32C911BD">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eastAsia="宋体" w:cs="Times New Roman"/>
                      <w:spacing w:val="1"/>
                      <w:sz w:val="21"/>
                      <w:szCs w:val="21"/>
                      <w:vertAlign w:val="baseline"/>
                      <w:lang w:val="en-US" w:eastAsia="zh-CN"/>
                    </w:rPr>
                    <w:t>36</w:t>
                  </w:r>
                </w:p>
              </w:tc>
              <w:tc>
                <w:tcPr>
                  <w:tcW w:w="629" w:type="dxa"/>
                  <w:tcBorders>
                    <w:top w:val="single" w:color="auto" w:sz="12" w:space="0"/>
                  </w:tcBorders>
                  <w:noWrap w:val="0"/>
                  <w:vAlign w:val="center"/>
                </w:tcPr>
                <w:p w14:paraId="709B6E56">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eastAsia="宋体" w:cs="Times New Roman"/>
                      <w:spacing w:val="1"/>
                      <w:sz w:val="21"/>
                      <w:szCs w:val="21"/>
                      <w:vertAlign w:val="baseline"/>
                      <w:lang w:val="en-US" w:eastAsia="zh-CN"/>
                    </w:rPr>
                    <w:t>43</w:t>
                  </w:r>
                </w:p>
              </w:tc>
              <w:tc>
                <w:tcPr>
                  <w:tcW w:w="694" w:type="dxa"/>
                  <w:tcBorders>
                    <w:top w:val="single" w:color="auto" w:sz="12" w:space="0"/>
                  </w:tcBorders>
                  <w:noWrap w:val="0"/>
                  <w:vAlign w:val="center"/>
                </w:tcPr>
                <w:p w14:paraId="34E59D64">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cs="Times New Roman"/>
                      <w:spacing w:val="1"/>
                      <w:sz w:val="21"/>
                      <w:szCs w:val="21"/>
                      <w:vertAlign w:val="baseline"/>
                      <w:lang w:val="en-US" w:eastAsia="zh-CN"/>
                    </w:rPr>
                    <w:t>40.43</w:t>
                  </w:r>
                </w:p>
              </w:tc>
              <w:tc>
                <w:tcPr>
                  <w:tcW w:w="629" w:type="dxa"/>
                  <w:tcBorders>
                    <w:top w:val="single" w:color="auto" w:sz="12" w:space="0"/>
                  </w:tcBorders>
                  <w:shd w:val="clear" w:color="auto" w:fill="auto"/>
                  <w:noWrap w:val="0"/>
                  <w:vAlign w:val="center"/>
                </w:tcPr>
                <w:p w14:paraId="0C501420">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kern w:val="2"/>
                      <w:sz w:val="21"/>
                      <w:szCs w:val="21"/>
                      <w:vertAlign w:val="baseline"/>
                      <w:lang w:val="en-US" w:eastAsia="zh-CN" w:bidi="ar-SA"/>
                    </w:rPr>
                  </w:pPr>
                  <w:r>
                    <w:rPr>
                      <w:rFonts w:hint="eastAsia" w:cs="Times New Roman"/>
                      <w:spacing w:val="1"/>
                      <w:sz w:val="21"/>
                      <w:szCs w:val="21"/>
                      <w:vertAlign w:val="baseline"/>
                      <w:lang w:val="en-US" w:eastAsia="zh-CN"/>
                    </w:rPr>
                    <w:t>43.24</w:t>
                  </w:r>
                </w:p>
              </w:tc>
              <w:tc>
                <w:tcPr>
                  <w:tcW w:w="629" w:type="dxa"/>
                  <w:tcBorders>
                    <w:top w:val="single" w:color="auto" w:sz="12" w:space="0"/>
                  </w:tcBorders>
                  <w:noWrap w:val="0"/>
                  <w:vAlign w:val="center"/>
                </w:tcPr>
                <w:p w14:paraId="23E7392F">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达标</w:t>
                  </w:r>
                </w:p>
              </w:tc>
              <w:tc>
                <w:tcPr>
                  <w:tcW w:w="637" w:type="dxa"/>
                  <w:tcBorders>
                    <w:top w:val="single" w:color="auto" w:sz="12" w:space="0"/>
                    <w:right w:val="nil"/>
                  </w:tcBorders>
                  <w:noWrap w:val="0"/>
                  <w:vAlign w:val="center"/>
                </w:tcPr>
                <w:p w14:paraId="5F963019">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达标</w:t>
                  </w:r>
                </w:p>
              </w:tc>
            </w:tr>
            <w:tr w14:paraId="3EE7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 w:type="dxa"/>
                  <w:tcBorders>
                    <w:left w:val="nil"/>
                  </w:tcBorders>
                  <w:noWrap w:val="0"/>
                  <w:vAlign w:val="center"/>
                </w:tcPr>
                <w:p w14:paraId="1821519D">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厂界南侧</w:t>
                  </w:r>
                </w:p>
              </w:tc>
              <w:tc>
                <w:tcPr>
                  <w:tcW w:w="628" w:type="dxa"/>
                  <w:noWrap w:val="0"/>
                  <w:vAlign w:val="center"/>
                </w:tcPr>
                <w:p w14:paraId="68802F82">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55</w:t>
                  </w:r>
                </w:p>
              </w:tc>
              <w:tc>
                <w:tcPr>
                  <w:tcW w:w="629" w:type="dxa"/>
                  <w:noWrap w:val="0"/>
                  <w:vAlign w:val="center"/>
                </w:tcPr>
                <w:p w14:paraId="230ADB03">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45</w:t>
                  </w:r>
                </w:p>
              </w:tc>
              <w:tc>
                <w:tcPr>
                  <w:tcW w:w="674" w:type="dxa"/>
                  <w:noWrap w:val="0"/>
                  <w:vAlign w:val="center"/>
                </w:tcPr>
                <w:p w14:paraId="2DDE6DD6">
                  <w:pPr>
                    <w:pStyle w:val="8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spacing w:val="1"/>
                      <w:sz w:val="21"/>
                      <w:szCs w:val="21"/>
                      <w:vertAlign w:val="baseline"/>
                      <w:lang w:val="en-US" w:eastAsia="zh-CN"/>
                    </w:rPr>
                  </w:pPr>
                  <w:r>
                    <w:rPr>
                      <w:rFonts w:hint="eastAsia" w:ascii="Times New Roman" w:hAnsi="Times New Roman" w:cs="Times New Roman"/>
                      <w:spacing w:val="-3"/>
                      <w:sz w:val="21"/>
                      <w:szCs w:val="21"/>
                      <w:lang w:val="en-US" w:eastAsia="zh-CN"/>
                    </w:rPr>
                    <w:t>4</w:t>
                  </w:r>
                  <w:r>
                    <w:rPr>
                      <w:rFonts w:hint="default" w:ascii="Times New Roman" w:hAnsi="Times New Roman" w:cs="Times New Roman"/>
                      <w:spacing w:val="-3"/>
                      <w:sz w:val="21"/>
                      <w:szCs w:val="21"/>
                    </w:rPr>
                    <w:t>1.2</w:t>
                  </w:r>
                  <w:r>
                    <w:rPr>
                      <w:rFonts w:hint="eastAsia" w:ascii="Times New Roman" w:hAnsi="Times New Roman" w:cs="Times New Roman"/>
                      <w:spacing w:val="-3"/>
                      <w:sz w:val="21"/>
                      <w:szCs w:val="21"/>
                      <w:lang w:val="en-US" w:eastAsia="zh-CN"/>
                    </w:rPr>
                    <w:t>0</w:t>
                  </w:r>
                </w:p>
              </w:tc>
              <w:tc>
                <w:tcPr>
                  <w:tcW w:w="679" w:type="dxa"/>
                  <w:noWrap w:val="0"/>
                  <w:vAlign w:val="center"/>
                </w:tcPr>
                <w:p w14:paraId="66B9F339">
                  <w:pPr>
                    <w:pStyle w:val="8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spacing w:val="1"/>
                      <w:sz w:val="21"/>
                      <w:szCs w:val="21"/>
                      <w:vertAlign w:val="baseline"/>
                      <w:lang w:val="en-US" w:eastAsia="zh-CN"/>
                    </w:rPr>
                  </w:pPr>
                  <w:r>
                    <w:rPr>
                      <w:rFonts w:hint="eastAsia" w:ascii="Times New Roman" w:hAnsi="Times New Roman" w:cs="Times New Roman"/>
                      <w:spacing w:val="-2"/>
                      <w:sz w:val="21"/>
                      <w:szCs w:val="21"/>
                      <w:lang w:val="en-US" w:eastAsia="zh-CN"/>
                    </w:rPr>
                    <w:t>35</w:t>
                  </w:r>
                  <w:r>
                    <w:rPr>
                      <w:rFonts w:hint="default" w:ascii="Times New Roman" w:hAnsi="Times New Roman" w:cs="Times New Roman"/>
                      <w:spacing w:val="-2"/>
                      <w:sz w:val="21"/>
                      <w:szCs w:val="21"/>
                    </w:rPr>
                    <w:t>.9</w:t>
                  </w:r>
                  <w:r>
                    <w:rPr>
                      <w:rFonts w:hint="eastAsia" w:ascii="Times New Roman" w:hAnsi="Times New Roman" w:cs="Times New Roman"/>
                      <w:spacing w:val="-2"/>
                      <w:sz w:val="21"/>
                      <w:szCs w:val="21"/>
                      <w:lang w:val="en-US" w:eastAsia="zh-CN"/>
                    </w:rPr>
                    <w:t>0</w:t>
                  </w:r>
                </w:p>
              </w:tc>
              <w:tc>
                <w:tcPr>
                  <w:tcW w:w="629" w:type="dxa"/>
                  <w:noWrap w:val="0"/>
                  <w:vAlign w:val="center"/>
                </w:tcPr>
                <w:p w14:paraId="1CA25430">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eastAsia="宋体" w:cs="Times New Roman"/>
                      <w:spacing w:val="1"/>
                      <w:sz w:val="21"/>
                      <w:szCs w:val="21"/>
                      <w:vertAlign w:val="baseline"/>
                      <w:lang w:val="en-US" w:eastAsia="zh-CN"/>
                    </w:rPr>
                    <w:t>44</w:t>
                  </w:r>
                </w:p>
              </w:tc>
              <w:tc>
                <w:tcPr>
                  <w:tcW w:w="629" w:type="dxa"/>
                  <w:noWrap w:val="0"/>
                  <w:vAlign w:val="center"/>
                </w:tcPr>
                <w:p w14:paraId="13BD7944">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eastAsia="宋体" w:cs="Times New Roman"/>
                      <w:spacing w:val="1"/>
                      <w:sz w:val="21"/>
                      <w:szCs w:val="21"/>
                      <w:vertAlign w:val="baseline"/>
                      <w:lang w:val="en-US" w:eastAsia="zh-CN"/>
                    </w:rPr>
                    <w:t>41</w:t>
                  </w:r>
                </w:p>
              </w:tc>
              <w:tc>
                <w:tcPr>
                  <w:tcW w:w="694" w:type="dxa"/>
                  <w:noWrap w:val="0"/>
                  <w:vAlign w:val="center"/>
                </w:tcPr>
                <w:p w14:paraId="59F96850">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cs="Times New Roman"/>
                      <w:spacing w:val="1"/>
                      <w:sz w:val="21"/>
                      <w:szCs w:val="21"/>
                      <w:vertAlign w:val="baseline"/>
                      <w:lang w:val="en-US" w:eastAsia="zh-CN"/>
                    </w:rPr>
                    <w:t>45.83</w:t>
                  </w:r>
                </w:p>
              </w:tc>
              <w:tc>
                <w:tcPr>
                  <w:tcW w:w="629" w:type="dxa"/>
                  <w:shd w:val="clear" w:color="auto" w:fill="auto"/>
                  <w:noWrap w:val="0"/>
                  <w:vAlign w:val="center"/>
                </w:tcPr>
                <w:p w14:paraId="4FF253C9">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kern w:val="2"/>
                      <w:sz w:val="21"/>
                      <w:szCs w:val="21"/>
                      <w:vertAlign w:val="baseline"/>
                      <w:lang w:val="en-US" w:eastAsia="zh-CN" w:bidi="ar-SA"/>
                    </w:rPr>
                  </w:pPr>
                  <w:r>
                    <w:rPr>
                      <w:rFonts w:hint="eastAsia" w:cs="Times New Roman"/>
                      <w:spacing w:val="1"/>
                      <w:sz w:val="21"/>
                      <w:szCs w:val="21"/>
                      <w:vertAlign w:val="baseline"/>
                      <w:lang w:val="en-US" w:eastAsia="zh-CN"/>
                    </w:rPr>
                    <w:t>42.17</w:t>
                  </w:r>
                </w:p>
              </w:tc>
              <w:tc>
                <w:tcPr>
                  <w:tcW w:w="629" w:type="dxa"/>
                  <w:noWrap w:val="0"/>
                  <w:vAlign w:val="center"/>
                </w:tcPr>
                <w:p w14:paraId="24356815">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达标</w:t>
                  </w:r>
                </w:p>
              </w:tc>
              <w:tc>
                <w:tcPr>
                  <w:tcW w:w="637" w:type="dxa"/>
                  <w:tcBorders>
                    <w:right w:val="nil"/>
                  </w:tcBorders>
                  <w:noWrap w:val="0"/>
                  <w:vAlign w:val="center"/>
                </w:tcPr>
                <w:p w14:paraId="37244BEF">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达标</w:t>
                  </w:r>
                </w:p>
              </w:tc>
            </w:tr>
            <w:tr w14:paraId="561E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 w:type="dxa"/>
                  <w:tcBorders>
                    <w:left w:val="nil"/>
                  </w:tcBorders>
                  <w:noWrap w:val="0"/>
                  <w:vAlign w:val="center"/>
                </w:tcPr>
                <w:p w14:paraId="43614516">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厂界西侧</w:t>
                  </w:r>
                </w:p>
              </w:tc>
              <w:tc>
                <w:tcPr>
                  <w:tcW w:w="628" w:type="dxa"/>
                  <w:noWrap w:val="0"/>
                  <w:vAlign w:val="center"/>
                </w:tcPr>
                <w:p w14:paraId="02858BA7">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55</w:t>
                  </w:r>
                </w:p>
              </w:tc>
              <w:tc>
                <w:tcPr>
                  <w:tcW w:w="629" w:type="dxa"/>
                  <w:noWrap w:val="0"/>
                  <w:vAlign w:val="center"/>
                </w:tcPr>
                <w:p w14:paraId="201F2C42">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45</w:t>
                  </w:r>
                </w:p>
              </w:tc>
              <w:tc>
                <w:tcPr>
                  <w:tcW w:w="674" w:type="dxa"/>
                  <w:noWrap w:val="0"/>
                  <w:vAlign w:val="center"/>
                </w:tcPr>
                <w:p w14:paraId="3D50375C">
                  <w:pPr>
                    <w:pStyle w:val="8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cs="Times New Roman"/>
                      <w:spacing w:val="-3"/>
                      <w:sz w:val="21"/>
                      <w:szCs w:val="21"/>
                      <w:lang w:val="en-US" w:eastAsia="zh-CN"/>
                    </w:rPr>
                    <w:t>41</w:t>
                  </w:r>
                  <w:r>
                    <w:rPr>
                      <w:rFonts w:hint="default" w:ascii="Times New Roman" w:hAnsi="Times New Roman" w:cs="Times New Roman"/>
                      <w:spacing w:val="-3"/>
                      <w:sz w:val="21"/>
                      <w:szCs w:val="21"/>
                    </w:rPr>
                    <w:t>.59</w:t>
                  </w:r>
                </w:p>
              </w:tc>
              <w:tc>
                <w:tcPr>
                  <w:tcW w:w="679" w:type="dxa"/>
                  <w:noWrap w:val="0"/>
                  <w:vAlign w:val="center"/>
                </w:tcPr>
                <w:p w14:paraId="73267461">
                  <w:pPr>
                    <w:pStyle w:val="8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cs="Times New Roman"/>
                      <w:spacing w:val="-2"/>
                      <w:sz w:val="21"/>
                      <w:szCs w:val="21"/>
                      <w:lang w:val="en-US" w:eastAsia="zh-CN"/>
                    </w:rPr>
                    <w:t>34.</w:t>
                  </w:r>
                  <w:r>
                    <w:rPr>
                      <w:rFonts w:hint="default" w:ascii="Times New Roman" w:hAnsi="Times New Roman" w:cs="Times New Roman"/>
                      <w:spacing w:val="-2"/>
                      <w:sz w:val="21"/>
                      <w:szCs w:val="21"/>
                    </w:rPr>
                    <w:t>68</w:t>
                  </w:r>
                </w:p>
              </w:tc>
              <w:tc>
                <w:tcPr>
                  <w:tcW w:w="629" w:type="dxa"/>
                  <w:noWrap w:val="0"/>
                  <w:vAlign w:val="center"/>
                </w:tcPr>
                <w:p w14:paraId="31073032">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eastAsia="宋体" w:cs="Times New Roman"/>
                      <w:spacing w:val="1"/>
                      <w:sz w:val="21"/>
                      <w:szCs w:val="21"/>
                      <w:vertAlign w:val="baseline"/>
                      <w:lang w:val="en-US" w:eastAsia="zh-CN"/>
                    </w:rPr>
                    <w:t>46</w:t>
                  </w:r>
                </w:p>
              </w:tc>
              <w:tc>
                <w:tcPr>
                  <w:tcW w:w="629" w:type="dxa"/>
                  <w:noWrap w:val="0"/>
                  <w:vAlign w:val="center"/>
                </w:tcPr>
                <w:p w14:paraId="4930DF9A">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eastAsia="宋体" w:cs="Times New Roman"/>
                      <w:spacing w:val="1"/>
                      <w:sz w:val="21"/>
                      <w:szCs w:val="21"/>
                      <w:vertAlign w:val="baseline"/>
                      <w:lang w:val="en-US" w:eastAsia="zh-CN"/>
                    </w:rPr>
                    <w:t>42</w:t>
                  </w:r>
                </w:p>
              </w:tc>
              <w:tc>
                <w:tcPr>
                  <w:tcW w:w="694" w:type="dxa"/>
                  <w:noWrap w:val="0"/>
                  <w:vAlign w:val="center"/>
                </w:tcPr>
                <w:p w14:paraId="4434D893">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cs="Times New Roman"/>
                      <w:spacing w:val="1"/>
                      <w:sz w:val="21"/>
                      <w:szCs w:val="21"/>
                      <w:vertAlign w:val="baseline"/>
                      <w:lang w:val="en-US" w:eastAsia="zh-CN"/>
                    </w:rPr>
                    <w:t>47.34</w:t>
                  </w:r>
                </w:p>
              </w:tc>
              <w:tc>
                <w:tcPr>
                  <w:tcW w:w="629" w:type="dxa"/>
                  <w:shd w:val="clear" w:color="auto" w:fill="auto"/>
                  <w:noWrap w:val="0"/>
                  <w:vAlign w:val="center"/>
                </w:tcPr>
                <w:p w14:paraId="5B870BBB">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kern w:val="2"/>
                      <w:sz w:val="21"/>
                      <w:szCs w:val="21"/>
                      <w:vertAlign w:val="baseline"/>
                      <w:lang w:val="en-US" w:eastAsia="zh-CN" w:bidi="ar-SA"/>
                    </w:rPr>
                  </w:pPr>
                  <w:r>
                    <w:rPr>
                      <w:rFonts w:hint="eastAsia" w:cs="Times New Roman"/>
                      <w:spacing w:val="1"/>
                      <w:sz w:val="21"/>
                      <w:szCs w:val="21"/>
                      <w:vertAlign w:val="baseline"/>
                      <w:lang w:val="en-US" w:eastAsia="zh-CN"/>
                    </w:rPr>
                    <w:t>42.74</w:t>
                  </w:r>
                </w:p>
              </w:tc>
              <w:tc>
                <w:tcPr>
                  <w:tcW w:w="629" w:type="dxa"/>
                  <w:noWrap w:val="0"/>
                  <w:vAlign w:val="center"/>
                </w:tcPr>
                <w:p w14:paraId="1611E981">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达标</w:t>
                  </w:r>
                </w:p>
              </w:tc>
              <w:tc>
                <w:tcPr>
                  <w:tcW w:w="637" w:type="dxa"/>
                  <w:tcBorders>
                    <w:right w:val="nil"/>
                  </w:tcBorders>
                  <w:noWrap w:val="0"/>
                  <w:vAlign w:val="center"/>
                </w:tcPr>
                <w:p w14:paraId="3B9A2D44">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达标</w:t>
                  </w:r>
                </w:p>
              </w:tc>
            </w:tr>
            <w:tr w14:paraId="3CE9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 w:type="dxa"/>
                  <w:tcBorders>
                    <w:left w:val="nil"/>
                    <w:bottom w:val="single" w:color="auto" w:sz="12" w:space="0"/>
                  </w:tcBorders>
                  <w:noWrap w:val="0"/>
                  <w:vAlign w:val="center"/>
                </w:tcPr>
                <w:p w14:paraId="18637F3E">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厂界北侧</w:t>
                  </w:r>
                </w:p>
              </w:tc>
              <w:tc>
                <w:tcPr>
                  <w:tcW w:w="628" w:type="dxa"/>
                  <w:tcBorders>
                    <w:bottom w:val="single" w:color="auto" w:sz="12" w:space="0"/>
                  </w:tcBorders>
                  <w:noWrap w:val="0"/>
                  <w:vAlign w:val="center"/>
                </w:tcPr>
                <w:p w14:paraId="0B363382">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55</w:t>
                  </w:r>
                </w:p>
              </w:tc>
              <w:tc>
                <w:tcPr>
                  <w:tcW w:w="629" w:type="dxa"/>
                  <w:tcBorders>
                    <w:bottom w:val="single" w:color="auto" w:sz="12" w:space="0"/>
                  </w:tcBorders>
                  <w:noWrap w:val="0"/>
                  <w:vAlign w:val="center"/>
                </w:tcPr>
                <w:p w14:paraId="5BFA256B">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45</w:t>
                  </w:r>
                </w:p>
              </w:tc>
              <w:tc>
                <w:tcPr>
                  <w:tcW w:w="674" w:type="dxa"/>
                  <w:tcBorders>
                    <w:bottom w:val="single" w:color="auto" w:sz="12" w:space="0"/>
                  </w:tcBorders>
                  <w:noWrap w:val="0"/>
                  <w:vAlign w:val="center"/>
                </w:tcPr>
                <w:p w14:paraId="468BE9E2">
                  <w:pPr>
                    <w:pStyle w:val="8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cs="Times New Roman"/>
                      <w:spacing w:val="-3"/>
                      <w:sz w:val="21"/>
                      <w:szCs w:val="21"/>
                      <w:lang w:val="en-US" w:eastAsia="zh-CN"/>
                    </w:rPr>
                    <w:t>38</w:t>
                  </w:r>
                  <w:r>
                    <w:rPr>
                      <w:rFonts w:hint="default" w:ascii="Times New Roman" w:hAnsi="Times New Roman" w:cs="Times New Roman"/>
                      <w:spacing w:val="-3"/>
                      <w:sz w:val="21"/>
                      <w:szCs w:val="21"/>
                    </w:rPr>
                    <w:t>.56</w:t>
                  </w:r>
                </w:p>
              </w:tc>
              <w:tc>
                <w:tcPr>
                  <w:tcW w:w="679" w:type="dxa"/>
                  <w:tcBorders>
                    <w:bottom w:val="single" w:color="auto" w:sz="12" w:space="0"/>
                  </w:tcBorders>
                  <w:noWrap w:val="0"/>
                  <w:vAlign w:val="center"/>
                </w:tcPr>
                <w:p w14:paraId="73744204">
                  <w:pPr>
                    <w:pStyle w:val="8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cs="Times New Roman"/>
                      <w:spacing w:val="-2"/>
                      <w:sz w:val="21"/>
                      <w:szCs w:val="21"/>
                      <w:lang w:val="en-US" w:eastAsia="zh-CN"/>
                    </w:rPr>
                    <w:t>30.25</w:t>
                  </w:r>
                </w:p>
              </w:tc>
              <w:tc>
                <w:tcPr>
                  <w:tcW w:w="629" w:type="dxa"/>
                  <w:tcBorders>
                    <w:bottom w:val="single" w:color="auto" w:sz="12" w:space="0"/>
                  </w:tcBorders>
                  <w:noWrap w:val="0"/>
                  <w:vAlign w:val="center"/>
                </w:tcPr>
                <w:p w14:paraId="1E345CB4">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eastAsia="宋体" w:cs="Times New Roman"/>
                      <w:spacing w:val="1"/>
                      <w:sz w:val="21"/>
                      <w:szCs w:val="21"/>
                      <w:vertAlign w:val="baseline"/>
                      <w:lang w:val="en-US" w:eastAsia="zh-CN"/>
                    </w:rPr>
                    <w:t>38</w:t>
                  </w:r>
                </w:p>
              </w:tc>
              <w:tc>
                <w:tcPr>
                  <w:tcW w:w="629" w:type="dxa"/>
                  <w:tcBorders>
                    <w:bottom w:val="single" w:color="auto" w:sz="12" w:space="0"/>
                  </w:tcBorders>
                  <w:noWrap w:val="0"/>
                  <w:vAlign w:val="center"/>
                </w:tcPr>
                <w:p w14:paraId="18FC7624">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ascii="Times New Roman" w:hAnsi="Times New Roman" w:eastAsia="宋体" w:cs="Times New Roman"/>
                      <w:spacing w:val="1"/>
                      <w:sz w:val="21"/>
                      <w:szCs w:val="21"/>
                      <w:vertAlign w:val="baseline"/>
                      <w:lang w:val="en-US" w:eastAsia="zh-CN"/>
                    </w:rPr>
                    <w:t>44</w:t>
                  </w:r>
                </w:p>
              </w:tc>
              <w:tc>
                <w:tcPr>
                  <w:tcW w:w="694" w:type="dxa"/>
                  <w:tcBorders>
                    <w:bottom w:val="single" w:color="auto" w:sz="12" w:space="0"/>
                  </w:tcBorders>
                  <w:noWrap w:val="0"/>
                  <w:vAlign w:val="center"/>
                </w:tcPr>
                <w:p w14:paraId="51806002">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eastAsia" w:cs="Times New Roman"/>
                      <w:spacing w:val="1"/>
                      <w:sz w:val="21"/>
                      <w:szCs w:val="21"/>
                      <w:vertAlign w:val="baseline"/>
                      <w:lang w:val="en-US" w:eastAsia="zh-CN"/>
                    </w:rPr>
                    <w:t>41.30</w:t>
                  </w:r>
                </w:p>
              </w:tc>
              <w:tc>
                <w:tcPr>
                  <w:tcW w:w="629" w:type="dxa"/>
                  <w:tcBorders>
                    <w:bottom w:val="single" w:color="auto" w:sz="12" w:space="0"/>
                  </w:tcBorders>
                  <w:shd w:val="clear" w:color="auto" w:fill="auto"/>
                  <w:noWrap w:val="0"/>
                  <w:vAlign w:val="center"/>
                </w:tcPr>
                <w:p w14:paraId="41921F0B">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spacing w:val="1"/>
                      <w:kern w:val="2"/>
                      <w:sz w:val="21"/>
                      <w:szCs w:val="21"/>
                      <w:vertAlign w:val="baseline"/>
                      <w:lang w:val="en-US" w:eastAsia="zh-CN" w:bidi="ar-SA"/>
                    </w:rPr>
                  </w:pPr>
                  <w:r>
                    <w:rPr>
                      <w:rFonts w:hint="eastAsia" w:cs="Times New Roman"/>
                      <w:spacing w:val="1"/>
                      <w:sz w:val="21"/>
                      <w:szCs w:val="21"/>
                      <w:vertAlign w:val="baseline"/>
                      <w:lang w:val="en-US" w:eastAsia="zh-CN"/>
                    </w:rPr>
                    <w:t>44.18</w:t>
                  </w:r>
                </w:p>
              </w:tc>
              <w:tc>
                <w:tcPr>
                  <w:tcW w:w="629" w:type="dxa"/>
                  <w:tcBorders>
                    <w:bottom w:val="single" w:color="auto" w:sz="12" w:space="0"/>
                  </w:tcBorders>
                  <w:noWrap w:val="0"/>
                  <w:vAlign w:val="center"/>
                </w:tcPr>
                <w:p w14:paraId="3CFB9FA9">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达标</w:t>
                  </w:r>
                </w:p>
              </w:tc>
              <w:tc>
                <w:tcPr>
                  <w:tcW w:w="637" w:type="dxa"/>
                  <w:tcBorders>
                    <w:bottom w:val="single" w:color="auto" w:sz="12" w:space="0"/>
                    <w:right w:val="nil"/>
                  </w:tcBorders>
                  <w:noWrap w:val="0"/>
                  <w:vAlign w:val="center"/>
                </w:tcPr>
                <w:p w14:paraId="6B9ACF9E">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spacing w:val="1"/>
                      <w:sz w:val="21"/>
                      <w:szCs w:val="21"/>
                      <w:vertAlign w:val="baseline"/>
                      <w:lang w:val="en-US" w:eastAsia="zh-CN"/>
                    </w:rPr>
                  </w:pPr>
                  <w:r>
                    <w:rPr>
                      <w:rFonts w:hint="default" w:ascii="Times New Roman" w:hAnsi="Times New Roman" w:eastAsia="宋体" w:cs="Times New Roman"/>
                      <w:spacing w:val="1"/>
                      <w:sz w:val="21"/>
                      <w:szCs w:val="21"/>
                      <w:vertAlign w:val="baseline"/>
                      <w:lang w:val="en-US" w:eastAsia="zh-CN"/>
                    </w:rPr>
                    <w:t>达标</w:t>
                  </w:r>
                </w:p>
              </w:tc>
            </w:tr>
          </w:tbl>
          <w:p w14:paraId="07588370">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spacing w:val="1"/>
                <w:sz w:val="24"/>
                <w:szCs w:val="24"/>
                <w:lang w:val="en-US" w:eastAsia="zh-CN"/>
              </w:rPr>
            </w:pPr>
            <w:r>
              <w:rPr>
                <w:rFonts w:hint="default" w:ascii="Times New Roman" w:hAnsi="Times New Roman" w:eastAsia="宋体" w:cs="Times New Roman"/>
                <w:color w:val="000000"/>
              </w:rPr>
              <w:t>根据上表的预测结果，在考虑距离衰减</w:t>
            </w:r>
            <w:r>
              <w:rPr>
                <w:rFonts w:hint="default" w:ascii="Times New Roman" w:hAnsi="Times New Roman" w:eastAsia="宋体" w:cs="Times New Roman"/>
                <w:color w:val="000000"/>
                <w:lang w:val="en-US" w:eastAsia="zh-CN"/>
              </w:rPr>
              <w:t>和绿化</w:t>
            </w:r>
            <w:r>
              <w:rPr>
                <w:rFonts w:hint="default" w:ascii="Times New Roman" w:hAnsi="Times New Roman" w:eastAsia="宋体" w:cs="Times New Roman"/>
                <w:color w:val="000000"/>
              </w:rPr>
              <w:t>的情况下，厂界噪声贡献值</w:t>
            </w:r>
            <w:r>
              <w:rPr>
                <w:rFonts w:hint="default" w:ascii="Times New Roman" w:hAnsi="Times New Roman" w:eastAsia="宋体" w:cs="Times New Roman"/>
                <w:color w:val="000000"/>
                <w:lang w:val="en-US" w:eastAsia="zh-CN"/>
              </w:rPr>
              <w:t>均</w:t>
            </w:r>
            <w:r>
              <w:rPr>
                <w:rFonts w:hint="default" w:ascii="Times New Roman" w:hAnsi="Times New Roman" w:eastAsia="宋体" w:cs="Times New Roman"/>
                <w:color w:val="000000"/>
              </w:rPr>
              <w:t>满足《</w:t>
            </w:r>
            <w:r>
              <w:rPr>
                <w:rFonts w:hint="default" w:ascii="Times New Roman" w:hAnsi="Times New Roman" w:eastAsia="宋体" w:cs="Times New Roman"/>
                <w:color w:val="000000"/>
                <w:lang w:val="en-US" w:eastAsia="zh-CN"/>
              </w:rPr>
              <w:t>社会生活</w:t>
            </w:r>
            <w:r>
              <w:rPr>
                <w:rFonts w:hint="default" w:ascii="Times New Roman" w:hAnsi="Times New Roman" w:eastAsia="宋体" w:cs="Times New Roman"/>
                <w:color w:val="000000"/>
              </w:rPr>
              <w:t>环境噪声排放标准》（</w:t>
            </w:r>
            <w:r>
              <w:rPr>
                <w:rFonts w:hint="default" w:ascii="Times New Roman" w:hAnsi="Times New Roman" w:eastAsia="宋体" w:cs="Times New Roman"/>
                <w:spacing w:val="-2"/>
              </w:rPr>
              <w:t>GB223</w:t>
            </w:r>
            <w:r>
              <w:rPr>
                <w:rFonts w:hint="default" w:ascii="Times New Roman" w:hAnsi="Times New Roman" w:eastAsia="宋体" w:cs="Times New Roman"/>
                <w:spacing w:val="-3"/>
              </w:rPr>
              <w:t>37-2008</w:t>
            </w:r>
            <w:r>
              <w:rPr>
                <w:rFonts w:hint="default" w:ascii="Times New Roman" w:hAnsi="Times New Roman" w:eastAsia="宋体" w:cs="Times New Roman"/>
                <w:color w:val="000000"/>
              </w:rPr>
              <w:t>）</w:t>
            </w:r>
            <w:r>
              <w:rPr>
                <w:rFonts w:hint="default" w:ascii="Times New Roman" w:hAnsi="Times New Roman" w:eastAsia="宋体" w:cs="Times New Roman"/>
                <w:color w:val="000000"/>
                <w:lang w:val="en-US" w:eastAsia="zh-CN"/>
              </w:rPr>
              <w:t>1</w:t>
            </w:r>
            <w:r>
              <w:rPr>
                <w:rFonts w:hint="default" w:ascii="Times New Roman" w:hAnsi="Times New Roman" w:eastAsia="宋体" w:cs="Times New Roman"/>
                <w:color w:val="000000"/>
              </w:rPr>
              <w:t>类标准要求。</w:t>
            </w:r>
            <w:r>
              <w:rPr>
                <w:rFonts w:hint="default" w:ascii="Times New Roman" w:hAnsi="Times New Roman" w:eastAsia="宋体" w:cs="Times New Roman"/>
                <w:spacing w:val="-1"/>
              </w:rPr>
              <w:t>因此项目的噪声级较小，对周边环境影响不大。</w:t>
            </w:r>
          </w:p>
          <w:p w14:paraId="3AA961B1">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4.</w:t>
            </w:r>
            <w:r>
              <w:rPr>
                <w:rFonts w:hint="default" w:ascii="Times New Roman" w:hAnsi="Times New Roman" w:eastAsia="宋体" w:cs="Times New Roman"/>
                <w:b/>
                <w:bCs/>
                <w:spacing w:val="8"/>
                <w:sz w:val="24"/>
                <w:szCs w:val="24"/>
              </w:rPr>
              <w:t>固体废物影响分析</w:t>
            </w:r>
          </w:p>
          <w:p w14:paraId="1E810169">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本项目固体废物主要为管理人员、顾客等产生的生活垃圾</w:t>
            </w:r>
            <w:r>
              <w:rPr>
                <w:rFonts w:hint="eastAsia" w:cs="Times New Roman"/>
                <w:b w:val="0"/>
                <w:bCs w:val="0"/>
                <w:color w:val="000000"/>
                <w:kern w:val="0"/>
                <w:sz w:val="24"/>
                <w:szCs w:val="24"/>
                <w:highlight w:val="none"/>
                <w:lang w:val="en-US" w:eastAsia="zh-CN" w:bidi="ar"/>
              </w:rPr>
              <w:t>，</w:t>
            </w:r>
            <w:r>
              <w:rPr>
                <w:rFonts w:hint="default" w:ascii="Times New Roman" w:hAnsi="Times New Roman" w:eastAsia="宋体" w:cs="Times New Roman"/>
                <w:b w:val="0"/>
                <w:bCs w:val="0"/>
                <w:color w:val="000000"/>
                <w:kern w:val="0"/>
                <w:sz w:val="24"/>
                <w:szCs w:val="24"/>
                <w:highlight w:val="none"/>
                <w:lang w:val="en-US" w:eastAsia="zh-CN" w:bidi="ar"/>
              </w:rPr>
              <w:t>餐厅的餐厨垃圾</w:t>
            </w:r>
            <w:r>
              <w:rPr>
                <w:rFonts w:hint="eastAsia" w:cs="Times New Roman"/>
                <w:b w:val="0"/>
                <w:bCs w:val="0"/>
                <w:color w:val="000000"/>
                <w:kern w:val="0"/>
                <w:sz w:val="24"/>
                <w:szCs w:val="24"/>
                <w:highlight w:val="none"/>
                <w:lang w:val="en-US" w:eastAsia="zh-CN" w:bidi="ar"/>
              </w:rPr>
              <w:t>；化粪池产生的污泥，隔油池产生的油脂</w:t>
            </w:r>
            <w:r>
              <w:rPr>
                <w:rFonts w:hint="default" w:ascii="Times New Roman" w:hAnsi="Times New Roman" w:eastAsia="宋体" w:cs="Times New Roman"/>
                <w:b w:val="0"/>
                <w:bCs w:val="0"/>
                <w:color w:val="000000"/>
                <w:kern w:val="0"/>
                <w:sz w:val="24"/>
                <w:szCs w:val="24"/>
                <w:highlight w:val="none"/>
                <w:lang w:val="en-US" w:eastAsia="zh-CN" w:bidi="ar"/>
              </w:rPr>
              <w:t>。</w:t>
            </w:r>
          </w:p>
          <w:p w14:paraId="6F9BA435">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4.1、生活垃圾</w:t>
            </w:r>
          </w:p>
          <w:p w14:paraId="0A99685E">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生活垃圾主要为员工、游客等日常生活产生的垃圾，包括食物残渣、废纸、废包装袋、塑料、金属和玻璃瓶等。</w:t>
            </w:r>
          </w:p>
          <w:p w14:paraId="2BF8CCE8">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本项目共设置民宿客房</w:t>
            </w:r>
            <w:r>
              <w:rPr>
                <w:rFonts w:hint="eastAsia" w:ascii="Times New Roman" w:hAnsi="Times New Roman" w:eastAsia="宋体" w:cs="Times New Roman"/>
                <w:b w:val="0"/>
                <w:bCs w:val="0"/>
                <w:color w:val="000000"/>
                <w:kern w:val="0"/>
                <w:sz w:val="24"/>
                <w:szCs w:val="24"/>
                <w:highlight w:val="none"/>
                <w:lang w:val="en-US" w:eastAsia="zh-CN" w:bidi="ar"/>
              </w:rPr>
              <w:t>51间</w:t>
            </w:r>
            <w:r>
              <w:rPr>
                <w:rFonts w:hint="default" w:ascii="Times New Roman" w:hAnsi="Times New Roman" w:eastAsia="宋体" w:cs="Times New Roman"/>
                <w:b w:val="0"/>
                <w:bCs w:val="0"/>
                <w:color w:val="000000"/>
                <w:kern w:val="0"/>
                <w:sz w:val="24"/>
                <w:szCs w:val="24"/>
                <w:highlight w:val="none"/>
                <w:lang w:val="en-US" w:eastAsia="zh-CN" w:bidi="ar"/>
              </w:rPr>
              <w:t>，合计床位约</w:t>
            </w:r>
            <w:r>
              <w:rPr>
                <w:rFonts w:hint="eastAsia" w:ascii="Times New Roman" w:hAnsi="Times New Roman" w:eastAsia="宋体" w:cs="Times New Roman"/>
                <w:b w:val="0"/>
                <w:bCs w:val="0"/>
                <w:color w:val="000000"/>
                <w:kern w:val="0"/>
                <w:sz w:val="24"/>
                <w:szCs w:val="24"/>
                <w:highlight w:val="none"/>
                <w:lang w:val="en-US" w:eastAsia="zh-CN" w:bidi="ar"/>
              </w:rPr>
              <w:t>102</w:t>
            </w:r>
            <w:r>
              <w:rPr>
                <w:rFonts w:hint="default" w:ascii="Times New Roman" w:hAnsi="Times New Roman" w:eastAsia="宋体" w:cs="Times New Roman"/>
                <w:b w:val="0"/>
                <w:bCs w:val="0"/>
                <w:color w:val="000000"/>
                <w:kern w:val="0"/>
                <w:sz w:val="24"/>
                <w:szCs w:val="24"/>
                <w:highlight w:val="none"/>
                <w:lang w:val="en-US" w:eastAsia="zh-CN" w:bidi="ar"/>
              </w:rPr>
              <w:t>张，生活垃圾产生系数以0.5kg/床位·d，本项目年营运时间以365天计，则民宿客房产生的生活垃圾为</w:t>
            </w:r>
            <w:r>
              <w:rPr>
                <w:rFonts w:hint="eastAsia" w:ascii="Times New Roman" w:hAnsi="Times New Roman" w:eastAsia="宋体" w:cs="Times New Roman"/>
                <w:b w:val="0"/>
                <w:bCs w:val="0"/>
                <w:color w:val="000000"/>
                <w:kern w:val="0"/>
                <w:sz w:val="24"/>
                <w:szCs w:val="24"/>
                <w:highlight w:val="none"/>
                <w:lang w:val="en-US" w:eastAsia="zh-CN" w:bidi="ar"/>
              </w:rPr>
              <w:t>18.62</w:t>
            </w:r>
            <w:r>
              <w:rPr>
                <w:rFonts w:hint="default" w:ascii="Times New Roman" w:hAnsi="Times New Roman" w:eastAsia="宋体" w:cs="Times New Roman"/>
                <w:b w:val="0"/>
                <w:bCs w:val="0"/>
                <w:color w:val="000000"/>
                <w:kern w:val="0"/>
                <w:sz w:val="24"/>
                <w:szCs w:val="24"/>
                <w:highlight w:val="none"/>
                <w:lang w:val="en-US" w:eastAsia="zh-CN" w:bidi="ar"/>
              </w:rPr>
              <w:t>t/a。</w:t>
            </w:r>
          </w:p>
          <w:p w14:paraId="659EAB20">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本项目共有管理及服务人员</w:t>
            </w:r>
            <w:r>
              <w:rPr>
                <w:rFonts w:hint="eastAsia" w:ascii="Times New Roman" w:hAnsi="Times New Roman" w:eastAsia="宋体" w:cs="Times New Roman"/>
                <w:b w:val="0"/>
                <w:bCs w:val="0"/>
                <w:color w:val="000000"/>
                <w:kern w:val="0"/>
                <w:sz w:val="24"/>
                <w:szCs w:val="24"/>
                <w:highlight w:val="none"/>
                <w:lang w:val="en-US" w:eastAsia="zh-CN" w:bidi="ar"/>
              </w:rPr>
              <w:t>20人，</w:t>
            </w:r>
            <w:r>
              <w:rPr>
                <w:rFonts w:hint="default" w:ascii="Times New Roman" w:hAnsi="Times New Roman" w:eastAsia="宋体" w:cs="Times New Roman"/>
                <w:b w:val="0"/>
                <w:bCs w:val="0"/>
                <w:color w:val="000000"/>
                <w:kern w:val="0"/>
                <w:sz w:val="24"/>
                <w:szCs w:val="24"/>
                <w:highlight w:val="none"/>
                <w:lang w:val="en-US" w:eastAsia="zh-CN" w:bidi="ar"/>
              </w:rPr>
              <w:t>生活垃圾产生系数为0.5kg/人·d，本项目年营业时间以365天计，则本项目管理及服务人员生活</w:t>
            </w:r>
            <w:r>
              <w:rPr>
                <w:rFonts w:hint="eastAsia" w:ascii="Times New Roman" w:hAnsi="Times New Roman" w:eastAsia="宋体" w:cs="Times New Roman"/>
                <w:b w:val="0"/>
                <w:bCs w:val="0"/>
                <w:color w:val="000000"/>
                <w:kern w:val="0"/>
                <w:sz w:val="24"/>
                <w:szCs w:val="24"/>
                <w:highlight w:val="none"/>
                <w:lang w:val="en-US" w:eastAsia="zh-CN" w:bidi="ar"/>
              </w:rPr>
              <w:t>垃圾产生量</w:t>
            </w:r>
            <w:r>
              <w:rPr>
                <w:rFonts w:hint="default" w:ascii="Times New Roman" w:hAnsi="Times New Roman" w:eastAsia="宋体" w:cs="Times New Roman"/>
                <w:b w:val="0"/>
                <w:bCs w:val="0"/>
                <w:color w:val="000000"/>
                <w:kern w:val="0"/>
                <w:sz w:val="24"/>
                <w:szCs w:val="24"/>
                <w:highlight w:val="none"/>
                <w:lang w:val="en-US" w:eastAsia="zh-CN" w:bidi="ar"/>
              </w:rPr>
              <w:t>为</w:t>
            </w:r>
            <w:r>
              <w:rPr>
                <w:rFonts w:hint="eastAsia" w:ascii="Times New Roman" w:hAnsi="Times New Roman" w:eastAsia="宋体" w:cs="Times New Roman"/>
                <w:b w:val="0"/>
                <w:bCs w:val="0"/>
                <w:color w:val="000000"/>
                <w:kern w:val="0"/>
                <w:sz w:val="24"/>
                <w:szCs w:val="24"/>
                <w:highlight w:val="none"/>
                <w:lang w:val="en-US" w:eastAsia="zh-CN" w:bidi="ar"/>
              </w:rPr>
              <w:t>3.65</w:t>
            </w:r>
            <w:r>
              <w:rPr>
                <w:rFonts w:hint="default" w:ascii="Times New Roman" w:hAnsi="Times New Roman" w:eastAsia="宋体" w:cs="Times New Roman"/>
                <w:b w:val="0"/>
                <w:bCs w:val="0"/>
                <w:color w:val="000000"/>
                <w:kern w:val="0"/>
                <w:sz w:val="24"/>
                <w:szCs w:val="24"/>
                <w:highlight w:val="none"/>
                <w:lang w:val="en-US" w:eastAsia="zh-CN" w:bidi="ar"/>
              </w:rPr>
              <w:t>t/a。</w:t>
            </w:r>
          </w:p>
          <w:p w14:paraId="286F9B1A">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项目预计日均接待游客200人，游客生活垃圾产生系数为0.5kg/人·d，本项目年营业时间以365天计，则本项目游客生活垃圾产生量为36.5t/a。</w:t>
            </w:r>
          </w:p>
          <w:p w14:paraId="56D21FE4">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则本项目生活垃圾产生量总计为</w:t>
            </w:r>
            <w:r>
              <w:rPr>
                <w:rFonts w:hint="eastAsia" w:ascii="Times New Roman" w:hAnsi="Times New Roman" w:eastAsia="宋体" w:cs="Times New Roman"/>
                <w:b w:val="0"/>
                <w:bCs w:val="0"/>
                <w:color w:val="000000"/>
                <w:kern w:val="0"/>
                <w:sz w:val="24"/>
                <w:szCs w:val="24"/>
                <w:highlight w:val="none"/>
                <w:lang w:val="en-US" w:eastAsia="zh-CN" w:bidi="ar"/>
              </w:rPr>
              <w:t>58.77</w:t>
            </w:r>
            <w:r>
              <w:rPr>
                <w:rFonts w:hint="default" w:ascii="Times New Roman" w:hAnsi="Times New Roman" w:eastAsia="宋体" w:cs="Times New Roman"/>
                <w:b w:val="0"/>
                <w:bCs w:val="0"/>
                <w:color w:val="000000"/>
                <w:kern w:val="0"/>
                <w:sz w:val="24"/>
                <w:szCs w:val="24"/>
                <w:highlight w:val="none"/>
                <w:lang w:val="en-US" w:eastAsia="zh-CN" w:bidi="ar"/>
              </w:rPr>
              <w:t>t/a，</w:t>
            </w:r>
            <w:r>
              <w:rPr>
                <w:rFonts w:hint="default" w:ascii="Times New Roman" w:hAnsi="Times New Roman" w:eastAsia="宋体" w:cs="Times New Roman"/>
                <w:color w:val="000000"/>
              </w:rPr>
              <w:t>根据《</w:t>
            </w:r>
            <w:r>
              <w:rPr>
                <w:rFonts w:hint="default" w:ascii="Times New Roman" w:hAnsi="Times New Roman" w:eastAsia="宋体" w:cs="Times New Roman"/>
                <w:color w:val="000000"/>
                <w:lang w:val="en-US" w:eastAsia="zh-CN"/>
              </w:rPr>
              <w:t>固体废物分类与代码目录</w:t>
            </w:r>
            <w:r>
              <w:rPr>
                <w:rFonts w:hint="default" w:ascii="Times New Roman" w:hAnsi="Times New Roman" w:eastAsia="宋体" w:cs="Times New Roman"/>
                <w:color w:val="000000"/>
              </w:rPr>
              <w:t>》</w:t>
            </w:r>
            <w:r>
              <w:rPr>
                <w:rFonts w:hint="default" w:ascii="Times New Roman" w:hAnsi="Times New Roman" w:eastAsia="宋体" w:cs="Times New Roman"/>
                <w:color w:val="000000"/>
                <w:lang w:eastAsia="zh-CN"/>
              </w:rPr>
              <w:t>，</w:t>
            </w:r>
            <w:r>
              <w:rPr>
                <w:rFonts w:hint="default" w:ascii="Times New Roman" w:hAnsi="Times New Roman" w:eastAsia="宋体" w:cs="Times New Roman"/>
                <w:color w:val="000000"/>
                <w:lang w:val="en-US" w:eastAsia="zh-CN"/>
              </w:rPr>
              <w:t>生活垃圾</w:t>
            </w:r>
            <w:r>
              <w:rPr>
                <w:rFonts w:hint="default" w:ascii="Times New Roman" w:hAnsi="Times New Roman" w:eastAsia="宋体" w:cs="Times New Roman"/>
                <w:color w:val="000000"/>
              </w:rPr>
              <w:t>代码为“</w:t>
            </w:r>
            <w:r>
              <w:rPr>
                <w:rFonts w:hint="default" w:ascii="Times New Roman" w:hAnsi="Times New Roman" w:eastAsia="宋体" w:cs="Times New Roman"/>
                <w:color w:val="000000"/>
                <w:lang w:val="en-US" w:eastAsia="zh-CN"/>
              </w:rPr>
              <w:t>900-099-S64</w:t>
            </w:r>
            <w:r>
              <w:rPr>
                <w:rFonts w:hint="default" w:ascii="Times New Roman" w:hAnsi="Times New Roman" w:eastAsia="宋体" w:cs="Times New Roman"/>
                <w:color w:val="000000"/>
              </w:rPr>
              <w:t>”</w:t>
            </w:r>
            <w:r>
              <w:rPr>
                <w:rFonts w:hint="default" w:ascii="Times New Roman" w:hAnsi="Times New Roman" w:eastAsia="宋体" w:cs="Times New Roman"/>
                <w:color w:val="000000"/>
                <w:lang w:eastAsia="zh-CN"/>
              </w:rPr>
              <w:t>，</w:t>
            </w:r>
            <w:r>
              <w:rPr>
                <w:rFonts w:hint="eastAsia" w:cs="Times New Roman"/>
                <w:color w:val="000000"/>
                <w:lang w:val="en-US" w:eastAsia="zh-CN"/>
              </w:rPr>
              <w:t>委托环卫部门统一</w:t>
            </w:r>
            <w:r>
              <w:rPr>
                <w:rFonts w:hint="default" w:ascii="Times New Roman" w:hAnsi="Times New Roman" w:eastAsia="宋体" w:cs="Times New Roman"/>
                <w:color w:val="000000"/>
                <w:spacing w:val="-3"/>
                <w:lang w:val="en-US" w:eastAsia="zh-CN"/>
              </w:rPr>
              <w:t>定期运至当地环卫部门集中处置。</w:t>
            </w:r>
          </w:p>
          <w:p w14:paraId="77D9D7A6">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4.2、餐厨垃圾</w:t>
            </w:r>
          </w:p>
          <w:p w14:paraId="7629C0B5">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本项目餐厅可容纳56人同时进餐，其餐厨垃圾产生系数以0.1kg/人•d计算，本项目年营业时间以365天计，则本项目餐厨垃圾产生量为2.044吨/年。</w:t>
            </w:r>
            <w:r>
              <w:rPr>
                <w:rFonts w:hint="default" w:ascii="Times New Roman" w:hAnsi="Times New Roman" w:eastAsia="宋体" w:cs="Times New Roman"/>
                <w:color w:val="000000"/>
              </w:rPr>
              <w:t>根据《</w:t>
            </w:r>
            <w:r>
              <w:rPr>
                <w:rFonts w:hint="default" w:ascii="Times New Roman" w:hAnsi="Times New Roman" w:eastAsia="宋体" w:cs="Times New Roman"/>
                <w:color w:val="000000"/>
                <w:lang w:val="en-US" w:eastAsia="zh-CN"/>
              </w:rPr>
              <w:t>固体废物分类与代码目录</w:t>
            </w:r>
            <w:r>
              <w:rPr>
                <w:rFonts w:hint="default" w:ascii="Times New Roman" w:hAnsi="Times New Roman" w:eastAsia="宋体" w:cs="Times New Roman"/>
                <w:color w:val="000000"/>
              </w:rPr>
              <w:t>》</w:t>
            </w:r>
            <w:r>
              <w:rPr>
                <w:rFonts w:hint="default" w:ascii="Times New Roman" w:hAnsi="Times New Roman" w:eastAsia="宋体" w:cs="Times New Roman"/>
                <w:color w:val="000000"/>
                <w:lang w:eastAsia="zh-CN"/>
              </w:rPr>
              <w:t>，</w:t>
            </w:r>
            <w:r>
              <w:rPr>
                <w:rFonts w:hint="default" w:ascii="Times New Roman" w:hAnsi="Times New Roman" w:eastAsia="宋体" w:cs="Times New Roman"/>
                <w:b w:val="0"/>
                <w:bCs w:val="0"/>
                <w:color w:val="000000"/>
                <w:kern w:val="0"/>
                <w:sz w:val="24"/>
                <w:szCs w:val="24"/>
                <w:highlight w:val="none"/>
                <w:lang w:val="en-US" w:eastAsia="zh-CN" w:bidi="ar"/>
              </w:rPr>
              <w:t>餐厨</w:t>
            </w:r>
            <w:r>
              <w:rPr>
                <w:rFonts w:hint="default" w:ascii="Times New Roman" w:hAnsi="Times New Roman" w:eastAsia="宋体" w:cs="Times New Roman"/>
                <w:color w:val="000000"/>
                <w:lang w:val="en-US" w:eastAsia="zh-CN"/>
              </w:rPr>
              <w:t>垃圾</w:t>
            </w:r>
            <w:r>
              <w:rPr>
                <w:rFonts w:hint="default" w:ascii="Times New Roman" w:hAnsi="Times New Roman" w:eastAsia="宋体" w:cs="Times New Roman"/>
                <w:color w:val="000000"/>
              </w:rPr>
              <w:t>代码为900-002-S61，交由具备</w:t>
            </w:r>
            <w:r>
              <w:rPr>
                <w:rFonts w:hint="default" w:ascii="Times New Roman" w:hAnsi="Times New Roman" w:eastAsia="宋体" w:cs="Times New Roman"/>
                <w:color w:val="000000"/>
                <w:highlight w:val="none"/>
              </w:rPr>
              <w:t>餐厨垃圾处置资</w:t>
            </w:r>
            <w:r>
              <w:rPr>
                <w:rFonts w:hint="default" w:ascii="Times New Roman" w:hAnsi="Times New Roman" w:eastAsia="宋体" w:cs="Times New Roman"/>
                <w:color w:val="000000"/>
              </w:rPr>
              <w:t>质单位密闭收运处置。</w:t>
            </w:r>
          </w:p>
          <w:p w14:paraId="33475AA4">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4.3、污泥</w:t>
            </w:r>
          </w:p>
          <w:p w14:paraId="0F8BE371">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cs="Times New Roman"/>
                <w:b w:val="0"/>
                <w:bCs w:val="0"/>
                <w:color w:val="000000"/>
                <w:kern w:val="0"/>
                <w:sz w:val="24"/>
                <w:szCs w:val="24"/>
                <w:highlight w:val="none"/>
                <w:lang w:val="en-US" w:eastAsia="zh-CN" w:bidi="ar"/>
              </w:rPr>
            </w:pPr>
            <w:r>
              <w:rPr>
                <w:rFonts w:hint="eastAsia" w:cs="Times New Roman"/>
                <w:color w:val="000000"/>
                <w:lang w:val="en-US" w:eastAsia="zh-CN"/>
              </w:rPr>
              <w:t>本项目共设置51间民宿，每间民宿供2人住宿，因此每天住宿的游客最大为102人，本项目的管理人员共20人，运营时间为365d，污泥产生量按0.03kg/人・d核算，经计算污泥年产生量为1.336t/a。对照《固体废物分类与代码目录》，该污泥分类代码为462-001-S90。污泥经自然风干处理，含水率降至60%以下后，统一转运至阜康市生活垃圾填埋场处置。</w:t>
            </w:r>
          </w:p>
          <w:p w14:paraId="5B282D87">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cs="Times New Roman"/>
                <w:b/>
                <w:bCs/>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4.4、隔油池油泥</w:t>
            </w:r>
          </w:p>
          <w:p w14:paraId="3621011F">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color w:val="000000"/>
                <w:lang w:val="en-US" w:eastAsia="zh-CN"/>
              </w:rPr>
            </w:pPr>
            <w:r>
              <w:rPr>
                <w:rFonts w:hint="eastAsia" w:cs="Times New Roman"/>
                <w:b w:val="0"/>
                <w:bCs w:val="0"/>
                <w:color w:val="000000"/>
                <w:kern w:val="0"/>
                <w:sz w:val="24"/>
                <w:szCs w:val="24"/>
                <w:highlight w:val="none"/>
                <w:lang w:val="en-US" w:eastAsia="zh-CN" w:bidi="ar"/>
              </w:rPr>
              <w:t>本项目的大食堂可容纳56人同时进餐，每天提供3餐，</w:t>
            </w:r>
            <w:r>
              <w:rPr>
                <w:rFonts w:hint="eastAsia" w:cs="Times New Roman"/>
                <w:color w:val="000000"/>
                <w:lang w:val="en-US" w:eastAsia="zh-CN"/>
              </w:rPr>
              <w:t>运营时间为365d，</w:t>
            </w:r>
            <w:r>
              <w:rPr>
                <w:rFonts w:hint="eastAsia" w:cs="Times New Roman"/>
                <w:b w:val="0"/>
                <w:bCs w:val="0"/>
                <w:color w:val="000000"/>
                <w:kern w:val="0"/>
                <w:sz w:val="24"/>
                <w:szCs w:val="24"/>
                <w:highlight w:val="none"/>
                <w:lang w:val="en-US" w:eastAsia="zh-CN" w:bidi="ar"/>
              </w:rPr>
              <w:t>隔油池油泥产生量按10g/人</w:t>
            </w:r>
            <w:r>
              <w:rPr>
                <w:rFonts w:hint="eastAsia" w:cs="Times New Roman"/>
                <w:color w:val="000000"/>
                <w:lang w:val="en-US" w:eastAsia="zh-CN"/>
              </w:rPr>
              <w:t>・餐核算，经计算</w:t>
            </w:r>
            <w:r>
              <w:rPr>
                <w:rFonts w:hint="eastAsia" w:cs="Times New Roman"/>
                <w:b w:val="0"/>
                <w:bCs w:val="0"/>
                <w:color w:val="000000"/>
                <w:kern w:val="0"/>
                <w:sz w:val="24"/>
                <w:szCs w:val="24"/>
                <w:highlight w:val="none"/>
                <w:lang w:val="en-US" w:eastAsia="zh-CN" w:bidi="ar"/>
              </w:rPr>
              <w:t>隔油池油泥年产生量为0.613t/a，</w:t>
            </w:r>
            <w:r>
              <w:rPr>
                <w:rFonts w:hint="eastAsia" w:cs="Times New Roman"/>
                <w:color w:val="000000"/>
                <w:lang w:val="en-US" w:eastAsia="zh-CN"/>
              </w:rPr>
              <w:t>对照《固体废物分类与代码目录》，该污泥分类代码为900-001-S07。隔油池油泥同餐厨垃</w:t>
            </w:r>
            <w:r>
              <w:rPr>
                <w:rFonts w:hint="eastAsia" w:ascii="Times New Roman" w:hAnsi="Times New Roman" w:eastAsia="宋体" w:cs="Times New Roman"/>
                <w:color w:val="000000"/>
                <w:lang w:val="en-US" w:eastAsia="zh-CN"/>
              </w:rPr>
              <w:t>圾一起</w:t>
            </w:r>
            <w:r>
              <w:rPr>
                <w:rFonts w:hint="default" w:ascii="Times New Roman" w:hAnsi="Times New Roman" w:eastAsia="宋体" w:cs="Times New Roman"/>
                <w:color w:val="000000"/>
                <w:lang w:val="en-US" w:eastAsia="zh-CN"/>
              </w:rPr>
              <w:t>交由具备餐厨垃圾处置资质单位密闭收运处置</w:t>
            </w:r>
            <w:r>
              <w:rPr>
                <w:rFonts w:hint="eastAsia" w:ascii="Times New Roman" w:hAnsi="Times New Roman" w:eastAsia="宋体" w:cs="Times New Roman"/>
                <w:color w:val="000000"/>
                <w:lang w:val="en-US" w:eastAsia="zh-CN"/>
              </w:rPr>
              <w:t>。</w:t>
            </w:r>
          </w:p>
          <w:p w14:paraId="6F90024C">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本项目的固体废弃物能够实现资源化、无害化和减量化，对周围环境不产生影响，不会产生二次污染。</w:t>
            </w:r>
          </w:p>
          <w:p w14:paraId="5FB233C5">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rPr>
              <w:t>本项目固体废物产排污情况见表</w:t>
            </w:r>
            <w:r>
              <w:rPr>
                <w:rFonts w:hint="default" w:ascii="Times New Roman" w:hAnsi="Times New Roman" w:eastAsia="宋体" w:cs="Times New Roman"/>
                <w:color w:val="000000"/>
                <w:lang w:val="en-US" w:eastAsia="zh-CN"/>
              </w:rPr>
              <w:t>4-12。</w:t>
            </w:r>
          </w:p>
          <w:p w14:paraId="0DD0C4AB">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b/>
                <w:bCs/>
                <w:color w:val="000000"/>
                <w:sz w:val="21"/>
                <w:szCs w:val="21"/>
                <w:lang w:val="en-US" w:eastAsia="zh-CN"/>
              </w:rPr>
              <w:t>表4-12</w:t>
            </w:r>
            <w:r>
              <w:rPr>
                <w:rFonts w:hint="default" w:ascii="Times New Roman" w:hAnsi="Times New Roman" w:eastAsia="宋体" w:cs="Times New Roman"/>
                <w:b/>
                <w:bCs/>
                <w:color w:val="000000"/>
                <w:sz w:val="21"/>
                <w:szCs w:val="21"/>
              </w:rPr>
              <w:t>本项目固体废物产排污情况</w:t>
            </w:r>
            <w:r>
              <w:rPr>
                <w:rFonts w:hint="default" w:ascii="Times New Roman" w:hAnsi="Times New Roman" w:eastAsia="宋体" w:cs="Times New Roman"/>
                <w:b/>
                <w:bCs/>
                <w:color w:val="000000"/>
                <w:sz w:val="21"/>
                <w:szCs w:val="21"/>
                <w:lang w:val="en-US" w:eastAsia="zh-CN"/>
              </w:rPr>
              <w:t>一览表</w:t>
            </w:r>
          </w:p>
          <w:tbl>
            <w:tblPr>
              <w:tblStyle w:val="33"/>
              <w:tblW w:w="7488"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1248"/>
              <w:gridCol w:w="1248"/>
              <w:gridCol w:w="691"/>
              <w:gridCol w:w="1290"/>
              <w:gridCol w:w="1763"/>
            </w:tblGrid>
            <w:tr w14:paraId="2C20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tcBorders>
                    <w:top w:val="single" w:color="auto" w:sz="12" w:space="0"/>
                    <w:left w:val="nil"/>
                    <w:bottom w:val="single" w:color="auto" w:sz="12" w:space="0"/>
                  </w:tcBorders>
                  <w:noWrap w:val="0"/>
                  <w:vAlign w:val="center"/>
                </w:tcPr>
                <w:p w14:paraId="6C1DB411">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bCs/>
                      <w:color w:val="000000"/>
                      <w:sz w:val="21"/>
                      <w:szCs w:val="21"/>
                      <w:vertAlign w:val="baseline"/>
                      <w:lang w:val="en-US" w:eastAsia="zh-CN"/>
                    </w:rPr>
                  </w:pPr>
                  <w:r>
                    <w:rPr>
                      <w:rFonts w:hint="default" w:ascii="Times New Roman" w:hAnsi="Times New Roman" w:eastAsia="宋体" w:cs="Times New Roman"/>
                      <w:b/>
                      <w:bCs/>
                      <w:color w:val="000000"/>
                      <w:sz w:val="21"/>
                      <w:szCs w:val="21"/>
                      <w:vertAlign w:val="baseline"/>
                      <w:lang w:val="en-US" w:eastAsia="zh-CN"/>
                    </w:rPr>
                    <w:t>名称</w:t>
                  </w:r>
                </w:p>
              </w:tc>
              <w:tc>
                <w:tcPr>
                  <w:tcW w:w="1248" w:type="dxa"/>
                  <w:tcBorders>
                    <w:top w:val="single" w:color="auto" w:sz="12" w:space="0"/>
                    <w:bottom w:val="single" w:color="auto" w:sz="12" w:space="0"/>
                  </w:tcBorders>
                  <w:noWrap w:val="0"/>
                  <w:vAlign w:val="center"/>
                </w:tcPr>
                <w:p w14:paraId="3B69D108">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bCs/>
                      <w:color w:val="000000"/>
                      <w:sz w:val="21"/>
                      <w:szCs w:val="21"/>
                      <w:vertAlign w:val="baseline"/>
                      <w:lang w:val="en-US" w:eastAsia="zh-CN"/>
                    </w:rPr>
                  </w:pPr>
                  <w:r>
                    <w:rPr>
                      <w:rFonts w:hint="default" w:ascii="Times New Roman" w:hAnsi="Times New Roman" w:eastAsia="宋体" w:cs="Times New Roman"/>
                      <w:b/>
                      <w:bCs/>
                      <w:color w:val="000000"/>
                      <w:sz w:val="21"/>
                      <w:szCs w:val="21"/>
                      <w:vertAlign w:val="baseline"/>
                      <w:lang w:val="en-US" w:eastAsia="zh-CN"/>
                    </w:rPr>
                    <w:t>产生量</w:t>
                  </w:r>
                </w:p>
              </w:tc>
              <w:tc>
                <w:tcPr>
                  <w:tcW w:w="1248" w:type="dxa"/>
                  <w:tcBorders>
                    <w:top w:val="single" w:color="auto" w:sz="12" w:space="0"/>
                    <w:bottom w:val="single" w:color="auto" w:sz="12" w:space="0"/>
                  </w:tcBorders>
                  <w:noWrap w:val="0"/>
                  <w:vAlign w:val="center"/>
                </w:tcPr>
                <w:p w14:paraId="01CEE809">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bCs/>
                      <w:color w:val="000000"/>
                      <w:sz w:val="21"/>
                      <w:szCs w:val="21"/>
                      <w:vertAlign w:val="baseline"/>
                      <w:lang w:val="en-US" w:eastAsia="zh-CN"/>
                    </w:rPr>
                  </w:pPr>
                  <w:r>
                    <w:rPr>
                      <w:rFonts w:hint="default" w:ascii="Times New Roman" w:hAnsi="Times New Roman" w:eastAsia="宋体" w:cs="Times New Roman"/>
                      <w:b/>
                      <w:bCs/>
                      <w:color w:val="000000"/>
                      <w:sz w:val="21"/>
                      <w:szCs w:val="21"/>
                      <w:vertAlign w:val="baseline"/>
                      <w:lang w:val="en-US" w:eastAsia="zh-CN"/>
                    </w:rPr>
                    <w:t>属性</w:t>
                  </w:r>
                </w:p>
              </w:tc>
              <w:tc>
                <w:tcPr>
                  <w:tcW w:w="691" w:type="dxa"/>
                  <w:tcBorders>
                    <w:top w:val="single" w:color="auto" w:sz="12" w:space="0"/>
                    <w:bottom w:val="single" w:color="auto" w:sz="12" w:space="0"/>
                  </w:tcBorders>
                  <w:noWrap w:val="0"/>
                  <w:vAlign w:val="center"/>
                </w:tcPr>
                <w:p w14:paraId="78FD0295">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bCs/>
                      <w:color w:val="000000"/>
                      <w:sz w:val="21"/>
                      <w:szCs w:val="21"/>
                      <w:vertAlign w:val="baseline"/>
                      <w:lang w:val="en-US" w:eastAsia="zh-CN"/>
                    </w:rPr>
                  </w:pPr>
                  <w:r>
                    <w:rPr>
                      <w:rFonts w:hint="default" w:ascii="Times New Roman" w:hAnsi="Times New Roman" w:eastAsia="宋体" w:cs="Times New Roman"/>
                      <w:b/>
                      <w:bCs/>
                      <w:color w:val="000000"/>
                      <w:sz w:val="21"/>
                      <w:szCs w:val="21"/>
                      <w:vertAlign w:val="baseline"/>
                      <w:lang w:val="en-US" w:eastAsia="zh-CN"/>
                    </w:rPr>
                    <w:t>形态</w:t>
                  </w:r>
                </w:p>
              </w:tc>
              <w:tc>
                <w:tcPr>
                  <w:tcW w:w="1290" w:type="dxa"/>
                  <w:tcBorders>
                    <w:top w:val="single" w:color="auto" w:sz="12" w:space="0"/>
                    <w:bottom w:val="single" w:color="auto" w:sz="12" w:space="0"/>
                  </w:tcBorders>
                  <w:noWrap w:val="0"/>
                  <w:vAlign w:val="center"/>
                </w:tcPr>
                <w:p w14:paraId="0DD0ABC0">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bCs/>
                      <w:color w:val="000000"/>
                      <w:sz w:val="21"/>
                      <w:szCs w:val="21"/>
                      <w:vertAlign w:val="baseline"/>
                      <w:lang w:val="en-US" w:eastAsia="zh-CN"/>
                    </w:rPr>
                  </w:pPr>
                  <w:r>
                    <w:rPr>
                      <w:rFonts w:hint="default" w:ascii="Times New Roman" w:hAnsi="Times New Roman" w:eastAsia="宋体" w:cs="Times New Roman"/>
                      <w:b/>
                      <w:bCs/>
                      <w:color w:val="000000"/>
                      <w:sz w:val="21"/>
                      <w:szCs w:val="21"/>
                      <w:vertAlign w:val="baseline"/>
                      <w:lang w:val="en-US" w:eastAsia="zh-CN"/>
                    </w:rPr>
                    <w:t>代码</w:t>
                  </w:r>
                </w:p>
              </w:tc>
              <w:tc>
                <w:tcPr>
                  <w:tcW w:w="1763" w:type="dxa"/>
                  <w:tcBorders>
                    <w:top w:val="single" w:color="auto" w:sz="12" w:space="0"/>
                    <w:bottom w:val="single" w:color="auto" w:sz="12" w:space="0"/>
                    <w:right w:val="nil"/>
                  </w:tcBorders>
                  <w:noWrap w:val="0"/>
                  <w:vAlign w:val="center"/>
                </w:tcPr>
                <w:p w14:paraId="45FCD8D1">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b/>
                      <w:bCs/>
                      <w:color w:val="000000"/>
                      <w:sz w:val="21"/>
                      <w:szCs w:val="21"/>
                      <w:vertAlign w:val="baseline"/>
                      <w:lang w:val="en-US" w:eastAsia="zh-CN"/>
                    </w:rPr>
                  </w:pPr>
                  <w:r>
                    <w:rPr>
                      <w:rFonts w:hint="default" w:ascii="Times New Roman" w:hAnsi="Times New Roman" w:eastAsia="宋体" w:cs="Times New Roman"/>
                      <w:b/>
                      <w:bCs/>
                      <w:color w:val="000000"/>
                      <w:sz w:val="21"/>
                      <w:szCs w:val="21"/>
                      <w:vertAlign w:val="baseline"/>
                      <w:lang w:val="en-US" w:eastAsia="zh-CN"/>
                    </w:rPr>
                    <w:t>处理方式</w:t>
                  </w:r>
                </w:p>
              </w:tc>
            </w:tr>
            <w:tr w14:paraId="23B0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tcBorders>
                    <w:top w:val="single" w:color="auto" w:sz="12" w:space="0"/>
                    <w:left w:val="nil"/>
                  </w:tcBorders>
                  <w:noWrap w:val="0"/>
                  <w:vAlign w:val="center"/>
                </w:tcPr>
                <w:p w14:paraId="78C8D21F">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000000"/>
                      <w:sz w:val="21"/>
                      <w:szCs w:val="21"/>
                      <w:vertAlign w:val="baseline"/>
                      <w:lang w:val="en-US" w:eastAsia="zh-CN"/>
                    </w:rPr>
                    <w:t>生活垃圾</w:t>
                  </w:r>
                </w:p>
              </w:tc>
              <w:tc>
                <w:tcPr>
                  <w:tcW w:w="1248" w:type="dxa"/>
                  <w:tcBorders>
                    <w:top w:val="single" w:color="auto" w:sz="12" w:space="0"/>
                  </w:tcBorders>
                  <w:noWrap w:val="0"/>
                  <w:vAlign w:val="center"/>
                </w:tcPr>
                <w:p w14:paraId="090B99A2">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ascii="Times New Roman" w:hAnsi="Times New Roman" w:eastAsia="宋体" w:cs="Times New Roman"/>
                      <w:color w:val="000000"/>
                      <w:sz w:val="21"/>
                      <w:szCs w:val="21"/>
                      <w:vertAlign w:val="baseline"/>
                      <w:lang w:val="en-US" w:eastAsia="zh-CN"/>
                    </w:rPr>
                    <w:t>58.77</w:t>
                  </w:r>
                  <w:r>
                    <w:rPr>
                      <w:rFonts w:hint="default" w:ascii="Times New Roman" w:hAnsi="Times New Roman" w:eastAsia="宋体" w:cs="Times New Roman"/>
                      <w:color w:val="000000"/>
                      <w:sz w:val="21"/>
                      <w:szCs w:val="21"/>
                      <w:vertAlign w:val="baseline"/>
                      <w:lang w:val="en-US" w:eastAsia="zh-CN"/>
                    </w:rPr>
                    <w:t>t/a</w:t>
                  </w:r>
                </w:p>
              </w:tc>
              <w:tc>
                <w:tcPr>
                  <w:tcW w:w="1248" w:type="dxa"/>
                  <w:tcBorders>
                    <w:top w:val="single" w:color="auto" w:sz="12" w:space="0"/>
                  </w:tcBorders>
                  <w:noWrap w:val="0"/>
                  <w:vAlign w:val="center"/>
                </w:tcPr>
                <w:p w14:paraId="41471680">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000000"/>
                      <w:sz w:val="21"/>
                      <w:szCs w:val="21"/>
                      <w:vertAlign w:val="baseline"/>
                      <w:lang w:val="en-US" w:eastAsia="zh-CN"/>
                    </w:rPr>
                    <w:t>生活垃圾</w:t>
                  </w:r>
                </w:p>
              </w:tc>
              <w:tc>
                <w:tcPr>
                  <w:tcW w:w="691" w:type="dxa"/>
                  <w:tcBorders>
                    <w:top w:val="single" w:color="auto" w:sz="12" w:space="0"/>
                  </w:tcBorders>
                  <w:noWrap w:val="0"/>
                  <w:vAlign w:val="center"/>
                </w:tcPr>
                <w:p w14:paraId="12DF1130">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sz w:val="21"/>
                      <w:szCs w:val="21"/>
                      <w:vertAlign w:val="baseline"/>
                      <w:lang w:val="en-US" w:eastAsia="zh-CN"/>
                    </w:rPr>
                    <w:t>固态</w:t>
                  </w:r>
                </w:p>
              </w:tc>
              <w:tc>
                <w:tcPr>
                  <w:tcW w:w="1290" w:type="dxa"/>
                  <w:tcBorders>
                    <w:top w:val="single" w:color="auto" w:sz="12" w:space="0"/>
                  </w:tcBorders>
                  <w:noWrap w:val="0"/>
                  <w:vAlign w:val="center"/>
                </w:tcPr>
                <w:p w14:paraId="5BB3F1B5">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000000"/>
                      <w:sz w:val="21"/>
                      <w:szCs w:val="21"/>
                      <w:lang w:val="en-US" w:eastAsia="zh-CN"/>
                    </w:rPr>
                    <w:t>900-099-S64</w:t>
                  </w:r>
                </w:p>
              </w:tc>
              <w:tc>
                <w:tcPr>
                  <w:tcW w:w="1763" w:type="dxa"/>
                  <w:tcBorders>
                    <w:top w:val="single" w:color="auto" w:sz="12" w:space="0"/>
                    <w:right w:val="nil"/>
                  </w:tcBorders>
                  <w:noWrap w:val="0"/>
                  <w:vAlign w:val="center"/>
                </w:tcPr>
                <w:p w14:paraId="5959CDB0">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cs="Times New Roman"/>
                      <w:color w:val="000000"/>
                      <w:sz w:val="21"/>
                      <w:szCs w:val="21"/>
                      <w:vertAlign w:val="baseline"/>
                      <w:lang w:val="en-US" w:eastAsia="zh-CN"/>
                    </w:rPr>
                    <w:t>委托环卫部门统一</w:t>
                  </w:r>
                  <w:r>
                    <w:rPr>
                      <w:rFonts w:hint="default" w:ascii="Times New Roman" w:hAnsi="Times New Roman" w:eastAsia="宋体" w:cs="Times New Roman"/>
                      <w:color w:val="000000"/>
                      <w:sz w:val="21"/>
                      <w:szCs w:val="21"/>
                      <w:vertAlign w:val="baseline"/>
                      <w:lang w:val="en-US" w:eastAsia="zh-CN"/>
                    </w:rPr>
                    <w:t>定期运至</w:t>
                  </w:r>
                  <w:r>
                    <w:rPr>
                      <w:rFonts w:hint="eastAsia" w:ascii="Times New Roman" w:hAnsi="Times New Roman" w:eastAsia="宋体" w:cs="Times New Roman"/>
                      <w:color w:val="000000"/>
                      <w:sz w:val="21"/>
                      <w:szCs w:val="21"/>
                      <w:vertAlign w:val="baseline"/>
                      <w:lang w:val="en-US" w:eastAsia="zh-CN"/>
                    </w:rPr>
                    <w:t>阜康市生活垃圾填埋场</w:t>
                  </w:r>
                  <w:r>
                    <w:rPr>
                      <w:rFonts w:hint="default" w:ascii="Times New Roman" w:hAnsi="Times New Roman" w:eastAsia="宋体" w:cs="Times New Roman"/>
                      <w:color w:val="000000"/>
                      <w:sz w:val="21"/>
                      <w:szCs w:val="21"/>
                      <w:vertAlign w:val="baseline"/>
                      <w:lang w:val="en-US" w:eastAsia="zh-CN"/>
                    </w:rPr>
                    <w:t>处置</w:t>
                  </w:r>
                </w:p>
              </w:tc>
            </w:tr>
            <w:tr w14:paraId="1BF0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tcBorders>
                    <w:left w:val="nil"/>
                  </w:tcBorders>
                  <w:noWrap w:val="0"/>
                  <w:vAlign w:val="center"/>
                </w:tcPr>
                <w:p w14:paraId="72E44097">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000000"/>
                      <w:sz w:val="21"/>
                      <w:szCs w:val="21"/>
                      <w:vertAlign w:val="baseline"/>
                      <w:lang w:val="en-US" w:eastAsia="zh-CN"/>
                    </w:rPr>
                    <w:t>餐厨垃圾</w:t>
                  </w:r>
                </w:p>
              </w:tc>
              <w:tc>
                <w:tcPr>
                  <w:tcW w:w="1248" w:type="dxa"/>
                  <w:noWrap w:val="0"/>
                  <w:vAlign w:val="center"/>
                </w:tcPr>
                <w:p w14:paraId="50E2E29C">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000000"/>
                      <w:sz w:val="21"/>
                      <w:szCs w:val="21"/>
                      <w:vertAlign w:val="baseline"/>
                      <w:lang w:val="en-US" w:eastAsia="zh-CN"/>
                    </w:rPr>
                    <w:t>2.044t/a</w:t>
                  </w:r>
                </w:p>
              </w:tc>
              <w:tc>
                <w:tcPr>
                  <w:tcW w:w="1248" w:type="dxa"/>
                  <w:noWrap w:val="0"/>
                  <w:vAlign w:val="center"/>
                </w:tcPr>
                <w:p w14:paraId="36990224">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000000"/>
                      <w:sz w:val="21"/>
                      <w:szCs w:val="21"/>
                      <w:vertAlign w:val="baseline"/>
                      <w:lang w:val="en-US" w:eastAsia="zh-CN"/>
                    </w:rPr>
                    <w:t>一般固废</w:t>
                  </w:r>
                </w:p>
              </w:tc>
              <w:tc>
                <w:tcPr>
                  <w:tcW w:w="691" w:type="dxa"/>
                  <w:noWrap w:val="0"/>
                  <w:vAlign w:val="center"/>
                </w:tcPr>
                <w:p w14:paraId="7B97F970">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sz w:val="21"/>
                      <w:szCs w:val="21"/>
                      <w:vertAlign w:val="baseline"/>
                      <w:lang w:val="en-US" w:eastAsia="zh-CN"/>
                    </w:rPr>
                    <w:t>固态</w:t>
                  </w:r>
                </w:p>
              </w:tc>
              <w:tc>
                <w:tcPr>
                  <w:tcW w:w="1290" w:type="dxa"/>
                  <w:noWrap w:val="0"/>
                  <w:vAlign w:val="center"/>
                </w:tcPr>
                <w:p w14:paraId="2BC03116">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000000"/>
                      <w:sz w:val="21"/>
                      <w:szCs w:val="21"/>
                      <w:vertAlign w:val="baseline"/>
                      <w:lang w:val="en-US" w:eastAsia="zh-CN"/>
                    </w:rPr>
                    <w:t>900-002-S61</w:t>
                  </w:r>
                </w:p>
              </w:tc>
              <w:tc>
                <w:tcPr>
                  <w:tcW w:w="1763" w:type="dxa"/>
                  <w:tcBorders>
                    <w:right w:val="nil"/>
                  </w:tcBorders>
                  <w:noWrap w:val="0"/>
                  <w:vAlign w:val="center"/>
                </w:tcPr>
                <w:p w14:paraId="53FF0475">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000000"/>
                      <w:sz w:val="21"/>
                      <w:szCs w:val="21"/>
                      <w:vertAlign w:val="baseline"/>
                      <w:lang w:val="en-US" w:eastAsia="zh-CN"/>
                    </w:rPr>
                    <w:t>交由具备餐厨垃圾处置资质单位密闭收运处置</w:t>
                  </w:r>
                </w:p>
              </w:tc>
            </w:tr>
            <w:tr w14:paraId="1153B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tcBorders>
                    <w:left w:val="nil"/>
                  </w:tcBorders>
                  <w:noWrap w:val="0"/>
                  <w:vAlign w:val="center"/>
                </w:tcPr>
                <w:p w14:paraId="7735165F">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cs="Times New Roman"/>
                      <w:color w:val="000000"/>
                      <w:sz w:val="21"/>
                      <w:szCs w:val="21"/>
                      <w:vertAlign w:val="baseline"/>
                      <w:lang w:val="en-US" w:eastAsia="zh-CN"/>
                    </w:rPr>
                    <w:t>污泥</w:t>
                  </w:r>
                </w:p>
              </w:tc>
              <w:tc>
                <w:tcPr>
                  <w:tcW w:w="1248" w:type="dxa"/>
                  <w:noWrap w:val="0"/>
                  <w:vAlign w:val="center"/>
                </w:tcPr>
                <w:p w14:paraId="59F8E23D">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cs="Times New Roman"/>
                      <w:color w:val="000000"/>
                      <w:sz w:val="21"/>
                      <w:szCs w:val="21"/>
                      <w:vertAlign w:val="baseline"/>
                      <w:lang w:val="en-US" w:eastAsia="zh-CN"/>
                    </w:rPr>
                    <w:t>1.336t/a</w:t>
                  </w:r>
                </w:p>
              </w:tc>
              <w:tc>
                <w:tcPr>
                  <w:tcW w:w="1248" w:type="dxa"/>
                  <w:shd w:val="clear" w:color="auto" w:fill="auto"/>
                  <w:noWrap w:val="0"/>
                  <w:vAlign w:val="center"/>
                </w:tcPr>
                <w:p w14:paraId="2B6F2501">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sz w:val="21"/>
                      <w:szCs w:val="21"/>
                      <w:vertAlign w:val="baseline"/>
                      <w:lang w:val="en-US" w:eastAsia="zh-CN"/>
                    </w:rPr>
                    <w:t>一般固废</w:t>
                  </w:r>
                </w:p>
              </w:tc>
              <w:tc>
                <w:tcPr>
                  <w:tcW w:w="691" w:type="dxa"/>
                  <w:shd w:val="clear" w:color="auto" w:fill="auto"/>
                  <w:noWrap w:val="0"/>
                  <w:vAlign w:val="center"/>
                </w:tcPr>
                <w:p w14:paraId="46543F21">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sz w:val="21"/>
                      <w:szCs w:val="21"/>
                      <w:vertAlign w:val="baseline"/>
                      <w:lang w:val="en-US" w:eastAsia="zh-CN"/>
                    </w:rPr>
                    <w:t>固态</w:t>
                  </w:r>
                </w:p>
              </w:tc>
              <w:tc>
                <w:tcPr>
                  <w:tcW w:w="1290" w:type="dxa"/>
                  <w:noWrap w:val="0"/>
                  <w:vAlign w:val="center"/>
                </w:tcPr>
                <w:p w14:paraId="4D079C68">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ascii="Times New Roman" w:hAnsi="Times New Roman" w:eastAsia="宋体" w:cs="Times New Roman"/>
                      <w:color w:val="000000"/>
                      <w:sz w:val="21"/>
                      <w:szCs w:val="21"/>
                      <w:vertAlign w:val="baseline"/>
                      <w:lang w:val="en-US" w:eastAsia="zh-CN"/>
                    </w:rPr>
                    <w:t>462-001-S90</w:t>
                  </w:r>
                </w:p>
              </w:tc>
              <w:tc>
                <w:tcPr>
                  <w:tcW w:w="1763" w:type="dxa"/>
                  <w:tcBorders>
                    <w:right w:val="nil"/>
                  </w:tcBorders>
                  <w:noWrap w:val="0"/>
                  <w:vAlign w:val="center"/>
                </w:tcPr>
                <w:p w14:paraId="45033D4B">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cs="Times New Roman"/>
                      <w:color w:val="000000"/>
                      <w:sz w:val="21"/>
                      <w:szCs w:val="21"/>
                      <w:lang w:val="en-US" w:eastAsia="zh-CN"/>
                    </w:rPr>
                    <w:t>自然风干至含水率为60%后转运至</w:t>
                  </w:r>
                  <w:r>
                    <w:rPr>
                      <w:rFonts w:hint="eastAsia" w:ascii="Times New Roman" w:hAnsi="Times New Roman" w:eastAsia="宋体" w:cs="Times New Roman"/>
                      <w:color w:val="000000"/>
                      <w:sz w:val="21"/>
                      <w:szCs w:val="21"/>
                      <w:vertAlign w:val="baseline"/>
                      <w:lang w:val="en-US" w:eastAsia="zh-CN"/>
                    </w:rPr>
                    <w:t>阜康市生活垃圾填埋场处置</w:t>
                  </w:r>
                </w:p>
              </w:tc>
            </w:tr>
            <w:tr w14:paraId="3924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tcBorders>
                    <w:left w:val="nil"/>
                    <w:bottom w:val="single" w:color="auto" w:sz="12" w:space="0"/>
                  </w:tcBorders>
                  <w:noWrap w:val="0"/>
                  <w:vAlign w:val="center"/>
                </w:tcPr>
                <w:p w14:paraId="0CD1CF36">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cs="Times New Roman"/>
                      <w:color w:val="000000"/>
                      <w:sz w:val="21"/>
                      <w:szCs w:val="21"/>
                      <w:vertAlign w:val="baseline"/>
                      <w:lang w:val="en-US" w:eastAsia="zh-CN"/>
                    </w:rPr>
                    <w:t>隔油池油脂</w:t>
                  </w:r>
                </w:p>
              </w:tc>
              <w:tc>
                <w:tcPr>
                  <w:tcW w:w="1248" w:type="dxa"/>
                  <w:tcBorders>
                    <w:bottom w:val="single" w:color="auto" w:sz="12" w:space="0"/>
                  </w:tcBorders>
                  <w:noWrap w:val="0"/>
                  <w:vAlign w:val="center"/>
                </w:tcPr>
                <w:p w14:paraId="6967571C">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cs="Times New Roman"/>
                      <w:color w:val="000000"/>
                      <w:sz w:val="21"/>
                      <w:szCs w:val="21"/>
                      <w:vertAlign w:val="baseline"/>
                      <w:lang w:val="en-US" w:eastAsia="zh-CN"/>
                    </w:rPr>
                    <w:t>0.613t/a</w:t>
                  </w:r>
                </w:p>
              </w:tc>
              <w:tc>
                <w:tcPr>
                  <w:tcW w:w="1248" w:type="dxa"/>
                  <w:tcBorders>
                    <w:bottom w:val="single" w:color="auto" w:sz="12" w:space="0"/>
                  </w:tcBorders>
                  <w:shd w:val="clear" w:color="auto" w:fill="auto"/>
                  <w:noWrap w:val="0"/>
                  <w:vAlign w:val="center"/>
                </w:tcPr>
                <w:p w14:paraId="23305C88">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sz w:val="21"/>
                      <w:szCs w:val="21"/>
                      <w:vertAlign w:val="baseline"/>
                      <w:lang w:val="en-US" w:eastAsia="zh-CN"/>
                    </w:rPr>
                    <w:t>一般固废</w:t>
                  </w:r>
                </w:p>
              </w:tc>
              <w:tc>
                <w:tcPr>
                  <w:tcW w:w="691" w:type="dxa"/>
                  <w:tcBorders>
                    <w:bottom w:val="single" w:color="auto" w:sz="12" w:space="0"/>
                  </w:tcBorders>
                  <w:shd w:val="clear" w:color="auto" w:fill="auto"/>
                  <w:noWrap w:val="0"/>
                  <w:vAlign w:val="center"/>
                </w:tcPr>
                <w:p w14:paraId="22E5D988">
                  <w:pPr>
                    <w:keepNext w:val="0"/>
                    <w:keepLines w:val="0"/>
                    <w:pageBreakBefore w:val="0"/>
                    <w:widowControl/>
                    <w:suppressLineNumbers w:val="0"/>
                    <w:kinsoku/>
                    <w:wordWrap/>
                    <w:overflowPunct/>
                    <w:topLinePunct w:val="0"/>
                    <w:autoSpaceDE/>
                    <w:autoSpaceDN/>
                    <w:bidi w:val="0"/>
                    <w:adjustRightInd/>
                    <w:snapToGrid w:val="0"/>
                    <w:spacing w:line="240" w:lineRule="auto"/>
                    <w:ind w:right="0" w:rightChars="0" w:firstLine="0" w:firstLineChars="0"/>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sz w:val="21"/>
                      <w:szCs w:val="21"/>
                      <w:vertAlign w:val="baseline"/>
                      <w:lang w:val="en-US" w:eastAsia="zh-CN"/>
                    </w:rPr>
                    <w:t>固态</w:t>
                  </w:r>
                </w:p>
              </w:tc>
              <w:tc>
                <w:tcPr>
                  <w:tcW w:w="1290" w:type="dxa"/>
                  <w:tcBorders>
                    <w:bottom w:val="single" w:color="auto" w:sz="12" w:space="0"/>
                  </w:tcBorders>
                  <w:noWrap w:val="0"/>
                  <w:vAlign w:val="center"/>
                </w:tcPr>
                <w:p w14:paraId="5D7C38BA">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ascii="Times New Roman" w:hAnsi="Times New Roman" w:eastAsia="宋体" w:cs="Times New Roman"/>
                      <w:color w:val="000000"/>
                      <w:sz w:val="21"/>
                      <w:szCs w:val="21"/>
                      <w:vertAlign w:val="baseline"/>
                      <w:lang w:val="en-US" w:eastAsia="zh-CN"/>
                    </w:rPr>
                    <w:t>900-001-S07</w:t>
                  </w:r>
                </w:p>
              </w:tc>
              <w:tc>
                <w:tcPr>
                  <w:tcW w:w="1763" w:type="dxa"/>
                  <w:tcBorders>
                    <w:bottom w:val="single" w:color="auto" w:sz="12" w:space="0"/>
                    <w:right w:val="nil"/>
                  </w:tcBorders>
                  <w:noWrap w:val="0"/>
                  <w:vAlign w:val="center"/>
                </w:tcPr>
                <w:p w14:paraId="19A72235">
                  <w:pPr>
                    <w:keepNext w:val="0"/>
                    <w:keepLines w:val="0"/>
                    <w:pageBreakBefore w:val="0"/>
                    <w:widowControl/>
                    <w:suppressLineNumbers w:val="0"/>
                    <w:kinsoku/>
                    <w:wordWrap/>
                    <w:overflowPunct/>
                    <w:topLinePunct w:val="0"/>
                    <w:autoSpaceDE/>
                    <w:autoSpaceDN/>
                    <w:bidi w:val="0"/>
                    <w:adjustRightInd/>
                    <w:snapToGrid w:val="0"/>
                    <w:spacing w:line="240" w:lineRule="auto"/>
                    <w:ind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ascii="Times New Roman" w:hAnsi="Times New Roman" w:eastAsia="宋体" w:cs="Times New Roman"/>
                      <w:color w:val="000000"/>
                      <w:sz w:val="21"/>
                      <w:szCs w:val="21"/>
                      <w:vertAlign w:val="baseline"/>
                      <w:lang w:val="en-US" w:eastAsia="zh-CN"/>
                    </w:rPr>
                    <w:t>同餐厨垃圾一起</w:t>
                  </w:r>
                  <w:r>
                    <w:rPr>
                      <w:rFonts w:hint="default" w:ascii="Times New Roman" w:hAnsi="Times New Roman" w:eastAsia="宋体" w:cs="Times New Roman"/>
                      <w:color w:val="000000"/>
                      <w:sz w:val="21"/>
                      <w:szCs w:val="21"/>
                      <w:vertAlign w:val="baseline"/>
                      <w:lang w:val="en-US" w:eastAsia="zh-CN"/>
                    </w:rPr>
                    <w:t>交由具备餐厨垃圾处置资质单位密闭收运处置</w:t>
                  </w:r>
                </w:p>
              </w:tc>
            </w:tr>
          </w:tbl>
          <w:p w14:paraId="5074EBCD">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5.</w:t>
            </w:r>
            <w:r>
              <w:rPr>
                <w:rFonts w:hint="default" w:ascii="Times New Roman" w:hAnsi="Times New Roman" w:eastAsia="宋体" w:cs="Times New Roman"/>
                <w:b/>
                <w:bCs/>
                <w:color w:val="000000"/>
                <w:kern w:val="0"/>
                <w:sz w:val="24"/>
                <w:szCs w:val="24"/>
                <w:highlight w:val="none"/>
                <w:lang w:val="en-US" w:eastAsia="zh-CN" w:bidi="ar"/>
              </w:rPr>
              <w:t>运营期生态环境影响分析</w:t>
            </w:r>
          </w:p>
          <w:p w14:paraId="2CE2E533">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 xml:space="preserve">5.1对植被的影响 </w:t>
            </w:r>
          </w:p>
          <w:p w14:paraId="13797D88">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 xml:space="preserve">运营期项目配套庭院绿化、景观植被提升，新增乡土绿植点缀，局部植被覆盖度得到改善，同时通过边界围挡管控，杜绝游客踩踏外围林草，对区域植被生态总体影响轻微且可控。 </w:t>
            </w:r>
          </w:p>
          <w:p w14:paraId="3C7CA8E3">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 xml:space="preserve">5.2对动物的影响 </w:t>
            </w:r>
          </w:p>
          <w:p w14:paraId="6CE32C7F">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 xml:space="preserve">运营期民宿人为活动强度温和，扰动范围局限于建设用地内部，周边陆生动物可逐步适应人工环境，对区域陆生动物群落结构、种群数量及活动规律基本无不利影响。 </w:t>
            </w:r>
          </w:p>
          <w:p w14:paraId="67F161F6">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color w:val="000000"/>
                <w:kern w:val="0"/>
                <w:sz w:val="24"/>
                <w:szCs w:val="24"/>
                <w:highlight w:val="none"/>
                <w:lang w:val="en-US" w:eastAsia="zh-CN" w:bidi="ar"/>
              </w:rPr>
              <w:t>5.</w:t>
            </w:r>
            <w:r>
              <w:rPr>
                <w:rFonts w:hint="eastAsia" w:cs="Times New Roman"/>
                <w:b/>
                <w:bCs/>
                <w:color w:val="000000"/>
                <w:kern w:val="0"/>
                <w:sz w:val="24"/>
                <w:szCs w:val="24"/>
                <w:highlight w:val="none"/>
                <w:lang w:val="en-US" w:eastAsia="zh-CN" w:bidi="ar"/>
              </w:rPr>
              <w:t>3</w:t>
            </w:r>
            <w:r>
              <w:rPr>
                <w:rFonts w:hint="default" w:ascii="Times New Roman" w:hAnsi="Times New Roman" w:eastAsia="宋体" w:cs="Times New Roman"/>
                <w:b/>
                <w:bCs/>
                <w:color w:val="000000"/>
                <w:kern w:val="0"/>
                <w:sz w:val="24"/>
                <w:szCs w:val="24"/>
                <w:highlight w:val="none"/>
                <w:lang w:val="en-US" w:eastAsia="zh-CN" w:bidi="ar"/>
              </w:rPr>
              <w:t xml:space="preserve">对生态系统稳定性的影响分析 </w:t>
            </w:r>
          </w:p>
          <w:p w14:paraId="0EB67422">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0"/>
                <w:sz w:val="24"/>
                <w:szCs w:val="24"/>
                <w:highlight w:val="none"/>
                <w:lang w:val="en-US" w:eastAsia="zh-CN" w:bidi="ar"/>
              </w:rPr>
              <w:t xml:space="preserve">运营期人为扰动平稳可控，区域生态系统可维持原有自我调节与恢复能力，不会发生生态退化、群落逆向演替，区域生态系统整体保持稳定。 </w:t>
            </w:r>
          </w:p>
          <w:p w14:paraId="08C314B3">
            <w:pPr>
              <w:pStyle w:val="97"/>
              <w:keepNext w:val="0"/>
              <w:keepLines w:val="0"/>
              <w:pageBreakBefore w:val="0"/>
              <w:widowControl/>
              <w:kinsoku/>
              <w:wordWrap/>
              <w:overflowPunct/>
              <w:topLinePunct w:val="0"/>
              <w:autoSpaceDE/>
              <w:autoSpaceDN/>
              <w:bidi w:val="0"/>
              <w:snapToGrid w:val="0"/>
              <w:rPr>
                <w:rFonts w:hint="default" w:ascii="Times New Roman" w:hAnsi="Times New Roman" w:eastAsia="宋体" w:cs="Times New Roman"/>
                <w:b/>
                <w:bCs/>
                <w:color w:val="000000"/>
                <w:lang w:val="en-US" w:eastAsia="zh-CN"/>
              </w:rPr>
            </w:pPr>
            <w:r>
              <w:rPr>
                <w:rFonts w:hint="default" w:ascii="Times New Roman" w:hAnsi="Times New Roman" w:eastAsia="宋体" w:cs="Times New Roman"/>
                <w:b/>
                <w:bCs/>
                <w:color w:val="000000"/>
                <w:lang w:val="en-US" w:eastAsia="zh-CN"/>
              </w:rPr>
              <w:t>5.</w:t>
            </w:r>
            <w:r>
              <w:rPr>
                <w:rFonts w:hint="eastAsia" w:eastAsia="宋体" w:cs="Times New Roman"/>
                <w:b/>
                <w:bCs/>
                <w:color w:val="000000"/>
                <w:lang w:val="en-US" w:eastAsia="zh-CN"/>
              </w:rPr>
              <w:t>4</w:t>
            </w:r>
            <w:r>
              <w:rPr>
                <w:rFonts w:hint="default" w:ascii="Times New Roman" w:hAnsi="Times New Roman" w:eastAsia="宋体" w:cs="Times New Roman"/>
                <w:b/>
                <w:bCs/>
                <w:color w:val="000000"/>
                <w:lang w:val="en-US" w:eastAsia="zh-CN"/>
              </w:rPr>
              <w:t>对景观影响分析</w:t>
            </w:r>
          </w:p>
          <w:p w14:paraId="23FA0237">
            <w:pPr>
              <w:keepNext w:val="0"/>
              <w:keepLines w:val="0"/>
              <w:pageBreakBefore w:val="0"/>
              <w:widowControl/>
              <w:suppressLineNumbers w:val="0"/>
              <w:kinsoku/>
              <w:wordWrap/>
              <w:overflowPunct/>
              <w:topLinePunct w:val="0"/>
              <w:autoSpaceDE/>
              <w:autoSpaceDN/>
              <w:bidi w:val="0"/>
              <w:snapToGrid w:val="0"/>
              <w:jc w:val="left"/>
              <w:rPr>
                <w:rFonts w:hint="default" w:ascii="Times New Roman" w:hAnsi="Times New Roman" w:eastAsia="宋体" w:cs="Times New Roman"/>
                <w:color w:val="000000"/>
              </w:rPr>
            </w:pPr>
            <w:r>
              <w:rPr>
                <w:rFonts w:hint="default" w:ascii="Times New Roman" w:hAnsi="Times New Roman" w:eastAsia="宋体" w:cs="Times New Roman"/>
                <w:color w:val="000000"/>
              </w:rPr>
              <w:t>运营期项目建筑风格贴合北疆乡村民俗风貌，低矮院落、特色毡房及生态塑木观景平台体量轻盈、色调素雅，契合天山天池外围乡村景观管控要求，无突兀硬质建设痕迹。项目通过庭院绿化、乡土植被配植优化场地景观层次，盘活原有老旧危房低效用地，改造后整体景观整洁有序，与周边山地自然景观、乡村风貌高度协调，对区域景观体系以优化提升为主，负面影响极小。</w:t>
            </w:r>
          </w:p>
          <w:p w14:paraId="5B873F29">
            <w:pPr>
              <w:keepNext w:val="0"/>
              <w:keepLines w:val="0"/>
              <w:pageBreakBefore w:val="0"/>
              <w:widowControl/>
              <w:suppressLineNumbers w:val="0"/>
              <w:kinsoku/>
              <w:wordWrap/>
              <w:overflowPunct/>
              <w:topLinePunct w:val="0"/>
              <w:autoSpaceDE/>
              <w:autoSpaceDN/>
              <w:bidi w:val="0"/>
              <w:snapToGrid w:val="0"/>
              <w:jc w:val="left"/>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5.</w:t>
            </w:r>
            <w:r>
              <w:rPr>
                <w:rFonts w:hint="eastAsia" w:cs="Times New Roman"/>
                <w:b/>
                <w:bCs/>
                <w:color w:val="000000"/>
                <w:kern w:val="0"/>
                <w:sz w:val="24"/>
                <w:szCs w:val="24"/>
                <w:lang w:val="en-US" w:eastAsia="zh-CN" w:bidi="ar"/>
              </w:rPr>
              <w:t>5</w:t>
            </w:r>
            <w:r>
              <w:rPr>
                <w:rFonts w:hint="default" w:ascii="Times New Roman" w:hAnsi="Times New Roman" w:eastAsia="宋体" w:cs="Times New Roman"/>
                <w:b/>
                <w:bCs/>
                <w:color w:val="000000"/>
                <w:kern w:val="0"/>
                <w:sz w:val="24"/>
                <w:szCs w:val="24"/>
                <w:lang w:val="en-US" w:eastAsia="zh-CN" w:bidi="ar"/>
              </w:rPr>
              <w:t>对农业系统的影响分析</w:t>
            </w:r>
          </w:p>
          <w:p w14:paraId="436B94DE">
            <w:pPr>
              <w:keepNext w:val="0"/>
              <w:keepLines w:val="0"/>
              <w:pageBreakBefore w:val="0"/>
              <w:widowControl/>
              <w:suppressLineNumbers w:val="0"/>
              <w:kinsoku/>
              <w:wordWrap/>
              <w:overflowPunct/>
              <w:topLinePunct w:val="0"/>
              <w:autoSpaceDE/>
              <w:autoSpaceDN/>
              <w:bidi w:val="0"/>
              <w:snapToGrid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项目运营后可有效带动本地农牧产品销售、吸纳村民就近就业，助力乡村农旅融合发展，提升区域农业、牧业附加值，对当地农业生产体系、农牧产业结构无负面冲击，整体对区域农业系统产生正向促进作用。</w:t>
            </w:r>
          </w:p>
          <w:p w14:paraId="51555A60">
            <w:pPr>
              <w:pStyle w:val="13"/>
              <w:keepNext w:val="0"/>
              <w:keepLines w:val="0"/>
              <w:pageBreakBefore w:val="0"/>
              <w:widowControl/>
              <w:kinsoku/>
              <w:wordWrap/>
              <w:overflowPunct/>
              <w:topLinePunct w:val="0"/>
              <w:autoSpaceDE/>
              <w:autoSpaceDN/>
              <w:bidi w:val="0"/>
              <w:adjustRightInd/>
              <w:snapToGrid w:val="0"/>
              <w:spacing w:before="0" w:after="0" w:line="360" w:lineRule="auto"/>
              <w:ind w:right="0" w:firstLine="482" w:firstLineChars="200"/>
              <w:textAlignment w:val="auto"/>
              <w:rPr>
                <w:rFonts w:hint="default" w:cs="Times New Roman"/>
                <w:b/>
                <w:bCs/>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5.6 游客增加对生态环境影响分析</w:t>
            </w:r>
          </w:p>
          <w:p w14:paraId="40DB8C9D">
            <w:pPr>
              <w:keepNext w:val="0"/>
              <w:keepLines w:val="0"/>
              <w:pageBreakBefore w:val="0"/>
              <w:widowControl/>
              <w:suppressLineNumbers w:val="0"/>
              <w:kinsoku/>
              <w:wordWrap/>
              <w:overflowPunct/>
              <w:topLinePunct w:val="0"/>
              <w:autoSpaceDE/>
              <w:autoSpaceDN/>
              <w:bidi w:val="0"/>
              <w:snapToGrid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植被踩踏退化：部分游客超出游览道路随意进入周边天然草地，长期踩踏破坏草本根系与地表生物结皮，造成草地盖度下降，局部草原退化、土壤裸露，加剧风蚀沙化风险。</w:t>
            </w:r>
          </w:p>
          <w:p w14:paraId="1865D0F0">
            <w:pPr>
              <w:keepNext w:val="0"/>
              <w:keepLines w:val="0"/>
              <w:pageBreakBefore w:val="0"/>
              <w:widowControl/>
              <w:suppressLineNumbers w:val="0"/>
              <w:kinsoku/>
              <w:wordWrap/>
              <w:overflowPunct/>
              <w:topLinePunct w:val="0"/>
              <w:autoSpaceDE/>
              <w:autoSpaceDN/>
              <w:bidi w:val="0"/>
              <w:snapToGrid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野生动物扰动：游客活动、车辆噪声、人群惊扰，影响区域小型兽类、鸟类正常觅食、栖息，压缩野生动物活动空间。</w:t>
            </w:r>
          </w:p>
          <w:p w14:paraId="6B4ACE53">
            <w:pPr>
              <w:keepNext w:val="0"/>
              <w:keepLines w:val="0"/>
              <w:pageBreakBefore w:val="0"/>
              <w:widowControl/>
              <w:suppressLineNumbers w:val="0"/>
              <w:kinsoku/>
              <w:wordWrap/>
              <w:overflowPunct/>
              <w:topLinePunct w:val="0"/>
              <w:autoSpaceDE/>
              <w:autoSpaceDN/>
              <w:bidi w:val="0"/>
              <w:snapToGrid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污染带来生态胁迫：游客产生生活垃圾若管控疏漏，散落进入草原、沟谷，污染土壤；游客餐饮废水、固废不当排放，易造成面源污染，影响草地土壤与季节性径流水质。</w:t>
            </w:r>
          </w:p>
          <w:p w14:paraId="13B9E5BE">
            <w:pPr>
              <w:keepNext w:val="0"/>
              <w:keepLines w:val="0"/>
              <w:pageBreakBefore w:val="0"/>
              <w:widowControl/>
              <w:suppressLineNumbers w:val="0"/>
              <w:kinsoku/>
              <w:wordWrap/>
              <w:overflowPunct/>
              <w:topLinePunct w:val="0"/>
              <w:autoSpaceDE/>
              <w:autoSpaceDN/>
              <w:bidi w:val="0"/>
              <w:snapToGrid w:val="0"/>
              <w:jc w:val="left"/>
              <w:rPr>
                <w:rFonts w:hint="default" w:cs="Times New Roman"/>
                <w:b/>
                <w:bCs/>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lang w:val="en-US" w:eastAsia="zh-CN" w:bidi="ar"/>
              </w:rPr>
              <w:t>生态负荷持续上升：旅游旺季客流集中，短时间内人为扰动强度激增，超出局部草地生态承载力，长期累积易造成生态退化。</w:t>
            </w:r>
          </w:p>
          <w:p w14:paraId="6D28CF19">
            <w:pPr>
              <w:pStyle w:val="13"/>
              <w:keepNext w:val="0"/>
              <w:keepLines w:val="0"/>
              <w:pageBreakBefore w:val="0"/>
              <w:widowControl/>
              <w:kinsoku/>
              <w:wordWrap/>
              <w:overflowPunct/>
              <w:topLinePunct w:val="0"/>
              <w:autoSpaceDE/>
              <w:autoSpaceDN/>
              <w:bidi w:val="0"/>
              <w:adjustRightInd/>
              <w:snapToGrid w:val="0"/>
              <w:spacing w:before="0" w:after="0" w:line="360" w:lineRule="auto"/>
              <w:ind w:right="0" w:firstLine="482" w:firstLineChars="200"/>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6.</w:t>
            </w:r>
            <w:r>
              <w:rPr>
                <w:rFonts w:hint="default" w:ascii="Times New Roman" w:hAnsi="Times New Roman" w:eastAsia="宋体" w:cs="Times New Roman"/>
                <w:b/>
                <w:bCs/>
                <w:color w:val="000000"/>
                <w:kern w:val="0"/>
                <w:sz w:val="24"/>
                <w:szCs w:val="24"/>
                <w:highlight w:val="none"/>
                <w:lang w:val="en-US" w:eastAsia="zh-CN" w:bidi="ar"/>
              </w:rPr>
              <w:t>环境风险影响分析</w:t>
            </w:r>
          </w:p>
          <w:p w14:paraId="2D7D3A6B">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rPr>
              <w:t>根据《建设项目环境风险评价技术导则》</w:t>
            </w:r>
            <w:r>
              <w:rPr>
                <w:rFonts w:hint="eastAsia" w:cs="Times New Roman"/>
                <w:color w:val="000000"/>
                <w:lang w:eastAsia="zh-CN"/>
              </w:rPr>
              <w:t>（</w:t>
            </w:r>
            <w:r>
              <w:rPr>
                <w:rFonts w:hint="default" w:ascii="Times New Roman" w:hAnsi="Times New Roman" w:eastAsia="宋体" w:cs="Times New Roman"/>
                <w:color w:val="000000"/>
              </w:rPr>
              <w:t>HJ169-2018</w:t>
            </w:r>
            <w:r>
              <w:rPr>
                <w:rFonts w:hint="eastAsia" w:cs="Times New Roman"/>
                <w:color w:val="000000"/>
                <w:lang w:eastAsia="zh-CN"/>
              </w:rPr>
              <w:t>）</w:t>
            </w:r>
            <w:r>
              <w:rPr>
                <w:rFonts w:hint="default" w:ascii="Times New Roman" w:hAnsi="Times New Roman" w:eastAsia="宋体" w:cs="Times New Roman"/>
                <w:color w:val="000000"/>
                <w:lang w:eastAsia="zh-CN"/>
              </w:rPr>
              <w:t>，</w:t>
            </w:r>
            <w:r>
              <w:rPr>
                <w:rFonts w:hint="default" w:ascii="Times New Roman" w:hAnsi="Times New Roman" w:eastAsia="宋体" w:cs="Times New Roman"/>
                <w:color w:val="000000"/>
              </w:rPr>
              <w:t>本项目不涉及有毒有害和易燃易爆危险物质的生产、使用、储存。本项目主要环境风险分为火灾。主要包括厨房天然气、用电设备使用不当等引发的火灾等。</w:t>
            </w:r>
          </w:p>
          <w:p w14:paraId="0D73F2A5">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kern w:val="0"/>
                <w:sz w:val="24"/>
                <w:szCs w:val="24"/>
                <w:lang w:val="en-US" w:eastAsia="zh-CN" w:bidi="ar"/>
              </w:rPr>
              <w:t xml:space="preserve">（1）分析火灾产生的原因 </w:t>
            </w:r>
          </w:p>
          <w:p w14:paraId="2EE23A49">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kern w:val="0"/>
                <w:sz w:val="24"/>
                <w:szCs w:val="24"/>
                <w:lang w:val="en-US" w:eastAsia="zh-CN" w:bidi="ar"/>
              </w:rPr>
              <w:t>根据本项目的工艺特点，</w:t>
            </w:r>
            <w:r>
              <w:rPr>
                <w:rFonts w:hint="eastAsia" w:cs="Times New Roman"/>
                <w:color w:val="000000"/>
                <w:kern w:val="0"/>
                <w:sz w:val="24"/>
                <w:szCs w:val="24"/>
                <w:lang w:val="en-US" w:eastAsia="zh-CN" w:bidi="ar"/>
              </w:rPr>
              <w:t>天然气和电气设备在</w:t>
            </w:r>
            <w:r>
              <w:rPr>
                <w:rFonts w:hint="default" w:ascii="Times New Roman" w:hAnsi="Times New Roman" w:eastAsia="宋体" w:cs="Times New Roman"/>
                <w:color w:val="000000"/>
                <w:kern w:val="0"/>
                <w:sz w:val="24"/>
                <w:szCs w:val="24"/>
                <w:lang w:val="en-US" w:eastAsia="zh-CN" w:bidi="ar"/>
              </w:rPr>
              <w:t>使用的过程中若不注意，引</w:t>
            </w:r>
            <w:r>
              <w:rPr>
                <w:rFonts w:hint="eastAsia" w:cs="Times New Roman"/>
                <w:color w:val="000000"/>
                <w:kern w:val="0"/>
                <w:sz w:val="24"/>
                <w:szCs w:val="24"/>
                <w:lang w:val="en-US" w:eastAsia="zh-CN" w:bidi="ar"/>
              </w:rPr>
              <w:t>发火灾</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消防废水</w:t>
            </w:r>
            <w:r>
              <w:rPr>
                <w:rFonts w:hint="default" w:ascii="Times New Roman" w:hAnsi="Times New Roman" w:eastAsia="宋体" w:cs="Times New Roman"/>
                <w:color w:val="000000"/>
                <w:kern w:val="0"/>
                <w:sz w:val="24"/>
                <w:szCs w:val="24"/>
                <w:lang w:val="en-US" w:eastAsia="zh-CN" w:bidi="ar"/>
              </w:rPr>
              <w:t xml:space="preserve">将可能垂直入渗进入土壤，将对土壤、地下水造成污染。 </w:t>
            </w:r>
          </w:p>
          <w:p w14:paraId="4202B423">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①厨房员工操作不当。油锅着火处理不当或燃油外溢引燃</w:t>
            </w:r>
            <w:r>
              <w:rPr>
                <w:rFonts w:hint="eastAsia" w:cs="Times New Roman"/>
                <w:color w:val="000000"/>
                <w:kern w:val="0"/>
                <w:sz w:val="24"/>
                <w:szCs w:val="24"/>
                <w:lang w:val="en-US" w:eastAsia="zh-CN" w:bidi="ar"/>
              </w:rPr>
              <w:t>他</w:t>
            </w:r>
            <w:r>
              <w:rPr>
                <w:rFonts w:hint="default" w:ascii="Times New Roman" w:hAnsi="Times New Roman" w:eastAsia="宋体" w:cs="Times New Roman"/>
                <w:color w:val="000000"/>
                <w:kern w:val="0"/>
                <w:sz w:val="24"/>
                <w:szCs w:val="24"/>
                <w:lang w:val="en-US" w:eastAsia="zh-CN" w:bidi="ar"/>
              </w:rPr>
              <w:t>物，若不能用灭火器及时扑灭，则酿成火灾。</w:t>
            </w:r>
          </w:p>
          <w:p w14:paraId="65C37C6C">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②供气设备有裂缝，造成天然气</w:t>
            </w:r>
            <w:r>
              <w:rPr>
                <w:rFonts w:hint="eastAsia" w:cs="Times New Roman"/>
                <w:color w:val="000000"/>
                <w:kern w:val="0"/>
                <w:sz w:val="24"/>
                <w:szCs w:val="24"/>
                <w:lang w:val="en-US" w:eastAsia="zh-CN" w:bidi="ar"/>
              </w:rPr>
              <w:t>外溢</w:t>
            </w:r>
            <w:r>
              <w:rPr>
                <w:rFonts w:hint="default" w:ascii="Times New Roman" w:hAnsi="Times New Roman" w:eastAsia="宋体" w:cs="Times New Roman"/>
                <w:color w:val="000000"/>
                <w:kern w:val="0"/>
                <w:sz w:val="24"/>
                <w:szCs w:val="24"/>
                <w:lang w:val="en-US" w:eastAsia="zh-CN" w:bidi="ar"/>
              </w:rPr>
              <w:t>，而室内又通风不良，遇明火产生爆炸，酿成火灾。</w:t>
            </w:r>
          </w:p>
          <w:p w14:paraId="1BC84E04">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③灶具、吸油烟机及排烟管道不经常清洗，油污一旦遇火燃烧，不能及时发现、扑灭，酿成火灾。</w:t>
            </w:r>
          </w:p>
          <w:p w14:paraId="20A273B5">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④厨房电线及电器材料老化，造成短路，产生火星，遇以上各种条件，点燃油垢、液化气等可燃物产生火情，又未及时发现、扑灭，酿成火灾。</w:t>
            </w:r>
          </w:p>
          <w:p w14:paraId="708602B0">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kern w:val="0"/>
                <w:sz w:val="24"/>
                <w:szCs w:val="24"/>
                <w:lang w:val="en-US" w:eastAsia="zh-CN" w:bidi="ar"/>
              </w:rPr>
              <w:t xml:space="preserve">（2）防范措施 </w:t>
            </w:r>
          </w:p>
          <w:p w14:paraId="0D78E5B9">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①消防管理</w:t>
            </w:r>
          </w:p>
          <w:p w14:paraId="0D9519C2">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eastAsia" w:cs="Times New Roman"/>
                <w:color w:val="000000"/>
                <w:kern w:val="0"/>
                <w:sz w:val="24"/>
                <w:szCs w:val="24"/>
                <w:lang w:val="en-US" w:eastAsia="zh-CN" w:bidi="ar"/>
              </w:rPr>
              <w:t>a.</w:t>
            </w:r>
            <w:r>
              <w:rPr>
                <w:rFonts w:hint="default" w:ascii="Times New Roman" w:hAnsi="Times New Roman" w:eastAsia="宋体" w:cs="Times New Roman"/>
                <w:color w:val="000000"/>
                <w:kern w:val="0"/>
                <w:sz w:val="24"/>
                <w:szCs w:val="24"/>
                <w:lang w:val="en-US" w:eastAsia="zh-CN" w:bidi="ar"/>
              </w:rPr>
              <w:t>制订消防安全守则，设专人分管消防安全。定期进行对全体员工的消防知识教育和培训，将防火灭火知识纳入员工上岗的应知应会内容。定期</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或经常</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检查灭火器内的材质是否已经过期，消防栓的水压是否符合要求，供气</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油</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设备是否密闭，</w:t>
            </w:r>
            <w:r>
              <w:rPr>
                <w:rFonts w:hint="eastAsia" w:cs="Times New Roman"/>
                <w:color w:val="000000"/>
                <w:kern w:val="0"/>
                <w:sz w:val="24"/>
                <w:szCs w:val="24"/>
                <w:lang w:val="en-US" w:eastAsia="zh-CN" w:bidi="ar"/>
              </w:rPr>
              <w:t>是</w:t>
            </w:r>
            <w:r>
              <w:rPr>
                <w:rFonts w:hint="default" w:ascii="Times New Roman" w:hAnsi="Times New Roman" w:eastAsia="宋体" w:cs="Times New Roman"/>
                <w:color w:val="000000"/>
                <w:kern w:val="0"/>
                <w:sz w:val="24"/>
                <w:szCs w:val="24"/>
                <w:lang w:val="en-US" w:eastAsia="zh-CN" w:bidi="ar"/>
              </w:rPr>
              <w:t>否泄漏，各种电器、电线是否损坏或老化，消防通道是否畅通。发现问题应及时处理。</w:t>
            </w:r>
          </w:p>
          <w:p w14:paraId="0C1AE49B">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eastAsia" w:cs="Times New Roman"/>
                <w:color w:val="000000"/>
                <w:kern w:val="0"/>
                <w:sz w:val="24"/>
                <w:szCs w:val="24"/>
                <w:lang w:val="en-US" w:eastAsia="zh-CN" w:bidi="ar"/>
              </w:rPr>
              <w:t>b.</w:t>
            </w:r>
            <w:r>
              <w:rPr>
                <w:rFonts w:hint="default" w:ascii="Times New Roman" w:hAnsi="Times New Roman" w:eastAsia="宋体" w:cs="Times New Roman"/>
                <w:color w:val="000000"/>
                <w:kern w:val="0"/>
                <w:sz w:val="24"/>
                <w:szCs w:val="24"/>
                <w:lang w:val="en-US" w:eastAsia="zh-CN" w:bidi="ar"/>
              </w:rPr>
              <w:t>工作人员应随时注意顾客的烟蒂是否及时掐灭，每天清场时均需仔细检查、收</w:t>
            </w:r>
            <w:r>
              <w:rPr>
                <w:rFonts w:hint="eastAsia" w:cs="Times New Roman"/>
                <w:color w:val="000000"/>
                <w:kern w:val="0"/>
                <w:sz w:val="24"/>
                <w:szCs w:val="24"/>
                <w:lang w:val="en-US" w:eastAsia="zh-CN" w:bidi="ar"/>
              </w:rPr>
              <w:t>集散</w:t>
            </w:r>
            <w:r>
              <w:rPr>
                <w:rFonts w:hint="default" w:ascii="Times New Roman" w:hAnsi="Times New Roman" w:eastAsia="宋体" w:cs="Times New Roman"/>
                <w:color w:val="000000"/>
                <w:kern w:val="0"/>
                <w:sz w:val="24"/>
                <w:szCs w:val="24"/>
                <w:lang w:val="en-US" w:eastAsia="zh-CN" w:bidi="ar"/>
              </w:rPr>
              <w:t>落在地上、沙发上或房间角落里的烟头。分管消防的负责人在每天清场时，应各处巡视一遍，督促全体员工做好消防安全工作， 尤其是检查火源、动力电源是否已经关灭。</w:t>
            </w:r>
          </w:p>
          <w:p w14:paraId="3584CDEB">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②消防措施</w:t>
            </w:r>
          </w:p>
          <w:p w14:paraId="7ECDFF53">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eastAsia" w:cs="Times New Roman"/>
                <w:color w:val="000000"/>
                <w:kern w:val="0"/>
                <w:sz w:val="24"/>
                <w:szCs w:val="24"/>
                <w:lang w:val="en-US" w:eastAsia="zh-CN" w:bidi="ar"/>
              </w:rPr>
              <w:t>a.</w:t>
            </w:r>
            <w:r>
              <w:rPr>
                <w:rFonts w:hint="default" w:ascii="Times New Roman" w:hAnsi="Times New Roman" w:eastAsia="宋体" w:cs="Times New Roman"/>
                <w:color w:val="000000"/>
                <w:kern w:val="0"/>
                <w:sz w:val="24"/>
                <w:szCs w:val="24"/>
                <w:lang w:val="en-US" w:eastAsia="zh-CN" w:bidi="ar"/>
              </w:rPr>
              <w:t>应消防有关要求进行工程消防设计，内容包括：</w:t>
            </w:r>
          </w:p>
          <w:p w14:paraId="07965040">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•电气线路应穿管保护，消防设备应按二级负荷要求供电。</w:t>
            </w:r>
          </w:p>
          <w:p w14:paraId="3B4622D7">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•底层应按规范要求设置室内消火栓，灭火器。</w:t>
            </w:r>
          </w:p>
          <w:p w14:paraId="4B182B5C">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•餐厅内设机械排烟系统，</w:t>
            </w:r>
            <w:r>
              <w:rPr>
                <w:rFonts w:hint="eastAsia" w:ascii="Times New Roman" w:hAnsi="Times New Roman" w:eastAsia="宋体" w:cs="Times New Roman"/>
                <w:color w:val="000000"/>
                <w:kern w:val="0"/>
                <w:sz w:val="24"/>
                <w:szCs w:val="24"/>
                <w:lang w:val="en-US" w:eastAsia="zh-CN" w:bidi="ar"/>
              </w:rPr>
              <w:t>分</w:t>
            </w:r>
            <w:r>
              <w:rPr>
                <w:rFonts w:hint="eastAsia" w:ascii="Times New Roman" w:hAnsi="Times New Roman" w:eastAsia="宋体" w:cs="Times New Roman"/>
                <w:color w:val="000000"/>
                <w:kern w:val="0"/>
                <w:sz w:val="24"/>
                <w:szCs w:val="24"/>
                <w:highlight w:val="none"/>
                <w:lang w:val="en-US" w:eastAsia="zh-CN" w:bidi="ar"/>
              </w:rPr>
              <w:t>隔</w:t>
            </w:r>
            <w:r>
              <w:rPr>
                <w:rFonts w:hint="default" w:ascii="Times New Roman" w:hAnsi="Times New Roman" w:eastAsia="宋体" w:cs="Times New Roman"/>
                <w:color w:val="000000"/>
                <w:kern w:val="0"/>
                <w:sz w:val="24"/>
                <w:szCs w:val="24"/>
                <w:highlight w:val="none"/>
                <w:lang w:val="en-US" w:eastAsia="zh-CN" w:bidi="ar"/>
              </w:rPr>
              <w:t>开的</w:t>
            </w:r>
            <w:r>
              <w:rPr>
                <w:rFonts w:hint="default" w:ascii="Times New Roman" w:hAnsi="Times New Roman" w:eastAsia="宋体" w:cs="Times New Roman"/>
                <w:color w:val="000000"/>
                <w:kern w:val="0"/>
                <w:sz w:val="24"/>
                <w:szCs w:val="24"/>
                <w:lang w:val="en-US" w:eastAsia="zh-CN" w:bidi="ar"/>
              </w:rPr>
              <w:t>包厢、走道均应得到喷头、探头的保护。</w:t>
            </w:r>
          </w:p>
          <w:p w14:paraId="0F80351D">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•应按规范要求增设应急照明、事故广播、手动报警按钮、消防通讯等。</w:t>
            </w:r>
          </w:p>
          <w:p w14:paraId="30AC013D">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•明确消防控制室位置，消防联动应增加切断非消防电源， 接通应急照明和疏散指示灯功能。</w:t>
            </w:r>
          </w:p>
          <w:p w14:paraId="4CCDFE02">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eastAsia" w:cs="Times New Roman"/>
                <w:color w:val="000000"/>
                <w:kern w:val="0"/>
                <w:sz w:val="24"/>
                <w:szCs w:val="24"/>
                <w:lang w:val="en-US" w:eastAsia="zh-CN" w:bidi="ar"/>
              </w:rPr>
              <w:t>b.</w:t>
            </w:r>
            <w:r>
              <w:rPr>
                <w:rFonts w:hint="default" w:ascii="Times New Roman" w:hAnsi="Times New Roman" w:eastAsia="宋体" w:cs="Times New Roman"/>
                <w:color w:val="000000"/>
                <w:kern w:val="0"/>
                <w:sz w:val="24"/>
                <w:szCs w:val="24"/>
                <w:lang w:val="en-US" w:eastAsia="zh-CN" w:bidi="ar"/>
              </w:rPr>
              <w:t>应定期清洗或更换灶具、排油烟系统，防止油类污垢堆积引燃。</w:t>
            </w:r>
          </w:p>
          <w:p w14:paraId="6C3C2E86">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eastAsia" w:cs="Times New Roman"/>
                <w:color w:val="000000"/>
                <w:kern w:val="0"/>
                <w:sz w:val="24"/>
                <w:szCs w:val="24"/>
                <w:lang w:val="en-US" w:eastAsia="zh-CN" w:bidi="ar"/>
              </w:rPr>
              <w:t>c.</w:t>
            </w:r>
            <w:r>
              <w:rPr>
                <w:rFonts w:hint="default" w:ascii="Times New Roman" w:hAnsi="Times New Roman" w:eastAsia="宋体" w:cs="Times New Roman"/>
                <w:color w:val="000000"/>
                <w:kern w:val="0"/>
                <w:sz w:val="24"/>
                <w:szCs w:val="24"/>
                <w:lang w:val="en-US" w:eastAsia="zh-CN" w:bidi="ar"/>
              </w:rPr>
              <w:t>应定期更换电器插头、开关及电线，以防老化、短路而产生火花。此项工作可结合几年一度的更换装修同时进行。</w:t>
            </w:r>
          </w:p>
          <w:p w14:paraId="2358FAC8">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③平面布置</w:t>
            </w:r>
          </w:p>
          <w:p w14:paraId="7E67910F">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建筑平面布置应符合《建筑设计防火规范》GB50016-2014要求；布置应保证操作及疏散方便；围墙两侧建筑物之间应满足防火间距要求；建构筑物之间的防火间距应符合GB50016-2014的有关规定；无电力线路跨越装置区。</w:t>
            </w:r>
          </w:p>
          <w:p w14:paraId="2AD49E76">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建筑物、构筑物的构件，其耐火极限应符合现行国家标准《建筑设计防火规范》</w:t>
            </w:r>
            <w:r>
              <w:rPr>
                <w:rFonts w:hint="eastAsia"/>
                <w:lang w:val="en-US" w:eastAsia="zh-CN"/>
              </w:rPr>
              <w:t>（</w:t>
            </w:r>
            <w:r>
              <w:rPr>
                <w:rFonts w:hint="default" w:ascii="Times New Roman" w:hAnsi="Times New Roman" w:eastAsia="宋体" w:cs="Times New Roman"/>
                <w:color w:val="000000"/>
                <w:kern w:val="0"/>
                <w:sz w:val="24"/>
                <w:szCs w:val="24"/>
                <w:lang w:val="en-US" w:eastAsia="zh-CN" w:bidi="ar"/>
              </w:rPr>
              <w:t>GB50016-2014</w:t>
            </w:r>
            <w:r>
              <w:rPr>
                <w:rFonts w:hint="eastAsia"/>
                <w:lang w:val="en-US" w:eastAsia="zh-CN"/>
              </w:rPr>
              <w:t>）</w:t>
            </w:r>
            <w:r>
              <w:rPr>
                <w:rFonts w:hint="default" w:ascii="Times New Roman" w:hAnsi="Times New Roman" w:eastAsia="宋体" w:cs="Times New Roman"/>
                <w:color w:val="000000"/>
                <w:kern w:val="0"/>
                <w:sz w:val="24"/>
                <w:szCs w:val="24"/>
                <w:lang w:val="en-US" w:eastAsia="zh-CN" w:bidi="ar"/>
              </w:rPr>
              <w:t>的有关规定。建筑物的安全疏散门，应向外开启。</w:t>
            </w:r>
          </w:p>
          <w:p w14:paraId="30E4E32B">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应按照有关规定和标准合理设计工程的安全监测系统，包括自动监测、报警、紧急切断及紧急停车系统，防火、防爆等事故处理系统，还要完善应急救援设施和救援通道。</w:t>
            </w:r>
          </w:p>
          <w:p w14:paraId="5AD1D9DF">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消防设施配置安全报警系统、灭火器、消防栓等消防设施。建筑消防设施配置应符合有关规定要求。</w:t>
            </w:r>
          </w:p>
          <w:p w14:paraId="2E0EF9E5">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（3）环境风险结论</w:t>
            </w:r>
          </w:p>
          <w:p w14:paraId="61D2E447">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本项目定期检查天然气管道、餐厅、应急通道及周围情况，定期进行维护或更换，保证其安全和质量。此外，应定期维护设施确保其正常运行；建立完善的消防设施，设置高压水消防系统、火灾报警系统、监控系统等。因此，项目风险水平可以接受。为落实各项污染防治措施，加强环境保护工作管理，应当根据实际情况制定各种类型的环保制度。</w:t>
            </w:r>
          </w:p>
          <w:p w14:paraId="43C27C63">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422" w:firstLineChars="200"/>
              <w:jc w:val="center"/>
              <w:textAlignment w:val="auto"/>
              <w:rPr>
                <w:rFonts w:hint="default"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表4-13   建设项目环境风险简单分析内容表</w:t>
            </w:r>
          </w:p>
          <w:tbl>
            <w:tblPr>
              <w:tblStyle w:val="33"/>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44"/>
              <w:gridCol w:w="5944"/>
            </w:tblGrid>
            <w:tr w14:paraId="0E6DD3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44" w:type="dxa"/>
                  <w:tcBorders>
                    <w:bottom w:val="single" w:color="auto" w:sz="12" w:space="0"/>
                  </w:tcBorders>
                  <w:noWrap w:val="0"/>
                  <w:vAlign w:val="center"/>
                </w:tcPr>
                <w:p w14:paraId="0A0D828B">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建设项目名称</w:t>
                  </w:r>
                </w:p>
              </w:tc>
              <w:tc>
                <w:tcPr>
                  <w:tcW w:w="5944" w:type="dxa"/>
                  <w:tcBorders>
                    <w:bottom w:val="single" w:color="auto" w:sz="12" w:space="0"/>
                  </w:tcBorders>
                  <w:noWrap w:val="0"/>
                  <w:vAlign w:val="center"/>
                </w:tcPr>
                <w:p w14:paraId="35710E02">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新疆天山天池文化旅游投资有限公司实施阜康市花儿沟村整村运营示范项目</w:t>
                  </w:r>
                </w:p>
              </w:tc>
            </w:tr>
            <w:tr w14:paraId="37E488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44" w:type="dxa"/>
                  <w:tcBorders>
                    <w:top w:val="single" w:color="auto" w:sz="12" w:space="0"/>
                    <w:tl2br w:val="nil"/>
                    <w:tr2bl w:val="nil"/>
                  </w:tcBorders>
                  <w:noWrap w:val="0"/>
                  <w:vAlign w:val="center"/>
                </w:tcPr>
                <w:p w14:paraId="3532D112">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建设地点</w:t>
                  </w:r>
                </w:p>
              </w:tc>
              <w:tc>
                <w:tcPr>
                  <w:tcW w:w="5944" w:type="dxa"/>
                  <w:tcBorders>
                    <w:top w:val="single" w:color="auto" w:sz="12" w:space="0"/>
                    <w:tl2br w:val="nil"/>
                    <w:tr2bl w:val="nil"/>
                  </w:tcBorders>
                  <w:noWrap w:val="0"/>
                  <w:vAlign w:val="center"/>
                </w:tcPr>
                <w:p w14:paraId="2DF8AB3A">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新疆维吾尔自治区昌吉回族自治州阜康市三工河哈萨克乡花儿沟村</w:t>
                  </w:r>
                </w:p>
              </w:tc>
            </w:tr>
            <w:tr w14:paraId="3FAFFF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44" w:type="dxa"/>
                  <w:tcBorders>
                    <w:tl2br w:val="nil"/>
                    <w:tr2bl w:val="nil"/>
                  </w:tcBorders>
                  <w:noWrap w:val="0"/>
                  <w:vAlign w:val="center"/>
                </w:tcPr>
                <w:p w14:paraId="4359B698">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地理坐标</w:t>
                  </w:r>
                </w:p>
              </w:tc>
              <w:tc>
                <w:tcPr>
                  <w:tcW w:w="5944" w:type="dxa"/>
                  <w:tcBorders>
                    <w:tl2br w:val="nil"/>
                    <w:tr2bl w:val="nil"/>
                  </w:tcBorders>
                  <w:noWrap w:val="0"/>
                  <w:vAlign w:val="center"/>
                </w:tcPr>
                <w:p w14:paraId="28DA6B06">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东经88°2′14.874″，北纬44°1′31.787″</w:t>
                  </w:r>
                </w:p>
              </w:tc>
            </w:tr>
            <w:tr w14:paraId="75557F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44" w:type="dxa"/>
                  <w:tcBorders>
                    <w:tl2br w:val="nil"/>
                    <w:tr2bl w:val="nil"/>
                  </w:tcBorders>
                  <w:noWrap w:val="0"/>
                  <w:vAlign w:val="center"/>
                </w:tcPr>
                <w:p w14:paraId="53835464">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主要危险物质及分布</w:t>
                  </w:r>
                </w:p>
              </w:tc>
              <w:tc>
                <w:tcPr>
                  <w:tcW w:w="5944" w:type="dxa"/>
                  <w:tcBorders>
                    <w:tl2br w:val="nil"/>
                    <w:tr2bl w:val="nil"/>
                  </w:tcBorders>
                  <w:noWrap w:val="0"/>
                  <w:vAlign w:val="center"/>
                </w:tcPr>
                <w:p w14:paraId="6952D4F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eastAsia" w:cs="Times New Roman"/>
                      <w:color w:val="000000"/>
                      <w:kern w:val="0"/>
                      <w:sz w:val="21"/>
                      <w:szCs w:val="21"/>
                      <w:highlight w:val="none"/>
                      <w:vertAlign w:val="baseline"/>
                      <w:lang w:val="en-US" w:eastAsia="zh-CN" w:bidi="ar"/>
                    </w:rPr>
                    <w:t>天然气</w:t>
                  </w:r>
                </w:p>
              </w:tc>
            </w:tr>
            <w:tr w14:paraId="410502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44" w:type="dxa"/>
                  <w:tcBorders>
                    <w:tl2br w:val="nil"/>
                    <w:tr2bl w:val="nil"/>
                  </w:tcBorders>
                  <w:noWrap w:val="0"/>
                  <w:vAlign w:val="center"/>
                </w:tcPr>
                <w:p w14:paraId="5F6A7190">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环境影响途径及危害后果（大气、地表水、地下水等）</w:t>
                  </w:r>
                </w:p>
              </w:tc>
              <w:tc>
                <w:tcPr>
                  <w:tcW w:w="5944" w:type="dxa"/>
                  <w:tcBorders>
                    <w:tl2br w:val="nil"/>
                    <w:tr2bl w:val="nil"/>
                  </w:tcBorders>
                  <w:noWrap w:val="0"/>
                  <w:vAlign w:val="center"/>
                </w:tcPr>
                <w:p w14:paraId="1897807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运营期对生态环境产生的主要影响为游客活动对小动物栖息、觅食等产生的影响；无生产废水产生，游客、职工生活污水</w:t>
                  </w:r>
                  <w:r>
                    <w:rPr>
                      <w:rFonts w:hint="eastAsia" w:cs="Times New Roman"/>
                      <w:color w:val="000000"/>
                      <w:kern w:val="0"/>
                      <w:sz w:val="21"/>
                      <w:szCs w:val="21"/>
                      <w:highlight w:val="none"/>
                      <w:vertAlign w:val="baseline"/>
                      <w:lang w:val="en-US" w:eastAsia="zh-CN" w:bidi="ar"/>
                    </w:rPr>
                    <w:t>经化粪池处理后定期由吸污车拉运至阜康市污水处理厂处理</w:t>
                  </w:r>
                  <w:r>
                    <w:rPr>
                      <w:rFonts w:hint="default" w:ascii="Times New Roman" w:hAnsi="Times New Roman" w:eastAsia="宋体" w:cs="Times New Roman"/>
                      <w:color w:val="000000"/>
                      <w:kern w:val="0"/>
                      <w:sz w:val="21"/>
                      <w:szCs w:val="21"/>
                      <w:highlight w:val="none"/>
                      <w:vertAlign w:val="baseline"/>
                      <w:lang w:val="en-US" w:eastAsia="zh-CN" w:bidi="ar"/>
                    </w:rPr>
                    <w:t>；噪声主要是人员活动、水泵、车辆、配电室等噪声；固体废物主要为游客和工作人员的生活垃圾、餐厨垃圾。</w:t>
                  </w:r>
                </w:p>
              </w:tc>
            </w:tr>
            <w:tr w14:paraId="15CC29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44" w:type="dxa"/>
                  <w:tcBorders>
                    <w:tl2br w:val="nil"/>
                    <w:tr2bl w:val="nil"/>
                  </w:tcBorders>
                  <w:noWrap w:val="0"/>
                  <w:vAlign w:val="center"/>
                </w:tcPr>
                <w:p w14:paraId="6A56313C">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风险防范措施要求</w:t>
                  </w:r>
                </w:p>
              </w:tc>
              <w:tc>
                <w:tcPr>
                  <w:tcW w:w="5944" w:type="dxa"/>
                  <w:tcBorders>
                    <w:tl2br w:val="nil"/>
                    <w:tr2bl w:val="nil"/>
                  </w:tcBorders>
                  <w:noWrap w:val="0"/>
                  <w:vAlign w:val="center"/>
                </w:tcPr>
                <w:p w14:paraId="2B2CA1B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①按照规范平面布置好消防系统、安全报警系统等。②制定消防制度，定期对员工进行培训。</w:t>
                  </w:r>
                </w:p>
              </w:tc>
            </w:tr>
            <w:tr w14:paraId="1753A1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44" w:type="dxa"/>
                  <w:tcBorders>
                    <w:tl2br w:val="nil"/>
                    <w:tr2bl w:val="nil"/>
                  </w:tcBorders>
                  <w:noWrap w:val="0"/>
                  <w:vAlign w:val="center"/>
                </w:tcPr>
                <w:p w14:paraId="16828E4F">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填表说明（列出项目有关信息及评价说明）</w:t>
                  </w:r>
                </w:p>
              </w:tc>
              <w:tc>
                <w:tcPr>
                  <w:tcW w:w="5944" w:type="dxa"/>
                  <w:tcBorders>
                    <w:tl2br w:val="nil"/>
                    <w:tr2bl w:val="nil"/>
                  </w:tcBorders>
                  <w:noWrap w:val="0"/>
                  <w:vAlign w:val="center"/>
                </w:tcPr>
                <w:p w14:paraId="45A1B50F">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
                    </w:rPr>
                  </w:pPr>
                  <w:r>
                    <w:rPr>
                      <w:rFonts w:hint="default" w:ascii="Times New Roman" w:hAnsi="Times New Roman" w:eastAsia="宋体" w:cs="Times New Roman"/>
                      <w:color w:val="000000"/>
                      <w:kern w:val="0"/>
                      <w:sz w:val="21"/>
                      <w:szCs w:val="21"/>
                      <w:highlight w:val="none"/>
                      <w:vertAlign w:val="baseline"/>
                      <w:lang w:val="en-US" w:eastAsia="zh-CN" w:bidi="ar"/>
                    </w:rPr>
                    <w:t>无</w:t>
                  </w:r>
                </w:p>
              </w:tc>
            </w:tr>
          </w:tbl>
          <w:p w14:paraId="74761463">
            <w:pPr>
              <w:rPr>
                <w:rFonts w:hint="default" w:eastAsia="宋体"/>
                <w:b/>
                <w:bCs/>
                <w:lang w:val="en-US" w:eastAsia="zh-CN"/>
              </w:rPr>
            </w:pPr>
            <w:r>
              <w:rPr>
                <w:rFonts w:hint="eastAsia"/>
                <w:b/>
                <w:bCs/>
                <w:lang w:val="en-US" w:eastAsia="zh-CN"/>
              </w:rPr>
              <w:t>7.污染物“三本账”</w:t>
            </w:r>
          </w:p>
          <w:p w14:paraId="3CA92EBD">
            <w:pPr>
              <w:pStyle w:val="13"/>
              <w:keepNext w:val="0"/>
              <w:keepLines w:val="0"/>
              <w:pageBreakBefore w:val="0"/>
              <w:widowControl/>
              <w:kinsoku/>
              <w:wordWrap/>
              <w:overflowPunct/>
              <w:topLinePunct w:val="0"/>
              <w:autoSpaceDE/>
              <w:autoSpaceDN/>
              <w:bidi w:val="0"/>
              <w:adjustRightInd/>
              <w:snapToGrid w:val="0"/>
              <w:spacing w:before="0" w:after="0" w:line="360" w:lineRule="auto"/>
              <w:ind w:left="0" w:leftChars="0" w:right="0" w:firstLine="480" w:firstLineChars="200"/>
              <w:textAlignment w:val="auto"/>
              <w:rPr>
                <w:rFonts w:hint="eastAsia" w:cs="Times New Roman"/>
                <w:color w:val="000000"/>
                <w:sz w:val="24"/>
                <w:szCs w:val="24"/>
                <w:lang w:val="en-US" w:eastAsia="zh-CN"/>
              </w:rPr>
            </w:pPr>
            <w:r>
              <w:rPr>
                <w:rFonts w:hint="eastAsia" w:cs="Times New Roman"/>
                <w:color w:val="000000"/>
                <w:sz w:val="24"/>
                <w:szCs w:val="24"/>
                <w:lang w:val="en-US" w:eastAsia="zh-CN"/>
              </w:rPr>
              <w:t>本项目污染物“三本账”见表4-13。</w:t>
            </w:r>
          </w:p>
          <w:p w14:paraId="6BE54367">
            <w:pPr>
              <w:pStyle w:val="13"/>
              <w:keepNext w:val="0"/>
              <w:keepLines w:val="0"/>
              <w:pageBreakBefore w:val="0"/>
              <w:widowControl/>
              <w:kinsoku/>
              <w:wordWrap/>
              <w:overflowPunct/>
              <w:topLinePunct w:val="0"/>
              <w:autoSpaceDE/>
              <w:autoSpaceDN/>
              <w:bidi w:val="0"/>
              <w:adjustRightInd/>
              <w:snapToGrid w:val="0"/>
              <w:spacing w:before="0" w:after="0" w:line="240" w:lineRule="auto"/>
              <w:ind w:left="0" w:leftChars="0" w:right="0" w:firstLine="0" w:firstLineChars="0"/>
              <w:jc w:val="center"/>
              <w:textAlignment w:val="auto"/>
              <w:rPr>
                <w:rFonts w:hint="default" w:cs="Times New Roman"/>
                <w:b/>
                <w:bCs/>
                <w:color w:val="000000"/>
                <w:vertAlign w:val="baseline"/>
                <w:lang w:val="en-US" w:eastAsia="zh-CN"/>
              </w:rPr>
            </w:pPr>
            <w:r>
              <w:rPr>
                <w:rFonts w:hint="eastAsia" w:cs="Times New Roman"/>
                <w:b/>
                <w:bCs/>
                <w:color w:val="000000"/>
                <w:sz w:val="21"/>
                <w:szCs w:val="21"/>
                <w:lang w:val="en-US" w:eastAsia="zh-CN"/>
              </w:rPr>
              <w:t>表4-13本项目污染物“三本账”</w:t>
            </w:r>
          </w:p>
          <w:tbl>
            <w:tblPr>
              <w:tblStyle w:val="3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
              <w:gridCol w:w="865"/>
              <w:gridCol w:w="1249"/>
              <w:gridCol w:w="1249"/>
              <w:gridCol w:w="1249"/>
              <w:gridCol w:w="1249"/>
              <w:gridCol w:w="1249"/>
            </w:tblGrid>
            <w:tr w14:paraId="7954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gridSpan w:val="2"/>
                  <w:tcBorders>
                    <w:top w:val="single" w:color="auto" w:sz="12" w:space="0"/>
                    <w:left w:val="nil"/>
                    <w:bottom w:val="single" w:color="auto" w:sz="12" w:space="0"/>
                  </w:tcBorders>
                  <w:vAlign w:val="center"/>
                </w:tcPr>
                <w:p w14:paraId="51FB9193">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项目</w:t>
                  </w:r>
                </w:p>
              </w:tc>
              <w:tc>
                <w:tcPr>
                  <w:tcW w:w="1249" w:type="dxa"/>
                  <w:tcBorders>
                    <w:top w:val="single" w:color="auto" w:sz="12" w:space="0"/>
                    <w:bottom w:val="single" w:color="auto" w:sz="12" w:space="0"/>
                  </w:tcBorders>
                  <w:vAlign w:val="center"/>
                </w:tcPr>
                <w:p w14:paraId="0DC18052">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原有排放量（t/a）</w:t>
                  </w:r>
                </w:p>
              </w:tc>
              <w:tc>
                <w:tcPr>
                  <w:tcW w:w="1249" w:type="dxa"/>
                  <w:tcBorders>
                    <w:top w:val="single" w:color="auto" w:sz="12" w:space="0"/>
                    <w:bottom w:val="single" w:color="auto" w:sz="12" w:space="0"/>
                  </w:tcBorders>
                  <w:vAlign w:val="center"/>
                </w:tcPr>
                <w:p w14:paraId="557EAAE1">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项目新增产生量（t/a）</w:t>
                  </w:r>
                </w:p>
              </w:tc>
              <w:tc>
                <w:tcPr>
                  <w:tcW w:w="1249" w:type="dxa"/>
                  <w:tcBorders>
                    <w:top w:val="single" w:color="auto" w:sz="12" w:space="0"/>
                    <w:bottom w:val="single" w:color="auto" w:sz="12" w:space="0"/>
                  </w:tcBorders>
                  <w:vAlign w:val="center"/>
                </w:tcPr>
                <w:p w14:paraId="0032D263">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项目新增排放量（t/a）</w:t>
                  </w:r>
                </w:p>
              </w:tc>
              <w:tc>
                <w:tcPr>
                  <w:tcW w:w="1249" w:type="dxa"/>
                  <w:tcBorders>
                    <w:top w:val="single" w:color="auto" w:sz="12" w:space="0"/>
                    <w:bottom w:val="single" w:color="auto" w:sz="12" w:space="0"/>
                  </w:tcBorders>
                  <w:vAlign w:val="center"/>
                </w:tcPr>
                <w:p w14:paraId="2C9DF10B">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以新带老削减量（t/a）</w:t>
                  </w:r>
                </w:p>
              </w:tc>
              <w:tc>
                <w:tcPr>
                  <w:tcW w:w="1249" w:type="dxa"/>
                  <w:tcBorders>
                    <w:top w:val="single" w:color="auto" w:sz="12" w:space="0"/>
                    <w:bottom w:val="single" w:color="auto" w:sz="12" w:space="0"/>
                    <w:right w:val="nil"/>
                  </w:tcBorders>
                  <w:vAlign w:val="center"/>
                </w:tcPr>
                <w:p w14:paraId="5BB01CB2">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区域最终变化量（t/a）</w:t>
                  </w:r>
                </w:p>
              </w:tc>
            </w:tr>
            <w:tr w14:paraId="1820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gridSpan w:val="2"/>
                  <w:tcBorders>
                    <w:top w:val="single" w:color="auto" w:sz="12" w:space="0"/>
                    <w:left w:val="nil"/>
                  </w:tcBorders>
                </w:tcPr>
                <w:p w14:paraId="243C2FD7">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油烟</w:t>
                  </w:r>
                </w:p>
              </w:tc>
              <w:tc>
                <w:tcPr>
                  <w:tcW w:w="1249" w:type="dxa"/>
                  <w:tcBorders>
                    <w:top w:val="single" w:color="auto" w:sz="12" w:space="0"/>
                  </w:tcBorders>
                </w:tcPr>
                <w:p w14:paraId="66674187">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tcBorders>
                    <w:top w:val="single" w:color="auto" w:sz="12" w:space="0"/>
                  </w:tcBorders>
                </w:tcPr>
                <w:p w14:paraId="51C253B4">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0.0169</w:t>
                  </w:r>
                </w:p>
              </w:tc>
              <w:tc>
                <w:tcPr>
                  <w:tcW w:w="1249" w:type="dxa"/>
                  <w:tcBorders>
                    <w:top w:val="single" w:color="auto" w:sz="12" w:space="0"/>
                  </w:tcBorders>
                </w:tcPr>
                <w:p w14:paraId="4EFA8391">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0.00106</w:t>
                  </w:r>
                </w:p>
              </w:tc>
              <w:tc>
                <w:tcPr>
                  <w:tcW w:w="1249" w:type="dxa"/>
                  <w:tcBorders>
                    <w:top w:val="single" w:color="auto" w:sz="12" w:space="0"/>
                  </w:tcBorders>
                </w:tcPr>
                <w:p w14:paraId="7798FE4D">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tcBorders>
                    <w:top w:val="single" w:color="auto" w:sz="12" w:space="0"/>
                    <w:right w:val="nil"/>
                  </w:tcBorders>
                </w:tcPr>
                <w:p w14:paraId="3B89ABF7">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+0.00106</w:t>
                  </w:r>
                </w:p>
              </w:tc>
            </w:tr>
            <w:tr w14:paraId="4A64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Merge w:val="restart"/>
                  <w:tcBorders>
                    <w:left w:val="nil"/>
                  </w:tcBorders>
                </w:tcPr>
                <w:p w14:paraId="757FA3D2">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机动车尾气</w:t>
                  </w:r>
                </w:p>
              </w:tc>
              <w:tc>
                <w:tcPr>
                  <w:tcW w:w="865" w:type="dxa"/>
                  <w:tcBorders>
                    <w:left w:val="nil"/>
                  </w:tcBorders>
                </w:tcPr>
                <w:p w14:paraId="4284D7C5">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CO</w:t>
                  </w:r>
                </w:p>
              </w:tc>
              <w:tc>
                <w:tcPr>
                  <w:tcW w:w="1249" w:type="dxa"/>
                </w:tcPr>
                <w:p w14:paraId="0504E997">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tcPr>
                <w:p w14:paraId="09987E90">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0.193</w:t>
                  </w:r>
                </w:p>
              </w:tc>
              <w:tc>
                <w:tcPr>
                  <w:tcW w:w="1249" w:type="dxa"/>
                </w:tcPr>
                <w:p w14:paraId="560CB4A4">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0.193</w:t>
                  </w:r>
                </w:p>
              </w:tc>
              <w:tc>
                <w:tcPr>
                  <w:tcW w:w="1249" w:type="dxa"/>
                </w:tcPr>
                <w:p w14:paraId="0764A8AF">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tcBorders>
                    <w:right w:val="nil"/>
                  </w:tcBorders>
                </w:tcPr>
                <w:p w14:paraId="24AC5BFB">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+0.193</w:t>
                  </w:r>
                </w:p>
              </w:tc>
            </w:tr>
            <w:tr w14:paraId="0166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Merge w:val="continue"/>
                  <w:tcBorders>
                    <w:left w:val="nil"/>
                  </w:tcBorders>
                </w:tcPr>
                <w:p w14:paraId="5C2DE97A">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p>
              </w:tc>
              <w:tc>
                <w:tcPr>
                  <w:tcW w:w="865" w:type="dxa"/>
                  <w:tcBorders>
                    <w:left w:val="nil"/>
                  </w:tcBorders>
                </w:tcPr>
                <w:p w14:paraId="3D09A518">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NOx</w:t>
                  </w:r>
                </w:p>
              </w:tc>
              <w:tc>
                <w:tcPr>
                  <w:tcW w:w="1249" w:type="dxa"/>
                </w:tcPr>
                <w:p w14:paraId="05E151B0">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tcPr>
                <w:p w14:paraId="42CE3BB0">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0.023</w:t>
                  </w:r>
                </w:p>
              </w:tc>
              <w:tc>
                <w:tcPr>
                  <w:tcW w:w="1249" w:type="dxa"/>
                </w:tcPr>
                <w:p w14:paraId="61AC803B">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0.023</w:t>
                  </w:r>
                </w:p>
              </w:tc>
              <w:tc>
                <w:tcPr>
                  <w:tcW w:w="1249" w:type="dxa"/>
                </w:tcPr>
                <w:p w14:paraId="052FFC46">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tcBorders>
                    <w:right w:val="nil"/>
                  </w:tcBorders>
                </w:tcPr>
                <w:p w14:paraId="2036D537">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+0.023</w:t>
                  </w:r>
                </w:p>
              </w:tc>
            </w:tr>
            <w:tr w14:paraId="6DE6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Merge w:val="continue"/>
                  <w:tcBorders>
                    <w:left w:val="nil"/>
                  </w:tcBorders>
                </w:tcPr>
                <w:p w14:paraId="1822B5B0">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p>
              </w:tc>
              <w:tc>
                <w:tcPr>
                  <w:tcW w:w="865" w:type="dxa"/>
                  <w:tcBorders>
                    <w:left w:val="nil"/>
                  </w:tcBorders>
                  <w:vAlign w:val="center"/>
                </w:tcPr>
                <w:p w14:paraId="7304B0B0">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非甲烷总烃</w:t>
                  </w:r>
                </w:p>
              </w:tc>
              <w:tc>
                <w:tcPr>
                  <w:tcW w:w="1249" w:type="dxa"/>
                  <w:vAlign w:val="center"/>
                </w:tcPr>
                <w:p w14:paraId="74AD9243">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vAlign w:val="center"/>
                </w:tcPr>
                <w:p w14:paraId="16C3DDE2">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0.025</w:t>
                  </w:r>
                </w:p>
              </w:tc>
              <w:tc>
                <w:tcPr>
                  <w:tcW w:w="1249" w:type="dxa"/>
                  <w:vAlign w:val="center"/>
                </w:tcPr>
                <w:p w14:paraId="3F281901">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0.025</w:t>
                  </w:r>
                </w:p>
              </w:tc>
              <w:tc>
                <w:tcPr>
                  <w:tcW w:w="1249" w:type="dxa"/>
                  <w:vAlign w:val="center"/>
                </w:tcPr>
                <w:p w14:paraId="6E83BADA">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tcBorders>
                    <w:right w:val="nil"/>
                  </w:tcBorders>
                  <w:vAlign w:val="center"/>
                </w:tcPr>
                <w:p w14:paraId="38B5B625">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+0.025</w:t>
                  </w:r>
                </w:p>
              </w:tc>
            </w:tr>
            <w:tr w14:paraId="52D1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gridSpan w:val="2"/>
                  <w:tcBorders>
                    <w:left w:val="nil"/>
                  </w:tcBorders>
                </w:tcPr>
                <w:p w14:paraId="1C4F4E95">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生活污水</w:t>
                  </w:r>
                </w:p>
              </w:tc>
              <w:tc>
                <w:tcPr>
                  <w:tcW w:w="1249" w:type="dxa"/>
                </w:tcPr>
                <w:p w14:paraId="70744B98">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438</w:t>
                  </w:r>
                </w:p>
              </w:tc>
              <w:tc>
                <w:tcPr>
                  <w:tcW w:w="1249" w:type="dxa"/>
                </w:tcPr>
                <w:p w14:paraId="246D8DFE">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18217.15</w:t>
                  </w:r>
                </w:p>
              </w:tc>
              <w:tc>
                <w:tcPr>
                  <w:tcW w:w="1249" w:type="dxa"/>
                </w:tcPr>
                <w:p w14:paraId="25E44781">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w:t>
                  </w:r>
                </w:p>
              </w:tc>
              <w:tc>
                <w:tcPr>
                  <w:tcW w:w="1249" w:type="dxa"/>
                </w:tcPr>
                <w:p w14:paraId="099BC29C">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-438</w:t>
                  </w:r>
                </w:p>
              </w:tc>
              <w:tc>
                <w:tcPr>
                  <w:tcW w:w="1249" w:type="dxa"/>
                  <w:tcBorders>
                    <w:right w:val="nil"/>
                  </w:tcBorders>
                </w:tcPr>
                <w:p w14:paraId="4CF01A9E">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-438</w:t>
                  </w:r>
                </w:p>
              </w:tc>
            </w:tr>
            <w:tr w14:paraId="5C276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Merge w:val="restart"/>
                  <w:tcBorders>
                    <w:left w:val="nil"/>
                  </w:tcBorders>
                  <w:vAlign w:val="center"/>
                </w:tcPr>
                <w:p w14:paraId="0966AE9F">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固体废物</w:t>
                  </w:r>
                </w:p>
              </w:tc>
              <w:tc>
                <w:tcPr>
                  <w:tcW w:w="865" w:type="dxa"/>
                  <w:tcBorders>
                    <w:left w:val="nil"/>
                  </w:tcBorders>
                  <w:vAlign w:val="center"/>
                </w:tcPr>
                <w:p w14:paraId="7C76D1D9">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eastAsia" w:cs="Times New Roman"/>
                      <w:color w:val="000000"/>
                      <w:vertAlign w:val="baseline"/>
                      <w:lang w:val="en-US" w:eastAsia="zh-CN"/>
                    </w:rPr>
                  </w:pPr>
                  <w:r>
                    <w:rPr>
                      <w:rFonts w:hint="eastAsia" w:cs="Times New Roman"/>
                      <w:color w:val="000000"/>
                      <w:vertAlign w:val="baseline"/>
                      <w:lang w:val="en-US" w:eastAsia="zh-CN"/>
                    </w:rPr>
                    <w:t>生活垃圾</w:t>
                  </w:r>
                </w:p>
              </w:tc>
              <w:tc>
                <w:tcPr>
                  <w:tcW w:w="1249" w:type="dxa"/>
                  <w:vAlign w:val="center"/>
                </w:tcPr>
                <w:p w14:paraId="4B5E0DF9">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vAlign w:val="center"/>
                </w:tcPr>
                <w:p w14:paraId="4199621C">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58.77</w:t>
                  </w:r>
                </w:p>
              </w:tc>
              <w:tc>
                <w:tcPr>
                  <w:tcW w:w="1249" w:type="dxa"/>
                  <w:vAlign w:val="center"/>
                </w:tcPr>
                <w:p w14:paraId="58B96C95">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w:t>
                  </w:r>
                </w:p>
              </w:tc>
              <w:tc>
                <w:tcPr>
                  <w:tcW w:w="1249" w:type="dxa"/>
                  <w:vAlign w:val="center"/>
                </w:tcPr>
                <w:p w14:paraId="11712567">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tcBorders>
                    <w:right w:val="nil"/>
                  </w:tcBorders>
                  <w:vAlign w:val="center"/>
                </w:tcPr>
                <w:p w14:paraId="0EE31861">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r>
            <w:tr w14:paraId="6679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Merge w:val="continue"/>
                  <w:tcBorders>
                    <w:left w:val="nil"/>
                  </w:tcBorders>
                  <w:vAlign w:val="center"/>
                </w:tcPr>
                <w:p w14:paraId="2A734D9D">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p>
              </w:tc>
              <w:tc>
                <w:tcPr>
                  <w:tcW w:w="865" w:type="dxa"/>
                  <w:tcBorders>
                    <w:left w:val="nil"/>
                  </w:tcBorders>
                  <w:vAlign w:val="center"/>
                </w:tcPr>
                <w:p w14:paraId="3173370D">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污泥</w:t>
                  </w:r>
                </w:p>
              </w:tc>
              <w:tc>
                <w:tcPr>
                  <w:tcW w:w="1249" w:type="dxa"/>
                  <w:vAlign w:val="center"/>
                </w:tcPr>
                <w:p w14:paraId="02EC3445">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vAlign w:val="center"/>
                </w:tcPr>
                <w:p w14:paraId="05D310D0">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1.336</w:t>
                  </w:r>
                </w:p>
              </w:tc>
              <w:tc>
                <w:tcPr>
                  <w:tcW w:w="1249" w:type="dxa"/>
                  <w:vAlign w:val="center"/>
                </w:tcPr>
                <w:p w14:paraId="7608EFB5">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w:t>
                  </w:r>
                </w:p>
              </w:tc>
              <w:tc>
                <w:tcPr>
                  <w:tcW w:w="1249" w:type="dxa"/>
                  <w:vAlign w:val="center"/>
                </w:tcPr>
                <w:p w14:paraId="22F1B3E0">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tcBorders>
                    <w:right w:val="nil"/>
                  </w:tcBorders>
                  <w:vAlign w:val="center"/>
                </w:tcPr>
                <w:p w14:paraId="7918682A">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r>
            <w:tr w14:paraId="19AE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Merge w:val="continue"/>
                  <w:tcBorders>
                    <w:left w:val="nil"/>
                  </w:tcBorders>
                  <w:vAlign w:val="center"/>
                </w:tcPr>
                <w:p w14:paraId="44CFE5FA">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p>
              </w:tc>
              <w:tc>
                <w:tcPr>
                  <w:tcW w:w="865" w:type="dxa"/>
                  <w:tcBorders>
                    <w:left w:val="nil"/>
                  </w:tcBorders>
                  <w:vAlign w:val="center"/>
                </w:tcPr>
                <w:p w14:paraId="2595CCCE">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隔油池油脂</w:t>
                  </w:r>
                </w:p>
              </w:tc>
              <w:tc>
                <w:tcPr>
                  <w:tcW w:w="1249" w:type="dxa"/>
                  <w:vAlign w:val="center"/>
                </w:tcPr>
                <w:p w14:paraId="253DA6A0">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vAlign w:val="center"/>
                </w:tcPr>
                <w:p w14:paraId="06FE5CC2">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0.613</w:t>
                  </w:r>
                </w:p>
              </w:tc>
              <w:tc>
                <w:tcPr>
                  <w:tcW w:w="1249" w:type="dxa"/>
                  <w:vAlign w:val="center"/>
                </w:tcPr>
                <w:p w14:paraId="35A04070">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w:t>
                  </w:r>
                </w:p>
              </w:tc>
              <w:tc>
                <w:tcPr>
                  <w:tcW w:w="1249" w:type="dxa"/>
                  <w:vAlign w:val="center"/>
                </w:tcPr>
                <w:p w14:paraId="41732A48">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tcBorders>
                    <w:right w:val="nil"/>
                  </w:tcBorders>
                  <w:vAlign w:val="center"/>
                </w:tcPr>
                <w:p w14:paraId="7ACFC0FF">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r>
            <w:tr w14:paraId="10D2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Merge w:val="continue"/>
                  <w:tcBorders>
                    <w:left w:val="nil"/>
                  </w:tcBorders>
                  <w:vAlign w:val="center"/>
                </w:tcPr>
                <w:p w14:paraId="34A93274">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p>
              </w:tc>
              <w:tc>
                <w:tcPr>
                  <w:tcW w:w="865" w:type="dxa"/>
                  <w:tcBorders>
                    <w:left w:val="nil"/>
                  </w:tcBorders>
                  <w:vAlign w:val="center"/>
                </w:tcPr>
                <w:p w14:paraId="510019DE">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餐厨垃圾</w:t>
                  </w:r>
                </w:p>
              </w:tc>
              <w:tc>
                <w:tcPr>
                  <w:tcW w:w="1249" w:type="dxa"/>
                  <w:vAlign w:val="center"/>
                </w:tcPr>
                <w:p w14:paraId="3D95FAFE">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vAlign w:val="center"/>
                </w:tcPr>
                <w:p w14:paraId="1D213889">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2.044</w:t>
                  </w:r>
                </w:p>
              </w:tc>
              <w:tc>
                <w:tcPr>
                  <w:tcW w:w="1249" w:type="dxa"/>
                  <w:vAlign w:val="center"/>
                </w:tcPr>
                <w:p w14:paraId="12AF92B7">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0</w:t>
                  </w:r>
                </w:p>
              </w:tc>
              <w:tc>
                <w:tcPr>
                  <w:tcW w:w="1249" w:type="dxa"/>
                  <w:vAlign w:val="center"/>
                </w:tcPr>
                <w:p w14:paraId="344FC9B4">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c>
                <w:tcPr>
                  <w:tcW w:w="1249" w:type="dxa"/>
                  <w:tcBorders>
                    <w:right w:val="nil"/>
                  </w:tcBorders>
                  <w:vAlign w:val="center"/>
                </w:tcPr>
                <w:p w14:paraId="73440C63">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cs="Times New Roman"/>
                      <w:color w:val="000000"/>
                      <w:vertAlign w:val="baseline"/>
                      <w:lang w:val="en-US" w:eastAsia="zh-CN"/>
                    </w:rPr>
                  </w:pPr>
                  <w:r>
                    <w:rPr>
                      <w:rFonts w:hint="eastAsia" w:cs="Times New Roman"/>
                      <w:color w:val="000000"/>
                      <w:vertAlign w:val="baseline"/>
                      <w:lang w:val="en-US" w:eastAsia="zh-CN"/>
                    </w:rPr>
                    <w:t>/</w:t>
                  </w:r>
                </w:p>
              </w:tc>
            </w:tr>
            <w:tr w14:paraId="74D0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3" w:type="dxa"/>
                  <w:gridSpan w:val="7"/>
                  <w:tcBorders>
                    <w:left w:val="nil"/>
                    <w:right w:val="nil"/>
                  </w:tcBorders>
                  <w:vAlign w:val="center"/>
                </w:tcPr>
                <w:p w14:paraId="4A244FB8">
                  <w:pPr>
                    <w:pStyle w:val="1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left"/>
                    <w:textAlignment w:val="auto"/>
                    <w:rPr>
                      <w:rFonts w:hint="default" w:cs="Times New Roman"/>
                      <w:color w:val="000000"/>
                      <w:vertAlign w:val="baseline"/>
                      <w:lang w:val="en-US" w:eastAsia="zh-CN"/>
                    </w:rPr>
                  </w:pPr>
                  <w:r>
                    <w:rPr>
                      <w:rFonts w:hint="eastAsia" w:cs="Times New Roman"/>
                      <w:color w:val="000000"/>
                      <w:vertAlign w:val="baseline"/>
                      <w:lang w:val="en-US" w:eastAsia="zh-CN"/>
                    </w:rPr>
                    <w:t>备注：原有排放量为本项目占地范围内花儿沟村常驻村民现状排放量。</w:t>
                  </w:r>
                </w:p>
              </w:tc>
            </w:tr>
          </w:tbl>
          <w:p w14:paraId="1BFB3FBD">
            <w:pPr>
              <w:pStyle w:val="13"/>
              <w:keepNext w:val="0"/>
              <w:keepLines w:val="0"/>
              <w:pageBreakBefore w:val="0"/>
              <w:widowControl/>
              <w:kinsoku/>
              <w:wordWrap/>
              <w:overflowPunct/>
              <w:topLinePunct w:val="0"/>
              <w:autoSpaceDE/>
              <w:autoSpaceDN/>
              <w:bidi w:val="0"/>
              <w:adjustRightInd/>
              <w:snapToGrid w:val="0"/>
              <w:spacing w:before="0" w:after="0" w:line="240" w:lineRule="auto"/>
              <w:ind w:left="0" w:leftChars="0" w:right="0" w:firstLine="0" w:firstLineChars="0"/>
              <w:jc w:val="center"/>
              <w:textAlignment w:val="auto"/>
              <w:rPr>
                <w:rFonts w:hint="default" w:cs="Times New Roman"/>
                <w:color w:val="000000"/>
                <w:lang w:val="en-US" w:eastAsia="zh-CN"/>
              </w:rPr>
            </w:pPr>
          </w:p>
        </w:tc>
      </w:tr>
      <w:tr w14:paraId="5696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98" w:type="dxa"/>
            <w:noWrap w:val="0"/>
            <w:vAlign w:val="center"/>
          </w:tcPr>
          <w:p w14:paraId="181C3EB2">
            <w:pPr>
              <w:adjustRightInd w:val="0"/>
              <w:snapToGrid w:val="0"/>
              <w:spacing w:line="240" w:lineRule="auto"/>
              <w:ind w:left="0" w:leftChars="0" w:firstLine="0" w:firstLineChars="0"/>
              <w:jc w:val="center"/>
              <w:rPr>
                <w:rFonts w:hint="default" w:ascii="Times New Roman" w:hAnsi="Times New Roman" w:eastAsia="宋体" w:cs="Times New Roman"/>
                <w:bCs/>
                <w:color w:val="000000"/>
                <w:spacing w:val="10"/>
                <w:kern w:val="2"/>
                <w:sz w:val="24"/>
                <w:szCs w:val="24"/>
                <w:highlight w:val="none"/>
              </w:rPr>
            </w:pPr>
            <w:r>
              <w:rPr>
                <w:rFonts w:hint="default" w:ascii="Times New Roman" w:hAnsi="Times New Roman" w:eastAsia="宋体" w:cs="Times New Roman"/>
                <w:bCs/>
                <w:color w:val="000000"/>
                <w:kern w:val="2"/>
                <w:sz w:val="24"/>
                <w:szCs w:val="24"/>
                <w:highlight w:val="none"/>
              </w:rPr>
              <w:t>选址选线环境合理性分析</w:t>
            </w:r>
          </w:p>
        </w:tc>
        <w:tc>
          <w:tcPr>
            <w:tcW w:w="7724" w:type="dxa"/>
            <w:noWrap w:val="0"/>
            <w:vAlign w:val="top"/>
          </w:tcPr>
          <w:p w14:paraId="75E6389F">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spacing w:val="-1"/>
                <w:sz w:val="25"/>
                <w:szCs w:val="25"/>
              </w:rPr>
            </w:pPr>
            <w:r>
              <w:rPr>
                <w:rFonts w:ascii="宋体" w:hAnsi="宋体" w:eastAsia="宋体" w:cs="宋体"/>
                <w:sz w:val="24"/>
                <w:szCs w:val="24"/>
              </w:rPr>
              <w:t>本项目选址于阜康市花儿沟村及民俗风情园片区，该区域地处天山北坡浅山丘陵地带，气候冬暖夏凉，不仅拥有得天独厚的自然生态本底，更是阜康市打造“民俗体验旅游区”的核心承载地。结合土地</w:t>
            </w:r>
            <w:r>
              <w:rPr>
                <w:rFonts w:hint="eastAsia" w:ascii="宋体" w:hAnsi="宋体" w:eastAsia="宋体" w:cs="宋体"/>
                <w:sz w:val="24"/>
                <w:szCs w:val="24"/>
                <w:lang w:val="en-US" w:eastAsia="zh-CN"/>
              </w:rPr>
              <w:t>利用</w:t>
            </w:r>
            <w:r>
              <w:rPr>
                <w:rFonts w:ascii="宋体" w:hAnsi="宋体" w:eastAsia="宋体" w:cs="宋体"/>
                <w:sz w:val="24"/>
                <w:szCs w:val="24"/>
              </w:rPr>
              <w:t>、</w:t>
            </w:r>
            <w:r>
              <w:rPr>
                <w:rFonts w:hint="eastAsia" w:ascii="宋体" w:hAnsi="宋体" w:eastAsia="宋体" w:cs="宋体"/>
                <w:sz w:val="24"/>
                <w:szCs w:val="24"/>
                <w:lang w:val="en-US" w:eastAsia="zh-CN"/>
              </w:rPr>
              <w:t>环境保护</w:t>
            </w:r>
            <w:r>
              <w:rPr>
                <w:rFonts w:ascii="宋体" w:hAnsi="宋体" w:eastAsia="宋体" w:cs="宋体"/>
                <w:sz w:val="24"/>
                <w:szCs w:val="24"/>
              </w:rPr>
              <w:t>、交通配套、</w:t>
            </w:r>
            <w:r>
              <w:rPr>
                <w:rFonts w:hint="eastAsia" w:ascii="宋体" w:hAnsi="宋体" w:eastAsia="宋体" w:cs="宋体"/>
                <w:sz w:val="24"/>
                <w:szCs w:val="24"/>
                <w:lang w:val="en-US" w:eastAsia="zh-CN"/>
              </w:rPr>
              <w:t>周边环境</w:t>
            </w:r>
            <w:r>
              <w:rPr>
                <w:rFonts w:ascii="宋体" w:hAnsi="宋体" w:eastAsia="宋体" w:cs="宋体"/>
                <w:sz w:val="24"/>
                <w:szCs w:val="24"/>
              </w:rPr>
              <w:t>、基础设施等</w:t>
            </w:r>
            <w:r>
              <w:rPr>
                <w:rFonts w:hint="eastAsia" w:ascii="宋体" w:hAnsi="宋体" w:eastAsia="宋体" w:cs="宋体"/>
                <w:sz w:val="24"/>
                <w:szCs w:val="24"/>
                <w:lang w:val="en-US" w:eastAsia="zh-CN"/>
              </w:rPr>
              <w:t>方面</w:t>
            </w:r>
            <w:r>
              <w:rPr>
                <w:rFonts w:ascii="宋体" w:hAnsi="宋体" w:eastAsia="宋体" w:cs="宋体"/>
                <w:sz w:val="24"/>
                <w:szCs w:val="24"/>
              </w:rPr>
              <w:t>，对选址可行性分析如下：</w:t>
            </w:r>
          </w:p>
          <w:p w14:paraId="0FD82649">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（1）</w:t>
            </w:r>
            <w:r>
              <w:rPr>
                <w:rFonts w:hint="default" w:ascii="Times New Roman" w:hAnsi="Times New Roman" w:eastAsia="宋体" w:cs="Times New Roman"/>
                <w:sz w:val="24"/>
                <w:szCs w:val="24"/>
                <w:lang w:val="en-US" w:eastAsia="zh-CN"/>
              </w:rPr>
              <w:t>土地利用</w:t>
            </w:r>
          </w:p>
          <w:p w14:paraId="51DF6ABA">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本项目分两期建设，共计建设精品民宿客房51间，其中一期建设客房34间、二期建设客房17间。项目一期建设内容分区明确，其中宅基地范围内改造建设客房14间，建设方式为利用租赁的村内</w:t>
            </w:r>
            <w:r>
              <w:rPr>
                <w:rFonts w:hint="default" w:ascii="Times New Roman" w:hAnsi="Times New Roman" w:cs="Times New Roman"/>
                <w:sz w:val="24"/>
                <w:szCs w:val="24"/>
                <w:lang w:val="en-US" w:eastAsia="zh-CN"/>
              </w:rPr>
              <w:t>5户村民的</w:t>
            </w:r>
            <w:r>
              <w:rPr>
                <w:rFonts w:hint="default" w:ascii="Times New Roman" w:hAnsi="Times New Roman" w:eastAsia="宋体" w:cs="Times New Roman"/>
                <w:sz w:val="24"/>
                <w:szCs w:val="24"/>
                <w:lang w:val="en-US" w:eastAsia="zh-CN"/>
              </w:rPr>
              <w:t>宅基地原有建筑进行修缮改造。该部分客房数量</w:t>
            </w:r>
            <w:r>
              <w:rPr>
                <w:rFonts w:hint="default" w:ascii="Times New Roman" w:hAnsi="Times New Roman" w:cs="Times New Roman"/>
                <w:sz w:val="24"/>
                <w:szCs w:val="24"/>
                <w:lang w:val="en-US" w:eastAsia="zh-CN"/>
              </w:rPr>
              <w:t>为</w:t>
            </w:r>
            <w:r>
              <w:rPr>
                <w:rFonts w:hint="default" w:ascii="Times New Roman" w:hAnsi="Times New Roman" w:eastAsia="宋体" w:cs="Times New Roman"/>
                <w:sz w:val="24"/>
                <w:szCs w:val="24"/>
                <w:lang w:val="en-US" w:eastAsia="zh-CN"/>
              </w:rPr>
              <w:t>14间，完全符合《乡村民宿服务质量规范》（GB/T39000-2020）乡村民宿业态定义及《农家乐（民宿）建筑防火导则（试行）》（建村〔2017〕50号）中单处民宿客房不大于14间的规模管控限值。依据《中华人民共和国民法典》第362条、《中华人民共和国土地管理法》第六十二条规定</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国家鼓励盘活农村闲置宅基地和闲置住宅发展乡村文旅产业，宅基地使用权可通过合法租赁方式开展民宿经营</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本项目宅基地租赁及改造利用模式符合现行法律法规及宅基地盘活政策要求。</w:t>
            </w:r>
          </w:p>
          <w:p w14:paraId="27582567">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项目一期剩余20间客房采用装配式集装箱形式</w:t>
            </w:r>
            <w:r>
              <w:rPr>
                <w:rFonts w:hint="eastAsia" w:cs="Times New Roman"/>
                <w:sz w:val="24"/>
                <w:szCs w:val="24"/>
                <w:lang w:val="en-US" w:eastAsia="zh-CN"/>
              </w:rPr>
              <w:t>分散</w:t>
            </w:r>
            <w:r>
              <w:rPr>
                <w:rFonts w:hint="default" w:ascii="Times New Roman" w:hAnsi="Times New Roman" w:eastAsia="宋体" w:cs="Times New Roman"/>
                <w:sz w:val="24"/>
                <w:szCs w:val="24"/>
                <w:lang w:val="en-US" w:eastAsia="zh-CN"/>
              </w:rPr>
              <w:t>布置</w:t>
            </w:r>
            <w:r>
              <w:rPr>
                <w:rFonts w:hint="eastAsia" w:cs="Times New Roman"/>
                <w:sz w:val="24"/>
                <w:szCs w:val="24"/>
                <w:lang w:val="en-US" w:eastAsia="zh-CN"/>
              </w:rPr>
              <w:t>且单处客房数量不超过14间，布置在</w:t>
            </w:r>
            <w:r>
              <w:rPr>
                <w:rFonts w:hint="default" w:ascii="Times New Roman" w:hAnsi="Times New Roman" w:eastAsia="宋体" w:cs="Times New Roman"/>
                <w:sz w:val="24"/>
                <w:szCs w:val="24"/>
                <w:lang w:val="en-US" w:eastAsia="zh-CN"/>
              </w:rPr>
              <w:t>林草地范围内</w:t>
            </w:r>
            <w:r>
              <w:rPr>
                <w:rFonts w:hint="eastAsia" w:cs="Times New Roman"/>
                <w:sz w:val="24"/>
                <w:szCs w:val="24"/>
                <w:lang w:val="en-US" w:eastAsia="zh-CN"/>
              </w:rPr>
              <w:t>，</w:t>
            </w:r>
            <w:r>
              <w:rPr>
                <w:rFonts w:hint="default" w:ascii="Times New Roman" w:hAnsi="Times New Roman" w:eastAsia="宋体" w:cs="Times New Roman"/>
                <w:sz w:val="24"/>
                <w:szCs w:val="24"/>
                <w:lang w:val="en-US" w:eastAsia="zh-CN"/>
              </w:rPr>
              <w:t>林草地</w:t>
            </w:r>
            <w:r>
              <w:rPr>
                <w:rFonts w:hint="eastAsia" w:cs="Times New Roman"/>
                <w:sz w:val="24"/>
                <w:szCs w:val="24"/>
                <w:lang w:val="en-US" w:eastAsia="zh-CN"/>
              </w:rPr>
              <w:t>的使用</w:t>
            </w:r>
            <w:r>
              <w:rPr>
                <w:rFonts w:hint="default" w:ascii="Times New Roman" w:hAnsi="Times New Roman" w:eastAsia="宋体" w:cs="Times New Roman"/>
                <w:sz w:val="24"/>
                <w:szCs w:val="24"/>
                <w:lang w:val="en-US" w:eastAsia="zh-CN"/>
              </w:rPr>
              <w:t>已</w:t>
            </w:r>
            <w:r>
              <w:rPr>
                <w:rFonts w:hint="eastAsia" w:cs="Times New Roman"/>
                <w:sz w:val="24"/>
                <w:szCs w:val="24"/>
                <w:lang w:val="en-US" w:eastAsia="zh-CN"/>
              </w:rPr>
              <w:t>征求新疆天池管理委员会、阜康市三工河哈萨克族乡人民政府、阜康市文化体育广播电视和旅游局、阜康市林业和草原局的意见并</w:t>
            </w:r>
            <w:r>
              <w:rPr>
                <w:rFonts w:hint="default" w:ascii="Times New Roman" w:hAnsi="Times New Roman" w:eastAsia="宋体" w:cs="Times New Roman"/>
                <w:sz w:val="24"/>
                <w:szCs w:val="24"/>
                <w:lang w:val="en-US" w:eastAsia="zh-CN"/>
              </w:rPr>
              <w:t>取得</w:t>
            </w:r>
            <w:r>
              <w:rPr>
                <w:rFonts w:hint="eastAsia" w:cs="Times New Roman"/>
                <w:sz w:val="24"/>
                <w:szCs w:val="24"/>
                <w:lang w:val="en-US" w:eastAsia="zh-CN"/>
              </w:rPr>
              <w:t>新疆维吾尔自治区林业和草原局使用林地、草地审核同意书</w:t>
            </w:r>
            <w:r>
              <w:rPr>
                <w:rFonts w:hint="default" w:ascii="Times New Roman" w:hAnsi="Times New Roman" w:eastAsia="宋体" w:cs="Times New Roman"/>
                <w:sz w:val="24"/>
                <w:szCs w:val="24"/>
                <w:lang w:val="en-US" w:eastAsia="zh-CN"/>
              </w:rPr>
              <w:t>，项目已</w:t>
            </w:r>
            <w:r>
              <w:rPr>
                <w:rFonts w:hint="eastAsia" w:cs="Times New Roman"/>
                <w:sz w:val="24"/>
                <w:szCs w:val="24"/>
                <w:lang w:val="en-US" w:eastAsia="zh-CN"/>
              </w:rPr>
              <w:t>签订</w:t>
            </w:r>
            <w:r>
              <w:rPr>
                <w:rFonts w:hint="default" w:ascii="Times New Roman" w:hAnsi="Times New Roman" w:eastAsia="宋体" w:cs="Times New Roman"/>
                <w:sz w:val="24"/>
                <w:szCs w:val="24"/>
                <w:lang w:val="en-US" w:eastAsia="zh-CN"/>
              </w:rPr>
              <w:t>林草地占用补偿协议，用地合法合规。</w:t>
            </w:r>
          </w:p>
          <w:p w14:paraId="0B6F2E6F">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spacing w:val="-1"/>
                <w:sz w:val="25"/>
                <w:szCs w:val="25"/>
                <w:lang w:val="en-US" w:eastAsia="zh-CN"/>
              </w:rPr>
            </w:pPr>
            <w:r>
              <w:rPr>
                <w:rFonts w:hint="default" w:ascii="Times New Roman" w:hAnsi="Times New Roman" w:eastAsia="宋体" w:cs="Times New Roman"/>
                <w:sz w:val="24"/>
                <w:szCs w:val="24"/>
                <w:lang w:val="en-US" w:eastAsia="zh-CN"/>
              </w:rPr>
              <w:t>项目二期建设客房17间，</w:t>
            </w:r>
            <w:r>
              <w:rPr>
                <w:rFonts w:hint="eastAsia" w:cs="Times New Roman"/>
                <w:sz w:val="24"/>
                <w:szCs w:val="24"/>
                <w:lang w:val="en-US" w:eastAsia="zh-CN"/>
              </w:rPr>
              <w:t>采用</w:t>
            </w:r>
            <w:r>
              <w:rPr>
                <w:rFonts w:hint="default" w:ascii="Times New Roman" w:hAnsi="Times New Roman" w:eastAsia="宋体" w:cs="Times New Roman"/>
                <w:sz w:val="24"/>
                <w:szCs w:val="24"/>
                <w:lang w:val="en-US" w:eastAsia="zh-CN"/>
              </w:rPr>
              <w:t>装配式集装箱</w:t>
            </w:r>
            <w:r>
              <w:rPr>
                <w:rFonts w:hint="eastAsia" w:cs="Times New Roman"/>
                <w:sz w:val="24"/>
                <w:szCs w:val="24"/>
                <w:lang w:val="en-US" w:eastAsia="zh-CN"/>
              </w:rPr>
              <w:t>和</w:t>
            </w:r>
            <w:r>
              <w:rPr>
                <w:rFonts w:hint="default" w:ascii="Times New Roman" w:hAnsi="Times New Roman" w:eastAsia="宋体" w:cs="Times New Roman"/>
                <w:sz w:val="24"/>
                <w:szCs w:val="24"/>
                <w:lang w:val="en-US" w:eastAsia="zh-CN"/>
              </w:rPr>
              <w:t>租赁宅基地进行改造建设，</w:t>
            </w:r>
            <w:r>
              <w:rPr>
                <w:rFonts w:hint="eastAsia" w:cs="Times New Roman"/>
                <w:sz w:val="24"/>
                <w:szCs w:val="24"/>
                <w:lang w:val="en-US" w:eastAsia="zh-CN"/>
              </w:rPr>
              <w:t>且</w:t>
            </w:r>
            <w:r>
              <w:rPr>
                <w:rFonts w:hint="default" w:ascii="Times New Roman" w:hAnsi="Times New Roman" w:eastAsia="宋体" w:cs="Times New Roman"/>
                <w:sz w:val="24"/>
                <w:szCs w:val="24"/>
                <w:lang w:val="en-US" w:eastAsia="zh-CN"/>
              </w:rPr>
              <w:t>单处宅基地民宿客房数量</w:t>
            </w:r>
            <w:r>
              <w:rPr>
                <w:rFonts w:hint="default" w:ascii="Times New Roman" w:hAnsi="Times New Roman" w:cs="Times New Roman"/>
                <w:sz w:val="24"/>
                <w:szCs w:val="24"/>
                <w:lang w:val="en-US" w:eastAsia="zh-CN"/>
              </w:rPr>
              <w:t>不超过</w:t>
            </w:r>
            <w:r>
              <w:rPr>
                <w:rFonts w:hint="default" w:ascii="Times New Roman" w:hAnsi="Times New Roman" w:eastAsia="宋体" w:cs="Times New Roman"/>
                <w:sz w:val="24"/>
                <w:szCs w:val="24"/>
                <w:lang w:val="en-US" w:eastAsia="zh-CN"/>
              </w:rPr>
              <w:t>14间，严守宅基地住宅用地属性及民宿建设标准，杜绝超规模、超范围违规建设行为。</w:t>
            </w:r>
          </w:p>
          <w:p w14:paraId="0EBD2B13">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lang w:val="en-US" w:eastAsia="zh-CN"/>
              </w:rPr>
            </w:pPr>
            <w:r>
              <w:rPr>
                <w:rFonts w:hint="default" w:ascii="Times New Roman" w:hAnsi="Times New Roman" w:cs="Times New Roman"/>
                <w:spacing w:val="-1"/>
                <w:sz w:val="25"/>
                <w:szCs w:val="25"/>
                <w:lang w:eastAsia="zh-CN"/>
              </w:rPr>
              <w:t>（</w:t>
            </w:r>
            <w:r>
              <w:rPr>
                <w:rFonts w:hint="default" w:ascii="Times New Roman" w:hAnsi="Times New Roman" w:cs="Times New Roman"/>
                <w:spacing w:val="-1"/>
                <w:sz w:val="25"/>
                <w:szCs w:val="25"/>
                <w:lang w:val="en-US" w:eastAsia="zh-CN"/>
              </w:rPr>
              <w:t>2</w:t>
            </w:r>
            <w:r>
              <w:rPr>
                <w:rFonts w:hint="default" w:ascii="Times New Roman" w:hAnsi="Times New Roman" w:cs="Times New Roman"/>
                <w:spacing w:val="-1"/>
                <w:sz w:val="25"/>
                <w:szCs w:val="25"/>
                <w:lang w:eastAsia="zh-CN"/>
              </w:rPr>
              <w:t>）</w:t>
            </w:r>
            <w:r>
              <w:rPr>
                <w:rFonts w:hint="default" w:ascii="Times New Roman" w:hAnsi="Times New Roman" w:cs="Times New Roman"/>
                <w:spacing w:val="-1"/>
                <w:sz w:val="25"/>
                <w:szCs w:val="25"/>
                <w:lang w:val="en-US" w:eastAsia="zh-CN"/>
              </w:rPr>
              <w:t>环境保护</w:t>
            </w:r>
          </w:p>
          <w:p w14:paraId="47C7FB61">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spacing w:val="-1"/>
                <w:sz w:val="25"/>
                <w:szCs w:val="25"/>
              </w:rPr>
            </w:pPr>
            <w:r>
              <w:rPr>
                <w:rFonts w:ascii="宋体" w:hAnsi="宋体" w:eastAsia="宋体" w:cs="宋体"/>
                <w:sz w:val="24"/>
                <w:szCs w:val="24"/>
              </w:rPr>
              <w:t>片区定位为民俗旅游区，无工业污染源，大气、地表水、土壤环境本底优良；</w:t>
            </w:r>
            <w:r>
              <w:rPr>
                <w:rFonts w:hint="eastAsia" w:ascii="宋体" w:hAnsi="宋体" w:eastAsia="宋体" w:cs="宋体"/>
                <w:sz w:val="24"/>
                <w:szCs w:val="24"/>
                <w:lang w:val="en-US" w:eastAsia="zh-CN"/>
              </w:rPr>
              <w:t>本</w:t>
            </w:r>
            <w:r>
              <w:rPr>
                <w:rFonts w:ascii="宋体" w:hAnsi="宋体" w:eastAsia="宋体" w:cs="宋体"/>
                <w:sz w:val="24"/>
                <w:szCs w:val="24"/>
              </w:rPr>
              <w:t>项目产生</w:t>
            </w:r>
            <w:r>
              <w:rPr>
                <w:rFonts w:hint="eastAsia" w:ascii="宋体" w:hAnsi="宋体" w:eastAsia="宋体" w:cs="宋体"/>
                <w:sz w:val="24"/>
                <w:szCs w:val="24"/>
                <w:lang w:val="en-US" w:eastAsia="zh-CN"/>
              </w:rPr>
              <w:t>的生活污水和生活垃圾妥善处置</w:t>
            </w:r>
            <w:r>
              <w:rPr>
                <w:rFonts w:ascii="宋体" w:hAnsi="宋体" w:eastAsia="宋体" w:cs="宋体"/>
                <w:sz w:val="24"/>
                <w:szCs w:val="24"/>
              </w:rPr>
              <w:t>，能够稳定达标排放，不会加重区域生态环境负荷；场地远离饮用水源保护区、生态红线核心区，水环境、生态风险极低。</w:t>
            </w:r>
            <w:r>
              <w:rPr>
                <w:rFonts w:hint="eastAsia" w:ascii="宋体" w:hAnsi="宋体" w:eastAsia="宋体" w:cs="宋体"/>
                <w:sz w:val="24"/>
                <w:szCs w:val="24"/>
                <w:lang w:val="en-US" w:eastAsia="zh-CN"/>
              </w:rPr>
              <w:t>本项目</w:t>
            </w:r>
            <w:r>
              <w:rPr>
                <w:rFonts w:ascii="宋体" w:hAnsi="宋体" w:eastAsia="宋体" w:cs="宋体"/>
                <w:sz w:val="24"/>
                <w:szCs w:val="24"/>
              </w:rPr>
              <w:t>运营</w:t>
            </w:r>
            <w:r>
              <w:rPr>
                <w:rFonts w:hint="eastAsia" w:ascii="宋体" w:hAnsi="宋体" w:eastAsia="宋体" w:cs="宋体"/>
                <w:sz w:val="24"/>
                <w:szCs w:val="24"/>
                <w:lang w:val="en-US" w:eastAsia="zh-CN"/>
              </w:rPr>
              <w:t>期</w:t>
            </w:r>
            <w:r>
              <w:rPr>
                <w:rFonts w:ascii="宋体" w:hAnsi="宋体" w:eastAsia="宋体" w:cs="宋体"/>
                <w:sz w:val="24"/>
                <w:szCs w:val="24"/>
              </w:rPr>
              <w:t>采暖、厨房全部使用电、天然气清洁能源，无燃煤燃烧，配套油烟净化设施，满足《新疆维吾尔自治区大气污染防治条例》扬尘、油烟、散煤管控要求；生活垃圾密闭收集、污水统一处置，面源污染管控措施完善。</w:t>
            </w:r>
          </w:p>
          <w:p w14:paraId="4062ECD3">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lang w:val="en-US" w:eastAsia="zh-CN"/>
              </w:rPr>
            </w:pPr>
            <w:r>
              <w:rPr>
                <w:rFonts w:hint="eastAsia" w:cs="Times New Roman"/>
                <w:spacing w:val="-1"/>
                <w:sz w:val="25"/>
                <w:szCs w:val="25"/>
                <w:lang w:eastAsia="zh-CN"/>
              </w:rPr>
              <w:t>（</w:t>
            </w:r>
            <w:r>
              <w:rPr>
                <w:rFonts w:hint="eastAsia" w:cs="Times New Roman"/>
                <w:spacing w:val="-1"/>
                <w:sz w:val="25"/>
                <w:szCs w:val="25"/>
                <w:lang w:val="en-US" w:eastAsia="zh-CN"/>
              </w:rPr>
              <w:t>3</w:t>
            </w:r>
            <w:r>
              <w:rPr>
                <w:rFonts w:hint="eastAsia" w:cs="Times New Roman"/>
                <w:spacing w:val="-1"/>
                <w:sz w:val="25"/>
                <w:szCs w:val="25"/>
                <w:lang w:eastAsia="zh-CN"/>
              </w:rPr>
              <w:t>）</w:t>
            </w:r>
            <w:r>
              <w:rPr>
                <w:rFonts w:hint="eastAsia" w:cs="Times New Roman"/>
                <w:spacing w:val="-1"/>
                <w:sz w:val="25"/>
                <w:szCs w:val="25"/>
                <w:lang w:val="en-US" w:eastAsia="zh-CN"/>
              </w:rPr>
              <w:t>交通配套</w:t>
            </w:r>
          </w:p>
          <w:p w14:paraId="35E59EC6">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spacing w:val="-1"/>
                <w:sz w:val="25"/>
                <w:szCs w:val="25"/>
              </w:rPr>
            </w:pPr>
            <w:r>
              <w:rPr>
                <w:rFonts w:ascii="宋体" w:hAnsi="宋体" w:eastAsia="宋体" w:cs="宋体"/>
                <w:sz w:val="24"/>
                <w:szCs w:val="24"/>
              </w:rPr>
              <w:t>花儿沟民俗风情园配套旅游专线、乡村硬化主干道，直通天池景区，小型私家车、旅游大巴均可顺畅通行。</w:t>
            </w:r>
          </w:p>
          <w:p w14:paraId="4C43C499">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lang w:val="en-US" w:eastAsia="zh-CN"/>
              </w:rPr>
            </w:pPr>
            <w:r>
              <w:rPr>
                <w:rFonts w:hint="eastAsia" w:cs="Times New Roman"/>
                <w:spacing w:val="-1"/>
                <w:sz w:val="25"/>
                <w:szCs w:val="25"/>
                <w:lang w:eastAsia="zh-CN"/>
              </w:rPr>
              <w:t>（</w:t>
            </w:r>
            <w:r>
              <w:rPr>
                <w:rFonts w:hint="eastAsia" w:cs="Times New Roman"/>
                <w:spacing w:val="-1"/>
                <w:sz w:val="25"/>
                <w:szCs w:val="25"/>
                <w:lang w:val="en-US" w:eastAsia="zh-CN"/>
              </w:rPr>
              <w:t>4</w:t>
            </w:r>
            <w:r>
              <w:rPr>
                <w:rFonts w:hint="eastAsia" w:cs="Times New Roman"/>
                <w:spacing w:val="-1"/>
                <w:sz w:val="25"/>
                <w:szCs w:val="25"/>
                <w:lang w:eastAsia="zh-CN"/>
              </w:rPr>
              <w:t>）</w:t>
            </w:r>
            <w:r>
              <w:rPr>
                <w:rFonts w:hint="eastAsia" w:cs="Times New Roman"/>
                <w:spacing w:val="-1"/>
                <w:sz w:val="25"/>
                <w:szCs w:val="25"/>
                <w:lang w:val="en-US" w:eastAsia="zh-CN"/>
              </w:rPr>
              <w:t>周边环境</w:t>
            </w:r>
          </w:p>
          <w:p w14:paraId="7B876465">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spacing w:val="-1"/>
                <w:sz w:val="25"/>
                <w:szCs w:val="25"/>
              </w:rPr>
            </w:pPr>
            <w:r>
              <w:rPr>
                <w:rFonts w:ascii="宋体" w:hAnsi="宋体" w:eastAsia="宋体" w:cs="宋体"/>
                <w:sz w:val="24"/>
                <w:szCs w:val="24"/>
              </w:rPr>
              <w:t>场址周边以村民院落、景观林草地为主，无医院、学校等重点环境敏感点；项目为民宿服务业，无高噪声、高异味生产工序，运营期噪声、油烟经治理后对周边住户影响轻微。</w:t>
            </w:r>
          </w:p>
          <w:p w14:paraId="1DFC740C">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eastAsia" w:ascii="Times New Roman" w:hAnsi="Times New Roman" w:eastAsia="宋体" w:cs="Times New Roman"/>
                <w:spacing w:val="-1"/>
                <w:sz w:val="25"/>
                <w:szCs w:val="25"/>
                <w:lang w:eastAsia="zh-CN"/>
              </w:rPr>
            </w:pPr>
            <w:r>
              <w:rPr>
                <w:rFonts w:hint="eastAsia" w:cs="Times New Roman"/>
                <w:spacing w:val="-1"/>
                <w:sz w:val="25"/>
                <w:szCs w:val="25"/>
                <w:lang w:eastAsia="zh-CN"/>
              </w:rPr>
              <w:t>（</w:t>
            </w:r>
            <w:r>
              <w:rPr>
                <w:rFonts w:hint="eastAsia" w:cs="Times New Roman"/>
                <w:spacing w:val="-1"/>
                <w:sz w:val="25"/>
                <w:szCs w:val="25"/>
                <w:lang w:val="en-US" w:eastAsia="zh-CN"/>
              </w:rPr>
              <w:t>5</w:t>
            </w:r>
            <w:r>
              <w:rPr>
                <w:rFonts w:hint="eastAsia" w:cs="Times New Roman"/>
                <w:spacing w:val="-1"/>
                <w:sz w:val="25"/>
                <w:szCs w:val="25"/>
                <w:lang w:eastAsia="zh-CN"/>
              </w:rPr>
              <w:t>）</w:t>
            </w:r>
            <w:r>
              <w:rPr>
                <w:rFonts w:ascii="宋体" w:hAnsi="宋体" w:eastAsia="宋体" w:cs="宋体"/>
                <w:sz w:val="24"/>
                <w:szCs w:val="24"/>
              </w:rPr>
              <w:t>基础设施</w:t>
            </w:r>
          </w:p>
          <w:p w14:paraId="717345FD">
            <w:pPr>
              <w:keepNext w:val="0"/>
              <w:keepLines w:val="0"/>
              <w:pageBreakBefore w:val="0"/>
              <w:widowControl/>
              <w:suppressLineNumbers w:val="0"/>
              <w:kinsoku/>
              <w:wordWrap/>
              <w:overflowPunct/>
              <w:topLinePunct w:val="0"/>
              <w:autoSpaceDE/>
              <w:autoSpaceDN/>
              <w:bidi w:val="0"/>
              <w:adjustRightInd/>
              <w:snapToGrid w:val="0"/>
              <w:ind w:left="0" w:leftChars="0" w:firstLine="480" w:firstLineChars="200"/>
              <w:jc w:val="both"/>
              <w:textAlignment w:val="auto"/>
              <w:rPr>
                <w:rFonts w:hint="eastAsia" w:ascii="Times New Roman" w:hAnsi="Times New Roman" w:eastAsia="宋体" w:cs="Times New Roman"/>
                <w:spacing w:val="-1"/>
                <w:sz w:val="25"/>
                <w:szCs w:val="25"/>
                <w:lang w:eastAsia="zh-CN"/>
              </w:rPr>
            </w:pPr>
            <w:r>
              <w:rPr>
                <w:rFonts w:hint="eastAsia" w:ascii="宋体" w:hAnsi="宋体" w:eastAsia="宋体" w:cs="宋体"/>
                <w:sz w:val="24"/>
                <w:szCs w:val="24"/>
                <w:lang w:val="en-US" w:eastAsia="zh-CN"/>
              </w:rPr>
              <w:t>花儿沟村</w:t>
            </w:r>
            <w:r>
              <w:rPr>
                <w:rFonts w:ascii="宋体" w:hAnsi="宋体" w:eastAsia="宋体" w:cs="宋体"/>
                <w:sz w:val="24"/>
                <w:szCs w:val="24"/>
              </w:rPr>
              <w:t>已全覆盖供水、供电、通信管网，可直接接入项目使用</w:t>
            </w:r>
            <w:r>
              <w:rPr>
                <w:rFonts w:hint="eastAsia" w:ascii="宋体" w:hAnsi="宋体" w:eastAsia="宋体" w:cs="宋体"/>
                <w:sz w:val="24"/>
                <w:szCs w:val="24"/>
                <w:lang w:eastAsia="zh-CN"/>
              </w:rPr>
              <w:t>。</w:t>
            </w:r>
          </w:p>
          <w:p w14:paraId="0528DD30">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rPr>
            </w:pPr>
            <w:r>
              <w:rPr>
                <w:rFonts w:hint="eastAsia" w:cs="Times New Roman"/>
                <w:spacing w:val="-1"/>
                <w:sz w:val="25"/>
                <w:szCs w:val="25"/>
                <w:lang w:val="en-US" w:eastAsia="zh-CN"/>
              </w:rPr>
              <w:t>综合上述分析</w:t>
            </w:r>
            <w:r>
              <w:rPr>
                <w:rFonts w:hint="default" w:ascii="Times New Roman" w:hAnsi="Times New Roman" w:eastAsia="宋体" w:cs="Times New Roman"/>
                <w:spacing w:val="-1"/>
                <w:sz w:val="25"/>
                <w:szCs w:val="25"/>
              </w:rPr>
              <w:t>，本项目选址较为合理。</w:t>
            </w:r>
          </w:p>
          <w:p w14:paraId="7B50FF55">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rPr>
            </w:pPr>
          </w:p>
          <w:p w14:paraId="645C83BA">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rPr>
            </w:pPr>
          </w:p>
          <w:p w14:paraId="0096C60E">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rPr>
            </w:pPr>
          </w:p>
          <w:p w14:paraId="1BF01490">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rPr>
            </w:pPr>
          </w:p>
          <w:p w14:paraId="46FFFB71">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rPr>
            </w:pPr>
          </w:p>
          <w:p w14:paraId="0A900CDE">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rPr>
            </w:pPr>
          </w:p>
          <w:p w14:paraId="3D937C98">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rPr>
            </w:pPr>
          </w:p>
          <w:p w14:paraId="2749E37E">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rPr>
            </w:pPr>
          </w:p>
          <w:p w14:paraId="501DE671">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rPr>
            </w:pPr>
          </w:p>
          <w:p w14:paraId="4301F926">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rPr>
            </w:pPr>
          </w:p>
          <w:p w14:paraId="5386F4F9">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lang w:val="en-US" w:eastAsia="zh-CN"/>
              </w:rPr>
            </w:pPr>
          </w:p>
          <w:p w14:paraId="19DFF5A7">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lang w:val="en-US" w:eastAsia="zh-CN"/>
              </w:rPr>
            </w:pPr>
          </w:p>
          <w:p w14:paraId="57C33B07">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lang w:val="en-US" w:eastAsia="zh-CN"/>
              </w:rPr>
            </w:pPr>
          </w:p>
          <w:p w14:paraId="2CBA6AEE">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lang w:val="en-US" w:eastAsia="zh-CN"/>
              </w:rPr>
            </w:pPr>
          </w:p>
          <w:p w14:paraId="10505259">
            <w:pPr>
              <w:keepNext w:val="0"/>
              <w:keepLines w:val="0"/>
              <w:pageBreakBefore w:val="0"/>
              <w:widowControl/>
              <w:suppressLineNumbers w:val="0"/>
              <w:kinsoku/>
              <w:wordWrap/>
              <w:overflowPunct/>
              <w:topLinePunct w:val="0"/>
              <w:autoSpaceDE/>
              <w:autoSpaceDN/>
              <w:bidi w:val="0"/>
              <w:adjustRightInd/>
              <w:snapToGrid w:val="0"/>
              <w:ind w:left="0" w:leftChars="0" w:firstLine="496" w:firstLineChars="200"/>
              <w:jc w:val="both"/>
              <w:textAlignment w:val="auto"/>
              <w:rPr>
                <w:rFonts w:hint="default" w:ascii="Times New Roman" w:hAnsi="Times New Roman" w:eastAsia="宋体" w:cs="Times New Roman"/>
                <w:spacing w:val="-1"/>
                <w:sz w:val="25"/>
                <w:szCs w:val="25"/>
                <w:lang w:val="en-US" w:eastAsia="zh-CN"/>
              </w:rPr>
            </w:pPr>
          </w:p>
        </w:tc>
      </w:tr>
    </w:tbl>
    <w:p w14:paraId="31D3765A">
      <w:pPr>
        <w:pStyle w:val="28"/>
        <w:jc w:val="center"/>
        <w:rPr>
          <w:rFonts w:hint="default" w:ascii="Times New Roman" w:hAnsi="Times New Roman" w:eastAsia="宋体" w:cs="Times New Roman"/>
          <w:snapToGrid w:val="0"/>
          <w:color w:val="000000"/>
          <w:sz w:val="36"/>
          <w:szCs w:val="36"/>
          <w:highlight w:val="none"/>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006F705E">
      <w:pPr>
        <w:pStyle w:val="28"/>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outlineLvl w:val="0"/>
        <w:rPr>
          <w:rFonts w:hint="default" w:ascii="Times New Roman" w:hAnsi="Times New Roman" w:eastAsia="宋体" w:cs="Times New Roman"/>
          <w:snapToGrid w:val="0"/>
          <w:color w:val="000000"/>
          <w:sz w:val="30"/>
          <w:szCs w:val="30"/>
          <w:highlight w:val="none"/>
        </w:rPr>
      </w:pPr>
      <w:bookmarkStart w:id="26" w:name="_Toc10747"/>
      <w:bookmarkStart w:id="27" w:name="_Toc1500"/>
      <w:bookmarkStart w:id="28" w:name="_Toc20150"/>
      <w:bookmarkStart w:id="29" w:name="_Toc664"/>
      <w:r>
        <w:rPr>
          <w:rFonts w:hint="default" w:ascii="Times New Roman" w:hAnsi="Times New Roman" w:eastAsia="宋体" w:cs="Times New Roman"/>
          <w:snapToGrid w:val="0"/>
          <w:color w:val="000000"/>
          <w:sz w:val="30"/>
          <w:szCs w:val="30"/>
          <w:highlight w:val="none"/>
        </w:rPr>
        <w:t>五、主要生态环境保护措施</w:t>
      </w:r>
      <w:bookmarkEnd w:id="26"/>
      <w:bookmarkEnd w:id="27"/>
      <w:bookmarkEnd w:id="28"/>
      <w:bookmarkEnd w:id="29"/>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7759"/>
      </w:tblGrid>
      <w:tr w14:paraId="369073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753" w:type="dxa"/>
            <w:noWrap w:val="0"/>
            <w:tcMar>
              <w:left w:w="28" w:type="dxa"/>
              <w:right w:w="28" w:type="dxa"/>
            </w:tcMar>
            <w:vAlign w:val="center"/>
          </w:tcPr>
          <w:p w14:paraId="4D1A5E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szCs w:val="21"/>
                <w:highlight w:val="none"/>
              </w:rPr>
            </w:pPr>
            <w:r>
              <w:rPr>
                <w:rFonts w:hint="default" w:ascii="Times New Roman" w:hAnsi="Times New Roman" w:eastAsia="宋体" w:cs="Times New Roman"/>
                <w:bCs/>
                <w:color w:val="000000"/>
                <w:spacing w:val="10"/>
                <w:szCs w:val="21"/>
                <w:highlight w:val="none"/>
              </w:rPr>
              <w:t>施工期生态环境保护措施</w:t>
            </w:r>
          </w:p>
        </w:tc>
        <w:tc>
          <w:tcPr>
            <w:tcW w:w="8457" w:type="dxa"/>
            <w:noWrap w:val="0"/>
            <w:vAlign w:val="top"/>
          </w:tcPr>
          <w:p w14:paraId="4013F0DB">
            <w:pPr>
              <w:pStyle w:val="88"/>
              <w:keepNext w:val="0"/>
              <w:keepLines w:val="0"/>
              <w:pageBreakBefore w:val="0"/>
              <w:numPr>
                <w:ilvl w:val="0"/>
                <w:numId w:val="13"/>
              </w:numPr>
              <w:kinsoku/>
              <w:wordWrap/>
              <w:overflowPunct/>
              <w:topLinePunct w:val="0"/>
              <w:autoSpaceDE/>
              <w:autoSpaceDN/>
              <w:bidi w:val="0"/>
              <w:adjustRightInd/>
              <w:snapToGrid w:val="0"/>
              <w:spacing w:line="360" w:lineRule="auto"/>
              <w:ind w:left="0" w:leftChars="0" w:right="0" w:firstLine="482" w:firstLineChars="200"/>
              <w:jc w:val="both"/>
              <w:textAlignment w:val="auto"/>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大气污染治理及防治措施</w:t>
            </w:r>
          </w:p>
          <w:p w14:paraId="049BDDDB">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为使本项目在施工过程中产生的废气对周围环境空气的影响降低到最</w:t>
            </w:r>
            <w:r>
              <w:rPr>
                <w:rFonts w:hint="eastAsia" w:ascii="Times New Roman" w:hAnsi="Times New Roman" w:cs="Times New Roman"/>
                <w:color w:val="000000"/>
                <w:kern w:val="0"/>
                <w:sz w:val="24"/>
                <w:szCs w:val="24"/>
                <w:lang w:val="en-US" w:eastAsia="zh-CN" w:bidi="ar"/>
              </w:rPr>
              <w:t>低</w:t>
            </w:r>
            <w:r>
              <w:rPr>
                <w:rFonts w:hint="default" w:ascii="Times New Roman" w:hAnsi="Times New Roman" w:eastAsia="宋体" w:cs="Times New Roman"/>
                <w:color w:val="000000"/>
                <w:kern w:val="0"/>
                <w:sz w:val="24"/>
                <w:szCs w:val="24"/>
                <w:lang w:val="en-US" w:eastAsia="zh-CN" w:bidi="ar"/>
              </w:rPr>
              <w:t>程度，建议采取以下防护措施：</w:t>
            </w:r>
          </w:p>
          <w:p w14:paraId="1BE67DD1">
            <w:pPr>
              <w:pStyle w:val="88"/>
              <w:keepNext w:val="0"/>
              <w:keepLines w:val="0"/>
              <w:pageBreakBefore w:val="0"/>
              <w:numPr>
                <w:ilvl w:val="0"/>
                <w:numId w:val="0"/>
              </w:numPr>
              <w:kinsoku/>
              <w:wordWrap/>
              <w:overflowPunct/>
              <w:topLinePunct w:val="0"/>
              <w:autoSpaceDE/>
              <w:autoSpaceDN/>
              <w:bidi w:val="0"/>
              <w:adjustRightInd/>
              <w:snapToGrid w:val="0"/>
              <w:spacing w:line="360" w:lineRule="auto"/>
              <w:ind w:leftChars="200" w:right="0" w:rightChars="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（1）对项目建设区域进行封闭施工措施</w:t>
            </w:r>
          </w:p>
          <w:p w14:paraId="63EF8E57">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对项目建设区域四周设置围挡，进行封闭施工。施工边界</w:t>
            </w:r>
            <w:r>
              <w:rPr>
                <w:rFonts w:hint="eastAsia" w:ascii="Times New Roman" w:hAnsi="Times New Roman" w:cs="Times New Roman"/>
                <w:color w:val="000000"/>
                <w:kern w:val="0"/>
                <w:sz w:val="24"/>
                <w:szCs w:val="24"/>
                <w:highlight w:val="none"/>
                <w:lang w:val="en-US" w:eastAsia="zh-CN" w:bidi="ar"/>
              </w:rPr>
              <w:t>围挡</w:t>
            </w:r>
            <w:r>
              <w:rPr>
                <w:rFonts w:hint="default" w:ascii="Times New Roman" w:hAnsi="Times New Roman" w:eastAsia="宋体" w:cs="Times New Roman"/>
                <w:color w:val="000000"/>
                <w:kern w:val="0"/>
                <w:sz w:val="24"/>
                <w:szCs w:val="24"/>
                <w:lang w:val="en-US" w:eastAsia="zh-CN" w:bidi="ar"/>
              </w:rPr>
              <w:t>作用主要是阻挡一部分施工扬尘扩散到施工区外，当风力不大时也可减少自然扬尘，对抑制施工期扬尘的散逸十分必要。施工</w:t>
            </w:r>
            <w:r>
              <w:rPr>
                <w:rFonts w:hint="eastAsia" w:ascii="Times New Roman" w:hAnsi="Times New Roman" w:cs="Times New Roman"/>
                <w:color w:val="000000"/>
                <w:kern w:val="0"/>
                <w:sz w:val="24"/>
                <w:szCs w:val="24"/>
                <w:lang w:val="en-US" w:eastAsia="zh-CN" w:bidi="ar"/>
              </w:rPr>
              <w:t>围挡</w:t>
            </w:r>
            <w:r>
              <w:rPr>
                <w:rFonts w:hint="default" w:ascii="Times New Roman" w:hAnsi="Times New Roman" w:eastAsia="宋体" w:cs="Times New Roman"/>
                <w:color w:val="000000"/>
                <w:kern w:val="0"/>
                <w:sz w:val="24"/>
                <w:szCs w:val="24"/>
                <w:lang w:val="en-US" w:eastAsia="zh-CN" w:bidi="ar"/>
              </w:rPr>
              <w:t>高度不应小于2.5m。</w:t>
            </w:r>
          </w:p>
          <w:p w14:paraId="14BA5B8C">
            <w:pPr>
              <w:pStyle w:val="88"/>
              <w:keepNext w:val="0"/>
              <w:keepLines w:val="0"/>
              <w:pageBreakBefore w:val="0"/>
              <w:numPr>
                <w:ilvl w:val="0"/>
                <w:numId w:val="0"/>
              </w:numPr>
              <w:kinsoku/>
              <w:wordWrap/>
              <w:overflowPunct/>
              <w:topLinePunct w:val="0"/>
              <w:autoSpaceDE/>
              <w:autoSpaceDN/>
              <w:bidi w:val="0"/>
              <w:adjustRightInd/>
              <w:snapToGrid w:val="0"/>
              <w:spacing w:line="360" w:lineRule="auto"/>
              <w:ind w:leftChars="200" w:right="0" w:rightChars="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（2）洒水降尘措施</w:t>
            </w:r>
          </w:p>
          <w:p w14:paraId="4D59DD11">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在清表、开挖、回填等施工过程中，应洒水使作业面保持一定的湿度；对施工场地内松散、干涸的表土、施工便道等应定期进行清扫和洒水（每2</w:t>
            </w:r>
            <w:r>
              <w:rPr>
                <w:rFonts w:hint="eastAsia" w:ascii="Times New Roman" w:hAnsi="Times New Roman"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小时洒水1次），保持道路表面清洁和湿润。洒水对小范围施工裸土自然扬尘有一定的抑制效果，且简单易行。大面积裸土洒水需要专门人员和设备。车辆在干燥的表土上行驶时扬尘量很大，通过洒水再经过车辆碾压，使道路土壤密度增大，迫使尘粒</w:t>
            </w:r>
            <w:r>
              <w:rPr>
                <w:rFonts w:hint="eastAsia" w:ascii="Times New Roman" w:hAnsi="Times New Roman" w:cs="Times New Roman"/>
                <w:color w:val="000000"/>
                <w:kern w:val="0"/>
                <w:sz w:val="24"/>
                <w:szCs w:val="24"/>
                <w:lang w:val="en-US" w:eastAsia="zh-CN" w:bidi="ar"/>
              </w:rPr>
              <w:t>黏结</w:t>
            </w:r>
            <w:r>
              <w:rPr>
                <w:rFonts w:hint="default" w:ascii="Times New Roman" w:hAnsi="Times New Roman" w:eastAsia="宋体" w:cs="Times New Roman"/>
                <w:color w:val="000000"/>
                <w:kern w:val="0"/>
                <w:sz w:val="24"/>
                <w:szCs w:val="24"/>
                <w:lang w:val="en-US" w:eastAsia="zh-CN" w:bidi="ar"/>
              </w:rPr>
              <w:t>在一起而不被扬起。</w:t>
            </w:r>
          </w:p>
          <w:p w14:paraId="24DD312E">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利用建筑工地四周的围挡，采用高压PE管或者增压PPR管围着一圈，差不多每两米装一个喷淋喷头，喷淋距离大概在4-6米之间。</w:t>
            </w:r>
          </w:p>
          <w:p w14:paraId="54BFE88F">
            <w:pPr>
              <w:pStyle w:val="88"/>
              <w:keepNext w:val="0"/>
              <w:keepLines w:val="0"/>
              <w:pageBreakBefore w:val="0"/>
              <w:numPr>
                <w:ilvl w:val="0"/>
                <w:numId w:val="0"/>
              </w:numPr>
              <w:kinsoku/>
              <w:wordWrap/>
              <w:overflowPunct/>
              <w:topLinePunct w:val="0"/>
              <w:autoSpaceDE/>
              <w:autoSpaceDN/>
              <w:bidi w:val="0"/>
              <w:adjustRightInd/>
              <w:snapToGrid w:val="0"/>
              <w:spacing w:line="360" w:lineRule="auto"/>
              <w:ind w:leftChars="200" w:right="0" w:rightChars="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（3）施工、堆场、</w:t>
            </w:r>
            <w:r>
              <w:rPr>
                <w:rFonts w:hint="eastAsia" w:ascii="Times New Roman" w:hAnsi="Times New Roman" w:cs="Times New Roman"/>
                <w:color w:val="000000"/>
                <w:kern w:val="0"/>
                <w:sz w:val="24"/>
                <w:szCs w:val="24"/>
                <w:lang w:val="en-US" w:eastAsia="zh-CN" w:bidi="ar"/>
              </w:rPr>
              <w:t>表土</w:t>
            </w:r>
            <w:r>
              <w:rPr>
                <w:rFonts w:hint="default" w:ascii="Times New Roman" w:hAnsi="Times New Roman" w:eastAsia="宋体" w:cs="Times New Roman"/>
                <w:color w:val="000000"/>
                <w:kern w:val="0"/>
                <w:sz w:val="24"/>
                <w:szCs w:val="24"/>
                <w:lang w:val="en-US" w:eastAsia="zh-CN" w:bidi="ar"/>
              </w:rPr>
              <w:t>等扬尘管理措施</w:t>
            </w:r>
          </w:p>
          <w:p w14:paraId="12C6A2C8">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1）工程开挖土方集中堆放，以缩小扬尘影响范围，及时回填，减小扬尘影响时间。开挖和搬运过程中，洒水作业保持一定的湿度；对施工场地内松散、干涸的表土，也应该经常洒水防治粉尘；回填土方时，在表层土质干燥时应适当洒水，防止粉尘飞扬。</w:t>
            </w:r>
          </w:p>
          <w:p w14:paraId="22A10D3D">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2）加强回填土方堆放场的管理，采取土方表面压实、定期喷水、覆盖等措施。不需要的建筑材料、弃渣应及时运走，不宜长时间堆积。对施工场内的临时堆场，应设置高于废弃物堆的围挡、防风网、挡风屏等。施工现场的施工垃圾，必须设置密闭式垃圾站集中存放，及时清运。</w:t>
            </w:r>
          </w:p>
          <w:p w14:paraId="612ACBDB">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3）在工地内露天堆置砂石，应采取覆盖防尘布、防尘网等措施，必要时进行喷淋，防止风蚀起尘。材料仓库和临时材料堆放应防止物料散漏污染。仓库四周应有疏水沟系，防止雨水浸湿，水流引起物料流失。</w:t>
            </w:r>
          </w:p>
          <w:p w14:paraId="0449C826">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4）施工场地四周设置围挡，同时材料堆场、临时堆土场等应布置在离敏感点较远</w:t>
            </w:r>
            <w:r>
              <w:rPr>
                <w:rFonts w:hint="eastAsia" w:ascii="Times New Roman" w:hAnsi="Times New Roman" w:cs="Times New Roman"/>
                <w:color w:val="000000"/>
                <w:kern w:val="0"/>
                <w:sz w:val="24"/>
                <w:szCs w:val="24"/>
                <w:lang w:val="en-US" w:eastAsia="zh-CN" w:bidi="ar"/>
              </w:rPr>
              <w:t>位置</w:t>
            </w:r>
            <w:r>
              <w:rPr>
                <w:rFonts w:hint="default" w:ascii="Times New Roman" w:hAnsi="Times New Roman" w:eastAsia="宋体" w:cs="Times New Roman"/>
                <w:color w:val="000000"/>
                <w:kern w:val="0"/>
                <w:sz w:val="24"/>
                <w:szCs w:val="24"/>
                <w:lang w:val="en-US" w:eastAsia="zh-CN" w:bidi="ar"/>
              </w:rPr>
              <w:t>，并做好水土流失防护措施，以减少施工扬尘对周围敏感点的影响和</w:t>
            </w:r>
            <w:r>
              <w:rPr>
                <w:rFonts w:hint="default" w:ascii="Times New Roman" w:hAnsi="Times New Roman" w:eastAsia="宋体" w:cs="Times New Roman"/>
                <w:color w:val="000000"/>
                <w:kern w:val="0"/>
                <w:sz w:val="24"/>
                <w:szCs w:val="24"/>
                <w:highlight w:val="none"/>
                <w:lang w:val="en-US" w:eastAsia="zh-CN" w:bidi="ar"/>
              </w:rPr>
              <w:t>水</w:t>
            </w:r>
            <w:r>
              <w:rPr>
                <w:rFonts w:hint="eastAsia" w:ascii="Times New Roman" w:hAnsi="Times New Roman" w:cs="Times New Roman"/>
                <w:color w:val="000000"/>
                <w:kern w:val="0"/>
                <w:sz w:val="24"/>
                <w:szCs w:val="24"/>
                <w:highlight w:val="none"/>
                <w:lang w:val="en-US" w:eastAsia="zh-CN" w:bidi="ar"/>
              </w:rPr>
              <w:t>土</w:t>
            </w:r>
            <w:r>
              <w:rPr>
                <w:rFonts w:hint="default" w:ascii="Times New Roman" w:hAnsi="Times New Roman" w:eastAsia="宋体" w:cs="Times New Roman"/>
                <w:color w:val="000000"/>
                <w:kern w:val="0"/>
                <w:sz w:val="24"/>
                <w:szCs w:val="24"/>
                <w:highlight w:val="none"/>
                <w:lang w:val="en-US" w:eastAsia="zh-CN" w:bidi="ar"/>
              </w:rPr>
              <w:t>流失</w:t>
            </w:r>
            <w:r>
              <w:rPr>
                <w:rFonts w:hint="default" w:ascii="Times New Roman" w:hAnsi="Times New Roman" w:eastAsia="宋体" w:cs="Times New Roman"/>
                <w:color w:val="000000"/>
                <w:kern w:val="0"/>
                <w:sz w:val="24"/>
                <w:szCs w:val="24"/>
                <w:lang w:val="en-US" w:eastAsia="zh-CN" w:bidi="ar"/>
              </w:rPr>
              <w:t>对水环境的影响。</w:t>
            </w:r>
          </w:p>
          <w:p w14:paraId="3C6C11BE">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cs="Times New Roman"/>
                <w:color w:val="000000"/>
                <w:kern w:val="0"/>
                <w:sz w:val="24"/>
                <w:szCs w:val="24"/>
                <w:lang w:val="en-US" w:eastAsia="zh-CN" w:bidi="ar"/>
              </w:rPr>
              <w:t>5）</w:t>
            </w:r>
            <w:r>
              <w:rPr>
                <w:rFonts w:ascii="宋体" w:hAnsi="宋体" w:eastAsia="宋体" w:cs="宋体"/>
                <w:sz w:val="24"/>
                <w:szCs w:val="24"/>
              </w:rPr>
              <w:t>表土堆防尘措施：防尘网全覆盖、定期洒水保湿、大风天气加固苫布、土堆临时播撒草籽固土抑尘等扬尘防控手段。</w:t>
            </w:r>
          </w:p>
          <w:p w14:paraId="51B544C9">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（4）道路交通扬尘、废气控制</w:t>
            </w:r>
          </w:p>
          <w:p w14:paraId="22C6A14B">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1）原辅材料、土壤运输车辆采取密闭措施，装载时不宜过满，保证运输过程中不散落，规划好运输车辆行走线路及时间，尽量缩短在繁华区以及居民住宅区等敏感地区的行驶路程。</w:t>
            </w:r>
          </w:p>
          <w:p w14:paraId="45C74995">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运送土石方和建筑材料的车辆应尽可能用</w:t>
            </w:r>
            <w:r>
              <w:rPr>
                <w:rFonts w:hint="eastAsia" w:ascii="Times New Roman" w:hAnsi="Times New Roman" w:cs="Times New Roman"/>
                <w:color w:val="000000"/>
                <w:kern w:val="0"/>
                <w:sz w:val="24"/>
                <w:szCs w:val="24"/>
                <w:highlight w:val="none"/>
                <w:lang w:val="en-US" w:eastAsia="zh-CN" w:bidi="ar"/>
              </w:rPr>
              <w:t>篷布</w:t>
            </w:r>
            <w:r>
              <w:rPr>
                <w:rFonts w:hint="default" w:ascii="Times New Roman" w:hAnsi="Times New Roman" w:eastAsia="宋体" w:cs="Times New Roman"/>
                <w:color w:val="000000"/>
                <w:kern w:val="0"/>
                <w:sz w:val="24"/>
                <w:szCs w:val="24"/>
                <w:highlight w:val="none"/>
                <w:lang w:val="en-US" w:eastAsia="zh-CN" w:bidi="ar"/>
              </w:rPr>
              <w:t>遮</w:t>
            </w:r>
            <w:r>
              <w:rPr>
                <w:rFonts w:hint="default" w:ascii="Times New Roman" w:hAnsi="Times New Roman" w:eastAsia="宋体" w:cs="Times New Roman"/>
                <w:color w:val="000000"/>
                <w:kern w:val="0"/>
                <w:sz w:val="24"/>
                <w:szCs w:val="24"/>
                <w:lang w:val="en-US" w:eastAsia="zh-CN" w:bidi="ar"/>
              </w:rPr>
              <w:t>盖或按规定配置防洒装备，装载不宜过满，实行密闭运输，装载的物料、渣土高度不得超过车辆槽帮上沿，避免在运输过程中发生遗撒或泄漏。对不慎洒落地面的建筑材料，应及时进行清理。</w:t>
            </w:r>
          </w:p>
          <w:p w14:paraId="403DB44C">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2）在进出施工现场应配备洒水车，</w:t>
            </w:r>
            <w:r>
              <w:rPr>
                <w:rFonts w:hint="eastAsia" w:ascii="Times New Roman" w:hAnsi="Times New Roman" w:cs="Times New Roman"/>
                <w:color w:val="000000"/>
                <w:kern w:val="0"/>
                <w:sz w:val="24"/>
                <w:szCs w:val="24"/>
                <w:lang w:val="en-US" w:eastAsia="zh-CN" w:bidi="ar"/>
              </w:rPr>
              <w:t>每天洒水3-4次，洒水量约为1440m</w:t>
            </w:r>
            <w:r>
              <w:rPr>
                <w:rFonts w:hint="eastAsia" w:ascii="Times New Roman" w:hAnsi="Times New Roman"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，可有效地吸附装卸、运输砂石料产生的扬尘，运输线路避开居民密集区和学校。对于建设施工阶段的车辆和机械扬尘，建议采取洒水湿法抑尘。对离开施工场地的运输</w:t>
            </w:r>
            <w:r>
              <w:rPr>
                <w:rFonts w:hint="eastAsia" w:ascii="Times New Roman" w:hAnsi="Times New Roman" w:cs="Times New Roman"/>
                <w:color w:val="000000"/>
                <w:kern w:val="0"/>
                <w:sz w:val="24"/>
                <w:szCs w:val="24"/>
                <w:lang w:val="en-US" w:eastAsia="zh-CN" w:bidi="ar"/>
              </w:rPr>
              <w:t>车辆</w:t>
            </w:r>
            <w:r>
              <w:rPr>
                <w:rFonts w:hint="default" w:ascii="Times New Roman" w:hAnsi="Times New Roman" w:eastAsia="宋体" w:cs="Times New Roman"/>
                <w:color w:val="000000"/>
                <w:kern w:val="0"/>
                <w:sz w:val="24"/>
                <w:szCs w:val="24"/>
                <w:lang w:val="en-US" w:eastAsia="zh-CN" w:bidi="ar"/>
              </w:rPr>
              <w:t>，应该安装冲洗车轮的冲洗装置，尽量减少将土、泥、碎片等类似物体带到公共道路上。</w:t>
            </w:r>
          </w:p>
          <w:p w14:paraId="421F7D7B">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3）运输车辆行至环境敏感目标分布较为集中的路段时，应低速行驶或限速行驶，以减少扬尘产生量。限制施工区内运输车辆的速度，将卡车在施工场地的车速减少到10km/h，其他区域减少至30km/h。</w:t>
            </w:r>
          </w:p>
          <w:p w14:paraId="5A7798CA">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4）加强管理，施工机械采用清洁燃料，合理布设施工机械位置。</w:t>
            </w:r>
          </w:p>
          <w:p w14:paraId="67843CC9">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（5）严格遵守《建设工程施工现场环境与卫生标准》（JGJ 146-2013）、《房屋建筑施工现场扬尘污染防治规程》（JGJ/T 203-2022）</w:t>
            </w:r>
            <w:r>
              <w:rPr>
                <w:rFonts w:hint="eastAsia" w:ascii="Times New Roman" w:hAnsi="Times New Roman" w:cs="Times New Roman"/>
                <w:color w:val="000000"/>
                <w:kern w:val="0"/>
                <w:sz w:val="24"/>
                <w:szCs w:val="24"/>
                <w:lang w:val="en-US" w:eastAsia="zh-CN" w:bidi="ar"/>
              </w:rPr>
              <w:t>相关要求</w:t>
            </w:r>
            <w:r>
              <w:rPr>
                <w:rFonts w:hint="default" w:ascii="Times New Roman" w:hAnsi="Times New Roman" w:eastAsia="宋体" w:cs="Times New Roman"/>
                <w:color w:val="000000"/>
                <w:kern w:val="0"/>
                <w:sz w:val="24"/>
                <w:szCs w:val="24"/>
                <w:lang w:val="en-US" w:eastAsia="zh-CN" w:bidi="ar"/>
              </w:rPr>
              <w:t>，工地周边围挡、物料堆放覆盖、土方开挖湿法作业、路面硬化、出入车辆清洗、渣土车辆密闭运输“六个百分之百”。</w:t>
            </w:r>
          </w:p>
          <w:p w14:paraId="521A8C63">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施工期大气污染物主要为扬尘和施工机械尾气，其产生量较少，采取以上一系列措施后，可大幅度降低施工造成的大气污染。而且施工期时间较短，这种污染是短期的、局部的，施工完</w:t>
            </w:r>
            <w:r>
              <w:rPr>
                <w:rFonts w:hint="eastAsia" w:ascii="Times New Roman" w:hAnsi="Times New Roman" w:cs="Times New Roman"/>
                <w:color w:val="000000"/>
                <w:kern w:val="0"/>
                <w:sz w:val="24"/>
                <w:szCs w:val="24"/>
                <w:lang w:val="en-US" w:eastAsia="zh-CN" w:bidi="ar"/>
              </w:rPr>
              <w:t>成</w:t>
            </w:r>
            <w:r>
              <w:rPr>
                <w:rFonts w:hint="default" w:ascii="Times New Roman" w:hAnsi="Times New Roman" w:eastAsia="宋体" w:cs="Times New Roman"/>
                <w:color w:val="000000"/>
                <w:kern w:val="0"/>
                <w:sz w:val="24"/>
                <w:szCs w:val="24"/>
                <w:lang w:val="en-US" w:eastAsia="zh-CN" w:bidi="ar"/>
              </w:rPr>
              <w:t>后其污染也随之消失。同时为准确掌握施工</w:t>
            </w:r>
            <w:r>
              <w:rPr>
                <w:rFonts w:hint="eastAsia" w:ascii="Times New Roman" w:hAnsi="Times New Roman" w:cs="Times New Roman"/>
                <w:color w:val="000000"/>
                <w:kern w:val="0"/>
                <w:sz w:val="24"/>
                <w:szCs w:val="24"/>
                <w:lang w:val="en-US" w:eastAsia="zh-CN" w:bidi="ar"/>
              </w:rPr>
              <w:t>期间</w:t>
            </w:r>
            <w:r>
              <w:rPr>
                <w:rFonts w:hint="default" w:ascii="Times New Roman" w:hAnsi="Times New Roman" w:eastAsia="宋体" w:cs="Times New Roman"/>
                <w:color w:val="000000"/>
                <w:kern w:val="0"/>
                <w:sz w:val="24"/>
                <w:szCs w:val="24"/>
                <w:lang w:val="en-US" w:eastAsia="zh-CN" w:bidi="ar"/>
              </w:rPr>
              <w:t>的环境动态变化，应委托监测单位对环境状况进行监测，以便更好</w:t>
            </w:r>
            <w:r>
              <w:rPr>
                <w:rFonts w:hint="eastAsia" w:ascii="Times New Roman" w:hAnsi="Times New Roman" w:cs="Times New Roman"/>
                <w:color w:val="000000"/>
                <w:kern w:val="0"/>
                <w:sz w:val="24"/>
                <w:szCs w:val="24"/>
                <w:lang w:val="en-US" w:eastAsia="zh-CN" w:bidi="ar"/>
              </w:rPr>
              <w:t>地</w:t>
            </w:r>
            <w:r>
              <w:rPr>
                <w:rFonts w:hint="default" w:ascii="Times New Roman" w:hAnsi="Times New Roman" w:eastAsia="宋体" w:cs="Times New Roman"/>
                <w:color w:val="000000"/>
                <w:kern w:val="0"/>
                <w:sz w:val="24"/>
                <w:szCs w:val="24"/>
                <w:lang w:val="en-US" w:eastAsia="zh-CN" w:bidi="ar"/>
              </w:rPr>
              <w:t>了解环境状况，降低对环境的影响。</w:t>
            </w:r>
          </w:p>
          <w:p w14:paraId="07C03232">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2"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cs="Times New Roman"/>
                <w:b/>
                <w:bCs/>
                <w:color w:val="000000"/>
                <w:kern w:val="0"/>
                <w:sz w:val="24"/>
                <w:szCs w:val="24"/>
                <w:lang w:val="en-US" w:eastAsia="zh-CN" w:bidi="ar"/>
              </w:rPr>
              <w:t>2.</w:t>
            </w:r>
            <w:r>
              <w:rPr>
                <w:rFonts w:hint="default" w:ascii="Times New Roman" w:hAnsi="Times New Roman" w:eastAsia="宋体" w:cs="Times New Roman"/>
                <w:b/>
                <w:bCs/>
                <w:color w:val="000000"/>
                <w:kern w:val="0"/>
                <w:sz w:val="24"/>
                <w:szCs w:val="24"/>
                <w:lang w:val="en-US" w:eastAsia="zh-CN" w:bidi="ar"/>
              </w:rPr>
              <w:t>废水污染治理及防范措施</w:t>
            </w:r>
          </w:p>
          <w:p w14:paraId="1CA747DE">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（1）合理选择施工时间，避免雨季进行挖填方大的工程建设，从而减少挖填方堆土随雨水影响区域水环境质量。</w:t>
            </w:r>
          </w:p>
          <w:p w14:paraId="73C6DDB7">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施工期间采取严格的防治措施以减少水土流失</w:t>
            </w:r>
            <w:r>
              <w:rPr>
                <w:rFonts w:hint="eastAsia" w:ascii="Times New Roman" w:hAnsi="Times New Roman"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尽量缩短土地裸露时间，加快工程项目建设；制订施工计划，按照计划实施。</w:t>
            </w:r>
          </w:p>
          <w:p w14:paraId="58A2D5E3">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（2）合理布设施工场地、表土堆、建材堆场，选址远离三工河河道及支沟岸线</w:t>
            </w:r>
            <w:r>
              <w:rPr>
                <w:rFonts w:hint="eastAsia" w:ascii="Times New Roman" w:hAnsi="Times New Roman"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对材料堆放场进行覆盖防护，堆放的物资，应建立临时堆放场，且在堆场四周挖有</w:t>
            </w:r>
            <w:r>
              <w:rPr>
                <w:rFonts w:hint="eastAsia" w:ascii="Times New Roman" w:hAnsi="Times New Roman" w:cs="Times New Roman"/>
                <w:color w:val="000000"/>
                <w:kern w:val="0"/>
                <w:sz w:val="24"/>
                <w:szCs w:val="24"/>
                <w:lang w:val="en-US" w:eastAsia="zh-CN" w:bidi="ar"/>
              </w:rPr>
              <w:t>截流</w:t>
            </w:r>
            <w:r>
              <w:rPr>
                <w:rFonts w:hint="default" w:ascii="Times New Roman" w:hAnsi="Times New Roman" w:eastAsia="宋体" w:cs="Times New Roman"/>
                <w:color w:val="000000"/>
                <w:kern w:val="0"/>
                <w:sz w:val="24"/>
                <w:szCs w:val="24"/>
                <w:lang w:val="en-US" w:eastAsia="zh-CN" w:bidi="ar"/>
              </w:rPr>
              <w:t>沟；石灰、水泥等物质不能露天堆放贮存。避免雨天对材料冲刷产生泥浆水施工时临时材料的堆放经雨水冲刷将产生一定生产废水，此类废水含有SS，并且施工场地因雨水冲刷产生的含泥污水，若直接排放会导致场地周围地表水体的泥沙含量增加，水质下降。此外，材料堆放场内堆放的施工材料如油料等保管不善被暴雨冲刷进入地表水体引起水质污染。施工期间严禁在临水一侧堆放土方、施工材料等，开挖土石方应及时外运。</w:t>
            </w:r>
          </w:p>
          <w:p w14:paraId="06CC5AB0">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（3）严禁在施工场地任意冲洗车辆和机械，车辆冲洗应在指定位置，同时地面需硬化处理，防止机械清洗污水对地下水、土壤的污染。</w:t>
            </w:r>
          </w:p>
          <w:p w14:paraId="666936AE">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施工场内车辆设备清洗场地必须配备相应污水处理设施，冲洗废水在冲洗场地，经截留沟收集后，经沉淀处理后上清液用于场地冲洗和降尘。考虑到汽车冲洗水对水质要求较低，该类车辆废水经过处理后也可回用作汽车冲洗水，不外排。</w:t>
            </w:r>
          </w:p>
          <w:p w14:paraId="13EDDCC2">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（4）在施工现场合理设置废水临时沉砂池，施工废水、设备车辆冲洗废水、场地内初期雨水等经沉砂池处理后回用于施工场地中洒水降尘，不外排。</w:t>
            </w:r>
          </w:p>
          <w:p w14:paraId="6B3834F3">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lang w:val="en-US" w:eastAsia="zh-CN" w:bidi="ar"/>
              </w:rPr>
              <w:t>（5）</w:t>
            </w:r>
            <w:r>
              <w:rPr>
                <w:rFonts w:hint="eastAsia" w:ascii="Times New Roman" w:hAnsi="Times New Roman" w:cs="Times New Roman"/>
                <w:color w:val="000000"/>
                <w:kern w:val="0"/>
                <w:sz w:val="24"/>
                <w:szCs w:val="24"/>
                <w:highlight w:val="none"/>
                <w:lang w:val="en-US" w:eastAsia="zh-CN" w:bidi="ar"/>
              </w:rPr>
              <w:t>施工人员产生的生活污水排入移动的化粪池，定期由吸污车抽走运送至阜康市污水处理厂处理。</w:t>
            </w:r>
          </w:p>
          <w:p w14:paraId="0FBB663C">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施工期大气污染物主要为生活污水、施工废水，采取以上一系列措施后，可大幅度降低施工造成的环境污染。而且施工期时间较短，这种污染是短期的、局部的，施工完</w:t>
            </w:r>
            <w:r>
              <w:rPr>
                <w:rFonts w:hint="eastAsia" w:ascii="Times New Roman" w:hAnsi="Times New Roman" w:cs="Times New Roman"/>
                <w:color w:val="000000"/>
                <w:kern w:val="0"/>
                <w:sz w:val="24"/>
                <w:szCs w:val="24"/>
                <w:lang w:val="en-US" w:eastAsia="zh-CN" w:bidi="ar"/>
              </w:rPr>
              <w:t>成</w:t>
            </w:r>
            <w:r>
              <w:rPr>
                <w:rFonts w:hint="default" w:ascii="Times New Roman" w:hAnsi="Times New Roman" w:eastAsia="宋体" w:cs="Times New Roman"/>
                <w:color w:val="000000"/>
                <w:kern w:val="0"/>
                <w:sz w:val="24"/>
                <w:szCs w:val="24"/>
                <w:lang w:val="en-US" w:eastAsia="zh-CN" w:bidi="ar"/>
              </w:rPr>
              <w:t>后其污染也随之消失。</w:t>
            </w:r>
          </w:p>
          <w:p w14:paraId="24BDBB2D">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2" w:firstLineChars="200"/>
              <w:jc w:val="both"/>
              <w:textAlignment w:val="auto"/>
              <w:rPr>
                <w:rFonts w:hint="default" w:ascii="Times New Roman" w:hAnsi="Times New Roman" w:eastAsia="宋体" w:cs="Times New Roman"/>
                <w:b/>
                <w:bCs/>
                <w:color w:val="000000"/>
                <w:kern w:val="0"/>
                <w:sz w:val="24"/>
                <w:szCs w:val="24"/>
                <w:lang w:val="en-US" w:eastAsia="zh-CN" w:bidi="ar"/>
              </w:rPr>
            </w:pPr>
            <w:r>
              <w:rPr>
                <w:rFonts w:hint="eastAsia" w:ascii="Times New Roman" w:hAnsi="Times New Roman" w:cs="Times New Roman"/>
                <w:b/>
                <w:bCs/>
                <w:color w:val="000000"/>
                <w:kern w:val="0"/>
                <w:sz w:val="24"/>
                <w:szCs w:val="24"/>
                <w:lang w:val="en-US" w:eastAsia="zh-CN" w:bidi="ar"/>
              </w:rPr>
              <w:t>3.</w:t>
            </w:r>
            <w:r>
              <w:rPr>
                <w:rFonts w:hint="default" w:ascii="Times New Roman" w:hAnsi="Times New Roman" w:eastAsia="宋体" w:cs="Times New Roman"/>
                <w:b/>
                <w:bCs/>
                <w:color w:val="000000"/>
                <w:kern w:val="0"/>
                <w:sz w:val="24"/>
                <w:szCs w:val="24"/>
                <w:lang w:val="en-US" w:eastAsia="zh-CN" w:bidi="ar"/>
              </w:rPr>
              <w:t>噪声污染治理及防范措施</w:t>
            </w:r>
          </w:p>
          <w:p w14:paraId="6038EECA">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（1）加强施工管理，合理布局和使用施工机械，尽量将高噪声设备安置在远离敏感目标的一侧。</w:t>
            </w:r>
          </w:p>
          <w:p w14:paraId="03F1AC97">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（2）加强设备维护，保证车辆、施工设备处于良好工作状况。尽量选用低噪声的施工设备，将高声功率设备的运作时间错开，尽量避免同时操作，作业时尽量在高噪声设备周围设置屏蔽。</w:t>
            </w:r>
          </w:p>
          <w:p w14:paraId="0FA6D97A">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（3）</w:t>
            </w:r>
            <w:r>
              <w:rPr>
                <w:rFonts w:hint="eastAsia" w:ascii="Times New Roman" w:hAnsi="Times New Roman" w:cs="Times New Roman"/>
                <w:color w:val="000000"/>
                <w:kern w:val="0"/>
                <w:sz w:val="24"/>
                <w:szCs w:val="24"/>
                <w:lang w:val="en-US" w:eastAsia="zh-CN" w:bidi="ar"/>
              </w:rPr>
              <w:t>合</w:t>
            </w:r>
            <w:r>
              <w:rPr>
                <w:rFonts w:hint="default" w:ascii="Times New Roman" w:hAnsi="Times New Roman" w:eastAsia="宋体" w:cs="Times New Roman"/>
                <w:color w:val="000000"/>
                <w:kern w:val="0"/>
                <w:sz w:val="24"/>
                <w:szCs w:val="24"/>
                <w:highlight w:val="none"/>
                <w:lang w:val="en-US" w:eastAsia="zh-CN" w:bidi="ar"/>
              </w:rPr>
              <w:t>理安排各类</w:t>
            </w:r>
            <w:r>
              <w:rPr>
                <w:rFonts w:hint="default" w:ascii="Times New Roman" w:hAnsi="Times New Roman" w:eastAsia="宋体" w:cs="Times New Roman"/>
                <w:color w:val="000000"/>
                <w:kern w:val="0"/>
                <w:sz w:val="24"/>
                <w:szCs w:val="24"/>
                <w:lang w:val="en-US" w:eastAsia="zh-CN" w:bidi="ar"/>
              </w:rPr>
              <w:t>施工机械的工作时间，禁止夜间进行产生噪声污染的建筑施工作业。但抢修、抢险作业除外。因特殊需要必须连续作业的，或者因道路交通管制需要在夜间装卸建筑材料、土石方和建筑废料的，施工单位应当取得当地行政主管部门夜间施工许可手续，并对周围居民进行公示。</w:t>
            </w:r>
          </w:p>
          <w:p w14:paraId="194B037C">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（4）由于项目施工场地距离敏感点较近，有居民住宅敏感区域，在施工场地四周建立挡墙实行封闭式管理。距离敏感点较近的地方做好临时声屏障等噪声防护措施。施工围墙和临时性声屏障，噪声一般可衰减 10~20dB，但是对于高噪声施工设备（如挖掘机等），还是会对周围敏感点造成一定影响。不过，这些影响主要存在于施工阶段约12个月，施工完成后无影响。</w:t>
            </w:r>
          </w:p>
          <w:p w14:paraId="68259234">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（5）合理安排运输路线，尽量选择少敏感点、远离敏感点的线路，调度运输时间，行车噪声必须符合《机动车辆允许噪声标准》（GB l495-2002），部分敏感路段需限速、禁鸣；车辆出入现场时应低速、禁鸣，以免对环境产生大的影响。</w:t>
            </w:r>
          </w:p>
          <w:p w14:paraId="6C1DFCCE">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（6）施工进场前，应公告告知周围声环境敏感点居民，并加强与附近居民的协商与沟通，取得理解。</w:t>
            </w:r>
          </w:p>
          <w:p w14:paraId="00E977A1">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在采取相应措施后，噪声随距离的衰减，可将施工期噪声对附近居民及单位的影响程度降低至可接受的范围内。建设期施工噪声影响是短期的，一旦施工活动结束，施工期的噪声影响也将随之结束。为准确掌握施工期的环境动态变化，应委托监测单位对环境状况进行监测。</w:t>
            </w:r>
          </w:p>
          <w:p w14:paraId="19E368EB">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2"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cs="Times New Roman"/>
                <w:b/>
                <w:bCs/>
                <w:color w:val="000000"/>
                <w:kern w:val="0"/>
                <w:sz w:val="24"/>
                <w:szCs w:val="24"/>
                <w:lang w:val="en-US" w:eastAsia="zh-CN" w:bidi="ar"/>
              </w:rPr>
              <w:t>4.</w:t>
            </w:r>
            <w:r>
              <w:rPr>
                <w:rFonts w:hint="default" w:ascii="Times New Roman" w:hAnsi="Times New Roman" w:eastAsia="宋体" w:cs="Times New Roman"/>
                <w:b/>
                <w:bCs/>
                <w:color w:val="000000"/>
                <w:kern w:val="0"/>
                <w:sz w:val="24"/>
                <w:szCs w:val="24"/>
                <w:lang w:val="en-US" w:eastAsia="zh-CN" w:bidi="ar"/>
              </w:rPr>
              <w:t>固体废物污染防治措施</w:t>
            </w:r>
          </w:p>
          <w:p w14:paraId="49FEE8DE">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1）施工期固体废物由于其成分较简单，数量较大，因此收集和运输的原则是分类收集、集中堆放、及时处置。对于施工人员产生的生活垃圾，应采用定点收集方式，设立专门的容器加以收集，并及时清运处置。</w:t>
            </w:r>
          </w:p>
          <w:p w14:paraId="1CEAC10E">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2）对施工中产生的建筑垃圾，应集中堆放，对施工过程中产生的建筑垃圾和弃土淤泥，优先回填，能回收利用的优先回用；有条件的应在建筑材料堆放地及建筑垃圾堆放地周围建立简易的防护围带，以防止垃圾的散落，并定期清运至新疆阜康产业园固废综合处置静脉园（一期）填埋处置。通过加强管理，经妥善处置后可效减轻对环境的影响。</w:t>
            </w:r>
          </w:p>
          <w:p w14:paraId="006A03B4">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cs="Times New Roman"/>
                <w:color w:val="000000"/>
                <w:kern w:val="0"/>
                <w:sz w:val="24"/>
                <w:szCs w:val="24"/>
                <w:lang w:val="en-US" w:eastAsia="zh-CN" w:bidi="ar"/>
              </w:rPr>
              <w:t>（3）本</w:t>
            </w:r>
            <w:r>
              <w:rPr>
                <w:rFonts w:hint="default" w:ascii="Times New Roman" w:hAnsi="Times New Roman" w:eastAsia="宋体" w:cs="Times New Roman"/>
                <w:sz w:val="24"/>
                <w:szCs w:val="24"/>
              </w:rPr>
              <w:t>项目一般工业固体废物贮存、管理严格遵照《一般工业固体废物环境管理工作指南》（环办固体函〔2026〕18号）、《一般工业固体废物管理台账制定指南（试行）》、《一般工业固体废物贮存和填埋污染控制标准》（GB18599-2020）执行：规范建设分区临时贮存堆场，配套防渗、截排水、遮盖防尘设施；建</w:t>
            </w:r>
            <w:r>
              <w:rPr>
                <w:rFonts w:ascii="宋体" w:hAnsi="宋体" w:eastAsia="宋体" w:cs="宋体"/>
                <w:sz w:val="24"/>
                <w:szCs w:val="24"/>
              </w:rPr>
              <w:t>立固体废物全过程管理台账，完整记录固废产生量、贮存状态、转运去向，实现可追溯闭环管理。</w:t>
            </w:r>
          </w:p>
          <w:p w14:paraId="77BA6BD2">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ascii="宋体" w:hAnsi="宋体" w:eastAsia="宋体" w:cs="宋体"/>
                <w:sz w:val="24"/>
                <w:szCs w:val="24"/>
              </w:rPr>
              <w:t>综上，通过分类收集、资源化回用、规范贮存、合规外运等综合措施，施工期固体废物对周边村庄、生态环境的影响可控制在可接受范围；该类环境影响仅存在于施工阶段，施工结束后堆场清理、场地恢复，固废相关环境影响随之消除。</w:t>
            </w:r>
          </w:p>
          <w:p w14:paraId="10F98E1E">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2"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cs="Times New Roman"/>
                <w:b/>
                <w:bCs/>
                <w:color w:val="000000"/>
                <w:kern w:val="0"/>
                <w:sz w:val="24"/>
                <w:szCs w:val="24"/>
                <w:lang w:val="en-US" w:eastAsia="zh-CN" w:bidi="ar"/>
              </w:rPr>
              <w:t>5.</w:t>
            </w:r>
            <w:r>
              <w:rPr>
                <w:rFonts w:hint="default" w:ascii="Times New Roman" w:hAnsi="Times New Roman" w:eastAsia="宋体" w:cs="Times New Roman"/>
                <w:b/>
                <w:bCs/>
                <w:color w:val="000000"/>
                <w:kern w:val="0"/>
                <w:sz w:val="24"/>
                <w:szCs w:val="24"/>
                <w:lang w:val="en-US" w:eastAsia="zh-CN" w:bidi="ar"/>
              </w:rPr>
              <w:t>生态环境保护及减缓措施</w:t>
            </w:r>
          </w:p>
          <w:p w14:paraId="3E619E96">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施工过程中，清基耕植土、开挖土石方、临时堆料及</w:t>
            </w:r>
            <w:r>
              <w:rPr>
                <w:rFonts w:hint="eastAsia" w:ascii="Times New Roman" w:hAnsi="Times New Roman" w:cs="Times New Roman"/>
                <w:color w:val="000000"/>
                <w:kern w:val="0"/>
                <w:sz w:val="24"/>
                <w:szCs w:val="24"/>
                <w:lang w:val="en-US" w:eastAsia="zh-CN" w:bidi="ar"/>
              </w:rPr>
              <w:t>其他</w:t>
            </w:r>
            <w:r>
              <w:rPr>
                <w:rFonts w:hint="default" w:ascii="Times New Roman" w:hAnsi="Times New Roman" w:eastAsia="宋体" w:cs="Times New Roman"/>
                <w:color w:val="000000"/>
                <w:kern w:val="0"/>
                <w:sz w:val="24"/>
                <w:szCs w:val="24"/>
                <w:lang w:val="en-US" w:eastAsia="zh-CN" w:bidi="ar"/>
              </w:rPr>
              <w:t>临时土石方堆置均需集中堆置，且控制在用地范围之内；堆置过程中做好堆置坡度、高度的控制及位置的选择；对堆置地应采取临时</w:t>
            </w:r>
            <w:r>
              <w:rPr>
                <w:rFonts w:hint="eastAsia" w:ascii="Times New Roman" w:hAnsi="Times New Roman" w:cs="Times New Roman"/>
                <w:color w:val="000000"/>
                <w:kern w:val="0"/>
                <w:sz w:val="24"/>
                <w:szCs w:val="24"/>
                <w:highlight w:val="none"/>
                <w:lang w:val="en-US" w:eastAsia="zh-CN" w:bidi="ar"/>
              </w:rPr>
              <w:t>围挡</w:t>
            </w:r>
            <w:r>
              <w:rPr>
                <w:rFonts w:hint="default" w:ascii="Times New Roman" w:hAnsi="Times New Roman" w:eastAsia="宋体"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lang w:val="en-US" w:eastAsia="zh-CN" w:bidi="ar"/>
              </w:rPr>
              <w:t>开挖水沟等防护措施，以减少施工期水土流失量，切实落实水保措施。合理安排施工期，避免雨季施工。</w:t>
            </w:r>
          </w:p>
          <w:p w14:paraId="77570A84">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在建设过程中，应及时进行植被种植和绿化，增强地表的固土能力，可以有效减轻施工扬尘和水土流失的发生。</w:t>
            </w:r>
          </w:p>
          <w:p w14:paraId="3432A602">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合理安排工程用地，节约土地资源，合理设计、尽量缩小用地规模。在工程建设施工过程中</w:t>
            </w:r>
            <w:r>
              <w:rPr>
                <w:rFonts w:hint="eastAsia" w:ascii="Times New Roman" w:hAnsi="Times New Roman" w:cs="Times New Roman"/>
                <w:color w:val="000000"/>
                <w:kern w:val="0"/>
                <w:sz w:val="24"/>
                <w:szCs w:val="24"/>
                <w:lang w:val="en-US" w:eastAsia="zh-CN" w:bidi="ar"/>
              </w:rPr>
              <w:t>，必</w:t>
            </w:r>
            <w:r>
              <w:rPr>
                <w:rFonts w:hint="default" w:ascii="Times New Roman" w:hAnsi="Times New Roman" w:eastAsia="宋体" w:cs="Times New Roman"/>
                <w:color w:val="000000"/>
                <w:kern w:val="0"/>
                <w:sz w:val="24"/>
                <w:szCs w:val="24"/>
                <w:lang w:val="en-US" w:eastAsia="zh-CN" w:bidi="ar"/>
              </w:rPr>
              <w:t>须加强施工队伍组织和管理，应明确施工范围和行动路线，不得随意扩大施工活动区域，进行文明施工，不乱砍林灌草丛，降低植被损害。建设单位要做好生态恢复和水土保持设施，落实水土保持保护措施。</w:t>
            </w:r>
          </w:p>
          <w:p w14:paraId="659046BA">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绿化工程与主体工程同时规划、同时设计、同时投资，并在主体工程施工完毕后一年内按照设计方案的要求完成绿化工程建设，必须选择适宜的本土植物种类，适时对工程区内空地、裸露地、空隙地、绿化用地进行植树种草，并加强管理和养护。</w:t>
            </w:r>
          </w:p>
          <w:p w14:paraId="59F71FEE">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cs="Times New Roman"/>
                <w:color w:val="000000"/>
                <w:kern w:val="0"/>
                <w:sz w:val="24"/>
                <w:szCs w:val="24"/>
                <w:lang w:val="en-US" w:eastAsia="zh-CN" w:bidi="ar"/>
              </w:rPr>
              <w:t>4）</w:t>
            </w:r>
            <w:r>
              <w:rPr>
                <w:rFonts w:hint="default" w:ascii="Times New Roman" w:hAnsi="Times New Roman" w:eastAsia="宋体" w:cs="Times New Roman"/>
                <w:color w:val="000000"/>
                <w:kern w:val="0"/>
                <w:sz w:val="24"/>
                <w:szCs w:val="24"/>
                <w:lang w:val="en-US" w:eastAsia="zh-CN" w:bidi="ar"/>
              </w:rPr>
              <w:t>工程沿线未发现受国家和地方保护的野生动物，</w:t>
            </w:r>
            <w:r>
              <w:rPr>
                <w:rFonts w:hint="eastAsia" w:ascii="Times New Roman" w:hAnsi="Times New Roman" w:cs="Times New Roman"/>
                <w:color w:val="000000"/>
                <w:kern w:val="0"/>
                <w:sz w:val="24"/>
                <w:szCs w:val="24"/>
                <w:lang w:val="en-US" w:eastAsia="zh-CN" w:bidi="ar"/>
              </w:rPr>
              <w:t>但</w:t>
            </w:r>
            <w:r>
              <w:rPr>
                <w:rFonts w:hint="default" w:ascii="Times New Roman" w:hAnsi="Times New Roman" w:eastAsia="宋体" w:cs="Times New Roman"/>
                <w:color w:val="000000"/>
                <w:kern w:val="0"/>
                <w:sz w:val="24"/>
                <w:szCs w:val="24"/>
                <w:lang w:val="en-US" w:eastAsia="zh-CN" w:bidi="ar"/>
              </w:rPr>
              <w:t>必须加强施工人员宣传教育，文明施工，减少施工人员干扰对野生动物的影响。施工期间遇到常见的野生动物，应进行避让或保护性驱赶，严禁施工人员对区域一般野生动物捕杀。当发现珍稀保护野生动物时，应向当地主管部门汇报，并做好记录，根据野生动物的活动规律和主管部门的意见进行。施工期间如误伤野生动物，应立即送往当地动物医院进行抢救。</w:t>
            </w:r>
          </w:p>
          <w:p w14:paraId="472CC692">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cs="Times New Roman"/>
                <w:color w:val="000000"/>
                <w:kern w:val="0"/>
                <w:sz w:val="24"/>
                <w:szCs w:val="24"/>
                <w:lang w:val="en-US" w:eastAsia="zh-CN" w:bidi="ar"/>
              </w:rPr>
              <w:t>5）</w:t>
            </w:r>
            <w:r>
              <w:rPr>
                <w:rFonts w:ascii="宋体" w:hAnsi="宋体" w:eastAsia="宋体" w:cs="宋体"/>
                <w:sz w:val="24"/>
                <w:szCs w:val="24"/>
              </w:rPr>
              <w:t>项目施工期表土实行分段剥离、集中规范堆存，通过苫布覆盖、洒水抑尘、截排水、边坡固化等措施，可有效防控风蚀扬尘与水力水土流失；施工完毕后全部表土回用于临时占地复绿及项目景观绿化，土壤资源循环利用，无废弃土方产生，最大限度降低土方扰动对区域生态环境的不利影响。</w:t>
            </w:r>
          </w:p>
          <w:p w14:paraId="216C2D88">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cs="Times New Roman"/>
                <w:color w:val="000000"/>
                <w:kern w:val="0"/>
                <w:sz w:val="24"/>
                <w:szCs w:val="24"/>
                <w:lang w:val="en-US" w:eastAsia="zh-CN" w:bidi="ar"/>
              </w:rPr>
              <w:t>6）</w:t>
            </w:r>
            <w:r>
              <w:rPr>
                <w:rFonts w:ascii="宋体" w:hAnsi="宋体" w:eastAsia="宋体" w:cs="宋体"/>
                <w:sz w:val="24"/>
                <w:szCs w:val="24"/>
              </w:rPr>
              <w:t>项目优先优化布局避让成片林地、优质天然草原；施工区设置围挡界定作业红线，严禁超范围碾压破坏植被；作业区内可移植乡土苗木就近移栽，草皮、表土单独剥离防护；避开草原生长旺季施工；施工结束后所有临时占地覆土、播撒乡土草种，原地恢复林草植被，永久占地依法缴纳植被恢复费落实生态补偿。</w:t>
            </w:r>
          </w:p>
          <w:p w14:paraId="69B42281">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8"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pacing w:val="2"/>
                <w:sz w:val="24"/>
                <w:szCs w:val="24"/>
              </w:rPr>
              <w:t>经采取上述防治措施后，施工期造成的生态环境影响能得到有效控</w:t>
            </w:r>
            <w:r>
              <w:rPr>
                <w:rFonts w:hint="default" w:ascii="Times New Roman" w:hAnsi="Times New Roman" w:eastAsia="宋体" w:cs="Times New Roman"/>
                <w:spacing w:val="-3"/>
                <w:sz w:val="24"/>
                <w:szCs w:val="24"/>
              </w:rPr>
              <w:t>制，不会对周边环境造成明显不良影响。</w:t>
            </w:r>
            <w:r>
              <w:rPr>
                <w:rFonts w:hint="eastAsia" w:ascii="Times New Roman" w:hAnsi="Times New Roman" w:cs="Times New Roman"/>
                <w:spacing w:val="-3"/>
                <w:sz w:val="24"/>
                <w:szCs w:val="24"/>
                <w:lang w:val="en-US" w:eastAsia="zh-CN"/>
              </w:rPr>
              <w:t>生态保护措施平面布置图见</w:t>
            </w:r>
            <w:r>
              <w:rPr>
                <w:rFonts w:hint="eastAsia" w:ascii="Times New Roman" w:hAnsi="Times New Roman" w:cs="Times New Roman"/>
                <w:b/>
                <w:bCs/>
                <w:spacing w:val="-3"/>
                <w:sz w:val="24"/>
                <w:szCs w:val="24"/>
                <w:lang w:val="en-US" w:eastAsia="zh-CN"/>
              </w:rPr>
              <w:t>附图5-1</w:t>
            </w:r>
            <w:r>
              <w:rPr>
                <w:rFonts w:hint="eastAsia" w:ascii="Times New Roman" w:hAnsi="Times New Roman" w:cs="Times New Roman"/>
                <w:spacing w:val="-3"/>
                <w:sz w:val="24"/>
                <w:szCs w:val="24"/>
                <w:lang w:val="en-US" w:eastAsia="zh-CN"/>
              </w:rPr>
              <w:t>。</w:t>
            </w:r>
          </w:p>
          <w:p w14:paraId="73541FF3">
            <w:pPr>
              <w:pStyle w:val="88"/>
              <w:keepNext w:val="0"/>
              <w:keepLines w:val="0"/>
              <w:pageBreakBefore w:val="0"/>
              <w:widowControl w:val="0"/>
              <w:numPr>
                <w:ilvl w:val="0"/>
                <w:numId w:val="14"/>
              </w:numPr>
              <w:kinsoku/>
              <w:wordWrap/>
              <w:overflowPunct/>
              <w:topLinePunct w:val="0"/>
              <w:autoSpaceDE/>
              <w:autoSpaceDN/>
              <w:bidi w:val="0"/>
              <w:adjustRightInd/>
              <w:snapToGrid w:val="0"/>
              <w:spacing w:line="360" w:lineRule="auto"/>
              <w:ind w:leftChars="0" w:right="0" w:rightChars="0" w:firstLine="482" w:firstLineChars="200"/>
              <w:jc w:val="both"/>
              <w:textAlignment w:val="auto"/>
              <w:rPr>
                <w:rFonts w:hint="default" w:ascii="Times New Roman" w:hAnsi="Times New Roman" w:eastAsia="宋体" w:cs="Times New Roman"/>
                <w:b/>
                <w:bCs/>
                <w:color w:val="000000"/>
                <w:kern w:val="0"/>
                <w:sz w:val="24"/>
                <w:szCs w:val="24"/>
                <w:lang w:val="en-US" w:eastAsia="zh-CN" w:bidi="ar"/>
              </w:rPr>
            </w:pPr>
            <w:r>
              <w:rPr>
                <w:rFonts w:hint="eastAsia" w:ascii="Times New Roman" w:hAnsi="Times New Roman" w:cs="Times New Roman"/>
                <w:b/>
                <w:bCs/>
                <w:color w:val="000000"/>
                <w:kern w:val="0"/>
                <w:sz w:val="24"/>
                <w:szCs w:val="24"/>
                <w:lang w:val="en-US" w:eastAsia="zh-CN" w:bidi="ar"/>
              </w:rPr>
              <w:t>水土保持防治措施</w:t>
            </w:r>
          </w:p>
          <w:p w14:paraId="1EB81D53">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00" w:right="0" w:rightChars="0"/>
              <w:jc w:val="both"/>
              <w:textAlignment w:val="auto"/>
              <w:rPr>
                <w:rFonts w:hint="default" w:ascii="Times New Roman" w:hAnsi="Times New Roman" w:cs="Times New Roman"/>
                <w:b/>
                <w:bCs/>
                <w:color w:val="000000"/>
                <w:kern w:val="0"/>
                <w:sz w:val="24"/>
                <w:szCs w:val="24"/>
                <w:lang w:val="en-US" w:eastAsia="zh-CN" w:bidi="ar"/>
              </w:rPr>
            </w:pPr>
            <w:r>
              <w:rPr>
                <w:rFonts w:hint="eastAsia" w:ascii="Times New Roman" w:hAnsi="Times New Roman" w:cs="Times New Roman"/>
                <w:b/>
                <w:bCs/>
                <w:color w:val="000000"/>
                <w:kern w:val="0"/>
                <w:sz w:val="24"/>
                <w:szCs w:val="24"/>
                <w:lang w:val="en-US" w:eastAsia="zh-CN" w:bidi="ar"/>
              </w:rPr>
              <w:t>6.1</w:t>
            </w:r>
            <w:r>
              <w:rPr>
                <w:rFonts w:ascii="宋体" w:hAnsi="宋体" w:eastAsia="宋体" w:cs="宋体"/>
                <w:b/>
                <w:bCs/>
                <w:sz w:val="24"/>
                <w:szCs w:val="24"/>
              </w:rPr>
              <w:t>建构筑物区</w:t>
            </w:r>
          </w:p>
          <w:p w14:paraId="776FB076">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eastAsia" w:ascii="Times New Roman" w:hAnsi="Times New Roman" w:cs="Times New Roman"/>
                <w:b w:val="0"/>
                <w:bCs w:val="0"/>
                <w:color w:val="000000"/>
                <w:kern w:val="0"/>
                <w:sz w:val="24"/>
                <w:szCs w:val="24"/>
                <w:lang w:val="en-US" w:eastAsia="zh-CN" w:bidi="ar"/>
              </w:rPr>
            </w:pPr>
            <w:r>
              <w:rPr>
                <w:rFonts w:hint="eastAsia" w:ascii="Times New Roman" w:hAnsi="Times New Roman" w:cs="Times New Roman"/>
                <w:b w:val="0"/>
                <w:bCs w:val="0"/>
                <w:color w:val="000000"/>
                <w:kern w:val="0"/>
                <w:sz w:val="24"/>
                <w:szCs w:val="24"/>
                <w:lang w:val="en-US" w:eastAsia="zh-CN" w:bidi="ar"/>
              </w:rPr>
              <w:t>洒水：由于施工期内建构筑物区人员机械活动频繁，极易产生扬尘，引起水土流失，危害施工人员健康。施工期间在建构筑物区内洒水降尘，洒水定额1.0升/m</w:t>
            </w:r>
            <w:r>
              <w:rPr>
                <w:rFonts w:hint="eastAsia" w:ascii="Times New Roman" w:hAnsi="Times New Roman" w:cs="Times New Roman"/>
                <w:b w:val="0"/>
                <w:bCs w:val="0"/>
                <w:color w:val="000000"/>
                <w:kern w:val="0"/>
                <w:sz w:val="24"/>
                <w:szCs w:val="24"/>
                <w:vertAlign w:val="superscript"/>
                <w:lang w:val="en-US" w:eastAsia="zh-CN" w:bidi="ar"/>
              </w:rPr>
              <w:t>2</w:t>
            </w:r>
            <w:r>
              <w:rPr>
                <w:rFonts w:hint="eastAsia" w:ascii="Times New Roman" w:hAnsi="Times New Roman" w:cs="Times New Roman"/>
                <w:b w:val="0"/>
                <w:bCs w:val="0"/>
                <w:color w:val="000000"/>
                <w:kern w:val="0"/>
                <w:sz w:val="24"/>
                <w:szCs w:val="24"/>
                <w:lang w:val="en-US" w:eastAsia="zh-CN" w:bidi="ar"/>
              </w:rPr>
              <w:t>，每日洒水2次，洒水时长60天，施工期间总洒水量144m</w:t>
            </w:r>
            <w:r>
              <w:rPr>
                <w:rFonts w:hint="eastAsia" w:ascii="Times New Roman" w:hAnsi="Times New Roman" w:cs="Times New Roman"/>
                <w:b w:val="0"/>
                <w:bCs w:val="0"/>
                <w:color w:val="000000"/>
                <w:kern w:val="0"/>
                <w:sz w:val="24"/>
                <w:szCs w:val="24"/>
                <w:vertAlign w:val="superscript"/>
                <w:lang w:val="en-US" w:eastAsia="zh-CN" w:bidi="ar"/>
              </w:rPr>
              <w:t>3</w:t>
            </w:r>
            <w:r>
              <w:rPr>
                <w:rFonts w:hint="eastAsia" w:ascii="Times New Roman" w:hAnsi="Times New Roman" w:cs="Times New Roman"/>
                <w:b w:val="0"/>
                <w:bCs w:val="0"/>
                <w:color w:val="000000"/>
                <w:kern w:val="0"/>
                <w:sz w:val="24"/>
                <w:szCs w:val="24"/>
                <w:lang w:val="en-US" w:eastAsia="zh-CN" w:bidi="ar"/>
              </w:rPr>
              <w:t>。</w:t>
            </w:r>
          </w:p>
          <w:p w14:paraId="497771FD">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eastAsia" w:ascii="Times New Roman" w:hAnsi="Times New Roman" w:cs="Times New Roman"/>
                <w:b/>
                <w:bCs/>
                <w:color w:val="000000"/>
                <w:kern w:val="0"/>
                <w:sz w:val="24"/>
                <w:szCs w:val="24"/>
                <w:lang w:val="en-US" w:eastAsia="zh-CN" w:bidi="ar"/>
              </w:rPr>
            </w:pPr>
            <w:r>
              <w:rPr>
                <w:rFonts w:hint="eastAsia" w:ascii="Times New Roman" w:hAnsi="Times New Roman" w:cs="Times New Roman"/>
                <w:b w:val="0"/>
                <w:bCs w:val="0"/>
                <w:color w:val="000000"/>
                <w:kern w:val="0"/>
                <w:sz w:val="24"/>
                <w:szCs w:val="24"/>
                <w:lang w:val="en-US" w:eastAsia="zh-CN" w:bidi="ar"/>
              </w:rPr>
              <w:t>防尘网苫盖：建构筑物区开挖堆土裸露堆放，在大风和暴雨天气条件下极易产生土壤流失。为防止堆土堆放期间新增水土流失，采取防尘网苫盖防护措施，防尘网可重复回收利用，防尘网苫盖总面积600m</w:t>
            </w:r>
            <w:r>
              <w:rPr>
                <w:rFonts w:hint="eastAsia" w:ascii="Times New Roman" w:hAnsi="Times New Roman" w:cs="Times New Roman"/>
                <w:b w:val="0"/>
                <w:bCs w:val="0"/>
                <w:color w:val="000000"/>
                <w:kern w:val="0"/>
                <w:sz w:val="24"/>
                <w:szCs w:val="24"/>
                <w:vertAlign w:val="superscript"/>
                <w:lang w:val="en-US" w:eastAsia="zh-CN" w:bidi="ar"/>
              </w:rPr>
              <w:t>2</w:t>
            </w:r>
            <w:r>
              <w:rPr>
                <w:rFonts w:hint="eastAsia" w:ascii="Times New Roman" w:hAnsi="Times New Roman" w:cs="Times New Roman"/>
                <w:b w:val="0"/>
                <w:bCs w:val="0"/>
                <w:color w:val="000000"/>
                <w:kern w:val="0"/>
                <w:sz w:val="24"/>
                <w:szCs w:val="24"/>
                <w:lang w:val="en-US" w:eastAsia="zh-CN" w:bidi="ar"/>
              </w:rPr>
              <w:t>。</w:t>
            </w:r>
          </w:p>
          <w:p w14:paraId="2F3B0680">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00" w:right="0" w:rightChars="0"/>
              <w:jc w:val="both"/>
              <w:textAlignment w:val="auto"/>
              <w:rPr>
                <w:rFonts w:hint="default" w:ascii="Times New Roman" w:hAnsi="Times New Roman" w:cs="Times New Roman"/>
                <w:b/>
                <w:bCs/>
                <w:color w:val="000000"/>
                <w:kern w:val="0"/>
                <w:sz w:val="24"/>
                <w:szCs w:val="24"/>
                <w:lang w:val="en-US" w:eastAsia="zh-CN" w:bidi="ar"/>
              </w:rPr>
            </w:pPr>
            <w:r>
              <w:rPr>
                <w:rFonts w:hint="eastAsia" w:ascii="Times New Roman" w:hAnsi="Times New Roman" w:cs="Times New Roman"/>
                <w:b/>
                <w:bCs/>
                <w:color w:val="000000"/>
                <w:kern w:val="0"/>
                <w:sz w:val="24"/>
                <w:szCs w:val="24"/>
                <w:lang w:val="en-US" w:eastAsia="zh-CN" w:bidi="ar"/>
              </w:rPr>
              <w:t>6.2</w:t>
            </w:r>
            <w:r>
              <w:rPr>
                <w:rFonts w:ascii="宋体" w:hAnsi="宋体" w:eastAsia="宋体" w:cs="宋体"/>
                <w:b/>
                <w:bCs/>
                <w:sz w:val="24"/>
                <w:szCs w:val="24"/>
              </w:rPr>
              <w:t>道路区</w:t>
            </w:r>
          </w:p>
          <w:p w14:paraId="2314B234">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cs="Times New Roman"/>
                <w:b w:val="0"/>
                <w:bCs w:val="0"/>
                <w:color w:val="000000"/>
                <w:kern w:val="0"/>
                <w:sz w:val="24"/>
                <w:szCs w:val="24"/>
                <w:lang w:val="en-US" w:eastAsia="zh-CN" w:bidi="ar"/>
              </w:rPr>
            </w:pPr>
            <w:r>
              <w:rPr>
                <w:rFonts w:hint="default" w:ascii="Times New Roman" w:hAnsi="Times New Roman" w:cs="Times New Roman"/>
                <w:b w:val="0"/>
                <w:bCs w:val="0"/>
                <w:color w:val="000000"/>
                <w:kern w:val="0"/>
                <w:sz w:val="24"/>
                <w:szCs w:val="24"/>
                <w:lang w:val="en-US" w:eastAsia="zh-CN" w:bidi="ar"/>
              </w:rPr>
              <w:t>绿化覆土：主体工程施工完工后，对绿化工程区实施绿化覆土处置，外购覆土取自手续齐全、合规运营的本地土料场。</w:t>
            </w:r>
          </w:p>
          <w:p w14:paraId="122D1888">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cs="Times New Roman"/>
                <w:b w:val="0"/>
                <w:bCs w:val="0"/>
                <w:color w:val="000000"/>
                <w:kern w:val="0"/>
                <w:sz w:val="24"/>
                <w:szCs w:val="24"/>
                <w:lang w:val="en-US" w:eastAsia="zh-CN" w:bidi="ar"/>
              </w:rPr>
            </w:pPr>
            <w:r>
              <w:rPr>
                <w:rFonts w:hint="default" w:ascii="Times New Roman" w:hAnsi="Times New Roman" w:cs="Times New Roman"/>
                <w:b w:val="0"/>
                <w:bCs w:val="0"/>
                <w:color w:val="000000"/>
                <w:kern w:val="0"/>
                <w:sz w:val="24"/>
                <w:szCs w:val="24"/>
                <w:lang w:val="en-US" w:eastAsia="zh-CN" w:bidi="ar"/>
              </w:rPr>
              <w:t>土地整治：绿化工程区完成覆土作业后开展土地整治施工。</w:t>
            </w:r>
          </w:p>
          <w:p w14:paraId="09E55AB1">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cs="Times New Roman"/>
                <w:b w:val="0"/>
                <w:bCs w:val="0"/>
                <w:color w:val="000000"/>
                <w:kern w:val="0"/>
                <w:sz w:val="24"/>
                <w:szCs w:val="24"/>
                <w:lang w:val="en-US" w:eastAsia="zh-CN" w:bidi="ar"/>
              </w:rPr>
            </w:pPr>
            <w:r>
              <w:rPr>
                <w:rFonts w:hint="default" w:ascii="Times New Roman" w:hAnsi="Times New Roman" w:cs="Times New Roman"/>
                <w:b w:val="0"/>
                <w:bCs w:val="0"/>
                <w:color w:val="000000"/>
                <w:kern w:val="0"/>
                <w:sz w:val="24"/>
                <w:szCs w:val="24"/>
                <w:lang w:val="en-US" w:eastAsia="zh-CN" w:bidi="ar"/>
              </w:rPr>
              <w:t>灌溉系统：结合主体工程设计，为节约水资源，绿化灌溉采用喷灌+ 滴灌组合模式，水源引自现状市政给水管网；施工结束后在绿化工程区配套建设灌溉系统。</w:t>
            </w:r>
          </w:p>
          <w:p w14:paraId="44B2645B">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cs="Times New Roman"/>
                <w:b w:val="0"/>
                <w:bCs w:val="0"/>
                <w:color w:val="000000"/>
                <w:kern w:val="0"/>
                <w:sz w:val="24"/>
                <w:szCs w:val="24"/>
                <w:lang w:val="en-US" w:eastAsia="zh-CN" w:bidi="ar"/>
              </w:rPr>
            </w:pPr>
            <w:r>
              <w:rPr>
                <w:rFonts w:hint="default" w:ascii="Times New Roman" w:hAnsi="Times New Roman" w:cs="Times New Roman"/>
                <w:b w:val="0"/>
                <w:bCs w:val="0"/>
                <w:color w:val="000000"/>
                <w:kern w:val="0"/>
                <w:sz w:val="24"/>
                <w:szCs w:val="24"/>
                <w:lang w:val="en-US" w:eastAsia="zh-CN" w:bidi="ar"/>
              </w:rPr>
              <w:t>种植乔木、灌木、草坪：按照主体工程布局，道路两侧栽植行道树，采用集中绿化+分散绿化结合布设形式，建筑周边空地全覆盖铺设草皮，搭配栽植花草、灌木，提升项目区整体绿化覆盖率；施工完毕后在绿化工程区实施乔灌草种植。</w:t>
            </w:r>
          </w:p>
          <w:p w14:paraId="61A3C38A">
            <w:pPr>
              <w:pStyle w:val="88"/>
              <w:keepNext w:val="0"/>
              <w:keepLines w:val="0"/>
              <w:pageBreakBefore w:val="0"/>
              <w:widowControl w:val="0"/>
              <w:numPr>
                <w:ilvl w:val="0"/>
                <w:numId w:val="14"/>
              </w:numPr>
              <w:kinsoku/>
              <w:wordWrap/>
              <w:overflowPunct/>
              <w:topLinePunct w:val="0"/>
              <w:autoSpaceDE/>
              <w:autoSpaceDN/>
              <w:bidi w:val="0"/>
              <w:adjustRightInd/>
              <w:snapToGrid w:val="0"/>
              <w:spacing w:line="360" w:lineRule="auto"/>
              <w:ind w:leftChars="0" w:right="0" w:rightChars="0" w:firstLine="482" w:firstLineChars="200"/>
              <w:jc w:val="both"/>
              <w:textAlignment w:val="auto"/>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施工期措施内容及责任主体</w:t>
            </w:r>
          </w:p>
          <w:p w14:paraId="366F41FD">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right="0" w:rightChars="0"/>
              <w:jc w:val="center"/>
              <w:textAlignment w:val="auto"/>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1"/>
                <w:szCs w:val="21"/>
                <w:lang w:val="en-US" w:eastAsia="zh-CN" w:bidi="ar"/>
              </w:rPr>
              <w:t>表5-1施工期措施内容及责任主体一览表</w:t>
            </w:r>
          </w:p>
          <w:tbl>
            <w:tblPr>
              <w:tblStyle w:val="3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946"/>
              <w:gridCol w:w="2177"/>
              <w:gridCol w:w="681"/>
              <w:gridCol w:w="453"/>
              <w:gridCol w:w="637"/>
              <w:gridCol w:w="1213"/>
            </w:tblGrid>
            <w:tr w14:paraId="315A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Borders>
                    <w:left w:val="nil"/>
                  </w:tcBorders>
                  <w:noWrap w:val="0"/>
                  <w:vAlign w:val="center"/>
                </w:tcPr>
                <w:p w14:paraId="7FEA360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类型</w:t>
                  </w:r>
                </w:p>
              </w:tc>
              <w:tc>
                <w:tcPr>
                  <w:tcW w:w="1946" w:type="dxa"/>
                  <w:noWrap w:val="0"/>
                  <w:vAlign w:val="center"/>
                </w:tcPr>
                <w:p w14:paraId="1BAABB38">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措施内容</w:t>
                  </w:r>
                </w:p>
              </w:tc>
              <w:tc>
                <w:tcPr>
                  <w:tcW w:w="2177" w:type="dxa"/>
                  <w:noWrap w:val="0"/>
                  <w:vAlign w:val="center"/>
                </w:tcPr>
                <w:p w14:paraId="75A8A2A8">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规模及工艺</w:t>
                  </w:r>
                </w:p>
              </w:tc>
              <w:tc>
                <w:tcPr>
                  <w:tcW w:w="681" w:type="dxa"/>
                  <w:noWrap w:val="0"/>
                  <w:vAlign w:val="center"/>
                </w:tcPr>
                <w:p w14:paraId="27F1BABC">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实施部位及时间</w:t>
                  </w:r>
                </w:p>
              </w:tc>
              <w:tc>
                <w:tcPr>
                  <w:tcW w:w="453" w:type="dxa"/>
                  <w:noWrap w:val="0"/>
                  <w:vAlign w:val="center"/>
                </w:tcPr>
                <w:p w14:paraId="03A7F40D">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责任主体</w:t>
                  </w:r>
                </w:p>
              </w:tc>
              <w:tc>
                <w:tcPr>
                  <w:tcW w:w="637" w:type="dxa"/>
                  <w:noWrap w:val="0"/>
                  <w:vAlign w:val="center"/>
                </w:tcPr>
                <w:p w14:paraId="639EF49B">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实施保障</w:t>
                  </w:r>
                </w:p>
              </w:tc>
              <w:tc>
                <w:tcPr>
                  <w:tcW w:w="1213" w:type="dxa"/>
                  <w:tcBorders>
                    <w:right w:val="nil"/>
                  </w:tcBorders>
                  <w:noWrap w:val="0"/>
                  <w:vAlign w:val="center"/>
                </w:tcPr>
                <w:p w14:paraId="01ACC59B">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实施效果</w:t>
                  </w:r>
                </w:p>
              </w:tc>
            </w:tr>
            <w:tr w14:paraId="37C7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restart"/>
                  <w:tcBorders>
                    <w:left w:val="nil"/>
                  </w:tcBorders>
                  <w:noWrap w:val="0"/>
                  <w:vAlign w:val="center"/>
                </w:tcPr>
                <w:p w14:paraId="3F512355">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大气</w:t>
                  </w:r>
                </w:p>
              </w:tc>
              <w:tc>
                <w:tcPr>
                  <w:tcW w:w="1946" w:type="dxa"/>
                  <w:noWrap w:val="0"/>
                  <w:vAlign w:val="center"/>
                </w:tcPr>
                <w:p w14:paraId="3BBA8604">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项目建设区域进行封闭施工</w:t>
                  </w:r>
                </w:p>
              </w:tc>
              <w:tc>
                <w:tcPr>
                  <w:tcW w:w="2177" w:type="dxa"/>
                  <w:noWrap w:val="0"/>
                  <w:vAlign w:val="center"/>
                </w:tcPr>
                <w:p w14:paraId="081AA493">
                  <w:pPr>
                    <w:pStyle w:val="8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spacing w:val="-3"/>
                      <w:sz w:val="21"/>
                      <w:szCs w:val="21"/>
                    </w:rPr>
                    <w:t>建立围挡</w:t>
                  </w:r>
                  <w:r>
                    <w:rPr>
                      <w:rFonts w:hint="default" w:ascii="Times New Roman" w:hAnsi="Times New Roman" w:eastAsia="宋体" w:cs="Times New Roman"/>
                      <w:spacing w:val="-2"/>
                      <w:sz w:val="21"/>
                      <w:szCs w:val="21"/>
                    </w:rPr>
                    <w:t>封闭施工</w:t>
                  </w:r>
                </w:p>
              </w:tc>
              <w:tc>
                <w:tcPr>
                  <w:tcW w:w="681" w:type="dxa"/>
                  <w:vMerge w:val="restart"/>
                  <w:noWrap w:val="0"/>
                  <w:vAlign w:val="center"/>
                </w:tcPr>
                <w:p w14:paraId="47BE1BD3">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项目建设</w:t>
                  </w:r>
                </w:p>
                <w:p w14:paraId="3DE05272">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区域、工期</w:t>
                  </w:r>
                </w:p>
                <w:p w14:paraId="3DC2C6DA">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12个月</w:t>
                  </w:r>
                </w:p>
              </w:tc>
              <w:tc>
                <w:tcPr>
                  <w:tcW w:w="453" w:type="dxa"/>
                  <w:vMerge w:val="restart"/>
                  <w:noWrap w:val="0"/>
                  <w:vAlign w:val="center"/>
                </w:tcPr>
                <w:p w14:paraId="0984DF78">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sz w:val="21"/>
                      <w:szCs w:val="21"/>
                      <w:highlight w:val="none"/>
                      <w:lang w:val="en-US" w:eastAsia="zh-CN"/>
                    </w:rPr>
                    <w:t>新疆天山天池文化旅游投资有限公司</w:t>
                  </w:r>
                </w:p>
              </w:tc>
              <w:tc>
                <w:tcPr>
                  <w:tcW w:w="637" w:type="dxa"/>
                  <w:vMerge w:val="restart"/>
                  <w:noWrap w:val="0"/>
                  <w:vAlign w:val="center"/>
                </w:tcPr>
                <w:p w14:paraId="75BA455F">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对施工现</w:t>
                  </w:r>
                </w:p>
                <w:p w14:paraId="033E1A74">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场实行统</w:t>
                  </w:r>
                </w:p>
                <w:p w14:paraId="1A50FB0D">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一管理，指</w:t>
                  </w:r>
                </w:p>
                <w:p w14:paraId="648B088C">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派有资质</w:t>
                  </w:r>
                </w:p>
                <w:p w14:paraId="3CEBB2EE">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的环境监</w:t>
                  </w:r>
                </w:p>
                <w:p w14:paraId="41AF3CC0">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理单位实</w:t>
                  </w:r>
                </w:p>
                <w:p w14:paraId="62F3CC68">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施日常监</w:t>
                  </w:r>
                </w:p>
                <w:p w14:paraId="4865407B">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督管理，对</w:t>
                  </w:r>
                </w:p>
                <w:p w14:paraId="0D9361A7">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相应措施</w:t>
                  </w:r>
                </w:p>
                <w:p w14:paraId="5138F8A0">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进行日常</w:t>
                  </w:r>
                </w:p>
                <w:p w14:paraId="486D4E0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记录和维</w:t>
                  </w:r>
                </w:p>
                <w:p w14:paraId="50C9ADA0">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护</w:t>
                  </w:r>
                </w:p>
              </w:tc>
              <w:tc>
                <w:tcPr>
                  <w:tcW w:w="1213" w:type="dxa"/>
                  <w:vMerge w:val="restart"/>
                  <w:tcBorders>
                    <w:right w:val="nil"/>
                  </w:tcBorders>
                  <w:noWrap w:val="0"/>
                  <w:vAlign w:val="center"/>
                </w:tcPr>
                <w:p w14:paraId="4D215876">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大幅度降</w:t>
                  </w:r>
                </w:p>
                <w:p w14:paraId="2CE2210D">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低施工造</w:t>
                  </w:r>
                </w:p>
                <w:p w14:paraId="5FC1E81E">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成的大气</w:t>
                  </w:r>
                </w:p>
                <w:p w14:paraId="303D39F9">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污染，经过</w:t>
                  </w:r>
                </w:p>
                <w:p w14:paraId="0EEFCF5F">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上述措施</w:t>
                  </w:r>
                </w:p>
                <w:p w14:paraId="6CC6024C">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后，颗粒物</w:t>
                  </w:r>
                </w:p>
                <w:p w14:paraId="44D89A5F">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的排放浓</w:t>
                  </w:r>
                </w:p>
                <w:p w14:paraId="6506BF7C">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度可达到</w:t>
                  </w:r>
                </w:p>
                <w:p w14:paraId="53D27D35">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《大气</w:t>
                  </w:r>
                </w:p>
                <w:p w14:paraId="5D0C1857">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污染物综</w:t>
                  </w:r>
                </w:p>
                <w:p w14:paraId="44A47800">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合排放标</w:t>
                  </w:r>
                </w:p>
                <w:p w14:paraId="738FC1AE">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准》</w:t>
                  </w:r>
                </w:p>
                <w:p w14:paraId="259AFBBB">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eastAsia" w:ascii="Times New Roman" w:hAnsi="Times New Roman" w:cs="Times New Roman"/>
                      <w:color w:val="000000"/>
                      <w:kern w:val="0"/>
                      <w:sz w:val="21"/>
                      <w:szCs w:val="21"/>
                      <w:vertAlign w:val="baseline"/>
                      <w:lang w:val="en-US" w:eastAsia="zh-CN" w:bidi="ar"/>
                    </w:rPr>
                    <w:t>(</w:t>
                  </w:r>
                  <w:r>
                    <w:rPr>
                      <w:rFonts w:hint="default" w:ascii="Times New Roman" w:hAnsi="Times New Roman" w:eastAsia="宋体" w:cs="Times New Roman"/>
                      <w:color w:val="000000"/>
                      <w:kern w:val="0"/>
                      <w:sz w:val="21"/>
                      <w:szCs w:val="21"/>
                      <w:vertAlign w:val="baseline"/>
                      <w:lang w:val="en-US" w:eastAsia="zh-CN" w:bidi="ar"/>
                    </w:rPr>
                    <w:t>GB16297-</w:t>
                  </w:r>
                </w:p>
                <w:p w14:paraId="1D7D17F4">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1996</w:t>
                  </w:r>
                  <w:r>
                    <w:rPr>
                      <w:rFonts w:hint="eastAsia" w:ascii="Times New Roman" w:hAnsi="Times New Roman" w:cs="Times New Roman"/>
                      <w:color w:val="000000"/>
                      <w:kern w:val="0"/>
                      <w:sz w:val="21"/>
                      <w:szCs w:val="21"/>
                      <w:vertAlign w:val="baseline"/>
                      <w:lang w:val="en-US" w:eastAsia="zh-CN" w:bidi="ar"/>
                    </w:rPr>
                    <w:t>).</w:t>
                  </w:r>
                </w:p>
              </w:tc>
            </w:tr>
            <w:tr w14:paraId="31A0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43A3822A">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0E9D2EE4">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洒水降尘</w:t>
                  </w:r>
                </w:p>
              </w:tc>
              <w:tc>
                <w:tcPr>
                  <w:tcW w:w="2177" w:type="dxa"/>
                  <w:noWrap w:val="0"/>
                  <w:vAlign w:val="center"/>
                </w:tcPr>
                <w:p w14:paraId="57995864">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spacing w:val="-5"/>
                      <w:sz w:val="21"/>
                      <w:szCs w:val="21"/>
                    </w:rPr>
                    <w:t>每2</w:t>
                  </w:r>
                  <w:r>
                    <w:rPr>
                      <w:rFonts w:hint="eastAsia" w:ascii="Times New Roman" w:hAnsi="Times New Roman" w:cs="Times New Roman"/>
                      <w:spacing w:val="-5"/>
                      <w:sz w:val="21"/>
                      <w:szCs w:val="21"/>
                      <w:lang w:eastAsia="zh-CN"/>
                    </w:rPr>
                    <w:t>—</w:t>
                  </w:r>
                  <w:r>
                    <w:rPr>
                      <w:rFonts w:hint="default" w:ascii="Times New Roman" w:hAnsi="Times New Roman" w:eastAsia="宋体" w:cs="Times New Roman"/>
                      <w:spacing w:val="-5"/>
                      <w:sz w:val="21"/>
                      <w:szCs w:val="21"/>
                    </w:rPr>
                    <w:t>4小时</w:t>
                  </w:r>
                  <w:r>
                    <w:rPr>
                      <w:rFonts w:hint="default" w:ascii="Times New Roman" w:hAnsi="Times New Roman" w:eastAsia="宋体" w:cs="Times New Roman"/>
                      <w:spacing w:val="-15"/>
                      <w:sz w:val="21"/>
                      <w:szCs w:val="21"/>
                    </w:rPr>
                    <w:t>洒水1次，</w:t>
                  </w:r>
                  <w:r>
                    <w:rPr>
                      <w:rFonts w:hint="default" w:ascii="Times New Roman" w:hAnsi="Times New Roman" w:eastAsia="宋体" w:cs="Times New Roman"/>
                      <w:spacing w:val="22"/>
                      <w:sz w:val="21"/>
                      <w:szCs w:val="21"/>
                    </w:rPr>
                    <w:t>围挡上方</w:t>
                  </w:r>
                  <w:r>
                    <w:rPr>
                      <w:rFonts w:hint="default" w:ascii="Times New Roman" w:hAnsi="Times New Roman" w:eastAsia="宋体" w:cs="Times New Roman"/>
                      <w:spacing w:val="-3"/>
                      <w:sz w:val="21"/>
                      <w:szCs w:val="21"/>
                    </w:rPr>
                    <w:t>设置喷淋</w:t>
                  </w:r>
                  <w:r>
                    <w:rPr>
                      <w:rFonts w:hint="default" w:ascii="Times New Roman" w:hAnsi="Times New Roman" w:eastAsia="宋体" w:cs="Times New Roman"/>
                      <w:sz w:val="21"/>
                      <w:szCs w:val="21"/>
                    </w:rPr>
                    <w:t>头</w:t>
                  </w:r>
                </w:p>
              </w:tc>
              <w:tc>
                <w:tcPr>
                  <w:tcW w:w="681" w:type="dxa"/>
                  <w:vMerge w:val="continue"/>
                  <w:noWrap w:val="0"/>
                  <w:vAlign w:val="center"/>
                </w:tcPr>
                <w:p w14:paraId="2441863E">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62639229">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3B44E17E">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46528F92">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6447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22A118FC">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6C0A439D">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施工、堆场、堆料等扬尘管理</w:t>
                  </w:r>
                </w:p>
              </w:tc>
              <w:tc>
                <w:tcPr>
                  <w:tcW w:w="2177" w:type="dxa"/>
                  <w:noWrap w:val="0"/>
                  <w:vAlign w:val="center"/>
                </w:tcPr>
                <w:p w14:paraId="6AFE7727">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洒水降尘、</w:t>
                  </w:r>
                  <w:r>
                    <w:rPr>
                      <w:rFonts w:hint="default" w:ascii="Times New Roman" w:hAnsi="Times New Roman" w:eastAsia="宋体" w:cs="Times New Roman"/>
                      <w:spacing w:val="-8"/>
                      <w:sz w:val="21"/>
                      <w:szCs w:val="21"/>
                    </w:rPr>
                    <w:t>围挡、防尘</w:t>
                  </w:r>
                </w:p>
                <w:p w14:paraId="4FC0DCDC">
                  <w:pPr>
                    <w:pStyle w:val="88"/>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spacing w:val="-7"/>
                      <w:sz w:val="21"/>
                      <w:szCs w:val="21"/>
                    </w:rPr>
                    <w:t>网、防风屏</w:t>
                  </w:r>
                </w:p>
              </w:tc>
              <w:tc>
                <w:tcPr>
                  <w:tcW w:w="681" w:type="dxa"/>
                  <w:vMerge w:val="continue"/>
                  <w:noWrap w:val="0"/>
                  <w:vAlign w:val="center"/>
                </w:tcPr>
                <w:p w14:paraId="7D34F686">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6E973724">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7C326FA9">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17074BA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518D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294DE2E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75B1A9FF">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道路交通扬尘、废气控制</w:t>
                  </w:r>
                </w:p>
              </w:tc>
              <w:tc>
                <w:tcPr>
                  <w:tcW w:w="2177" w:type="dxa"/>
                  <w:noWrap w:val="0"/>
                  <w:vAlign w:val="center"/>
                </w:tcPr>
                <w:p w14:paraId="5CC4D59E">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spacing w:val="-9"/>
                      <w:sz w:val="21"/>
                      <w:szCs w:val="21"/>
                    </w:rPr>
                    <w:t>洒水降尘、</w:t>
                  </w:r>
                  <w:r>
                    <w:rPr>
                      <w:rFonts w:hint="default" w:ascii="Times New Roman" w:hAnsi="Times New Roman" w:eastAsia="宋体" w:cs="Times New Roman"/>
                      <w:spacing w:val="22"/>
                      <w:sz w:val="21"/>
                      <w:szCs w:val="21"/>
                    </w:rPr>
                    <w:t>车辆密闭</w:t>
                  </w:r>
                  <w:r>
                    <w:rPr>
                      <w:rFonts w:hint="default" w:ascii="Times New Roman" w:hAnsi="Times New Roman" w:eastAsia="宋体" w:cs="Times New Roman"/>
                      <w:spacing w:val="-8"/>
                      <w:sz w:val="21"/>
                      <w:szCs w:val="21"/>
                    </w:rPr>
                    <w:t>覆盖措施、进出冲洗、</w:t>
                  </w:r>
                  <w:r>
                    <w:rPr>
                      <w:rFonts w:hint="default" w:ascii="Times New Roman" w:hAnsi="Times New Roman" w:eastAsia="宋体" w:cs="Times New Roman"/>
                      <w:spacing w:val="-5"/>
                      <w:sz w:val="21"/>
                      <w:szCs w:val="21"/>
                    </w:rPr>
                    <w:t>限制车速</w:t>
                  </w:r>
                  <w:r>
                    <w:rPr>
                      <w:rFonts w:hint="default" w:ascii="Times New Roman" w:hAnsi="Times New Roman" w:eastAsia="宋体" w:cs="Times New Roman"/>
                      <w:spacing w:val="-1"/>
                      <w:sz w:val="21"/>
                      <w:szCs w:val="21"/>
                    </w:rPr>
                    <w:t>施工场地</w:t>
                  </w:r>
                  <w:r>
                    <w:rPr>
                      <w:rFonts w:hint="default" w:ascii="Times New Roman" w:hAnsi="Times New Roman" w:eastAsia="宋体" w:cs="Times New Roman"/>
                      <w:spacing w:val="-6"/>
                      <w:sz w:val="21"/>
                      <w:szCs w:val="21"/>
                    </w:rPr>
                    <w:t>10km/h，其</w:t>
                  </w:r>
                  <w:r>
                    <w:rPr>
                      <w:rFonts w:hint="default" w:ascii="Times New Roman" w:hAnsi="Times New Roman" w:eastAsia="宋体" w:cs="Times New Roman"/>
                      <w:spacing w:val="-2"/>
                      <w:sz w:val="21"/>
                      <w:szCs w:val="21"/>
                    </w:rPr>
                    <w:t>他区域30km/h</w:t>
                  </w:r>
                </w:p>
              </w:tc>
              <w:tc>
                <w:tcPr>
                  <w:tcW w:w="681" w:type="dxa"/>
                  <w:vMerge w:val="continue"/>
                  <w:noWrap w:val="0"/>
                  <w:vAlign w:val="center"/>
                </w:tcPr>
                <w:p w14:paraId="4AF98C6F">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50812CE9">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66EDB4C0">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1215C9C3">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48E5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restart"/>
                  <w:tcBorders>
                    <w:left w:val="nil"/>
                  </w:tcBorders>
                  <w:noWrap w:val="0"/>
                  <w:vAlign w:val="center"/>
                </w:tcPr>
                <w:p w14:paraId="6F0ECBBA">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水环境</w:t>
                  </w:r>
                </w:p>
              </w:tc>
              <w:tc>
                <w:tcPr>
                  <w:tcW w:w="1946" w:type="dxa"/>
                  <w:noWrap w:val="0"/>
                  <w:vAlign w:val="center"/>
                </w:tcPr>
                <w:p w14:paraId="5DE462EC">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合理选择施工时间</w:t>
                  </w:r>
                </w:p>
              </w:tc>
              <w:tc>
                <w:tcPr>
                  <w:tcW w:w="2177" w:type="dxa"/>
                  <w:noWrap w:val="0"/>
                  <w:vAlign w:val="center"/>
                </w:tcPr>
                <w:p w14:paraId="076FC354">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
                      <w:sz w:val="21"/>
                      <w:szCs w:val="21"/>
                    </w:rPr>
                    <w:t>避免雨季进行挖填</w:t>
                  </w:r>
                </w:p>
                <w:p w14:paraId="7BF7672F">
                  <w:pPr>
                    <w:pStyle w:val="8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2"/>
                      <w:sz w:val="21"/>
                      <w:szCs w:val="21"/>
                    </w:rPr>
                    <w:t>方大的工</w:t>
                  </w:r>
                  <w:r>
                    <w:rPr>
                      <w:rFonts w:hint="default" w:ascii="Times New Roman" w:hAnsi="Times New Roman" w:eastAsia="宋体" w:cs="Times New Roman"/>
                      <w:spacing w:val="-1"/>
                      <w:sz w:val="21"/>
                      <w:szCs w:val="21"/>
                    </w:rPr>
                    <w:t>程建设</w:t>
                  </w:r>
                </w:p>
              </w:tc>
              <w:tc>
                <w:tcPr>
                  <w:tcW w:w="681" w:type="dxa"/>
                  <w:vMerge w:val="continue"/>
                  <w:noWrap w:val="0"/>
                  <w:vAlign w:val="center"/>
                </w:tcPr>
                <w:p w14:paraId="191765D7">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2AD7540A">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282DCAD7">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restart"/>
                  <w:tcBorders>
                    <w:right w:val="nil"/>
                  </w:tcBorders>
                  <w:noWrap w:val="0"/>
                  <w:vAlign w:val="center"/>
                </w:tcPr>
                <w:p w14:paraId="0A7D2132">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spacing w:val="-3"/>
                      <w:sz w:val="21"/>
                      <w:szCs w:val="21"/>
                    </w:rPr>
                    <w:t>设置废水</w:t>
                  </w:r>
                  <w:r>
                    <w:rPr>
                      <w:rFonts w:hint="default" w:ascii="Times New Roman" w:hAnsi="Times New Roman" w:eastAsia="宋体" w:cs="Times New Roman"/>
                      <w:spacing w:val="-5"/>
                      <w:sz w:val="21"/>
                      <w:szCs w:val="21"/>
                    </w:rPr>
                    <w:t>临时沉砂</w:t>
                  </w:r>
                  <w:r>
                    <w:rPr>
                      <w:rFonts w:hint="default" w:ascii="Times New Roman" w:hAnsi="Times New Roman" w:eastAsia="宋体" w:cs="Times New Roman"/>
                      <w:spacing w:val="-2"/>
                      <w:sz w:val="21"/>
                      <w:szCs w:val="21"/>
                    </w:rPr>
                    <w:t>池可大幅</w:t>
                  </w:r>
                  <w:r>
                    <w:rPr>
                      <w:rFonts w:hint="default" w:ascii="Times New Roman" w:hAnsi="Times New Roman" w:eastAsia="宋体" w:cs="Times New Roman"/>
                      <w:spacing w:val="-1"/>
                      <w:sz w:val="21"/>
                      <w:szCs w:val="21"/>
                    </w:rPr>
                    <w:t>度降低施</w:t>
                  </w:r>
                  <w:r>
                    <w:rPr>
                      <w:rFonts w:hint="default" w:ascii="Times New Roman" w:hAnsi="Times New Roman" w:eastAsia="宋体" w:cs="Times New Roman"/>
                      <w:spacing w:val="-3"/>
                      <w:sz w:val="21"/>
                      <w:szCs w:val="21"/>
                    </w:rPr>
                    <w:t>工造成的</w:t>
                  </w:r>
                  <w:r>
                    <w:rPr>
                      <w:rFonts w:hint="default" w:ascii="Times New Roman" w:hAnsi="Times New Roman" w:eastAsia="宋体" w:cs="Times New Roman"/>
                      <w:spacing w:val="-4"/>
                      <w:sz w:val="21"/>
                      <w:szCs w:val="21"/>
                    </w:rPr>
                    <w:t>水污染，</w:t>
                  </w:r>
                  <w:r>
                    <w:rPr>
                      <w:rFonts w:hint="eastAsia" w:ascii="Times New Roman" w:hAnsi="Times New Roman" w:cs="Times New Roman"/>
                      <w:spacing w:val="-4"/>
                      <w:sz w:val="21"/>
                      <w:szCs w:val="21"/>
                      <w:lang w:val="en-US" w:eastAsia="zh-CN"/>
                    </w:rPr>
                    <w:t>施</w:t>
                  </w:r>
                  <w:r>
                    <w:rPr>
                      <w:rFonts w:hint="default" w:ascii="Times New Roman" w:hAnsi="Times New Roman" w:eastAsia="宋体" w:cs="Times New Roman"/>
                      <w:spacing w:val="22"/>
                      <w:sz w:val="21"/>
                      <w:szCs w:val="21"/>
                    </w:rPr>
                    <w:t>工废水经</w:t>
                  </w:r>
                  <w:r>
                    <w:rPr>
                      <w:rFonts w:hint="default" w:ascii="Times New Roman" w:hAnsi="Times New Roman" w:eastAsia="宋体" w:cs="Times New Roman"/>
                      <w:spacing w:val="-2"/>
                      <w:sz w:val="21"/>
                      <w:szCs w:val="21"/>
                    </w:rPr>
                    <w:t>沉砂池处</w:t>
                  </w:r>
                  <w:r>
                    <w:rPr>
                      <w:rFonts w:hint="default" w:ascii="Times New Roman" w:hAnsi="Times New Roman" w:eastAsia="宋体" w:cs="Times New Roman"/>
                      <w:spacing w:val="-3"/>
                      <w:sz w:val="21"/>
                      <w:szCs w:val="21"/>
                    </w:rPr>
                    <w:t>理后回用</w:t>
                  </w:r>
                  <w:r>
                    <w:rPr>
                      <w:rFonts w:hint="default" w:ascii="Times New Roman" w:hAnsi="Times New Roman" w:eastAsia="宋体" w:cs="Times New Roman"/>
                      <w:spacing w:val="-2"/>
                      <w:sz w:val="21"/>
                      <w:szCs w:val="21"/>
                    </w:rPr>
                    <w:t>于降尘；</w:t>
                  </w:r>
                  <w:r>
                    <w:rPr>
                      <w:rFonts w:hint="eastAsia" w:ascii="Times New Roman" w:hAnsi="Times New Roman" w:eastAsia="宋体" w:cs="Times New Roman"/>
                      <w:color w:val="000000"/>
                      <w:kern w:val="0"/>
                      <w:sz w:val="21"/>
                      <w:szCs w:val="21"/>
                      <w:highlight w:val="none"/>
                      <w:vertAlign w:val="baseline"/>
                      <w:lang w:val="en-US" w:eastAsia="zh-CN" w:bidi="ar"/>
                    </w:rPr>
                    <w:t>施工人员产生的生活污水排入移动式化粪池，由吸污车定期抽出运送至阜康市污水处理厂处理</w:t>
                  </w:r>
                  <w:r>
                    <w:rPr>
                      <w:rFonts w:hint="default" w:ascii="Times New Roman" w:hAnsi="Times New Roman" w:eastAsia="宋体" w:cs="Times New Roman"/>
                      <w:spacing w:val="-10"/>
                      <w:sz w:val="21"/>
                      <w:szCs w:val="21"/>
                    </w:rPr>
                    <w:t>。</w:t>
                  </w:r>
                </w:p>
              </w:tc>
            </w:tr>
            <w:tr w14:paraId="7087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6FF1345F">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7A781BA7">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材料堆放场地控制措施</w:t>
                  </w:r>
                </w:p>
              </w:tc>
              <w:tc>
                <w:tcPr>
                  <w:tcW w:w="2177" w:type="dxa"/>
                  <w:noWrap w:val="0"/>
                  <w:vAlign w:val="center"/>
                </w:tcPr>
                <w:p w14:paraId="447D1208">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2"/>
                      <w:sz w:val="21"/>
                      <w:szCs w:val="21"/>
                    </w:rPr>
                    <w:t>材料堆放</w:t>
                  </w:r>
                  <w:r>
                    <w:rPr>
                      <w:rFonts w:hint="default" w:ascii="Times New Roman" w:hAnsi="Times New Roman" w:eastAsia="宋体" w:cs="Times New Roman"/>
                      <w:spacing w:val="-4"/>
                      <w:sz w:val="21"/>
                      <w:szCs w:val="21"/>
                    </w:rPr>
                    <w:t>场地、</w:t>
                  </w:r>
                  <w:r>
                    <w:rPr>
                      <w:rFonts w:hint="eastAsia" w:ascii="Times New Roman" w:hAnsi="Times New Roman" w:cs="Times New Roman"/>
                      <w:spacing w:val="-4"/>
                      <w:sz w:val="21"/>
                      <w:szCs w:val="21"/>
                      <w:lang w:eastAsia="zh-CN"/>
                    </w:rPr>
                    <w:t>截流</w:t>
                  </w:r>
                  <w:r>
                    <w:rPr>
                      <w:rFonts w:hint="default" w:ascii="Times New Roman" w:hAnsi="Times New Roman" w:eastAsia="宋体" w:cs="Times New Roman"/>
                      <w:spacing w:val="-4"/>
                      <w:sz w:val="21"/>
                      <w:szCs w:val="21"/>
                    </w:rPr>
                    <w:t>沟、覆盖防</w:t>
                  </w:r>
                  <w:r>
                    <w:rPr>
                      <w:rFonts w:hint="default" w:ascii="Times New Roman" w:hAnsi="Times New Roman" w:eastAsia="宋体" w:cs="Times New Roman"/>
                      <w:sz w:val="21"/>
                      <w:szCs w:val="21"/>
                    </w:rPr>
                    <w:t>护</w:t>
                  </w:r>
                </w:p>
              </w:tc>
              <w:tc>
                <w:tcPr>
                  <w:tcW w:w="681" w:type="dxa"/>
                  <w:vMerge w:val="continue"/>
                  <w:noWrap w:val="0"/>
                  <w:vAlign w:val="center"/>
                </w:tcPr>
                <w:p w14:paraId="06319B1B">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1AD59264">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693EE929">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2543F22C">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5CFE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0FBF9FEC">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64A19E3F">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设置废水临时沉砂池</w:t>
                  </w:r>
                </w:p>
              </w:tc>
              <w:tc>
                <w:tcPr>
                  <w:tcW w:w="2177" w:type="dxa"/>
                  <w:noWrap w:val="0"/>
                  <w:vAlign w:val="center"/>
                </w:tcPr>
                <w:p w14:paraId="7B901713">
                  <w:pPr>
                    <w:pStyle w:val="8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4"/>
                      <w:sz w:val="21"/>
                      <w:szCs w:val="21"/>
                    </w:rPr>
                    <w:t>曝气沉砂</w:t>
                  </w:r>
                  <w:r>
                    <w:rPr>
                      <w:rFonts w:hint="default" w:ascii="Times New Roman" w:hAnsi="Times New Roman" w:eastAsia="宋体" w:cs="Times New Roman"/>
                      <w:sz w:val="21"/>
                      <w:szCs w:val="21"/>
                    </w:rPr>
                    <w:t>池</w:t>
                  </w:r>
                </w:p>
              </w:tc>
              <w:tc>
                <w:tcPr>
                  <w:tcW w:w="681" w:type="dxa"/>
                  <w:vMerge w:val="continue"/>
                  <w:noWrap w:val="0"/>
                  <w:vAlign w:val="center"/>
                </w:tcPr>
                <w:p w14:paraId="2BC0A1BE">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11746407">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1BBB2DF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23C6D199">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1366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11970695">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3A6BA6A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eastAsia" w:ascii="Times New Roman" w:hAnsi="Times New Roman" w:eastAsia="宋体" w:cs="Times New Roman"/>
                      <w:color w:val="000000"/>
                      <w:kern w:val="0"/>
                      <w:sz w:val="21"/>
                      <w:szCs w:val="21"/>
                      <w:highlight w:val="none"/>
                      <w:vertAlign w:val="baseline"/>
                      <w:lang w:val="en-US" w:eastAsia="zh-CN" w:bidi="ar"/>
                    </w:rPr>
                    <w:t>施工人员产生的生活污水排入移动式化粪池，由吸污车定期抽出运送至阜康市污水处理厂处理</w:t>
                  </w:r>
                </w:p>
              </w:tc>
              <w:tc>
                <w:tcPr>
                  <w:tcW w:w="2177" w:type="dxa"/>
                  <w:noWrap w:val="0"/>
                  <w:vAlign w:val="center"/>
                </w:tcPr>
                <w:p w14:paraId="3F75C514">
                  <w:pPr>
                    <w:pStyle w:val="8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pacing w:val="-2"/>
                      <w:sz w:val="21"/>
                      <w:szCs w:val="21"/>
                      <w:lang w:val="en-US" w:eastAsia="zh-CN"/>
                    </w:rPr>
                    <w:t>化粪池</w:t>
                  </w:r>
                </w:p>
              </w:tc>
              <w:tc>
                <w:tcPr>
                  <w:tcW w:w="681" w:type="dxa"/>
                  <w:vMerge w:val="continue"/>
                  <w:noWrap w:val="0"/>
                  <w:vAlign w:val="center"/>
                </w:tcPr>
                <w:p w14:paraId="5566910E">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753523DD">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0AB04EB3">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1B0737FD">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605E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restart"/>
                  <w:tcBorders>
                    <w:left w:val="nil"/>
                  </w:tcBorders>
                  <w:noWrap w:val="0"/>
                  <w:vAlign w:val="center"/>
                </w:tcPr>
                <w:p w14:paraId="230AEAA3">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噪声</w:t>
                  </w:r>
                </w:p>
              </w:tc>
              <w:tc>
                <w:tcPr>
                  <w:tcW w:w="1946" w:type="dxa"/>
                  <w:noWrap w:val="0"/>
                  <w:vAlign w:val="center"/>
                </w:tcPr>
                <w:p w14:paraId="1A30B69B">
                  <w:pPr>
                    <w:pStyle w:val="88"/>
                    <w:keepNext w:val="0"/>
                    <w:keepLines w:val="0"/>
                    <w:pageBreakBefore w:val="0"/>
                    <w:widowControl w:val="0"/>
                    <w:kinsoku/>
                    <w:wordWrap/>
                    <w:overflowPunct/>
                    <w:topLinePunct w:val="0"/>
                    <w:autoSpaceDE/>
                    <w:autoSpaceDN/>
                    <w:bidi w:val="0"/>
                    <w:adjustRightInd/>
                    <w:spacing w:line="240" w:lineRule="auto"/>
                    <w:ind w:left="0" w:leftChars="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管理措施</w:t>
                  </w:r>
                </w:p>
              </w:tc>
              <w:tc>
                <w:tcPr>
                  <w:tcW w:w="2177" w:type="dxa"/>
                  <w:noWrap w:val="0"/>
                  <w:vAlign w:val="center"/>
                </w:tcPr>
                <w:p w14:paraId="46E9AD71">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2"/>
                      <w:sz w:val="21"/>
                      <w:szCs w:val="21"/>
                    </w:rPr>
                    <w:t>调整施工</w:t>
                  </w:r>
                  <w:r>
                    <w:rPr>
                      <w:rFonts w:hint="default" w:ascii="Times New Roman" w:hAnsi="Times New Roman" w:eastAsia="宋体" w:cs="Times New Roman"/>
                      <w:spacing w:val="-4"/>
                      <w:sz w:val="21"/>
                      <w:szCs w:val="21"/>
                    </w:rPr>
                    <w:t>时间</w:t>
                  </w:r>
                </w:p>
              </w:tc>
              <w:tc>
                <w:tcPr>
                  <w:tcW w:w="681" w:type="dxa"/>
                  <w:vMerge w:val="continue"/>
                  <w:noWrap w:val="0"/>
                  <w:vAlign w:val="center"/>
                </w:tcPr>
                <w:p w14:paraId="2306A4A3">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57781E39">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6D20B496">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restart"/>
                  <w:tcBorders>
                    <w:right w:val="nil"/>
                  </w:tcBorders>
                  <w:noWrap w:val="0"/>
                  <w:vAlign w:val="center"/>
                </w:tcPr>
                <w:p w14:paraId="78D77B01">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大幅度降</w:t>
                  </w:r>
                </w:p>
                <w:p w14:paraId="5E42A478">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
                      <w:sz w:val="21"/>
                      <w:szCs w:val="21"/>
                    </w:rPr>
                    <w:t>低施工造</w:t>
                  </w:r>
                </w:p>
                <w:p w14:paraId="73A05C7C">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成的噪声</w:t>
                  </w:r>
                  <w:r>
                    <w:rPr>
                      <w:rFonts w:hint="default" w:ascii="Times New Roman" w:hAnsi="Times New Roman" w:eastAsia="宋体" w:cs="Times New Roman"/>
                      <w:spacing w:val="-6"/>
                      <w:sz w:val="21"/>
                      <w:szCs w:val="21"/>
                    </w:rPr>
                    <w:t>污染，满足</w:t>
                  </w:r>
                  <w:r>
                    <w:rPr>
                      <w:rFonts w:hint="default" w:ascii="Times New Roman" w:hAnsi="Times New Roman" w:eastAsia="宋体" w:cs="Times New Roman"/>
                      <w:spacing w:val="22"/>
                      <w:sz w:val="21"/>
                      <w:szCs w:val="21"/>
                    </w:rPr>
                    <w:t>《建筑施</w:t>
                  </w:r>
                  <w:r>
                    <w:rPr>
                      <w:rFonts w:hint="default" w:ascii="Times New Roman" w:hAnsi="Times New Roman" w:eastAsia="宋体" w:cs="Times New Roman"/>
                      <w:spacing w:val="-2"/>
                      <w:sz w:val="21"/>
                      <w:szCs w:val="21"/>
                    </w:rPr>
                    <w:t>工噪声排放标准》</w:t>
                  </w:r>
                </w:p>
                <w:p w14:paraId="28F17C26">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sz w:val="21"/>
                      <w:szCs w:val="21"/>
                    </w:rPr>
                  </w:pPr>
                  <w:r>
                    <w:rPr>
                      <w:rFonts w:hint="eastAsia" w:ascii="Times New Roman" w:hAnsi="Times New Roman" w:cs="Times New Roman"/>
                      <w:spacing w:val="-2"/>
                      <w:sz w:val="21"/>
                      <w:szCs w:val="21"/>
                      <w:lang w:eastAsia="zh-CN"/>
                    </w:rPr>
                    <w:t>(</w:t>
                  </w:r>
                  <w:r>
                    <w:rPr>
                      <w:rFonts w:hint="default" w:ascii="Times New Roman" w:hAnsi="Times New Roman" w:eastAsia="宋体" w:cs="Times New Roman"/>
                      <w:spacing w:val="-2"/>
                      <w:sz w:val="21"/>
                      <w:szCs w:val="21"/>
                    </w:rPr>
                    <w:t>GB12523</w:t>
                  </w:r>
                </w:p>
                <w:p w14:paraId="40DC05B0">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-20</w:t>
                  </w:r>
                  <w:r>
                    <w:rPr>
                      <w:rFonts w:hint="default" w:ascii="Times New Roman" w:hAnsi="Times New Roman" w:eastAsia="宋体" w:cs="Times New Roman"/>
                      <w:spacing w:val="-2"/>
                      <w:sz w:val="21"/>
                      <w:szCs w:val="21"/>
                      <w:lang w:val="en-US" w:eastAsia="zh-CN"/>
                    </w:rPr>
                    <w:t>25</w:t>
                  </w:r>
                  <w:r>
                    <w:rPr>
                      <w:rFonts w:hint="eastAsia" w:ascii="Times New Roman" w:hAnsi="Times New Roman" w:cs="Times New Roman"/>
                      <w:spacing w:val="-2"/>
                      <w:sz w:val="21"/>
                      <w:szCs w:val="21"/>
                      <w:lang w:val="en-US" w:eastAsia="zh-CN"/>
                    </w:rPr>
                    <w:t>)</w:t>
                  </w:r>
                  <w:r>
                    <w:rPr>
                      <w:rFonts w:hint="default" w:ascii="Times New Roman" w:hAnsi="Times New Roman" w:eastAsia="宋体" w:cs="Times New Roman"/>
                      <w:spacing w:val="-2"/>
                      <w:sz w:val="21"/>
                      <w:szCs w:val="21"/>
                    </w:rPr>
                    <w:t>标</w:t>
                  </w:r>
                </w:p>
                <w:p w14:paraId="19E89BF0">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spacing w:val="-10"/>
                      <w:sz w:val="21"/>
                      <w:szCs w:val="21"/>
                    </w:rPr>
                    <w:t>准</w:t>
                  </w:r>
                </w:p>
              </w:tc>
            </w:tr>
            <w:tr w14:paraId="1A9D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26E2C4AE">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6206AC0D">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1"/>
                      <w:sz w:val="21"/>
                      <w:szCs w:val="21"/>
                    </w:rPr>
                    <w:t>选用先进</w:t>
                  </w:r>
                  <w:r>
                    <w:rPr>
                      <w:rFonts w:hint="default" w:ascii="Times New Roman" w:hAnsi="Times New Roman" w:eastAsia="宋体" w:cs="Times New Roman"/>
                      <w:spacing w:val="-6"/>
                      <w:sz w:val="21"/>
                      <w:szCs w:val="21"/>
                    </w:rPr>
                    <w:t>的低噪声</w:t>
                  </w:r>
                  <w:r>
                    <w:rPr>
                      <w:rFonts w:hint="default" w:ascii="Times New Roman" w:hAnsi="Times New Roman" w:eastAsia="宋体" w:cs="Times New Roman"/>
                      <w:spacing w:val="-7"/>
                      <w:sz w:val="21"/>
                      <w:szCs w:val="21"/>
                    </w:rPr>
                    <w:t>设备，加强</w:t>
                  </w:r>
                  <w:r>
                    <w:rPr>
                      <w:rFonts w:hint="default" w:ascii="Times New Roman" w:hAnsi="Times New Roman" w:eastAsia="宋体" w:cs="Times New Roman"/>
                      <w:spacing w:val="22"/>
                      <w:sz w:val="21"/>
                      <w:szCs w:val="21"/>
                    </w:rPr>
                    <w:t>设备维护</w:t>
                  </w:r>
                </w:p>
              </w:tc>
              <w:tc>
                <w:tcPr>
                  <w:tcW w:w="2177" w:type="dxa"/>
                  <w:noWrap w:val="0"/>
                  <w:vAlign w:val="center"/>
                </w:tcPr>
                <w:p w14:paraId="0C66E4F2">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选用低噪</w:t>
                  </w:r>
                  <w:r>
                    <w:rPr>
                      <w:rFonts w:hint="default" w:ascii="Times New Roman" w:hAnsi="Times New Roman" w:eastAsia="宋体" w:cs="Times New Roman"/>
                      <w:spacing w:val="-8"/>
                      <w:sz w:val="21"/>
                      <w:szCs w:val="21"/>
                    </w:rPr>
                    <w:t>声设备，加</w:t>
                  </w:r>
                  <w:r>
                    <w:rPr>
                      <w:rFonts w:hint="default" w:ascii="Times New Roman" w:hAnsi="Times New Roman" w:eastAsia="宋体" w:cs="Times New Roman"/>
                      <w:spacing w:val="22"/>
                      <w:sz w:val="21"/>
                      <w:szCs w:val="21"/>
                    </w:rPr>
                    <w:t>强设备维</w:t>
                  </w:r>
                  <w:r>
                    <w:rPr>
                      <w:rFonts w:hint="default" w:ascii="Times New Roman" w:hAnsi="Times New Roman" w:eastAsia="宋体" w:cs="Times New Roman"/>
                      <w:spacing w:val="-4"/>
                      <w:sz w:val="21"/>
                      <w:szCs w:val="21"/>
                    </w:rPr>
                    <w:t>护管理，保</w:t>
                  </w:r>
                </w:p>
                <w:p w14:paraId="3A637E98">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4"/>
                      <w:sz w:val="21"/>
                      <w:szCs w:val="21"/>
                    </w:rPr>
                    <w:t>证车辆、施</w:t>
                  </w:r>
                  <w:r>
                    <w:rPr>
                      <w:rFonts w:hint="default" w:ascii="Times New Roman" w:hAnsi="Times New Roman" w:eastAsia="宋体" w:cs="Times New Roman"/>
                      <w:spacing w:val="-2"/>
                      <w:sz w:val="21"/>
                      <w:szCs w:val="21"/>
                    </w:rPr>
                    <w:t>工设备处</w:t>
                  </w:r>
                </w:p>
                <w:p w14:paraId="618CF8DF">
                  <w:pPr>
                    <w:pStyle w:val="88"/>
                    <w:keepNext w:val="0"/>
                    <w:keepLines w:val="0"/>
                    <w:pageBreakBefore w:val="0"/>
                    <w:widowControl w:val="0"/>
                    <w:kinsoku/>
                    <w:wordWrap/>
                    <w:overflowPunct/>
                    <w:topLinePunct w:val="0"/>
                    <w:autoSpaceDE/>
                    <w:autoSpaceDN/>
                    <w:bidi w:val="0"/>
                    <w:adjustRightInd/>
                    <w:spacing w:line="240" w:lineRule="auto"/>
                    <w:ind w:left="0" w:leftChars="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于良好工</w:t>
                  </w:r>
                  <w:r>
                    <w:rPr>
                      <w:rFonts w:hint="default" w:ascii="Times New Roman" w:hAnsi="Times New Roman" w:eastAsia="宋体" w:cs="Times New Roman"/>
                      <w:spacing w:val="-2"/>
                      <w:sz w:val="21"/>
                      <w:szCs w:val="21"/>
                    </w:rPr>
                    <w:t>作状况</w:t>
                  </w:r>
                </w:p>
              </w:tc>
              <w:tc>
                <w:tcPr>
                  <w:tcW w:w="681" w:type="dxa"/>
                  <w:vMerge w:val="continue"/>
                  <w:noWrap w:val="0"/>
                  <w:vAlign w:val="center"/>
                </w:tcPr>
                <w:p w14:paraId="05AB20D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211AE9E7">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4F979550">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3D282267">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0851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6BCA8F2B">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640CFB0A">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2"/>
                      <w:sz w:val="21"/>
                      <w:szCs w:val="21"/>
                    </w:rPr>
                    <w:t>禁止夜间施工</w:t>
                  </w:r>
                </w:p>
              </w:tc>
              <w:tc>
                <w:tcPr>
                  <w:tcW w:w="2177" w:type="dxa"/>
                  <w:noWrap w:val="0"/>
                  <w:vAlign w:val="center"/>
                </w:tcPr>
                <w:p w14:paraId="085B4A0B">
                  <w:pPr>
                    <w:keepNext w:val="0"/>
                    <w:keepLines w:val="0"/>
                    <w:pageBreakBefore w:val="0"/>
                    <w:widowControl w:val="0"/>
                    <w:kinsoku/>
                    <w:wordWrap/>
                    <w:overflowPunct/>
                    <w:topLinePunct w:val="0"/>
                    <w:autoSpaceDE/>
                    <w:autoSpaceDN/>
                    <w:bidi w:val="0"/>
                    <w:adjustRightInd/>
                    <w:spacing w:line="240" w:lineRule="auto"/>
                    <w:ind w:left="0" w:leftChars="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w:t>
                  </w:r>
                </w:p>
              </w:tc>
              <w:tc>
                <w:tcPr>
                  <w:tcW w:w="681" w:type="dxa"/>
                  <w:vMerge w:val="continue"/>
                  <w:noWrap w:val="0"/>
                  <w:vAlign w:val="center"/>
                </w:tcPr>
                <w:p w14:paraId="341F5FD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614E899D">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0F93D84D">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0640C8DE">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75E3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32145BAF">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37E39AB9">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9"/>
                      <w:sz w:val="21"/>
                      <w:szCs w:val="21"/>
                    </w:rPr>
                    <w:t>设置围挡、</w:t>
                  </w:r>
                  <w:r>
                    <w:rPr>
                      <w:rFonts w:hint="default" w:ascii="Times New Roman" w:hAnsi="Times New Roman" w:eastAsia="宋体" w:cs="Times New Roman"/>
                      <w:spacing w:val="-1"/>
                      <w:sz w:val="21"/>
                      <w:szCs w:val="21"/>
                    </w:rPr>
                    <w:t>封闭式施</w:t>
                  </w:r>
                </w:p>
                <w:p w14:paraId="47ACA1E3">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工临时声</w:t>
                  </w:r>
                  <w:r>
                    <w:rPr>
                      <w:rFonts w:hint="default" w:ascii="Times New Roman" w:hAnsi="Times New Roman" w:eastAsia="宋体" w:cs="Times New Roman"/>
                      <w:spacing w:val="-2"/>
                      <w:sz w:val="21"/>
                      <w:szCs w:val="21"/>
                    </w:rPr>
                    <w:t>屏障</w:t>
                  </w:r>
                </w:p>
              </w:tc>
              <w:tc>
                <w:tcPr>
                  <w:tcW w:w="2177" w:type="dxa"/>
                  <w:noWrap w:val="0"/>
                  <w:vAlign w:val="center"/>
                </w:tcPr>
                <w:p w14:paraId="39C5297A">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8"/>
                      <w:sz w:val="21"/>
                      <w:szCs w:val="21"/>
                    </w:rPr>
                    <w:t>围挡、声屏</w:t>
                  </w:r>
                  <w:r>
                    <w:rPr>
                      <w:rFonts w:hint="default" w:ascii="Times New Roman" w:hAnsi="Times New Roman" w:eastAsia="宋体" w:cs="Times New Roman"/>
                      <w:spacing w:val="-2"/>
                      <w:sz w:val="21"/>
                      <w:szCs w:val="21"/>
                    </w:rPr>
                    <w:t>障噪声一</w:t>
                  </w:r>
                </w:p>
                <w:p w14:paraId="346E049B">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2"/>
                      <w:sz w:val="21"/>
                      <w:szCs w:val="21"/>
                    </w:rPr>
                    <w:t>般可衰减</w:t>
                  </w:r>
                  <w:r>
                    <w:rPr>
                      <w:rFonts w:hint="default" w:ascii="Times New Roman" w:hAnsi="Times New Roman" w:eastAsia="宋体" w:cs="Times New Roman"/>
                      <w:spacing w:val="-4"/>
                      <w:sz w:val="21"/>
                      <w:szCs w:val="21"/>
                    </w:rPr>
                    <w:t>10~20dB</w:t>
                  </w:r>
                </w:p>
              </w:tc>
              <w:tc>
                <w:tcPr>
                  <w:tcW w:w="681" w:type="dxa"/>
                  <w:vMerge w:val="continue"/>
                  <w:noWrap w:val="0"/>
                  <w:vAlign w:val="center"/>
                </w:tcPr>
                <w:p w14:paraId="71D616D4">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0F91299B">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6EDFE1EA">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3A6FCD2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3952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04F3A34C">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150E2236">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合理运输</w:t>
                  </w:r>
                </w:p>
                <w:p w14:paraId="341F6048">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路线，限</w:t>
                  </w:r>
                  <w:r>
                    <w:rPr>
                      <w:rFonts w:hint="default" w:ascii="Times New Roman" w:hAnsi="Times New Roman" w:eastAsia="宋体" w:cs="Times New Roman"/>
                      <w:spacing w:val="-4"/>
                      <w:sz w:val="21"/>
                      <w:szCs w:val="21"/>
                    </w:rPr>
                    <w:t>速、禁鸣等</w:t>
                  </w:r>
                  <w:r>
                    <w:rPr>
                      <w:rFonts w:hint="default" w:ascii="Times New Roman" w:hAnsi="Times New Roman" w:eastAsia="宋体" w:cs="Times New Roman"/>
                      <w:spacing w:val="23"/>
                      <w:sz w:val="21"/>
                      <w:szCs w:val="21"/>
                    </w:rPr>
                    <w:t>减少运输</w:t>
                  </w:r>
                </w:p>
                <w:p w14:paraId="6841E5F0">
                  <w:pPr>
                    <w:pStyle w:val="88"/>
                    <w:keepNext w:val="0"/>
                    <w:keepLines w:val="0"/>
                    <w:pageBreakBefore w:val="0"/>
                    <w:widowControl w:val="0"/>
                    <w:kinsoku/>
                    <w:wordWrap/>
                    <w:overflowPunct/>
                    <w:topLinePunct w:val="0"/>
                    <w:autoSpaceDE/>
                    <w:autoSpaceDN/>
                    <w:bidi w:val="0"/>
                    <w:adjustRightInd/>
                    <w:spacing w:line="240" w:lineRule="auto"/>
                    <w:ind w:left="0" w:leftChars="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2"/>
                      <w:sz w:val="21"/>
                      <w:szCs w:val="21"/>
                    </w:rPr>
                    <w:t>车辆噪声</w:t>
                  </w:r>
                </w:p>
              </w:tc>
              <w:tc>
                <w:tcPr>
                  <w:tcW w:w="2177" w:type="dxa"/>
                  <w:noWrap w:val="0"/>
                  <w:vAlign w:val="center"/>
                </w:tcPr>
                <w:p w14:paraId="57F03172">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2"/>
                      <w:sz w:val="21"/>
                      <w:szCs w:val="21"/>
                    </w:rPr>
                    <w:t>合理运输路线，限速、禁鸣</w:t>
                  </w:r>
                </w:p>
              </w:tc>
              <w:tc>
                <w:tcPr>
                  <w:tcW w:w="681" w:type="dxa"/>
                  <w:vMerge w:val="continue"/>
                  <w:noWrap w:val="0"/>
                  <w:vAlign w:val="center"/>
                </w:tcPr>
                <w:p w14:paraId="02941EDC">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41B58DD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26670D8A">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0FD97C09">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5F34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5FDA0593">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4310C36E">
                  <w:pPr>
                    <w:pStyle w:val="88"/>
                    <w:keepNext w:val="0"/>
                    <w:keepLines w:val="0"/>
                    <w:pageBreakBefore w:val="0"/>
                    <w:widowControl w:val="0"/>
                    <w:kinsoku/>
                    <w:wordWrap/>
                    <w:overflowPunct/>
                    <w:topLinePunct w:val="0"/>
                    <w:autoSpaceDE/>
                    <w:autoSpaceDN/>
                    <w:bidi w:val="0"/>
                    <w:adjustRightInd/>
                    <w:spacing w:line="240" w:lineRule="auto"/>
                    <w:ind w:left="0" w:leftChars="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1"/>
                      <w:sz w:val="21"/>
                      <w:szCs w:val="21"/>
                    </w:rPr>
                    <w:t>施工公告</w:t>
                  </w:r>
                </w:p>
              </w:tc>
              <w:tc>
                <w:tcPr>
                  <w:tcW w:w="2177" w:type="dxa"/>
                  <w:noWrap w:val="0"/>
                  <w:vAlign w:val="center"/>
                </w:tcPr>
                <w:p w14:paraId="3ED2904C">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2"/>
                      <w:sz w:val="21"/>
                      <w:szCs w:val="21"/>
                    </w:rPr>
                    <w:t>施工进场</w:t>
                  </w:r>
                  <w:r>
                    <w:rPr>
                      <w:rFonts w:hint="default" w:ascii="Times New Roman" w:hAnsi="Times New Roman" w:eastAsia="宋体" w:cs="Times New Roman"/>
                      <w:spacing w:val="-5"/>
                      <w:sz w:val="21"/>
                      <w:szCs w:val="21"/>
                    </w:rPr>
                    <w:t>前，应公告</w:t>
                  </w:r>
                  <w:r>
                    <w:rPr>
                      <w:rFonts w:hint="default" w:ascii="Times New Roman" w:hAnsi="Times New Roman" w:eastAsia="宋体" w:cs="Times New Roman"/>
                      <w:spacing w:val="22"/>
                      <w:sz w:val="21"/>
                      <w:szCs w:val="21"/>
                    </w:rPr>
                    <w:t>告知周围</w:t>
                  </w:r>
                  <w:r>
                    <w:rPr>
                      <w:rFonts w:hint="default" w:ascii="Times New Roman" w:hAnsi="Times New Roman" w:eastAsia="宋体" w:cs="Times New Roman"/>
                      <w:spacing w:val="-3"/>
                      <w:sz w:val="21"/>
                      <w:szCs w:val="21"/>
                    </w:rPr>
                    <w:t>声环境敏</w:t>
                  </w:r>
                  <w:r>
                    <w:rPr>
                      <w:rFonts w:hint="default" w:ascii="Times New Roman" w:hAnsi="Times New Roman" w:eastAsia="宋体" w:cs="Times New Roman"/>
                      <w:spacing w:val="-2"/>
                      <w:sz w:val="21"/>
                      <w:szCs w:val="21"/>
                    </w:rPr>
                    <w:t>感点居民</w:t>
                  </w:r>
                </w:p>
              </w:tc>
              <w:tc>
                <w:tcPr>
                  <w:tcW w:w="681" w:type="dxa"/>
                  <w:vMerge w:val="continue"/>
                  <w:noWrap w:val="0"/>
                  <w:vAlign w:val="center"/>
                </w:tcPr>
                <w:p w14:paraId="2F4901B4">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37403C7E">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4488866E">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256172D0">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60D6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restart"/>
                  <w:tcBorders>
                    <w:left w:val="nil"/>
                  </w:tcBorders>
                  <w:noWrap w:val="0"/>
                  <w:vAlign w:val="center"/>
                </w:tcPr>
                <w:p w14:paraId="7AA2B63A">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固废</w:t>
                  </w:r>
                </w:p>
              </w:tc>
              <w:tc>
                <w:tcPr>
                  <w:tcW w:w="1946" w:type="dxa"/>
                  <w:noWrap w:val="0"/>
                  <w:vAlign w:val="center"/>
                </w:tcPr>
                <w:p w14:paraId="5C8E43B0">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spacing w:val="-2"/>
                      <w:sz w:val="21"/>
                      <w:szCs w:val="21"/>
                    </w:rPr>
                    <w:t>分类收集、集中堆放、</w:t>
                  </w:r>
                  <w:r>
                    <w:rPr>
                      <w:rFonts w:hint="default" w:ascii="Times New Roman" w:hAnsi="Times New Roman" w:eastAsia="宋体" w:cs="Times New Roman"/>
                      <w:spacing w:val="-1"/>
                      <w:sz w:val="21"/>
                      <w:szCs w:val="21"/>
                    </w:rPr>
                    <w:t>及时处置、</w:t>
                  </w:r>
                  <w:r>
                    <w:rPr>
                      <w:rFonts w:hint="default" w:ascii="Times New Roman" w:hAnsi="Times New Roman" w:eastAsia="宋体" w:cs="Times New Roman"/>
                      <w:spacing w:val="-3"/>
                      <w:sz w:val="21"/>
                      <w:szCs w:val="21"/>
                    </w:rPr>
                    <w:t>设置弃土</w:t>
                  </w:r>
                  <w:r>
                    <w:rPr>
                      <w:rFonts w:hint="default" w:ascii="Times New Roman" w:hAnsi="Times New Roman" w:eastAsia="宋体" w:cs="Times New Roman"/>
                      <w:sz w:val="21"/>
                      <w:szCs w:val="21"/>
                    </w:rPr>
                    <w:t>场</w:t>
                  </w:r>
                </w:p>
              </w:tc>
              <w:tc>
                <w:tcPr>
                  <w:tcW w:w="2177" w:type="dxa"/>
                  <w:noWrap w:val="0"/>
                  <w:vAlign w:val="center"/>
                </w:tcPr>
                <w:p w14:paraId="6377828B">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1"/>
                      <w:sz w:val="21"/>
                      <w:szCs w:val="21"/>
                    </w:rPr>
                    <w:t>对于施工人员产生的生活垃圾，采用定点</w:t>
                  </w:r>
                  <w:r>
                    <w:rPr>
                      <w:rFonts w:hint="default" w:ascii="Times New Roman" w:hAnsi="Times New Roman" w:eastAsia="宋体" w:cs="Times New Roman"/>
                      <w:spacing w:val="-3"/>
                      <w:sz w:val="21"/>
                      <w:szCs w:val="21"/>
                    </w:rPr>
                    <w:t>收集方式、设</w:t>
                  </w:r>
                  <w:r>
                    <w:rPr>
                      <w:rFonts w:hint="default" w:ascii="Times New Roman" w:hAnsi="Times New Roman" w:eastAsia="宋体" w:cs="Times New Roman"/>
                      <w:spacing w:val="-1"/>
                      <w:sz w:val="21"/>
                      <w:szCs w:val="21"/>
                    </w:rPr>
                    <w:t>置弃土场并使用防渗土工布</w:t>
                  </w:r>
                </w:p>
              </w:tc>
              <w:tc>
                <w:tcPr>
                  <w:tcW w:w="681" w:type="dxa"/>
                  <w:vMerge w:val="continue"/>
                  <w:noWrap w:val="0"/>
                  <w:vAlign w:val="center"/>
                </w:tcPr>
                <w:p w14:paraId="4687CC1B">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202BB418">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7C7C0D0A">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restart"/>
                  <w:tcBorders>
                    <w:right w:val="nil"/>
                  </w:tcBorders>
                  <w:noWrap w:val="0"/>
                  <w:vAlign w:val="center"/>
                </w:tcPr>
                <w:p w14:paraId="6B0AF015">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spacing w:val="-6"/>
                      <w:sz w:val="21"/>
                      <w:szCs w:val="21"/>
                    </w:rPr>
                    <w:t>固废零排</w:t>
                  </w:r>
                  <w:r>
                    <w:rPr>
                      <w:rFonts w:hint="default" w:ascii="Times New Roman" w:hAnsi="Times New Roman" w:eastAsia="宋体" w:cs="Times New Roman"/>
                      <w:spacing w:val="-10"/>
                      <w:sz w:val="21"/>
                      <w:szCs w:val="21"/>
                    </w:rPr>
                    <w:t>放</w:t>
                  </w:r>
                </w:p>
              </w:tc>
            </w:tr>
            <w:tr w14:paraId="71AE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4D5CC5B5">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5D50EAEC">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建立简易</w:t>
                  </w:r>
                </w:p>
                <w:p w14:paraId="37E7E44B">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spacing w:val="-6"/>
                      <w:sz w:val="21"/>
                      <w:szCs w:val="21"/>
                    </w:rPr>
                    <w:t>的防护围</w:t>
                  </w:r>
                  <w:r>
                    <w:rPr>
                      <w:rFonts w:hint="default" w:ascii="Times New Roman" w:hAnsi="Times New Roman" w:eastAsia="宋体" w:cs="Times New Roman"/>
                      <w:sz w:val="21"/>
                      <w:szCs w:val="21"/>
                    </w:rPr>
                    <w:t>带</w:t>
                  </w:r>
                </w:p>
              </w:tc>
              <w:tc>
                <w:tcPr>
                  <w:tcW w:w="2177" w:type="dxa"/>
                  <w:noWrap w:val="0"/>
                  <w:vAlign w:val="center"/>
                </w:tcPr>
                <w:p w14:paraId="409600F8">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1"/>
                      <w:sz w:val="21"/>
                      <w:szCs w:val="21"/>
                    </w:rPr>
                    <w:t>集中堆放建筑</w:t>
                  </w:r>
                  <w:r>
                    <w:rPr>
                      <w:rFonts w:hint="default" w:ascii="Times New Roman" w:hAnsi="Times New Roman" w:eastAsia="宋体" w:cs="Times New Roman"/>
                      <w:spacing w:val="4"/>
                      <w:sz w:val="21"/>
                      <w:szCs w:val="21"/>
                    </w:rPr>
                    <w:t>垃圾，优先回</w:t>
                  </w:r>
                  <w:r>
                    <w:rPr>
                      <w:rFonts w:hint="default" w:ascii="Times New Roman" w:hAnsi="Times New Roman" w:eastAsia="宋体" w:cs="Times New Roman"/>
                      <w:spacing w:val="-14"/>
                      <w:sz w:val="21"/>
                      <w:szCs w:val="21"/>
                    </w:rPr>
                    <w:t>填，优先回用；</w:t>
                  </w:r>
                  <w:r>
                    <w:rPr>
                      <w:rFonts w:hint="default" w:ascii="Times New Roman" w:hAnsi="Times New Roman" w:eastAsia="宋体" w:cs="Times New Roman"/>
                      <w:spacing w:val="4"/>
                      <w:sz w:val="21"/>
                      <w:szCs w:val="21"/>
                    </w:rPr>
                    <w:t>在建筑材料堆放地及建筑垃圾堆放地周围建立简易的防护围带，并定</w:t>
                  </w:r>
                  <w:r>
                    <w:rPr>
                      <w:rFonts w:hint="default" w:ascii="Times New Roman" w:hAnsi="Times New Roman" w:eastAsia="宋体" w:cs="Times New Roman"/>
                      <w:spacing w:val="-2"/>
                      <w:sz w:val="21"/>
                      <w:szCs w:val="21"/>
                    </w:rPr>
                    <w:t>期清运至指定</w:t>
                  </w:r>
                  <w:r>
                    <w:rPr>
                      <w:rFonts w:hint="default" w:ascii="Times New Roman" w:hAnsi="Times New Roman" w:eastAsia="宋体" w:cs="Times New Roman"/>
                      <w:spacing w:val="-10"/>
                      <w:sz w:val="21"/>
                      <w:szCs w:val="21"/>
                    </w:rPr>
                    <w:t>的地点处置。</w:t>
                  </w:r>
                </w:p>
              </w:tc>
              <w:tc>
                <w:tcPr>
                  <w:tcW w:w="681" w:type="dxa"/>
                  <w:vMerge w:val="continue"/>
                  <w:noWrap w:val="0"/>
                  <w:vAlign w:val="center"/>
                </w:tcPr>
                <w:p w14:paraId="3C5C9926">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42F46B0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63EC5EF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727BE1B4">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6C50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restart"/>
                  <w:tcBorders>
                    <w:left w:val="nil"/>
                  </w:tcBorders>
                  <w:noWrap w:val="0"/>
                  <w:vAlign w:val="center"/>
                </w:tcPr>
                <w:p w14:paraId="14284106">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生态环境</w:t>
                  </w:r>
                </w:p>
              </w:tc>
              <w:tc>
                <w:tcPr>
                  <w:tcW w:w="1946" w:type="dxa"/>
                  <w:noWrap w:val="0"/>
                  <w:vAlign w:val="center"/>
                </w:tcPr>
                <w:p w14:paraId="1CDDF369">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8"/>
                      <w:sz w:val="21"/>
                      <w:szCs w:val="21"/>
                    </w:rPr>
                    <w:t>合理布局、</w:t>
                  </w:r>
                  <w:r>
                    <w:rPr>
                      <w:rFonts w:hint="default" w:ascii="Times New Roman" w:hAnsi="Times New Roman" w:eastAsia="宋体" w:cs="Times New Roman"/>
                      <w:spacing w:val="-2"/>
                      <w:sz w:val="21"/>
                      <w:szCs w:val="21"/>
                    </w:rPr>
                    <w:t>合理施工组织作业</w:t>
                  </w:r>
                </w:p>
              </w:tc>
              <w:tc>
                <w:tcPr>
                  <w:tcW w:w="2177" w:type="dxa"/>
                  <w:noWrap w:val="0"/>
                  <w:vAlign w:val="center"/>
                </w:tcPr>
                <w:p w14:paraId="4E2B7B88">
                  <w:pPr>
                    <w:pStyle w:val="88"/>
                    <w:keepNext w:val="0"/>
                    <w:keepLines w:val="0"/>
                    <w:pageBreakBefore w:val="0"/>
                    <w:widowControl w:val="0"/>
                    <w:kinsoku/>
                    <w:wordWrap/>
                    <w:overflowPunct/>
                    <w:topLinePunct w:val="0"/>
                    <w:autoSpaceDE/>
                    <w:autoSpaceDN/>
                    <w:bidi w:val="0"/>
                    <w:adjustRightInd/>
                    <w:spacing w:line="240" w:lineRule="auto"/>
                    <w:ind w:left="0" w:leftChars="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1"/>
                      <w:sz w:val="21"/>
                      <w:szCs w:val="21"/>
                    </w:rPr>
                    <w:t>制定施工方案</w:t>
                  </w:r>
                </w:p>
              </w:tc>
              <w:tc>
                <w:tcPr>
                  <w:tcW w:w="681" w:type="dxa"/>
                  <w:vMerge w:val="continue"/>
                  <w:noWrap w:val="0"/>
                  <w:vAlign w:val="center"/>
                </w:tcPr>
                <w:p w14:paraId="508DDA88">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1E7F596E">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0F8AF2B3">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restart"/>
                  <w:tcBorders>
                    <w:right w:val="nil"/>
                  </w:tcBorders>
                  <w:noWrap w:val="0"/>
                  <w:vAlign w:val="center"/>
                </w:tcPr>
                <w:p w14:paraId="75BE7FB2">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spacing w:val="-3"/>
                      <w:sz w:val="21"/>
                      <w:szCs w:val="21"/>
                    </w:rPr>
                    <w:t>大幅度降</w:t>
                  </w:r>
                  <w:r>
                    <w:rPr>
                      <w:rFonts w:hint="default" w:ascii="Times New Roman" w:hAnsi="Times New Roman" w:eastAsia="宋体" w:cs="Times New Roman"/>
                      <w:spacing w:val="23"/>
                      <w:sz w:val="21"/>
                      <w:szCs w:val="21"/>
                    </w:rPr>
                    <w:t>低施工造成的生态</w:t>
                  </w:r>
                  <w:r>
                    <w:rPr>
                      <w:rFonts w:hint="default" w:ascii="Times New Roman" w:hAnsi="Times New Roman" w:eastAsia="宋体" w:cs="Times New Roman"/>
                      <w:spacing w:val="-4"/>
                      <w:sz w:val="21"/>
                      <w:szCs w:val="21"/>
                    </w:rPr>
                    <w:t>影响，对受</w:t>
                  </w:r>
                  <w:r>
                    <w:rPr>
                      <w:rFonts w:hint="default" w:ascii="Times New Roman" w:hAnsi="Times New Roman" w:eastAsia="宋体" w:cs="Times New Roman"/>
                      <w:spacing w:val="23"/>
                      <w:sz w:val="21"/>
                      <w:szCs w:val="21"/>
                    </w:rPr>
                    <w:t>到破坏的生态环境进行最大限度的恢</w:t>
                  </w:r>
                  <w:r>
                    <w:rPr>
                      <w:rFonts w:hint="default" w:ascii="Times New Roman" w:hAnsi="Times New Roman" w:eastAsia="宋体" w:cs="Times New Roman"/>
                      <w:spacing w:val="-4"/>
                      <w:sz w:val="21"/>
                      <w:szCs w:val="21"/>
                    </w:rPr>
                    <w:t>复与补偿，及时绿化</w:t>
                  </w:r>
                </w:p>
              </w:tc>
            </w:tr>
            <w:tr w14:paraId="4684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07DAD279">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3E4BB9BC">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2"/>
                      <w:sz w:val="21"/>
                      <w:szCs w:val="21"/>
                    </w:rPr>
                    <w:t>植被保护措施</w:t>
                  </w:r>
                </w:p>
              </w:tc>
              <w:tc>
                <w:tcPr>
                  <w:tcW w:w="2177" w:type="dxa"/>
                  <w:noWrap w:val="0"/>
                  <w:vAlign w:val="center"/>
                </w:tcPr>
                <w:p w14:paraId="01740604">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2"/>
                      <w:sz w:val="21"/>
                      <w:szCs w:val="21"/>
                    </w:rPr>
                    <w:t>合理布置、施工控制</w:t>
                  </w:r>
                </w:p>
              </w:tc>
              <w:tc>
                <w:tcPr>
                  <w:tcW w:w="681" w:type="dxa"/>
                  <w:vMerge w:val="continue"/>
                  <w:noWrap w:val="0"/>
                  <w:vAlign w:val="center"/>
                </w:tcPr>
                <w:p w14:paraId="76C86839">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788DAAFF">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6CDDBFD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7E5D9C85">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02A9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50C41685">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79180553">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2"/>
                      <w:sz w:val="21"/>
                      <w:szCs w:val="21"/>
                    </w:rPr>
                    <w:t>动物保护措施</w:t>
                  </w:r>
                </w:p>
              </w:tc>
              <w:tc>
                <w:tcPr>
                  <w:tcW w:w="2177" w:type="dxa"/>
                  <w:noWrap w:val="0"/>
                  <w:vAlign w:val="center"/>
                </w:tcPr>
                <w:p w14:paraId="46CB3938">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2"/>
                      <w:sz w:val="21"/>
                      <w:szCs w:val="21"/>
                    </w:rPr>
                    <w:t>合理布置、施工控制</w:t>
                  </w:r>
                </w:p>
              </w:tc>
              <w:tc>
                <w:tcPr>
                  <w:tcW w:w="681" w:type="dxa"/>
                  <w:vMerge w:val="continue"/>
                  <w:noWrap w:val="0"/>
                  <w:vAlign w:val="center"/>
                </w:tcPr>
                <w:p w14:paraId="2CC0965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01F10384">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4D06B0B5">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3ABDF9E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296D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165F790F">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223A6FC5">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2"/>
                      <w:sz w:val="21"/>
                      <w:szCs w:val="21"/>
                    </w:rPr>
                    <w:t>生态管理措施</w:t>
                  </w:r>
                </w:p>
              </w:tc>
              <w:tc>
                <w:tcPr>
                  <w:tcW w:w="2177" w:type="dxa"/>
                  <w:noWrap w:val="0"/>
                  <w:vAlign w:val="center"/>
                </w:tcPr>
                <w:p w14:paraId="18A4B6FB">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2"/>
                      <w:sz w:val="21"/>
                      <w:szCs w:val="21"/>
                    </w:rPr>
                    <w:t>管理方案、宣</w:t>
                  </w:r>
                  <w:r>
                    <w:rPr>
                      <w:rFonts w:hint="default" w:ascii="Times New Roman" w:hAnsi="Times New Roman" w:eastAsia="宋体" w:cs="Times New Roman"/>
                      <w:spacing w:val="-1"/>
                      <w:sz w:val="21"/>
                      <w:szCs w:val="21"/>
                    </w:rPr>
                    <w:t>传培训</w:t>
                  </w:r>
                </w:p>
              </w:tc>
              <w:tc>
                <w:tcPr>
                  <w:tcW w:w="681" w:type="dxa"/>
                  <w:vMerge w:val="continue"/>
                  <w:noWrap w:val="0"/>
                  <w:vAlign w:val="center"/>
                </w:tcPr>
                <w:p w14:paraId="1BF6E8CB">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5463A618">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5710B52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2DDD07FF">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2B88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786F8870">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6EE0A3EB">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景观保护</w:t>
                  </w:r>
                  <w:r>
                    <w:rPr>
                      <w:rFonts w:hint="default" w:ascii="Times New Roman" w:hAnsi="Times New Roman" w:eastAsia="宋体" w:cs="Times New Roman"/>
                      <w:spacing w:val="-2"/>
                      <w:sz w:val="21"/>
                      <w:szCs w:val="21"/>
                    </w:rPr>
                    <w:t>方案</w:t>
                  </w:r>
                </w:p>
              </w:tc>
              <w:tc>
                <w:tcPr>
                  <w:tcW w:w="2177" w:type="dxa"/>
                  <w:noWrap w:val="0"/>
                  <w:vAlign w:val="center"/>
                </w:tcPr>
                <w:p w14:paraId="73143910">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2"/>
                      <w:sz w:val="21"/>
                      <w:szCs w:val="21"/>
                    </w:rPr>
                    <w:t>绿化、景观方</w:t>
                  </w:r>
                  <w:r>
                    <w:rPr>
                      <w:rFonts w:hint="default" w:ascii="Times New Roman" w:hAnsi="Times New Roman" w:eastAsia="宋体" w:cs="Times New Roman"/>
                      <w:sz w:val="21"/>
                      <w:szCs w:val="21"/>
                    </w:rPr>
                    <w:t>案</w:t>
                  </w:r>
                </w:p>
              </w:tc>
              <w:tc>
                <w:tcPr>
                  <w:tcW w:w="681" w:type="dxa"/>
                  <w:vMerge w:val="continue"/>
                  <w:noWrap w:val="0"/>
                  <w:vAlign w:val="center"/>
                </w:tcPr>
                <w:p w14:paraId="63EB48D8">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6FC8AFA4">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75D78635">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1CAA1FA1">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7890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2EEC8F75">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13DB0C8A">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spacing w:val="-3"/>
                      <w:sz w:val="21"/>
                      <w:szCs w:val="21"/>
                    </w:rPr>
                    <w:t>水土流失</w:t>
                  </w:r>
                  <w:r>
                    <w:rPr>
                      <w:rFonts w:hint="default" w:ascii="Times New Roman" w:hAnsi="Times New Roman" w:eastAsia="宋体" w:cs="Times New Roman"/>
                      <w:spacing w:val="-2"/>
                      <w:sz w:val="21"/>
                      <w:szCs w:val="21"/>
                    </w:rPr>
                    <w:t>措施</w:t>
                  </w:r>
                </w:p>
              </w:tc>
              <w:tc>
                <w:tcPr>
                  <w:tcW w:w="2177" w:type="dxa"/>
                  <w:noWrap w:val="0"/>
                  <w:vAlign w:val="center"/>
                </w:tcPr>
                <w:p w14:paraId="37DE2711">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spacing w:val="-3"/>
                      <w:sz w:val="21"/>
                      <w:szCs w:val="21"/>
                    </w:rPr>
                    <w:t>临时</w:t>
                  </w:r>
                  <w:r>
                    <w:rPr>
                      <w:rFonts w:hint="eastAsia" w:ascii="Times New Roman" w:hAnsi="Times New Roman" w:cs="Times New Roman"/>
                      <w:spacing w:val="-3"/>
                      <w:sz w:val="21"/>
                      <w:szCs w:val="21"/>
                      <w:lang w:eastAsia="zh-CN"/>
                    </w:rPr>
                    <w:t>围挡</w:t>
                  </w:r>
                  <w:r>
                    <w:rPr>
                      <w:rFonts w:hint="default" w:ascii="Times New Roman" w:hAnsi="Times New Roman" w:eastAsia="宋体" w:cs="Times New Roman"/>
                      <w:spacing w:val="-3"/>
                      <w:sz w:val="21"/>
                      <w:szCs w:val="21"/>
                    </w:rPr>
                    <w:t>、开</w:t>
                  </w:r>
                  <w:r>
                    <w:rPr>
                      <w:rFonts w:hint="default" w:ascii="Times New Roman" w:hAnsi="Times New Roman" w:eastAsia="宋体" w:cs="Times New Roman"/>
                      <w:spacing w:val="-1"/>
                      <w:sz w:val="21"/>
                      <w:szCs w:val="21"/>
                    </w:rPr>
                    <w:t>挖水沟等防护</w:t>
                  </w:r>
                  <w:r>
                    <w:rPr>
                      <w:rFonts w:hint="default" w:ascii="Times New Roman" w:hAnsi="Times New Roman" w:eastAsia="宋体" w:cs="Times New Roman"/>
                      <w:spacing w:val="-2"/>
                      <w:sz w:val="21"/>
                      <w:szCs w:val="21"/>
                    </w:rPr>
                    <w:t>措施</w:t>
                  </w:r>
                </w:p>
              </w:tc>
              <w:tc>
                <w:tcPr>
                  <w:tcW w:w="681" w:type="dxa"/>
                  <w:vMerge w:val="continue"/>
                  <w:noWrap w:val="0"/>
                  <w:vAlign w:val="center"/>
                </w:tcPr>
                <w:p w14:paraId="2B7FE103">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7B0DE57B">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6CF10F86">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4A4FB3A5">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2F446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4AA51F2D">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683BA5B5">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spacing w:val="-3"/>
                      <w:sz w:val="21"/>
                      <w:szCs w:val="21"/>
                      <w:lang w:val="en-US" w:eastAsia="zh-CN"/>
                    </w:rPr>
                  </w:pPr>
                  <w:r>
                    <w:rPr>
                      <w:rFonts w:hint="eastAsia" w:ascii="Times New Roman" w:hAnsi="Times New Roman" w:cs="Times New Roman"/>
                      <w:spacing w:val="-3"/>
                      <w:sz w:val="21"/>
                      <w:szCs w:val="21"/>
                      <w:lang w:val="en-US" w:eastAsia="zh-CN"/>
                    </w:rPr>
                    <w:t>表土剥离、保存措施</w:t>
                  </w:r>
                </w:p>
              </w:tc>
              <w:tc>
                <w:tcPr>
                  <w:tcW w:w="2177" w:type="dxa"/>
                  <w:noWrap w:val="0"/>
                  <w:vAlign w:val="center"/>
                </w:tcPr>
                <w:p w14:paraId="1E8CB428">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spacing w:val="-3"/>
                      <w:sz w:val="21"/>
                      <w:szCs w:val="21"/>
                    </w:rPr>
                  </w:pPr>
                  <w:r>
                    <w:rPr>
                      <w:rFonts w:hint="eastAsia" w:ascii="Times New Roman" w:hAnsi="Times New Roman" w:eastAsia="宋体" w:cs="Times New Roman"/>
                      <w:spacing w:val="-3"/>
                      <w:sz w:val="21"/>
                      <w:szCs w:val="21"/>
                      <w:lang w:val="en-US" w:eastAsia="zh-CN"/>
                    </w:rPr>
                    <w:t>分段剥离、规范堆存并配套防尘、截排水防护，完工后全部回用于场地复绿</w:t>
                  </w:r>
                </w:p>
              </w:tc>
              <w:tc>
                <w:tcPr>
                  <w:tcW w:w="681" w:type="dxa"/>
                  <w:vMerge w:val="continue"/>
                  <w:noWrap w:val="0"/>
                  <w:vAlign w:val="center"/>
                </w:tcPr>
                <w:p w14:paraId="2B4EFA1B">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23B046F9">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3254CE3C">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54FBCAB9">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15D3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left w:val="nil"/>
                  </w:tcBorders>
                  <w:noWrap w:val="0"/>
                  <w:vAlign w:val="center"/>
                </w:tcPr>
                <w:p w14:paraId="13FC0D9E">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946" w:type="dxa"/>
                  <w:noWrap w:val="0"/>
                  <w:vAlign w:val="center"/>
                </w:tcPr>
                <w:p w14:paraId="22AC1303">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spacing w:val="-3"/>
                      <w:sz w:val="21"/>
                      <w:szCs w:val="21"/>
                      <w:lang w:val="en-US" w:eastAsia="zh-CN"/>
                    </w:rPr>
                  </w:pPr>
                  <w:r>
                    <w:rPr>
                      <w:rFonts w:hint="eastAsia" w:ascii="Times New Roman" w:hAnsi="Times New Roman" w:cs="Times New Roman"/>
                      <w:spacing w:val="-3"/>
                      <w:sz w:val="21"/>
                      <w:szCs w:val="21"/>
                      <w:lang w:val="en-US" w:eastAsia="zh-CN"/>
                    </w:rPr>
                    <w:t>林地、草地避让、补偿措施</w:t>
                  </w:r>
                </w:p>
              </w:tc>
              <w:tc>
                <w:tcPr>
                  <w:tcW w:w="2177" w:type="dxa"/>
                  <w:noWrap w:val="0"/>
                  <w:vAlign w:val="center"/>
                </w:tcPr>
                <w:p w14:paraId="75533D7E">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spacing w:val="-3"/>
                      <w:sz w:val="21"/>
                      <w:szCs w:val="21"/>
                    </w:rPr>
                  </w:pPr>
                  <w:r>
                    <w:rPr>
                      <w:rFonts w:hint="eastAsia" w:ascii="Times New Roman" w:hAnsi="Times New Roman" w:eastAsia="宋体" w:cs="Times New Roman"/>
                      <w:spacing w:val="-3"/>
                      <w:sz w:val="21"/>
                      <w:szCs w:val="21"/>
                      <w:lang w:val="en-US" w:eastAsia="zh-CN"/>
                    </w:rPr>
                    <w:t>优化布局避让林地、优质草原，施工划定作业红线、缴纳生态保护与补偿费</w:t>
                  </w:r>
                </w:p>
              </w:tc>
              <w:tc>
                <w:tcPr>
                  <w:tcW w:w="681" w:type="dxa"/>
                  <w:vMerge w:val="continue"/>
                  <w:noWrap w:val="0"/>
                  <w:vAlign w:val="center"/>
                </w:tcPr>
                <w:p w14:paraId="33DB28A5">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18341CFD">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2DD2BACB">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vMerge w:val="continue"/>
                  <w:tcBorders>
                    <w:right w:val="nil"/>
                  </w:tcBorders>
                  <w:noWrap w:val="0"/>
                  <w:vAlign w:val="center"/>
                </w:tcPr>
                <w:p w14:paraId="19625BC9">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r>
            <w:tr w14:paraId="38F9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Borders>
                    <w:left w:val="nil"/>
                  </w:tcBorders>
                  <w:noWrap w:val="0"/>
                  <w:vAlign w:val="center"/>
                </w:tcPr>
                <w:p w14:paraId="32E7E835">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eastAsia" w:ascii="Times New Roman" w:hAnsi="Times New Roman" w:cs="Times New Roman"/>
                      <w:color w:val="000000"/>
                      <w:kern w:val="0"/>
                      <w:sz w:val="21"/>
                      <w:szCs w:val="21"/>
                      <w:vertAlign w:val="baseline"/>
                      <w:lang w:val="en-US" w:eastAsia="zh-CN" w:bidi="ar"/>
                    </w:rPr>
                    <w:t>水土保持</w:t>
                  </w:r>
                </w:p>
              </w:tc>
              <w:tc>
                <w:tcPr>
                  <w:tcW w:w="1946" w:type="dxa"/>
                  <w:noWrap w:val="0"/>
                  <w:vAlign w:val="center"/>
                </w:tcPr>
                <w:p w14:paraId="67D55E6D">
                  <w:pPr>
                    <w:pStyle w:val="88"/>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ascii="Times New Roman" w:hAnsi="Times New Roman" w:eastAsia="宋体" w:cs="Times New Roman"/>
                      <w:spacing w:val="-3"/>
                      <w:sz w:val="21"/>
                      <w:szCs w:val="21"/>
                      <w:lang w:val="en-US"/>
                    </w:rPr>
                  </w:pPr>
                  <w:r>
                    <w:rPr>
                      <w:rFonts w:hint="eastAsia" w:ascii="Times New Roman" w:hAnsi="Times New Roman" w:cs="Times New Roman"/>
                      <w:b w:val="0"/>
                      <w:bCs w:val="0"/>
                      <w:color w:val="000000"/>
                      <w:kern w:val="0"/>
                      <w:sz w:val="21"/>
                      <w:szCs w:val="21"/>
                      <w:lang w:val="en-US" w:eastAsia="zh-CN" w:bidi="ar"/>
                    </w:rPr>
                    <w:t>洒水、防尘</w:t>
                  </w:r>
                  <w:r>
                    <w:rPr>
                      <w:rFonts w:hint="eastAsia" w:ascii="Times New Roman" w:hAnsi="Times New Roman" w:eastAsia="宋体" w:cs="Times New Roman"/>
                      <w:spacing w:val="-3"/>
                      <w:sz w:val="21"/>
                      <w:szCs w:val="21"/>
                      <w:lang w:val="en-US" w:eastAsia="zh-CN"/>
                    </w:rPr>
                    <w:t>网苫盖、绿化覆土、灌溉</w:t>
                  </w:r>
                </w:p>
              </w:tc>
              <w:tc>
                <w:tcPr>
                  <w:tcW w:w="2177" w:type="dxa"/>
                  <w:noWrap w:val="0"/>
                  <w:vAlign w:val="center"/>
                </w:tcPr>
                <w:p w14:paraId="29B46E7A">
                  <w:pPr>
                    <w:pStyle w:val="88"/>
                    <w:keepNext w:val="0"/>
                    <w:keepLines w:val="0"/>
                    <w:pageBreakBefore w:val="0"/>
                    <w:widowControl w:val="0"/>
                    <w:kinsoku/>
                    <w:wordWrap/>
                    <w:overflowPunct/>
                    <w:topLinePunct w:val="0"/>
                    <w:autoSpaceDE/>
                    <w:autoSpaceDN/>
                    <w:bidi w:val="0"/>
                    <w:adjustRightInd/>
                    <w:spacing w:line="240" w:lineRule="auto"/>
                    <w:ind w:left="0" w:right="0" w:firstLine="0" w:firstLineChars="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lang w:val="en-US" w:eastAsia="zh-CN"/>
                    </w:rPr>
                    <w:t>施工期间在建构筑物区内洒水降尘，洒水定额1.0升/m2，每日洒水2次，洒水时长</w:t>
                  </w:r>
                  <w:r>
                    <w:rPr>
                      <w:rFonts w:hint="eastAsia" w:ascii="Times New Roman" w:hAnsi="Times New Roman" w:cs="Times New Roman"/>
                      <w:spacing w:val="-3"/>
                      <w:sz w:val="21"/>
                      <w:szCs w:val="21"/>
                      <w:lang w:val="en-US" w:eastAsia="zh-CN"/>
                    </w:rPr>
                    <w:t>150</w:t>
                  </w:r>
                  <w:r>
                    <w:rPr>
                      <w:rFonts w:hint="default" w:ascii="Times New Roman" w:hAnsi="Times New Roman" w:eastAsia="宋体" w:cs="Times New Roman"/>
                      <w:spacing w:val="-3"/>
                      <w:sz w:val="21"/>
                      <w:szCs w:val="21"/>
                      <w:lang w:val="en-US" w:eastAsia="zh-CN"/>
                    </w:rPr>
                    <w:t>天，施工期间总洒水量</w:t>
                  </w:r>
                  <w:r>
                    <w:rPr>
                      <w:rFonts w:hint="eastAsia" w:ascii="Times New Roman" w:hAnsi="Times New Roman" w:cs="Times New Roman"/>
                      <w:spacing w:val="-3"/>
                      <w:sz w:val="21"/>
                      <w:szCs w:val="21"/>
                      <w:lang w:val="en-US" w:eastAsia="zh-CN"/>
                    </w:rPr>
                    <w:t>300</w:t>
                  </w:r>
                  <w:r>
                    <w:rPr>
                      <w:rFonts w:hint="default" w:ascii="Times New Roman" w:hAnsi="Times New Roman" w:eastAsia="宋体" w:cs="Times New Roman"/>
                      <w:spacing w:val="-3"/>
                      <w:sz w:val="21"/>
                      <w:szCs w:val="21"/>
                      <w:lang w:val="en-US" w:eastAsia="zh-CN"/>
                    </w:rPr>
                    <w:t>m</w:t>
                  </w:r>
                  <w:r>
                    <w:rPr>
                      <w:rFonts w:hint="default" w:ascii="Times New Roman" w:hAnsi="Times New Roman" w:eastAsia="宋体" w:cs="Times New Roman"/>
                      <w:spacing w:val="-3"/>
                      <w:sz w:val="21"/>
                      <w:szCs w:val="21"/>
                      <w:vertAlign w:val="superscript"/>
                      <w:lang w:val="en-US" w:eastAsia="zh-CN"/>
                    </w:rPr>
                    <w:t>3</w:t>
                  </w:r>
                  <w:r>
                    <w:rPr>
                      <w:rFonts w:hint="default" w:ascii="Times New Roman" w:hAnsi="Times New Roman" w:eastAsia="宋体" w:cs="Times New Roman"/>
                      <w:spacing w:val="-3"/>
                      <w:sz w:val="21"/>
                      <w:szCs w:val="21"/>
                      <w:lang w:val="en-US" w:eastAsia="zh-CN"/>
                    </w:rPr>
                    <w:t>。建构筑物区开挖堆土裸露堆放</w:t>
                  </w:r>
                  <w:r>
                    <w:rPr>
                      <w:rFonts w:hint="eastAsia" w:ascii="Times New Roman" w:hAnsi="Times New Roman" w:cs="Times New Roman"/>
                      <w:spacing w:val="-3"/>
                      <w:sz w:val="21"/>
                      <w:szCs w:val="21"/>
                      <w:lang w:val="en-US" w:eastAsia="zh-CN"/>
                    </w:rPr>
                    <w:t>的采用</w:t>
                  </w:r>
                  <w:r>
                    <w:rPr>
                      <w:rFonts w:hint="eastAsia" w:ascii="Times New Roman" w:hAnsi="Times New Roman" w:cs="Times New Roman"/>
                      <w:b w:val="0"/>
                      <w:bCs w:val="0"/>
                      <w:color w:val="000000"/>
                      <w:kern w:val="0"/>
                      <w:sz w:val="21"/>
                      <w:szCs w:val="21"/>
                      <w:lang w:val="en-US" w:eastAsia="zh-CN" w:bidi="ar"/>
                    </w:rPr>
                    <w:t>防尘</w:t>
                  </w:r>
                  <w:r>
                    <w:rPr>
                      <w:rFonts w:hint="eastAsia" w:ascii="Times New Roman" w:hAnsi="Times New Roman" w:eastAsia="宋体" w:cs="Times New Roman"/>
                      <w:spacing w:val="-3"/>
                      <w:sz w:val="21"/>
                      <w:szCs w:val="21"/>
                      <w:lang w:val="en-US" w:eastAsia="zh-CN"/>
                    </w:rPr>
                    <w:t>网苫盖。</w:t>
                  </w:r>
                  <w:r>
                    <w:rPr>
                      <w:rFonts w:hint="default" w:ascii="Times New Roman" w:hAnsi="Times New Roman" w:eastAsia="宋体" w:cs="Times New Roman"/>
                      <w:spacing w:val="-3"/>
                      <w:sz w:val="21"/>
                      <w:szCs w:val="21"/>
                      <w:lang w:val="en-US" w:eastAsia="zh-CN"/>
                    </w:rPr>
                    <w:t>主体工程施工完工后，对绿化工程区实施绿化覆土处置</w:t>
                  </w:r>
                </w:p>
              </w:tc>
              <w:tc>
                <w:tcPr>
                  <w:tcW w:w="681" w:type="dxa"/>
                  <w:vMerge w:val="continue"/>
                  <w:noWrap w:val="0"/>
                  <w:vAlign w:val="center"/>
                </w:tcPr>
                <w:p w14:paraId="0CC01799">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453" w:type="dxa"/>
                  <w:vMerge w:val="continue"/>
                  <w:noWrap w:val="0"/>
                  <w:vAlign w:val="center"/>
                </w:tcPr>
                <w:p w14:paraId="0B578F1F">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637" w:type="dxa"/>
                  <w:vMerge w:val="continue"/>
                  <w:noWrap w:val="0"/>
                  <w:vAlign w:val="center"/>
                </w:tcPr>
                <w:p w14:paraId="3152E617">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p>
              </w:tc>
              <w:tc>
                <w:tcPr>
                  <w:tcW w:w="1213" w:type="dxa"/>
                  <w:tcBorders>
                    <w:right w:val="nil"/>
                  </w:tcBorders>
                  <w:noWrap w:val="0"/>
                  <w:vAlign w:val="center"/>
                </w:tcPr>
                <w:p w14:paraId="1EEEED12">
                  <w:pPr>
                    <w:pStyle w:val="88"/>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kern w:val="0"/>
                      <w:sz w:val="21"/>
                      <w:szCs w:val="21"/>
                      <w:vertAlign w:val="baseline"/>
                      <w:lang w:val="en-US" w:eastAsia="zh-CN" w:bidi="ar"/>
                    </w:rPr>
                  </w:pPr>
                  <w:r>
                    <w:rPr>
                      <w:rFonts w:hint="default" w:ascii="Times New Roman" w:hAnsi="Times New Roman" w:eastAsia="宋体" w:cs="Times New Roman"/>
                      <w:color w:val="000000"/>
                      <w:kern w:val="0"/>
                      <w:sz w:val="21"/>
                      <w:szCs w:val="21"/>
                      <w:vertAlign w:val="baseline"/>
                      <w:lang w:val="en-US" w:eastAsia="zh-CN" w:bidi="ar"/>
                    </w:rPr>
                    <w:t>加强临时防护措施，减少地表扰动和植被损坏范围，减少水土流失量，满足水土保持要求</w:t>
                  </w:r>
                </w:p>
              </w:tc>
            </w:tr>
          </w:tbl>
          <w:p w14:paraId="1C33BAA9">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p>
        </w:tc>
      </w:tr>
      <w:tr w14:paraId="5D39B2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53" w:type="dxa"/>
            <w:noWrap w:val="0"/>
            <w:tcMar>
              <w:left w:w="28" w:type="dxa"/>
              <w:right w:w="28" w:type="dxa"/>
            </w:tcMar>
            <w:vAlign w:val="center"/>
          </w:tcPr>
          <w:p w14:paraId="33C665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spacing w:val="10"/>
                <w:szCs w:val="21"/>
                <w:highlight w:val="none"/>
              </w:rPr>
            </w:pPr>
            <w:r>
              <w:rPr>
                <w:rFonts w:hint="default" w:ascii="Times New Roman" w:hAnsi="Times New Roman" w:eastAsia="宋体" w:cs="Times New Roman"/>
                <w:bCs/>
                <w:color w:val="000000"/>
                <w:spacing w:val="10"/>
                <w:szCs w:val="21"/>
                <w:highlight w:val="none"/>
              </w:rPr>
              <w:t>运营期生态环境保护措施</w:t>
            </w:r>
          </w:p>
        </w:tc>
        <w:tc>
          <w:tcPr>
            <w:tcW w:w="8457" w:type="dxa"/>
            <w:noWrap w:val="0"/>
            <w:vAlign w:val="top"/>
          </w:tcPr>
          <w:p w14:paraId="4B837AB8">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8" w:firstLineChars="200"/>
              <w:jc w:val="both"/>
              <w:textAlignment w:val="auto"/>
              <w:rPr>
                <w:rFonts w:hint="default" w:ascii="Times New Roman" w:hAnsi="Times New Roman" w:eastAsia="宋体" w:cs="Times New Roman"/>
                <w:b/>
                <w:bCs/>
                <w:color w:val="000000"/>
                <w:highlight w:val="none"/>
                <w:lang w:val="en-US" w:eastAsia="zh-CN"/>
              </w:rPr>
            </w:pPr>
            <w:r>
              <w:rPr>
                <w:rFonts w:hint="eastAsia" w:cs="Times New Roman"/>
                <w:b/>
                <w:bCs/>
                <w:color w:val="000000"/>
                <w:highlight w:val="none"/>
                <w:lang w:val="en-US" w:eastAsia="zh-CN"/>
              </w:rPr>
              <w:t>1.</w:t>
            </w:r>
            <w:r>
              <w:rPr>
                <w:b/>
                <w:bCs/>
                <w:spacing w:val="-3"/>
              </w:rPr>
              <w:t>大气污染治理及防范措施</w:t>
            </w:r>
          </w:p>
          <w:p w14:paraId="7F8F4914">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大气主要污染源为厨房油烟废气、地面停车场机动车尾气、恶臭。采取以下防护措施：</w:t>
            </w:r>
          </w:p>
          <w:p w14:paraId="30215AA5">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（1）厨房油烟废气</w:t>
            </w:r>
          </w:p>
          <w:p w14:paraId="40305F1A">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在</w:t>
            </w:r>
            <w:r>
              <w:rPr>
                <w:rFonts w:hint="eastAsia" w:ascii="Times New Roman" w:hAnsi="Times New Roman" w:eastAsia="宋体" w:cs="Times New Roman"/>
                <w:b w:val="0"/>
                <w:bCs w:val="0"/>
                <w:color w:val="000000"/>
                <w:highlight w:val="none"/>
                <w:lang w:val="en-US" w:eastAsia="zh-CN"/>
              </w:rPr>
              <w:t>厨房</w:t>
            </w:r>
            <w:r>
              <w:rPr>
                <w:rFonts w:hint="default" w:ascii="Times New Roman" w:hAnsi="Times New Roman" w:eastAsia="宋体" w:cs="Times New Roman"/>
                <w:b w:val="0"/>
                <w:bCs w:val="0"/>
                <w:color w:val="000000"/>
                <w:highlight w:val="none"/>
                <w:lang w:val="en-US" w:eastAsia="zh-CN"/>
              </w:rPr>
              <w:t>安装1台油烟净化器，对食堂油烟废气进行处理，风量为</w:t>
            </w:r>
            <w:r>
              <w:rPr>
                <w:rFonts w:hint="eastAsia" w:ascii="Times New Roman" w:hAnsi="Times New Roman" w:eastAsia="宋体" w:cs="Times New Roman"/>
                <w:b w:val="0"/>
                <w:bCs w:val="0"/>
                <w:color w:val="000000"/>
                <w:highlight w:val="none"/>
                <w:lang w:val="en-US" w:eastAsia="zh-CN"/>
              </w:rPr>
              <w:t>8</w:t>
            </w:r>
            <w:r>
              <w:rPr>
                <w:rFonts w:hint="default" w:ascii="Times New Roman" w:hAnsi="Times New Roman" w:eastAsia="宋体" w:cs="Times New Roman"/>
                <w:b w:val="0"/>
                <w:bCs w:val="0"/>
                <w:color w:val="000000"/>
                <w:highlight w:val="none"/>
                <w:lang w:val="en-US" w:eastAsia="zh-CN"/>
              </w:rPr>
              <w:t>000m</w:t>
            </w:r>
            <w:r>
              <w:rPr>
                <w:rFonts w:hint="default" w:ascii="Times New Roman" w:hAnsi="Times New Roman" w:eastAsia="宋体" w:cs="Times New Roman"/>
                <w:b w:val="0"/>
                <w:bCs w:val="0"/>
                <w:color w:val="000000"/>
                <w:highlight w:val="none"/>
                <w:vertAlign w:val="superscript"/>
                <w:lang w:val="en-US" w:eastAsia="zh-CN"/>
              </w:rPr>
              <w:t>3</w:t>
            </w:r>
            <w:r>
              <w:rPr>
                <w:rFonts w:hint="default" w:ascii="Times New Roman" w:hAnsi="Times New Roman" w:eastAsia="宋体" w:cs="Times New Roman"/>
                <w:b w:val="0"/>
                <w:bCs w:val="0"/>
                <w:color w:val="000000"/>
                <w:highlight w:val="none"/>
                <w:lang w:val="en-US" w:eastAsia="zh-CN"/>
              </w:rPr>
              <w:t>/h，处理效率不低于</w:t>
            </w:r>
            <w:r>
              <w:rPr>
                <w:rFonts w:hint="eastAsia" w:ascii="Times New Roman" w:hAnsi="Times New Roman" w:eastAsia="宋体" w:cs="Times New Roman"/>
                <w:b w:val="0"/>
                <w:bCs w:val="0"/>
                <w:color w:val="000000"/>
                <w:highlight w:val="none"/>
                <w:lang w:val="en-US" w:eastAsia="zh-CN"/>
              </w:rPr>
              <w:t>7</w:t>
            </w:r>
            <w:r>
              <w:rPr>
                <w:rFonts w:hint="default" w:ascii="Times New Roman" w:hAnsi="Times New Roman" w:eastAsia="宋体" w:cs="Times New Roman"/>
                <w:b w:val="0"/>
                <w:bCs w:val="0"/>
                <w:color w:val="000000"/>
                <w:highlight w:val="none"/>
                <w:lang w:val="en-US" w:eastAsia="zh-CN"/>
              </w:rPr>
              <w:t>5%。</w:t>
            </w:r>
          </w:p>
          <w:p w14:paraId="5A1B89C6">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（2）地面停车场机动车尾气</w:t>
            </w:r>
          </w:p>
          <w:p w14:paraId="07382770">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加强绿化和管理，降低机动车尾气对周围环境的影响。</w:t>
            </w:r>
          </w:p>
          <w:p w14:paraId="6B8FA69D">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（3）垃圾桶及公厕恶臭</w:t>
            </w:r>
          </w:p>
          <w:p w14:paraId="73559F95">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设置垃圾桶若干，并实行每天清运，做到日清日运，以保持环境卫生。</w:t>
            </w:r>
          </w:p>
          <w:p w14:paraId="3091F77B">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公厕为室内冲水式公厕，使用后立即进行冲水，同时通过公厕内配套设置的送、排风系统进行换气，工作人员每天清洁、定期消毒等措施，以保持公厕环境卫生。</w:t>
            </w:r>
          </w:p>
          <w:p w14:paraId="0757095B">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60" w:firstLineChars="200"/>
              <w:jc w:val="both"/>
              <w:textAlignment w:val="auto"/>
              <w:rPr>
                <w:rFonts w:hint="default" w:ascii="Times New Roman" w:hAnsi="Times New Roman" w:eastAsia="宋体" w:cs="Times New Roman"/>
                <w:b w:val="0"/>
                <w:bCs w:val="0"/>
                <w:color w:val="000000"/>
                <w:highlight w:val="none"/>
                <w:lang w:val="en-US" w:eastAsia="zh-CN"/>
              </w:rPr>
            </w:pPr>
            <w:r>
              <w:rPr>
                <w:spacing w:val="-5"/>
              </w:rPr>
              <w:t>本项目废气主要为厨房油烟废气、地面停车场汽车尾气、</w:t>
            </w:r>
            <w:r>
              <w:t>垃圾点及公厕恶臭。油烟废气经油烟净化装置处理后对周围环境造成的影响</w:t>
            </w:r>
            <w:r>
              <w:rPr>
                <w:spacing w:val="-1"/>
              </w:rPr>
              <w:t>很小；</w:t>
            </w:r>
            <w:r>
              <w:rPr>
                <w:spacing w:val="-5"/>
              </w:rPr>
              <w:t>地上停车场车位位于开阔地带，机动车尾气易于被稀释扩散，对周围环境影响不大；</w:t>
            </w:r>
            <w:r>
              <w:t>垃圾箱和公厕及时清运，加强管理，定期消毒，恶臭对周围环境的影响不</w:t>
            </w:r>
            <w:r>
              <w:rPr>
                <w:spacing w:val="-1"/>
              </w:rPr>
              <w:t>大。</w:t>
            </w:r>
          </w:p>
          <w:p w14:paraId="3D9E6FF3">
            <w:pPr>
              <w:keepNext w:val="0"/>
              <w:keepLines w:val="0"/>
              <w:pageBreakBefore w:val="0"/>
              <w:widowControl/>
              <w:suppressLineNumbers w:val="0"/>
              <w:kinsoku/>
              <w:wordWrap/>
              <w:overflowPunct/>
              <w:topLinePunct w:val="0"/>
              <w:autoSpaceDE/>
              <w:autoSpaceDN/>
              <w:bidi w:val="0"/>
              <w:snapToGrid w:val="0"/>
              <w:spacing w:line="360" w:lineRule="auto"/>
              <w:ind w:right="0" w:firstLine="482" w:firstLineChars="200"/>
              <w:jc w:val="both"/>
              <w:textAlignment w:val="auto"/>
              <w:rPr>
                <w:rFonts w:hint="eastAsia" w:ascii="Times New Roman" w:hAnsi="Times New Roman" w:eastAsia="宋体" w:cs="Times New Roman"/>
                <w:b/>
                <w:bCs/>
                <w:color w:val="000000"/>
                <w:highlight w:val="none"/>
                <w:lang w:val="en-US" w:eastAsia="zh-CN"/>
              </w:rPr>
            </w:pPr>
            <w:r>
              <w:rPr>
                <w:rFonts w:hint="eastAsia" w:cs="Times New Roman"/>
                <w:b/>
                <w:bCs/>
                <w:color w:val="000000"/>
                <w:highlight w:val="none"/>
                <w:lang w:val="en-US" w:eastAsia="zh-CN"/>
              </w:rPr>
              <w:t>2.</w:t>
            </w:r>
            <w:r>
              <w:rPr>
                <w:rFonts w:hint="eastAsia" w:ascii="Times New Roman" w:hAnsi="Times New Roman" w:eastAsia="宋体" w:cs="Times New Roman"/>
                <w:b/>
                <w:bCs/>
                <w:color w:val="000000"/>
                <w:highlight w:val="none"/>
                <w:lang w:val="en-US" w:eastAsia="zh-CN"/>
              </w:rPr>
              <w:t>废水污染治理及防范措施</w:t>
            </w:r>
          </w:p>
          <w:p w14:paraId="1A6B9D21">
            <w:pPr>
              <w:keepNext w:val="0"/>
              <w:keepLines w:val="0"/>
              <w:pageBreakBefore w:val="0"/>
              <w:widowControl/>
              <w:suppressLineNumbers w:val="0"/>
              <w:kinsoku/>
              <w:wordWrap/>
              <w:overflowPunct/>
              <w:topLinePunct w:val="0"/>
              <w:autoSpaceDE/>
              <w:autoSpaceDN/>
              <w:bidi w:val="0"/>
              <w:snapToGrid w:val="0"/>
              <w:spacing w:line="360" w:lineRule="auto"/>
              <w:ind w:right="0" w:firstLine="480" w:firstLineChars="200"/>
              <w:jc w:val="both"/>
              <w:textAlignment w:val="auto"/>
              <w:rPr>
                <w:rFonts w:hint="eastAsia" w:ascii="Times New Roman" w:hAnsi="Times New Roman" w:eastAsia="宋体" w:cs="Times New Roman"/>
                <w:color w:val="000000"/>
                <w:kern w:val="0"/>
                <w:szCs w:val="21"/>
                <w:highlight w:val="none"/>
                <w:lang w:val="en-US" w:eastAsia="zh-CN"/>
              </w:rPr>
            </w:pPr>
            <w:r>
              <w:rPr>
                <w:rFonts w:hint="eastAsia" w:ascii="Times New Roman" w:hAnsi="Times New Roman" w:eastAsia="宋体" w:cs="Times New Roman"/>
                <w:b w:val="0"/>
                <w:bCs w:val="0"/>
                <w:color w:val="000000"/>
                <w:highlight w:val="none"/>
                <w:lang w:val="en-US" w:eastAsia="zh-CN"/>
              </w:rPr>
              <w:t>项目废水主要包括餐饮含油废水及生活污水</w:t>
            </w:r>
            <w:r>
              <w:rPr>
                <w:rFonts w:hint="eastAsia" w:eastAsia="宋体" w:cs="Times New Roman"/>
                <w:b w:val="0"/>
                <w:bCs w:val="0"/>
                <w:color w:val="000000"/>
                <w:highlight w:val="none"/>
                <w:lang w:val="en-US" w:eastAsia="zh-CN"/>
              </w:rPr>
              <w:t>，</w:t>
            </w:r>
            <w:r>
              <w:rPr>
                <w:rFonts w:hint="eastAsia" w:ascii="Times New Roman" w:hAnsi="Times New Roman" w:eastAsia="宋体" w:cs="Times New Roman"/>
                <w:color w:val="000000"/>
                <w:kern w:val="0"/>
                <w:szCs w:val="21"/>
                <w:highlight w:val="none"/>
                <w:lang w:val="en-US" w:eastAsia="zh-CN"/>
              </w:rPr>
              <w:t>餐饮</w:t>
            </w:r>
            <w:r>
              <w:rPr>
                <w:rFonts w:hint="eastAsia" w:eastAsia="宋体" w:cs="Times New Roman"/>
                <w:color w:val="000000"/>
                <w:kern w:val="0"/>
                <w:szCs w:val="21"/>
                <w:highlight w:val="none"/>
                <w:lang w:val="en-US" w:eastAsia="zh-CN"/>
              </w:rPr>
              <w:t>含油污水经隔油池预处理后</w:t>
            </w:r>
            <w:r>
              <w:rPr>
                <w:rFonts w:hint="eastAsia" w:ascii="Times New Roman" w:hAnsi="Times New Roman" w:eastAsia="宋体" w:cs="Times New Roman"/>
                <w:color w:val="000000"/>
                <w:kern w:val="0"/>
                <w:szCs w:val="21"/>
                <w:highlight w:val="none"/>
                <w:lang w:val="en-US" w:eastAsia="zh-CN"/>
              </w:rPr>
              <w:t>排入乡村会客厅处的化粪池</w:t>
            </w:r>
            <w:r>
              <w:rPr>
                <w:rFonts w:hint="eastAsia" w:eastAsia="宋体" w:cs="Times New Roman"/>
                <w:color w:val="000000"/>
                <w:kern w:val="0"/>
                <w:szCs w:val="21"/>
                <w:highlight w:val="none"/>
                <w:lang w:val="en-US" w:eastAsia="zh-CN"/>
              </w:rPr>
              <w:t>，民宿区和</w:t>
            </w:r>
            <w:r>
              <w:rPr>
                <w:rFonts w:hint="eastAsia" w:ascii="Times New Roman" w:hAnsi="Times New Roman" w:eastAsia="宋体" w:cs="Times New Roman"/>
                <w:color w:val="000000"/>
                <w:kern w:val="0"/>
                <w:szCs w:val="21"/>
                <w:highlight w:val="none"/>
                <w:lang w:val="en-US" w:eastAsia="zh-CN"/>
              </w:rPr>
              <w:t>乡村会客厅处</w:t>
            </w:r>
            <w:r>
              <w:rPr>
                <w:rFonts w:hint="eastAsia" w:eastAsia="宋体" w:cs="Times New Roman"/>
                <w:color w:val="000000"/>
                <w:kern w:val="0"/>
                <w:szCs w:val="21"/>
                <w:highlight w:val="none"/>
                <w:lang w:val="en-US" w:eastAsia="zh-CN"/>
              </w:rPr>
              <w:t>的</w:t>
            </w:r>
            <w:r>
              <w:rPr>
                <w:rFonts w:hint="eastAsia" w:ascii="Times New Roman" w:hAnsi="Times New Roman" w:eastAsia="宋体" w:cs="Times New Roman"/>
                <w:color w:val="000000"/>
                <w:kern w:val="0"/>
                <w:szCs w:val="21"/>
                <w:highlight w:val="none"/>
                <w:lang w:val="en-US" w:eastAsia="zh-CN"/>
              </w:rPr>
              <w:t>生活污水经过化粪池处理后定期由吸污车抽出运至阜康市污水处理厂处理，不设置直排口，杜绝污水散排渗入冲沟最终汇入三工河。</w:t>
            </w:r>
          </w:p>
          <w:p w14:paraId="6EEE3741">
            <w:pPr>
              <w:keepNext w:val="0"/>
              <w:keepLines w:val="0"/>
              <w:pageBreakBefore w:val="0"/>
              <w:widowControl/>
              <w:suppressLineNumbers w:val="0"/>
              <w:kinsoku/>
              <w:wordWrap/>
              <w:overflowPunct/>
              <w:topLinePunct w:val="0"/>
              <w:autoSpaceDE/>
              <w:autoSpaceDN/>
              <w:bidi w:val="0"/>
              <w:snapToGrid w:val="0"/>
              <w:spacing w:line="360" w:lineRule="auto"/>
              <w:ind w:right="0" w:firstLine="480" w:firstLineChars="200"/>
              <w:jc w:val="both"/>
              <w:textAlignment w:val="auto"/>
              <w:rPr>
                <w:rFonts w:hint="eastAsia" w:ascii="Times New Roman" w:hAnsi="Times New Roman" w:eastAsia="宋体" w:cs="Times New Roman"/>
                <w:color w:val="000000"/>
                <w:kern w:val="0"/>
                <w:szCs w:val="21"/>
                <w:highlight w:val="none"/>
                <w:lang w:val="en-US" w:eastAsia="zh-CN"/>
              </w:rPr>
            </w:pPr>
            <w:r>
              <w:rPr>
                <w:rFonts w:hint="eastAsia" w:ascii="Times New Roman" w:hAnsi="Times New Roman" w:eastAsia="宋体" w:cs="Times New Roman"/>
                <w:color w:val="000000"/>
                <w:kern w:val="0"/>
                <w:szCs w:val="21"/>
                <w:highlight w:val="none"/>
                <w:lang w:val="en-US" w:eastAsia="zh-CN"/>
              </w:rPr>
              <w:t>加强游客管理，禁止游客向河道、支沟丢弃垃圾、洗涤污物，设置警示标识，防范旅游活动造成面源污染。</w:t>
            </w:r>
          </w:p>
          <w:p w14:paraId="6D911FA3">
            <w:pPr>
              <w:keepNext w:val="0"/>
              <w:keepLines w:val="0"/>
              <w:pageBreakBefore w:val="0"/>
              <w:widowControl/>
              <w:suppressLineNumbers w:val="0"/>
              <w:kinsoku/>
              <w:wordWrap/>
              <w:overflowPunct/>
              <w:topLinePunct w:val="0"/>
              <w:autoSpaceDE/>
              <w:autoSpaceDN/>
              <w:bidi w:val="0"/>
              <w:snapToGrid w:val="0"/>
              <w:spacing w:line="360" w:lineRule="auto"/>
              <w:ind w:right="0" w:firstLine="480" w:firstLineChars="200"/>
              <w:jc w:val="both"/>
              <w:textAlignment w:val="auto"/>
              <w:rPr>
                <w:rFonts w:hint="eastAsia" w:ascii="Times New Roman" w:hAnsi="Times New Roman" w:eastAsia="宋体" w:cs="Times New Roman"/>
                <w:color w:val="000000"/>
                <w:kern w:val="0"/>
                <w:szCs w:val="21"/>
                <w:highlight w:val="none"/>
                <w:lang w:val="en-US" w:eastAsia="zh-CN"/>
              </w:rPr>
            </w:pPr>
            <w:r>
              <w:rPr>
                <w:rFonts w:hint="eastAsia" w:ascii="Times New Roman" w:hAnsi="Times New Roman" w:eastAsia="宋体" w:cs="Times New Roman"/>
                <w:color w:val="000000"/>
                <w:kern w:val="0"/>
                <w:szCs w:val="21"/>
                <w:highlight w:val="none"/>
                <w:lang w:val="en-US" w:eastAsia="zh-CN"/>
              </w:rPr>
              <w:t>化粪池、隔油池固定清掏周期设定为每6个月开展一次彻底清掏作业；餐饮高峰期（旅游旺季4—10月）缩短至每4个月清掏一次，委托具备资质的第三方单位清运粪渣、油污残渣，池体内部定期检查淤积厚度，防止沉积物堵塞管道、造成污水溢流。</w:t>
            </w:r>
          </w:p>
          <w:p w14:paraId="43A0FED2">
            <w:pPr>
              <w:keepNext w:val="0"/>
              <w:keepLines w:val="0"/>
              <w:pageBreakBefore w:val="0"/>
              <w:widowControl/>
              <w:suppressLineNumbers w:val="0"/>
              <w:kinsoku/>
              <w:wordWrap/>
              <w:overflowPunct/>
              <w:topLinePunct w:val="0"/>
              <w:autoSpaceDE/>
              <w:autoSpaceDN/>
              <w:bidi w:val="0"/>
              <w:snapToGrid w:val="0"/>
              <w:spacing w:line="360" w:lineRule="auto"/>
              <w:ind w:right="0" w:firstLine="480" w:firstLineChars="200"/>
              <w:jc w:val="both"/>
              <w:textAlignment w:val="auto"/>
              <w:rPr>
                <w:rFonts w:hint="eastAsia" w:ascii="Times New Roman" w:hAnsi="Times New Roman" w:eastAsia="宋体" w:cs="Times New Roman"/>
                <w:color w:val="000000"/>
                <w:kern w:val="0"/>
                <w:szCs w:val="21"/>
                <w:highlight w:val="none"/>
                <w:lang w:val="en-US" w:eastAsia="zh-CN"/>
              </w:rPr>
            </w:pPr>
            <w:r>
              <w:rPr>
                <w:rFonts w:hint="eastAsia" w:ascii="Times New Roman" w:hAnsi="Times New Roman" w:eastAsia="宋体" w:cs="Times New Roman"/>
                <w:color w:val="000000"/>
                <w:kern w:val="0"/>
                <w:szCs w:val="21"/>
                <w:highlight w:val="none"/>
                <w:lang w:val="en-US" w:eastAsia="zh-CN"/>
              </w:rPr>
              <w:t>化粪池、隔油池全部采用深埋布设，池体外壁包裹加厚聚氨酯保温层；污水收集管线选用耐低温管材，室外管网外部包裹岩棉保温棉+防水保护层，管沟填充保温细砂。室外裸露检查井、接口部位加装保温井盖、保温棉封堵；入冬前排空管线低点积水，防止低温冻胀开裂造成污水渗漏。民宿室内污水立管加装伴热保温结构，闲置时段维持管路微量水循环，杜绝管路结冰堵管。</w:t>
            </w:r>
          </w:p>
          <w:p w14:paraId="378A4206">
            <w:pPr>
              <w:keepNext w:val="0"/>
              <w:keepLines w:val="0"/>
              <w:pageBreakBefore w:val="0"/>
              <w:widowControl/>
              <w:suppressLineNumbers w:val="0"/>
              <w:kinsoku/>
              <w:wordWrap/>
              <w:overflowPunct/>
              <w:topLinePunct w:val="0"/>
              <w:autoSpaceDE/>
              <w:autoSpaceDN/>
              <w:bidi w:val="0"/>
              <w:snapToGrid w:val="0"/>
              <w:spacing w:line="360" w:lineRule="auto"/>
              <w:ind w:right="0" w:firstLine="480" w:firstLineChars="200"/>
              <w:jc w:val="both"/>
              <w:textAlignment w:val="auto"/>
              <w:rPr>
                <w:rFonts w:hint="default" w:ascii="Times New Roman" w:hAnsi="Times New Roman" w:eastAsia="宋体" w:cs="Times New Roman"/>
                <w:color w:val="000000"/>
                <w:kern w:val="0"/>
                <w:szCs w:val="21"/>
                <w:highlight w:val="none"/>
                <w:lang w:val="en-US" w:eastAsia="zh-CN"/>
              </w:rPr>
            </w:pPr>
            <w:r>
              <w:rPr>
                <w:rFonts w:hint="eastAsia" w:ascii="Times New Roman" w:hAnsi="Times New Roman" w:eastAsia="宋体" w:cs="Times New Roman"/>
                <w:color w:val="000000"/>
                <w:kern w:val="0"/>
                <w:szCs w:val="21"/>
                <w:highlight w:val="none"/>
                <w:lang w:val="en-US" w:eastAsia="zh-CN"/>
              </w:rPr>
              <w:t>项目生活污水全部采用密闭吸污罐车转运至阜康市城市污水处理厂处置，严禁就地排放、渗排。建立污水转运专项管理台账，台账完整记录转运日期、转运水量、转运车辆牌号、处置接收单位、押运人员、处置回执单据编号，同步留存污水处理厂接收凭证、转运单位资质文件。台账纸质资料存档期限不少于3年，安排专人负责台账日常登记、保管，生态环境部门现场核查时可随时调取查阅，实现污水产生—收集—转运—处置全过程可追溯管理。定期巡检化粪池、隔油池、污水管网有无渗漏、溢流情况；设置污水溢流应急收集桶，突发渗漏时立即封堵收集，避免废水漫流汇入周边冲沟，间接影响三工河Ⅱ类地表水体水质。</w:t>
            </w:r>
          </w:p>
          <w:p w14:paraId="3B31BF5C">
            <w:pPr>
              <w:pStyle w:val="13"/>
              <w:keepNext w:val="0"/>
              <w:keepLines w:val="0"/>
              <w:pageBreakBefore w:val="0"/>
              <w:kinsoku/>
              <w:wordWrap/>
              <w:overflowPunct/>
              <w:topLinePunct w:val="0"/>
              <w:autoSpaceDE/>
              <w:autoSpaceDN/>
              <w:bidi w:val="0"/>
              <w:snapToGrid w:val="0"/>
              <w:spacing w:before="0" w:after="0" w:line="360" w:lineRule="auto"/>
              <w:ind w:right="0" w:firstLine="480" w:firstLineChars="200"/>
              <w:jc w:val="both"/>
              <w:textAlignment w:val="auto"/>
              <w:rPr>
                <w:rFonts w:hint="eastAsia"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根据《排污许可证申请与核发技术规范水处理通用工序》（HJ1120-2020）附录表A.1污水处理可行技术参照表“生活污水可行技术”，该工艺为可行技术。</w:t>
            </w:r>
          </w:p>
          <w:p w14:paraId="3E88473B">
            <w:pPr>
              <w:pStyle w:val="13"/>
              <w:keepNext w:val="0"/>
              <w:keepLines w:val="0"/>
              <w:pageBreakBefore w:val="0"/>
              <w:kinsoku/>
              <w:wordWrap/>
              <w:overflowPunct/>
              <w:topLinePunct w:val="0"/>
              <w:autoSpaceDE/>
              <w:autoSpaceDN/>
              <w:bidi w:val="0"/>
              <w:snapToGrid w:val="0"/>
              <w:spacing w:before="0" w:after="0" w:line="360" w:lineRule="auto"/>
              <w:ind w:right="0" w:firstLine="482" w:firstLineChars="20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eastAsia" w:cs="Times New Roman"/>
                <w:b/>
                <w:bCs/>
                <w:color w:val="000000"/>
                <w:kern w:val="0"/>
                <w:sz w:val="24"/>
                <w:szCs w:val="24"/>
                <w:highlight w:val="none"/>
                <w:lang w:val="en-US" w:eastAsia="zh-CN" w:bidi="ar"/>
              </w:rPr>
              <w:t>3.</w:t>
            </w:r>
            <w:r>
              <w:rPr>
                <w:rFonts w:hint="default" w:ascii="Times New Roman" w:hAnsi="Times New Roman" w:eastAsia="宋体" w:cs="Times New Roman"/>
                <w:b/>
                <w:bCs/>
                <w:color w:val="000000"/>
                <w:kern w:val="0"/>
                <w:sz w:val="24"/>
                <w:szCs w:val="24"/>
                <w:highlight w:val="none"/>
                <w:lang w:val="en-US" w:eastAsia="zh-CN" w:bidi="ar"/>
              </w:rPr>
              <w:t>噪声防治措施</w:t>
            </w:r>
          </w:p>
          <w:p w14:paraId="0C359C22">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rPr>
              <w:t>项目营运期噪声污染源主要来自食堂厨房的油烟净化器风机、配电房、生活水泵以及单体空调等运行时产生的设备噪声及车辆交通噪声，源强在70-85dB(A</w:t>
            </w:r>
            <w:r>
              <w:rPr>
                <w:rFonts w:hint="eastAsia" w:cs="Times New Roman"/>
                <w:color w:val="000000"/>
                <w:lang w:eastAsia="zh-CN"/>
              </w:rPr>
              <w:t>）</w:t>
            </w:r>
            <w:r>
              <w:rPr>
                <w:rFonts w:hint="default" w:ascii="Times New Roman" w:hAnsi="Times New Roman" w:eastAsia="宋体" w:cs="Times New Roman"/>
                <w:color w:val="000000"/>
              </w:rPr>
              <w:t>之间。</w:t>
            </w:r>
          </w:p>
          <w:p w14:paraId="2D968158">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rPr>
              <w:t>为使项目设备噪声对周围环境的影响降到最低，本环评建议做到以下几点：</w:t>
            </w:r>
          </w:p>
          <w:p w14:paraId="6848CF46">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rPr>
            </w:pPr>
            <w:r>
              <w:rPr>
                <w:rFonts w:hint="eastAsia" w:cs="Times New Roman"/>
                <w:color w:val="000000"/>
                <w:lang w:eastAsia="zh-CN"/>
              </w:rPr>
              <w:t>1）</w:t>
            </w:r>
            <w:r>
              <w:rPr>
                <w:rFonts w:hint="default" w:ascii="Times New Roman" w:hAnsi="Times New Roman" w:eastAsia="宋体" w:cs="Times New Roman"/>
                <w:color w:val="000000"/>
              </w:rPr>
              <w:t>采用“闹静分开”和合理布局的设施原则，对于强噪声设备或操作应尽可能远离厂界布置。</w:t>
            </w:r>
          </w:p>
          <w:p w14:paraId="63489F71">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rPr>
            </w:pPr>
            <w:r>
              <w:rPr>
                <w:rFonts w:hint="eastAsia" w:cs="Times New Roman"/>
                <w:color w:val="000000"/>
                <w:lang w:eastAsia="zh-CN"/>
              </w:rPr>
              <w:t>2）</w:t>
            </w:r>
            <w:r>
              <w:rPr>
                <w:rFonts w:hint="default" w:ascii="Times New Roman" w:hAnsi="Times New Roman" w:eastAsia="宋体" w:cs="Times New Roman"/>
                <w:color w:val="000000"/>
              </w:rPr>
              <w:t>根据本项目噪声源特征，建议在设计和设备采购阶段，充分选用先进的低噪设备，以从声源上降低设备本身噪声，以减少对周围环境的影响。</w:t>
            </w:r>
          </w:p>
          <w:p w14:paraId="6C5D6786">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rPr>
            </w:pPr>
            <w:r>
              <w:rPr>
                <w:rFonts w:hint="eastAsia" w:cs="Times New Roman"/>
                <w:color w:val="000000"/>
                <w:lang w:eastAsia="zh-CN"/>
              </w:rPr>
              <w:t>3）</w:t>
            </w:r>
            <w:r>
              <w:rPr>
                <w:rFonts w:hint="default" w:ascii="Times New Roman" w:hAnsi="Times New Roman" w:eastAsia="宋体" w:cs="Times New Roman"/>
                <w:color w:val="000000"/>
              </w:rPr>
              <w:t>在高噪声设备安装隔声和减振设施，如在设备的底部加减振垫，在设备的四周可开设一定宽度和深度的沟槽，里面填充松软物质，用来隔离振动的传递。</w:t>
            </w:r>
          </w:p>
          <w:p w14:paraId="3054F531">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rPr>
            </w:pPr>
            <w:r>
              <w:rPr>
                <w:rFonts w:hint="eastAsia" w:cs="Times New Roman"/>
                <w:color w:val="000000"/>
                <w:lang w:eastAsia="zh-CN"/>
              </w:rPr>
              <w:t>4）</w:t>
            </w:r>
            <w:r>
              <w:rPr>
                <w:rFonts w:hint="default" w:ascii="Times New Roman" w:hAnsi="Times New Roman" w:eastAsia="宋体" w:cs="Times New Roman"/>
                <w:color w:val="000000"/>
              </w:rPr>
              <w:t>加强设备的维护，确保设备处于良好的运转状态，杜绝因设备不正常运转时产生的高噪声现象。</w:t>
            </w:r>
          </w:p>
          <w:p w14:paraId="6A66199B">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rPr>
            </w:pPr>
            <w:r>
              <w:rPr>
                <w:rFonts w:hint="eastAsia" w:cs="Times New Roman"/>
                <w:color w:val="000000"/>
                <w:lang w:eastAsia="zh-CN"/>
              </w:rPr>
              <w:t>5）</w:t>
            </w:r>
            <w:r>
              <w:rPr>
                <w:rFonts w:hint="default" w:ascii="Times New Roman" w:hAnsi="Times New Roman" w:eastAsia="宋体" w:cs="Times New Roman"/>
                <w:color w:val="000000"/>
              </w:rPr>
              <w:t>建议在项目四周多种乔木、灌木使其形成绿化带，不仅可以美化环境，同时还可以起到一定的吸声降噪作用，结合周边景观情况，项目内应做好绿化工作。</w:t>
            </w:r>
          </w:p>
          <w:p w14:paraId="1669BA46">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rPr>
            </w:pPr>
            <w:r>
              <w:rPr>
                <w:rFonts w:hint="eastAsia" w:cs="Times New Roman"/>
                <w:color w:val="000000"/>
                <w:lang w:eastAsia="zh-CN"/>
              </w:rPr>
              <w:t>6）</w:t>
            </w:r>
            <w:r>
              <w:rPr>
                <w:rFonts w:hint="default" w:ascii="Times New Roman" w:hAnsi="Times New Roman" w:eastAsia="宋体" w:cs="Times New Roman"/>
                <w:color w:val="000000"/>
              </w:rPr>
              <w:t>水泵房以及空调外机等采取基础减振降噪，隔声、消声等措施。</w:t>
            </w:r>
          </w:p>
          <w:p w14:paraId="56F9E675">
            <w:pPr>
              <w:keepNext w:val="0"/>
              <w:keepLines w:val="0"/>
              <w:pageBreakBefore w:val="0"/>
              <w:widowControl/>
              <w:suppressLineNumbers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000000"/>
              </w:rPr>
            </w:pPr>
            <w:r>
              <w:rPr>
                <w:rFonts w:hint="default" w:ascii="Times New Roman" w:hAnsi="Times New Roman" w:eastAsia="宋体" w:cs="Times New Roman"/>
                <w:color w:val="000000"/>
              </w:rPr>
              <w:t>由上分析可知，项目噪声源在采取有效的控制措施、合理布局、加强管理后，项目厂界噪声均可以满足《</w:t>
            </w:r>
            <w:r>
              <w:rPr>
                <w:rFonts w:hint="default" w:ascii="Times New Roman" w:hAnsi="Times New Roman" w:eastAsia="宋体" w:cs="Times New Roman"/>
                <w:color w:val="000000"/>
                <w:lang w:val="en-US" w:eastAsia="zh-CN"/>
              </w:rPr>
              <w:t>社会生活</w:t>
            </w:r>
            <w:r>
              <w:rPr>
                <w:rFonts w:hint="default" w:ascii="Times New Roman" w:hAnsi="Times New Roman" w:eastAsia="宋体" w:cs="Times New Roman"/>
                <w:color w:val="000000"/>
              </w:rPr>
              <w:t>环境噪声排放标准》（</w:t>
            </w:r>
            <w:r>
              <w:rPr>
                <w:rFonts w:hint="default" w:ascii="Times New Roman" w:hAnsi="Times New Roman" w:eastAsia="宋体" w:cs="Times New Roman"/>
                <w:spacing w:val="-2"/>
              </w:rPr>
              <w:t>GB223</w:t>
            </w:r>
            <w:r>
              <w:rPr>
                <w:rFonts w:hint="default" w:ascii="Times New Roman" w:hAnsi="Times New Roman" w:eastAsia="宋体" w:cs="Times New Roman"/>
                <w:spacing w:val="-3"/>
              </w:rPr>
              <w:t>37-2008</w:t>
            </w:r>
            <w:r>
              <w:rPr>
                <w:rFonts w:hint="default" w:ascii="Times New Roman" w:hAnsi="Times New Roman" w:eastAsia="宋体" w:cs="Times New Roman"/>
                <w:color w:val="000000"/>
              </w:rPr>
              <w:t>）</w:t>
            </w:r>
            <w:r>
              <w:rPr>
                <w:rFonts w:hint="eastAsia" w:ascii="Times New Roman" w:hAnsi="Times New Roman" w:eastAsia="宋体" w:cs="Times New Roman"/>
                <w:color w:val="000000"/>
                <w:lang w:val="en-US" w:eastAsia="zh-CN"/>
              </w:rPr>
              <w:t>1</w:t>
            </w:r>
            <w:r>
              <w:rPr>
                <w:rFonts w:hint="default" w:ascii="Times New Roman" w:hAnsi="Times New Roman" w:eastAsia="宋体" w:cs="Times New Roman"/>
                <w:color w:val="000000"/>
              </w:rPr>
              <w:t>类标准的要求，不会对区域声环境造成污染。</w:t>
            </w:r>
          </w:p>
          <w:p w14:paraId="31F69FA7">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8" w:firstLineChars="200"/>
              <w:jc w:val="both"/>
              <w:textAlignment w:val="auto"/>
              <w:rPr>
                <w:rFonts w:hint="default" w:ascii="Times New Roman" w:hAnsi="Times New Roman" w:eastAsia="宋体" w:cs="Times New Roman"/>
                <w:b/>
                <w:bCs/>
                <w:color w:val="000000"/>
                <w:highlight w:val="none"/>
                <w:lang w:val="en-US" w:eastAsia="zh-CN"/>
              </w:rPr>
            </w:pPr>
            <w:r>
              <w:rPr>
                <w:rFonts w:hint="eastAsia" w:cs="Times New Roman"/>
                <w:b/>
                <w:bCs/>
                <w:color w:val="000000"/>
                <w:highlight w:val="none"/>
                <w:lang w:val="en-US" w:eastAsia="zh-CN"/>
              </w:rPr>
              <w:t>4.</w:t>
            </w:r>
            <w:r>
              <w:rPr>
                <w:rFonts w:hint="default" w:ascii="Times New Roman" w:hAnsi="Times New Roman" w:eastAsia="宋体" w:cs="Times New Roman"/>
                <w:b/>
                <w:bCs/>
                <w:color w:val="000000"/>
                <w:lang w:val="en-US" w:eastAsia="zh-CN"/>
              </w:rPr>
              <w:t>固体废物治理措施</w:t>
            </w:r>
          </w:p>
          <w:p w14:paraId="3BDFFAF5">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eastAsia" w:ascii="Times New Roman" w:hAnsi="Times New Roman" w:eastAsia="宋体" w:cs="Times New Roman"/>
                <w:b w:val="0"/>
                <w:bCs w:val="0"/>
                <w:color w:val="000000"/>
                <w:highlight w:val="none"/>
                <w:lang w:val="en-US" w:eastAsia="zh-CN"/>
              </w:rPr>
            </w:pPr>
            <w:r>
              <w:rPr>
                <w:rFonts w:hint="eastAsia" w:ascii="Times New Roman" w:hAnsi="Times New Roman" w:eastAsia="宋体" w:cs="Times New Roman"/>
                <w:b w:val="0"/>
                <w:bCs w:val="0"/>
                <w:color w:val="000000"/>
                <w:highlight w:val="none"/>
                <w:lang w:val="en-US" w:eastAsia="zh-CN"/>
              </w:rPr>
              <w:t>项目建成后的固体废物主要为办公生活垃圾、食堂餐厨垃圾、顾客生活垃圾。生活垃圾主要成分包括果皮纸屑、废旧纸张、塑料包装袋等。</w:t>
            </w:r>
          </w:p>
          <w:p w14:paraId="24113943">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eastAsia" w:ascii="Times New Roman" w:hAnsi="Times New Roman" w:eastAsia="宋体" w:cs="Times New Roman"/>
                <w:b w:val="0"/>
                <w:bCs w:val="0"/>
                <w:color w:val="000000"/>
                <w:highlight w:val="none"/>
                <w:lang w:val="en-US" w:eastAsia="zh-CN"/>
              </w:rPr>
            </w:pPr>
            <w:r>
              <w:rPr>
                <w:rFonts w:hint="eastAsia" w:ascii="Times New Roman" w:hAnsi="Times New Roman" w:eastAsia="宋体" w:cs="Times New Roman"/>
                <w:b w:val="0"/>
                <w:bCs w:val="0"/>
                <w:color w:val="000000"/>
                <w:highlight w:val="none"/>
                <w:lang w:val="en-US" w:eastAsia="zh-CN"/>
              </w:rPr>
              <w:t>项目公共步道、休闲区域按70米间距设置一组分类垃圾箱。民宿客房片区以单个院落为单元，每处院落内设置1组分类垃圾桶，于侧位隐蔽布置，院落外围步道不再重复设置。露营区域依照组团配置，每1</w:t>
            </w:r>
            <w:r>
              <w:rPr>
                <w:rFonts w:hint="eastAsia" w:cs="Times New Roman"/>
                <w:b w:val="0"/>
                <w:bCs w:val="0"/>
                <w:color w:val="000000"/>
                <w:highlight w:val="none"/>
                <w:lang w:val="en-US" w:eastAsia="zh-CN"/>
              </w:rPr>
              <w:t>—</w:t>
            </w:r>
            <w:r>
              <w:rPr>
                <w:rFonts w:hint="eastAsia" w:ascii="Times New Roman" w:hAnsi="Times New Roman" w:eastAsia="宋体" w:cs="Times New Roman"/>
                <w:b w:val="0"/>
                <w:bCs w:val="0"/>
                <w:color w:val="000000"/>
                <w:highlight w:val="none"/>
                <w:lang w:val="en-US" w:eastAsia="zh-CN"/>
              </w:rPr>
              <w:t>2个露营单元布设一组垃圾桶，远离帐篷休憩点位；烧烤台、盥洗点、集中活动广场等人流密集区域，垃圾桶调整为40</w:t>
            </w:r>
            <w:r>
              <w:rPr>
                <w:rFonts w:hint="eastAsia" w:cs="Times New Roman"/>
                <w:b w:val="0"/>
                <w:bCs w:val="0"/>
                <w:color w:val="000000"/>
                <w:highlight w:val="none"/>
                <w:lang w:val="en-US" w:eastAsia="zh-CN"/>
              </w:rPr>
              <w:t>—</w:t>
            </w:r>
            <w:r>
              <w:rPr>
                <w:rFonts w:hint="eastAsia" w:ascii="Times New Roman" w:hAnsi="Times New Roman" w:eastAsia="宋体" w:cs="Times New Roman"/>
                <w:b w:val="0"/>
                <w:bCs w:val="0"/>
                <w:color w:val="000000"/>
                <w:highlight w:val="none"/>
                <w:lang w:val="en-US" w:eastAsia="zh-CN"/>
              </w:rPr>
              <w:t>50米间距。所有垃圾桶结合绿化遮蔽，避开主要景观面，维护场地整体环境风貌。项目餐厨垃圾暂存点与生活垃圾暂存点隔开设置。项目垃圾暂存点应由专人负责保持整洁，防止恶臭及蚊蝇滋生，并及时做好清运工作。</w:t>
            </w:r>
          </w:p>
          <w:p w14:paraId="57F3F4F3">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eastAsia" w:ascii="Times New Roman" w:hAnsi="Times New Roman" w:eastAsia="宋体" w:cs="Times New Roman"/>
                <w:b w:val="0"/>
                <w:bCs w:val="0"/>
                <w:color w:val="000000"/>
                <w:highlight w:val="none"/>
                <w:lang w:val="en-US" w:eastAsia="zh-CN"/>
              </w:rPr>
            </w:pPr>
            <w:r>
              <w:rPr>
                <w:rFonts w:hint="eastAsia" w:ascii="Times New Roman" w:hAnsi="Times New Roman" w:eastAsia="宋体" w:cs="Times New Roman"/>
                <w:b w:val="0"/>
                <w:bCs w:val="0"/>
                <w:color w:val="000000"/>
                <w:highlight w:val="none"/>
                <w:lang w:val="en-US" w:eastAsia="zh-CN"/>
              </w:rPr>
              <w:t>本环评建议项目生活垃圾以及餐厨垃圾日产日清，对垃圾进行密闭收集，项目生活垃圾主要为丢弃的食物包装、废纸、废塑料袋、废塑料瓶等。生活垃圾实行袋装化，并在民宿</w:t>
            </w:r>
            <w:r>
              <w:rPr>
                <w:rFonts w:hint="eastAsia" w:cs="Times New Roman"/>
                <w:b w:val="0"/>
                <w:bCs w:val="0"/>
                <w:color w:val="000000"/>
                <w:highlight w:val="none"/>
                <w:lang w:val="en-US" w:eastAsia="zh-CN"/>
              </w:rPr>
              <w:t>设置</w:t>
            </w:r>
            <w:r>
              <w:rPr>
                <w:rFonts w:hint="eastAsia" w:ascii="Times New Roman" w:hAnsi="Times New Roman" w:eastAsia="宋体" w:cs="Times New Roman"/>
                <w:b w:val="0"/>
                <w:bCs w:val="0"/>
                <w:color w:val="000000"/>
                <w:highlight w:val="none"/>
                <w:lang w:val="en-US" w:eastAsia="zh-CN"/>
              </w:rPr>
              <w:t>加盖垃圾收集桶，每天由专人负责通过塑料袋收集，随后交</w:t>
            </w:r>
            <w:r>
              <w:rPr>
                <w:rFonts w:hint="eastAsia" w:cs="Times New Roman"/>
                <w:b w:val="0"/>
                <w:bCs w:val="0"/>
                <w:color w:val="000000"/>
                <w:highlight w:val="none"/>
                <w:lang w:val="en-US" w:eastAsia="zh-CN"/>
              </w:rPr>
              <w:t>委托环卫部门统一</w:t>
            </w:r>
            <w:r>
              <w:rPr>
                <w:rFonts w:hint="eastAsia" w:ascii="Times New Roman" w:hAnsi="Times New Roman" w:eastAsia="宋体" w:cs="Times New Roman"/>
                <w:b w:val="0"/>
                <w:bCs w:val="0"/>
                <w:color w:val="000000"/>
                <w:highlight w:val="none"/>
                <w:lang w:val="en-US" w:eastAsia="zh-CN"/>
              </w:rPr>
              <w:t>统一运输至生活垃圾处理场进行填埋。密闭式的垃圾收集储存设备技术较为成熟，只要项目加强管理，及时收集、及时外运，运输过程中注意集装化、封闭化，</w:t>
            </w:r>
            <w:r>
              <w:rPr>
                <w:rFonts w:hint="eastAsia" w:cs="Times New Roman"/>
                <w:b w:val="0"/>
                <w:bCs w:val="0"/>
                <w:color w:val="000000"/>
                <w:highlight w:val="none"/>
                <w:lang w:val="en-US" w:eastAsia="zh-CN"/>
              </w:rPr>
              <w:t>做好</w:t>
            </w:r>
            <w:r>
              <w:rPr>
                <w:rFonts w:hint="eastAsia" w:ascii="Times New Roman" w:hAnsi="Times New Roman" w:eastAsia="宋体" w:cs="Times New Roman"/>
                <w:b w:val="0"/>
                <w:bCs w:val="0"/>
                <w:color w:val="000000"/>
                <w:highlight w:val="none"/>
                <w:lang w:val="en-US" w:eastAsia="zh-CN"/>
              </w:rPr>
              <w:t>无害化处置，可保证避免恶臭与蚊蝇产生，减轻其对环境产生影响。</w:t>
            </w:r>
          </w:p>
          <w:p w14:paraId="7892845C">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eastAsia" w:ascii="Times New Roman" w:hAnsi="Times New Roman" w:eastAsia="宋体" w:cs="Times New Roman"/>
                <w:b w:val="0"/>
                <w:bCs w:val="0"/>
                <w:color w:val="000000"/>
                <w:highlight w:val="none"/>
                <w:lang w:val="en-US" w:eastAsia="zh-CN"/>
              </w:rPr>
            </w:pPr>
            <w:r>
              <w:rPr>
                <w:rFonts w:hint="eastAsia" w:ascii="Times New Roman" w:hAnsi="Times New Roman" w:eastAsia="宋体" w:cs="Times New Roman"/>
                <w:b w:val="0"/>
                <w:bCs w:val="0"/>
                <w:color w:val="000000"/>
                <w:highlight w:val="none"/>
                <w:lang w:val="en-US" w:eastAsia="zh-CN"/>
              </w:rPr>
              <w:t>厨余垃圾主要为餐饮原料加工过程中产生的边角废料和剩菜剩饭等。餐厨垃圾含水分较多，不含有毒有害物质，应将餐厨垃圾交由取得许可的餐厨垃圾收集运输单位收运，做到日产日清。餐厨垃圾处理管理要求：</w:t>
            </w:r>
          </w:p>
          <w:p w14:paraId="033629F5">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eastAsia" w:ascii="Times New Roman" w:hAnsi="Times New Roman" w:eastAsia="宋体" w:cs="Times New Roman"/>
                <w:b w:val="0"/>
                <w:bCs w:val="0"/>
                <w:color w:val="000000"/>
                <w:highlight w:val="none"/>
                <w:lang w:val="en-US" w:eastAsia="zh-CN"/>
              </w:rPr>
            </w:pPr>
            <w:r>
              <w:rPr>
                <w:rFonts w:hint="eastAsia" w:ascii="Times New Roman" w:hAnsi="Times New Roman" w:eastAsia="宋体" w:cs="Times New Roman"/>
                <w:b w:val="0"/>
                <w:bCs w:val="0"/>
                <w:color w:val="000000"/>
                <w:highlight w:val="none"/>
                <w:lang w:val="en-US" w:eastAsia="zh-CN"/>
              </w:rPr>
              <w:t>①项目餐厨垃圾应交由取得许可的餐厨垃圾收集运输单位收运，做到日产日清。</w:t>
            </w:r>
          </w:p>
          <w:p w14:paraId="2D4DF334">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eastAsia" w:ascii="Times New Roman" w:hAnsi="Times New Roman" w:eastAsia="宋体" w:cs="Times New Roman"/>
                <w:b w:val="0"/>
                <w:bCs w:val="0"/>
                <w:color w:val="000000"/>
                <w:highlight w:val="none"/>
                <w:lang w:val="en-US" w:eastAsia="zh-CN"/>
              </w:rPr>
            </w:pPr>
            <w:r>
              <w:rPr>
                <w:rFonts w:hint="eastAsia" w:ascii="Times New Roman" w:hAnsi="Times New Roman" w:eastAsia="宋体" w:cs="Times New Roman"/>
                <w:b w:val="0"/>
                <w:bCs w:val="0"/>
                <w:color w:val="000000"/>
                <w:highlight w:val="none"/>
                <w:lang w:val="en-US" w:eastAsia="zh-CN"/>
              </w:rPr>
              <w:t>②应进行源头单独收集，不得混入一般生活垃圾及其他垃圾。</w:t>
            </w:r>
          </w:p>
          <w:p w14:paraId="0DC7BFD5">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eastAsia" w:ascii="Times New Roman" w:hAnsi="Times New Roman" w:eastAsia="宋体" w:cs="Times New Roman"/>
                <w:b w:val="0"/>
                <w:bCs w:val="0"/>
                <w:color w:val="000000"/>
                <w:highlight w:val="none"/>
                <w:lang w:val="en-US" w:eastAsia="zh-CN"/>
              </w:rPr>
            </w:pPr>
            <w:r>
              <w:rPr>
                <w:rFonts w:hint="eastAsia" w:ascii="Times New Roman" w:hAnsi="Times New Roman" w:eastAsia="宋体" w:cs="Times New Roman"/>
                <w:b w:val="0"/>
                <w:bCs w:val="0"/>
                <w:color w:val="000000"/>
                <w:highlight w:val="none"/>
                <w:lang w:val="en-US" w:eastAsia="zh-CN"/>
              </w:rPr>
              <w:t>③餐厨垃圾不得随意倾倒、堆放。运输过程中应采用密闭、防腐专用容器盛装，采用密闭式收集车进行收集、运输，任何路面条件下不得泄露和逸散。</w:t>
            </w:r>
          </w:p>
          <w:p w14:paraId="57DB9925">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eastAsia" w:ascii="Times New Roman" w:hAnsi="Times New Roman" w:eastAsia="宋体" w:cs="Times New Roman"/>
                <w:b w:val="0"/>
                <w:bCs w:val="0"/>
                <w:color w:val="000000"/>
                <w:highlight w:val="none"/>
                <w:lang w:val="en-US" w:eastAsia="zh-CN"/>
              </w:rPr>
            </w:pPr>
            <w:r>
              <w:rPr>
                <w:rFonts w:hint="eastAsia" w:ascii="Times New Roman" w:hAnsi="Times New Roman" w:eastAsia="宋体" w:cs="Times New Roman"/>
                <w:b w:val="0"/>
                <w:bCs w:val="0"/>
                <w:color w:val="000000"/>
                <w:highlight w:val="none"/>
                <w:lang w:val="en-US" w:eastAsia="zh-CN"/>
              </w:rPr>
              <w:t>④应做到日产日清，容器中存放时间不应超过24小时，气温30摄氏度以上时，不应超过12小时。对于油烟净化装置废油及隔油池废油，应由专门容器收集存放，不得与生活垃圾混合收集。经收集后的废油应交由有处理资质的公司处理，不得擅自排放、倾倒。</w:t>
            </w:r>
          </w:p>
          <w:p w14:paraId="06DB9AA8">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6" w:firstLineChars="200"/>
              <w:jc w:val="both"/>
              <w:textAlignment w:val="auto"/>
              <w:rPr>
                <w:rFonts w:hint="default" w:ascii="Times New Roman" w:hAnsi="Times New Roman" w:eastAsia="宋体" w:cs="Times New Roman"/>
                <w:b w:val="0"/>
                <w:bCs w:val="0"/>
                <w:color w:val="000000"/>
                <w:highlight w:val="none"/>
                <w:lang w:val="en-US" w:eastAsia="zh-CN"/>
              </w:rPr>
            </w:pPr>
            <w:r>
              <w:rPr>
                <w:rFonts w:hint="eastAsia" w:ascii="Times New Roman" w:hAnsi="Times New Roman" w:eastAsia="宋体" w:cs="Times New Roman"/>
                <w:b w:val="0"/>
                <w:bCs w:val="0"/>
                <w:color w:val="000000"/>
                <w:highlight w:val="none"/>
                <w:lang w:val="en-US" w:eastAsia="zh-CN"/>
              </w:rPr>
              <w:t>本项目产生的所有固体废物均进行合理处置，使固体废物得到资源化、无害化处置。只要建设单位加强管理、做好固体废物的暂存与及时转运，项目运营期产生的固体废物不会对周围环境造成污染影响。</w:t>
            </w:r>
          </w:p>
          <w:p w14:paraId="6E39032C">
            <w:pPr>
              <w:pStyle w:val="79"/>
              <w:keepNext w:val="0"/>
              <w:keepLines w:val="0"/>
              <w:pageBreakBefore w:val="0"/>
              <w:widowControl w:val="0"/>
              <w:kinsoku/>
              <w:wordWrap/>
              <w:overflowPunct/>
              <w:topLinePunct w:val="0"/>
              <w:autoSpaceDE/>
              <w:autoSpaceDN/>
              <w:bidi w:val="0"/>
              <w:adjustRightInd w:val="0"/>
              <w:snapToGrid w:val="0"/>
              <w:spacing w:line="360" w:lineRule="auto"/>
              <w:ind w:right="0" w:firstLine="498" w:firstLineChars="200"/>
              <w:jc w:val="both"/>
              <w:textAlignment w:val="auto"/>
              <w:rPr>
                <w:rFonts w:hint="default" w:ascii="Times New Roman" w:hAnsi="Times New Roman" w:eastAsia="宋体" w:cs="Times New Roman"/>
                <w:b/>
                <w:bCs/>
                <w:color w:val="000000"/>
                <w:highlight w:val="none"/>
                <w:lang w:val="en-US" w:eastAsia="zh-CN"/>
              </w:rPr>
            </w:pPr>
            <w:r>
              <w:rPr>
                <w:rFonts w:hint="eastAsia" w:cs="Times New Roman"/>
                <w:b/>
                <w:bCs/>
                <w:color w:val="000000"/>
                <w:highlight w:val="none"/>
                <w:lang w:val="en-US" w:eastAsia="zh-CN"/>
              </w:rPr>
              <w:t>5.</w:t>
            </w:r>
            <w:r>
              <w:rPr>
                <w:rFonts w:hint="default" w:ascii="Times New Roman" w:hAnsi="Times New Roman" w:eastAsia="宋体" w:cs="Times New Roman"/>
                <w:b/>
                <w:bCs/>
                <w:color w:val="000000"/>
                <w:highlight w:val="none"/>
                <w:lang w:val="en-US" w:eastAsia="zh-CN"/>
              </w:rPr>
              <w:t>生态环境保护措施</w:t>
            </w:r>
          </w:p>
          <w:p w14:paraId="05555A91">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480" w:firstLineChars="200"/>
              <w:jc w:val="both"/>
              <w:textAlignment w:val="auto"/>
              <w:rPr>
                <w:rFonts w:hint="default" w:ascii="Times New Roman" w:hAnsi="Times New Roman" w:eastAsia="宋体" w:cs="Times New Roman"/>
                <w:color w:val="000000"/>
                <w:lang w:val="en-US" w:eastAsia="zh-CN"/>
              </w:rPr>
            </w:pPr>
            <w:r>
              <w:rPr>
                <w:rFonts w:hint="eastAsia" w:cs="Times New Roman"/>
                <w:color w:val="000000"/>
                <w:lang w:val="en-US" w:eastAsia="zh-CN"/>
              </w:rPr>
              <w:t>1.</w:t>
            </w:r>
            <w:r>
              <w:rPr>
                <w:rFonts w:hint="default" w:ascii="Times New Roman" w:hAnsi="Times New Roman" w:eastAsia="宋体" w:cs="Times New Roman"/>
                <w:color w:val="000000"/>
                <w:lang w:val="en-US" w:eastAsia="zh-CN"/>
              </w:rPr>
              <w:t>建设单位必须担负生态保护、恢复、补偿、减缓、建设和管理责任，合理安排使用土地，降低生态破坏程度。</w:t>
            </w:r>
          </w:p>
          <w:p w14:paraId="252C4D77">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480" w:firstLineChars="200"/>
              <w:jc w:val="both"/>
              <w:textAlignment w:val="auto"/>
              <w:rPr>
                <w:rFonts w:hint="eastAsia" w:cs="Times New Roman"/>
                <w:color w:val="000000"/>
                <w:lang w:val="en-US" w:eastAsia="zh-CN"/>
              </w:rPr>
            </w:pPr>
            <w:r>
              <w:rPr>
                <w:rFonts w:hint="eastAsia" w:cs="Times New Roman"/>
                <w:color w:val="000000"/>
                <w:lang w:val="en-US" w:eastAsia="zh-CN"/>
              </w:rPr>
              <w:t>2.</w:t>
            </w:r>
            <w:r>
              <w:rPr>
                <w:rFonts w:hint="default" w:ascii="Times New Roman" w:hAnsi="Times New Roman" w:eastAsia="宋体" w:cs="Times New Roman"/>
                <w:color w:val="000000"/>
                <w:lang w:val="en-US" w:eastAsia="zh-CN"/>
              </w:rPr>
              <w:t>绿化工程与主体工程同时规划、同时设计、同时投资，并在主体工程施工完毕后一年内按照设计方案的要求完成绿化工程建设，</w:t>
            </w:r>
            <w:r>
              <w:rPr>
                <w:rFonts w:hint="eastAsia" w:cs="Times New Roman"/>
                <w:color w:val="000000"/>
                <w:lang w:val="en-US" w:eastAsia="zh-CN"/>
              </w:rPr>
              <w:t>具体措施如下：</w:t>
            </w:r>
          </w:p>
          <w:p w14:paraId="66837375">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480" w:firstLineChars="200"/>
              <w:jc w:val="both"/>
              <w:textAlignment w:val="auto"/>
              <w:rPr>
                <w:rFonts w:hint="eastAsia" w:cs="Times New Roman"/>
                <w:color w:val="000000"/>
                <w:lang w:val="en-US" w:eastAsia="zh-CN"/>
              </w:rPr>
            </w:pPr>
            <w:r>
              <w:rPr>
                <w:rFonts w:hint="eastAsia" w:cs="Times New Roman"/>
                <w:color w:val="000000"/>
                <w:lang w:val="en-US" w:eastAsia="zh-CN"/>
              </w:rPr>
              <w:t>1）</w:t>
            </w:r>
            <w:r>
              <w:rPr>
                <w:rFonts w:ascii="宋体" w:hAnsi="宋体" w:eastAsia="宋体" w:cs="宋体"/>
                <w:sz w:val="24"/>
                <w:szCs w:val="24"/>
              </w:rPr>
              <w:t>乡土复绿草种选配</w:t>
            </w:r>
            <w:r>
              <w:rPr>
                <w:rFonts w:hint="eastAsia" w:ascii="宋体" w:hAnsi="宋体" w:eastAsia="宋体" w:cs="宋体"/>
                <w:sz w:val="24"/>
                <w:szCs w:val="24"/>
                <w:lang w:eastAsia="zh-CN"/>
              </w:rPr>
              <w:t>：</w:t>
            </w:r>
            <w:r>
              <w:rPr>
                <w:rFonts w:hint="default" w:ascii="Times New Roman" w:hAnsi="Times New Roman" w:eastAsia="宋体" w:cs="Times New Roman"/>
                <w:color w:val="000000"/>
                <w:lang w:val="en-US" w:eastAsia="zh-CN"/>
              </w:rPr>
              <w:t>采用本地禾本科、豆科草种混播模式，杜绝外来引种，规避生物入侵风险，草种发芽率要求≥85%。禾本科选用无芒雀麦、本地早熟禾，根系发达、耐干旱耐践踏，可高效固土防风蚀、水蚀；豆科选用新疆黄花苜蓿、本地紫花苜蓿</w:t>
            </w:r>
            <w:r>
              <w:rPr>
                <w:rFonts w:hint="eastAsia" w:cs="Times New Roman"/>
                <w:color w:val="000000"/>
                <w:lang w:val="en-US" w:eastAsia="zh-CN"/>
              </w:rPr>
              <w:t>，</w:t>
            </w:r>
          </w:p>
          <w:p w14:paraId="2ED90FD9">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480" w:firstLineChars="200"/>
              <w:jc w:val="both"/>
              <w:textAlignment w:val="auto"/>
              <w:rPr>
                <w:rFonts w:hint="default" w:ascii="Times New Roman" w:hAnsi="Times New Roman" w:eastAsia="宋体" w:cs="Times New Roman"/>
                <w:sz w:val="24"/>
                <w:szCs w:val="24"/>
                <w:lang w:eastAsia="zh-CN"/>
              </w:rPr>
            </w:pPr>
            <w:r>
              <w:rPr>
                <w:rFonts w:hint="default" w:ascii="Times New Roman" w:hAnsi="Times New Roman" w:cs="Times New Roman"/>
                <w:color w:val="000000"/>
                <w:lang w:val="en-US" w:eastAsia="zh-CN"/>
              </w:rPr>
              <w:t>2）</w:t>
            </w:r>
            <w:r>
              <w:rPr>
                <w:rFonts w:hint="default" w:ascii="Times New Roman" w:hAnsi="Times New Roman" w:eastAsia="宋体" w:cs="Times New Roman"/>
                <w:sz w:val="24"/>
                <w:szCs w:val="24"/>
              </w:rPr>
              <w:t>播种方式与控制密度</w:t>
            </w:r>
            <w:r>
              <w:rPr>
                <w:rFonts w:hint="default" w:ascii="Times New Roman" w:hAnsi="Times New Roman" w:eastAsia="宋体" w:cs="Times New Roman"/>
                <w:sz w:val="24"/>
                <w:szCs w:val="24"/>
                <w:lang w:eastAsia="zh-CN"/>
              </w:rPr>
              <w:t>：临时施工道路、物料堆场等临时占地平整覆土后进行人工撒播，整体播种总量25kg/hm²，其中禾本科17.5kg/hm²、豆科7.5kg/hm²，播种后覆盖3～5mm 细土并表层镇压保墒；坡面扰动区域采取等高条播作业，行距20cm，播种量提升至30kg/hm²强化护坡固土。植被稳定出苗后植株密度不低于120株/m²，修复两年后植被盖度恢复至75%以上。院落闲置区域搭配柠条、沙棘乡土灌木穴植绿化，栽植株距1.5m、行距2.0m，栽植密度3330株/hm²，形成草本+灌木复合防护结构。</w:t>
            </w:r>
          </w:p>
          <w:p w14:paraId="10AE3158">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植被恢复期养护方案</w:t>
            </w:r>
            <w:r>
              <w:rPr>
                <w:rFonts w:hint="default" w:ascii="Times New Roman" w:hAnsi="Times New Roman" w:eastAsia="宋体" w:cs="Times New Roman"/>
                <w:sz w:val="24"/>
                <w:szCs w:val="24"/>
                <w:lang w:eastAsia="zh-CN"/>
              </w:rPr>
              <w:t>：播种当年定植恢复期（第1年）：每年5-9月植被生长季，干旱时段每15日开展一次微喷补水；入冬浇灌封冻水，次年4月浇灌返青水，抵御冬季冻害与春季干旱。幼苗生长期仅采用人工方式清除恶性杂草，禁止施用化学药剂，避免污染土壤及三工河水体；春秋常态化开展鼠害、虫害巡查，采用物理诱捕方式治理草原病虫鼠害，保障幼苗存活。群落稳定期（第2～3年）：降低补水频次为每月一次，定期核查植被盖度，对裸露空缺斑块及时补播草种，逐步修复形成近自然原生草地群落。冬季保留地表枯草层，依靠积雪自然越冬，不得人为刈割枯草，依靠枯草层形成天然保温层提升植被越冬存活率。</w:t>
            </w:r>
          </w:p>
          <w:p w14:paraId="141895D9">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480" w:firstLineChars="200"/>
              <w:jc w:val="both"/>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林地、草原生态补偿方案及核算金额</w:t>
            </w:r>
            <w:r>
              <w:rPr>
                <w:rFonts w:hint="default" w:ascii="Times New Roman" w:hAnsi="Times New Roman" w:eastAsia="宋体" w:cs="Times New Roman"/>
                <w:sz w:val="24"/>
                <w:szCs w:val="24"/>
                <w:lang w:eastAsia="zh-CN"/>
              </w:rPr>
              <w:t>：依据</w:t>
            </w:r>
            <w:r>
              <w:rPr>
                <w:rFonts w:hint="default" w:ascii="Times New Roman" w:hAnsi="Times New Roman" w:cs="Times New Roman"/>
                <w:sz w:val="24"/>
                <w:szCs w:val="24"/>
                <w:lang w:val="en-US" w:eastAsia="zh-CN"/>
              </w:rPr>
              <w:t>建设单位提供的《林地补偿协议》和《草原补偿安置协议书》，</w:t>
            </w:r>
            <w:r>
              <w:rPr>
                <w:rFonts w:hint="default" w:ascii="Times New Roman" w:hAnsi="Times New Roman" w:eastAsia="宋体" w:cs="Times New Roman"/>
                <w:sz w:val="24"/>
                <w:szCs w:val="24"/>
                <w:lang w:val="en-US" w:eastAsia="zh-CN"/>
              </w:rPr>
              <w:t>项目占用林地总补偿费用合计54510元，草原补偿资金合计41836.95元</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相关费用按林业部门管理要求足额上缴，森林植被恢复费由主管部门统筹用于区域林地异地生态修复。</w:t>
            </w:r>
          </w:p>
          <w:p w14:paraId="526FAFA2">
            <w:pPr>
              <w:keepNext w:val="0"/>
              <w:keepLines w:val="0"/>
              <w:pageBreakBefore w:val="0"/>
              <w:widowControl w:val="0"/>
              <w:kinsoku/>
              <w:wordWrap/>
              <w:overflowPunct/>
              <w:topLinePunct w:val="0"/>
              <w:autoSpaceDE/>
              <w:autoSpaceDN/>
              <w:bidi w:val="0"/>
              <w:adjustRightInd/>
              <w:snapToGrid w:val="0"/>
              <w:spacing w:line="360" w:lineRule="auto"/>
              <w:ind w:right="0" w:firstLine="482" w:firstLineChars="200"/>
              <w:jc w:val="both"/>
              <w:textAlignment w:val="auto"/>
              <w:rPr>
                <w:rFonts w:hint="default" w:ascii="Times New Roman" w:hAnsi="Times New Roman" w:eastAsia="宋体" w:cs="Times New Roman"/>
                <w:b/>
                <w:bCs/>
                <w:color w:val="000000"/>
                <w:lang w:val="en-US" w:eastAsia="zh-CN"/>
              </w:rPr>
            </w:pPr>
            <w:r>
              <w:rPr>
                <w:rFonts w:hint="eastAsia" w:cs="Times New Roman"/>
                <w:b/>
                <w:bCs/>
                <w:color w:val="000000"/>
                <w:lang w:val="en-US" w:eastAsia="zh-CN"/>
              </w:rPr>
              <w:t>6.</w:t>
            </w:r>
            <w:r>
              <w:rPr>
                <w:rFonts w:hint="default" w:ascii="Times New Roman" w:hAnsi="Times New Roman" w:eastAsia="宋体" w:cs="Times New Roman"/>
                <w:b/>
                <w:bCs/>
                <w:color w:val="000000"/>
                <w:lang w:val="en-US" w:eastAsia="zh-CN"/>
              </w:rPr>
              <w:t>环境风险防范措施</w:t>
            </w:r>
          </w:p>
          <w:p w14:paraId="5C124803">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eastAsia" w:cs="Times New Roman"/>
                <w:b/>
                <w:bCs/>
                <w:color w:val="000000"/>
                <w:kern w:val="0"/>
                <w:sz w:val="24"/>
                <w:szCs w:val="24"/>
                <w:lang w:val="en-US" w:eastAsia="zh-CN" w:bidi="ar"/>
              </w:rPr>
            </w:pPr>
            <w:r>
              <w:rPr>
                <w:rFonts w:hint="eastAsia" w:cs="Times New Roman"/>
                <w:b/>
                <w:bCs/>
                <w:color w:val="000000"/>
                <w:kern w:val="0"/>
                <w:sz w:val="24"/>
                <w:szCs w:val="24"/>
                <w:lang w:val="en-US" w:eastAsia="zh-CN" w:bidi="ar"/>
              </w:rPr>
              <w:t>6.1天然气的管控</w:t>
            </w:r>
          </w:p>
          <w:p w14:paraId="1DEDBA61">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cs="Times New Roman"/>
                <w:color w:val="000000"/>
                <w:kern w:val="0"/>
                <w:sz w:val="24"/>
                <w:szCs w:val="24"/>
                <w:lang w:val="en-US" w:eastAsia="zh-CN" w:bidi="ar"/>
              </w:rPr>
            </w:pPr>
            <w:r>
              <w:rPr>
                <w:rFonts w:hint="default" w:cs="Times New Roman"/>
                <w:color w:val="000000"/>
                <w:kern w:val="0"/>
                <w:sz w:val="24"/>
                <w:szCs w:val="24"/>
                <w:lang w:val="en-US" w:eastAsia="zh-CN" w:bidi="ar"/>
              </w:rPr>
              <w:t>本项目食堂以管道天然气为燃料，主要环境风险为燃气泄漏引发火灾、爆炸，次生废气及消防废水污染周边生态环境。项目从源头、运营、应急三方面落实管控：</w:t>
            </w:r>
          </w:p>
          <w:p w14:paraId="1EEB1BF5">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cs="Times New Roman"/>
                <w:color w:val="000000"/>
                <w:kern w:val="0"/>
                <w:sz w:val="24"/>
                <w:szCs w:val="24"/>
                <w:lang w:val="en-US" w:eastAsia="zh-CN" w:bidi="ar"/>
              </w:rPr>
            </w:pPr>
            <w:r>
              <w:rPr>
                <w:rFonts w:hint="default" w:cs="Times New Roman"/>
                <w:color w:val="000000"/>
                <w:kern w:val="0"/>
                <w:sz w:val="24"/>
                <w:szCs w:val="24"/>
                <w:lang w:val="en-US" w:eastAsia="zh-CN" w:bidi="ar"/>
              </w:rPr>
              <w:t>①燃气设施由资质单位按</w:t>
            </w:r>
            <w:r>
              <w:rPr>
                <w:rFonts w:ascii="宋体" w:hAnsi="宋体" w:eastAsia="宋体" w:cs="宋体"/>
                <w:sz w:val="24"/>
                <w:szCs w:val="24"/>
              </w:rPr>
              <w:t>《城镇燃气设计规范》</w:t>
            </w:r>
            <w:r>
              <w:rPr>
                <w:rFonts w:hint="eastAsia" w:ascii="宋体" w:hAnsi="宋体" w:eastAsia="宋体" w:cs="宋体"/>
                <w:sz w:val="24"/>
                <w:szCs w:val="24"/>
                <w:lang w:eastAsia="zh-CN"/>
              </w:rPr>
              <w:t>（</w:t>
            </w:r>
            <w:r>
              <w:rPr>
                <w:rFonts w:hint="default" w:cs="Times New Roman"/>
                <w:color w:val="000000"/>
                <w:kern w:val="0"/>
                <w:sz w:val="24"/>
                <w:szCs w:val="24"/>
                <w:lang w:val="en-US" w:eastAsia="zh-CN" w:bidi="ar"/>
              </w:rPr>
              <w:t>GB 50028-2020</w:t>
            </w:r>
            <w:r>
              <w:rPr>
                <w:rFonts w:hint="eastAsia" w:ascii="宋体" w:hAnsi="宋体" w:eastAsia="宋体" w:cs="宋体"/>
                <w:sz w:val="24"/>
                <w:szCs w:val="24"/>
                <w:lang w:eastAsia="zh-CN"/>
              </w:rPr>
              <w:t>）</w:t>
            </w:r>
            <w:r>
              <w:rPr>
                <w:rFonts w:hint="default" w:cs="Times New Roman"/>
                <w:color w:val="000000"/>
                <w:kern w:val="0"/>
                <w:sz w:val="24"/>
                <w:szCs w:val="24"/>
                <w:lang w:val="en-US" w:eastAsia="zh-CN" w:bidi="ar"/>
              </w:rPr>
              <w:t xml:space="preserve"> 规范安装，厨房配套可燃气体报警联动切断阀与强制排风系统，采用防爆金属波纹软管；</w:t>
            </w:r>
          </w:p>
          <w:p w14:paraId="3EB60D80">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cs="Times New Roman"/>
                <w:color w:val="000000"/>
                <w:kern w:val="0"/>
                <w:sz w:val="24"/>
                <w:szCs w:val="24"/>
                <w:lang w:val="en-US" w:eastAsia="zh-CN" w:bidi="ar"/>
              </w:rPr>
            </w:pPr>
            <w:r>
              <w:rPr>
                <w:rFonts w:hint="default" w:cs="Times New Roman"/>
                <w:color w:val="000000"/>
                <w:kern w:val="0"/>
                <w:sz w:val="24"/>
                <w:szCs w:val="24"/>
                <w:lang w:val="en-US" w:eastAsia="zh-CN" w:bidi="ar"/>
              </w:rPr>
              <w:t>②建立燃气日常巡检、操作管理制度，后厨人员持证培训上岗，厨房分区配备灭火毯、干粉灭火器；</w:t>
            </w:r>
          </w:p>
          <w:p w14:paraId="66C350F2">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cs="Times New Roman"/>
                <w:color w:val="000000"/>
                <w:kern w:val="0"/>
                <w:sz w:val="24"/>
                <w:szCs w:val="24"/>
                <w:lang w:val="en-US" w:eastAsia="zh-CN" w:bidi="ar"/>
              </w:rPr>
            </w:pPr>
            <w:r>
              <w:rPr>
                <w:rFonts w:hint="default" w:cs="Times New Roman"/>
                <w:color w:val="000000"/>
                <w:kern w:val="0"/>
                <w:sz w:val="24"/>
                <w:szCs w:val="24"/>
                <w:lang w:val="en-US" w:eastAsia="zh-CN" w:bidi="ar"/>
              </w:rPr>
              <w:t>③制定燃气泄漏火灾专项应急预案，发生泄漏时立即切断气源、通风散气，起火后封堵消防废水至隔油池，避免油污、燃烧污染物污染区域草地与土壤；定期开展气密性检测及应急演练，全过程降低天然气泄漏、火灾带来的大气、土壤生态环境风险。</w:t>
            </w:r>
          </w:p>
          <w:p w14:paraId="221B6BDA">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b/>
                <w:bCs/>
                <w:color w:val="000000"/>
                <w:kern w:val="0"/>
                <w:sz w:val="24"/>
                <w:szCs w:val="24"/>
                <w:lang w:val="en-US" w:eastAsia="zh-CN" w:bidi="ar"/>
              </w:rPr>
            </w:pPr>
            <w:r>
              <w:rPr>
                <w:rFonts w:hint="eastAsia" w:ascii="Times New Roman" w:hAnsi="Times New Roman" w:eastAsia="宋体" w:cs="Times New Roman"/>
                <w:b/>
                <w:bCs/>
                <w:color w:val="000000"/>
                <w:kern w:val="0"/>
                <w:sz w:val="24"/>
                <w:szCs w:val="24"/>
                <w:lang w:val="en-US" w:eastAsia="zh-CN" w:bidi="ar"/>
              </w:rPr>
              <w:t>6.</w:t>
            </w:r>
            <w:r>
              <w:rPr>
                <w:rFonts w:hint="eastAsia" w:cs="Times New Roman"/>
                <w:b/>
                <w:bCs/>
                <w:color w:val="000000"/>
                <w:kern w:val="0"/>
                <w:sz w:val="24"/>
                <w:szCs w:val="24"/>
                <w:lang w:val="en-US" w:eastAsia="zh-CN" w:bidi="ar"/>
              </w:rPr>
              <w:t>2</w:t>
            </w:r>
            <w:r>
              <w:rPr>
                <w:rFonts w:hint="default" w:ascii="Times New Roman" w:hAnsi="Times New Roman" w:eastAsia="宋体" w:cs="Times New Roman"/>
                <w:b/>
                <w:bCs/>
                <w:color w:val="000000"/>
                <w:kern w:val="0"/>
                <w:sz w:val="24"/>
                <w:szCs w:val="24"/>
                <w:lang w:val="en-US" w:eastAsia="zh-CN" w:bidi="ar"/>
              </w:rPr>
              <w:t>消防管理</w:t>
            </w:r>
          </w:p>
          <w:p w14:paraId="500C5A95">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制订消防安全守则，设专人分管消防安全。定期进行对全体员工的消防知识教育和培训，将防火灭火知识纳入员工上岗的应知应会内容。定期</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或经常</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检查灭火器内的材质是否已经过期，消防栓的水压是否符合要求，供气</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油</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设备是否密闭，有</w:t>
            </w:r>
            <w:r>
              <w:rPr>
                <w:rFonts w:hint="eastAsia" w:ascii="Times New Roman" w:hAnsi="Times New Roman" w:eastAsia="宋体" w:cs="Times New Roman"/>
                <w:color w:val="000000"/>
                <w:kern w:val="0"/>
                <w:sz w:val="24"/>
                <w:szCs w:val="24"/>
                <w:lang w:val="en-US" w:eastAsia="zh-CN" w:bidi="ar"/>
              </w:rPr>
              <w:t>无泄漏</w:t>
            </w:r>
            <w:r>
              <w:rPr>
                <w:rFonts w:hint="default" w:ascii="Times New Roman" w:hAnsi="Times New Roman" w:eastAsia="宋体" w:cs="Times New Roman"/>
                <w:color w:val="000000"/>
                <w:kern w:val="0"/>
                <w:sz w:val="24"/>
                <w:szCs w:val="24"/>
                <w:lang w:val="en-US" w:eastAsia="zh-CN" w:bidi="ar"/>
              </w:rPr>
              <w:t>，各种电器、电线是否损坏或老化，消防通道是否畅通。发现问题应及时处理。</w:t>
            </w:r>
          </w:p>
          <w:p w14:paraId="44114649">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工作人员应随时注意顾客的烟蒂是否及时掐灭，每天清场时均需仔细检查、收集撒落在地上、沙发上或房间角落里的烟头。分管消防的负责人在每天清场时，应各处巡视一遍，督促全体员工做好消防安全工作，尤其是检查火源、动力电源是否已经关灭。</w:t>
            </w:r>
          </w:p>
          <w:p w14:paraId="4A3D4EFF">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b/>
                <w:bCs/>
                <w:color w:val="000000"/>
                <w:kern w:val="0"/>
                <w:sz w:val="24"/>
                <w:szCs w:val="24"/>
                <w:lang w:val="en-US" w:eastAsia="zh-CN" w:bidi="ar"/>
              </w:rPr>
            </w:pPr>
            <w:r>
              <w:rPr>
                <w:rFonts w:hint="eastAsia" w:ascii="Times New Roman" w:hAnsi="Times New Roman" w:eastAsia="宋体" w:cs="Times New Roman"/>
                <w:b/>
                <w:bCs/>
                <w:color w:val="000000"/>
                <w:kern w:val="0"/>
                <w:sz w:val="24"/>
                <w:szCs w:val="24"/>
                <w:lang w:val="en-US" w:eastAsia="zh-CN" w:bidi="ar"/>
              </w:rPr>
              <w:t>6.</w:t>
            </w:r>
            <w:r>
              <w:rPr>
                <w:rFonts w:hint="eastAsia" w:cs="Times New Roman"/>
                <w:b/>
                <w:bCs/>
                <w:color w:val="000000"/>
                <w:kern w:val="0"/>
                <w:sz w:val="24"/>
                <w:szCs w:val="24"/>
                <w:lang w:val="en-US" w:eastAsia="zh-CN" w:bidi="ar"/>
              </w:rPr>
              <w:t>3</w:t>
            </w:r>
            <w:r>
              <w:rPr>
                <w:rFonts w:hint="default" w:ascii="Times New Roman" w:hAnsi="Times New Roman" w:eastAsia="宋体" w:cs="Times New Roman"/>
                <w:b/>
                <w:bCs/>
                <w:color w:val="000000"/>
                <w:kern w:val="0"/>
                <w:sz w:val="24"/>
                <w:szCs w:val="24"/>
                <w:lang w:val="en-US" w:eastAsia="zh-CN" w:bidi="ar"/>
              </w:rPr>
              <w:t>消防措施</w:t>
            </w:r>
          </w:p>
          <w:p w14:paraId="36993B58">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应消防有关要求进行工程消防设计，内容包括：</w:t>
            </w:r>
          </w:p>
          <w:p w14:paraId="642C0A66">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•电气线路应穿管保护，消防设备应按二级负荷要求供电。</w:t>
            </w:r>
          </w:p>
          <w:p w14:paraId="29C9E929">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•底层应按规范要求设置室内消火栓，灭火器。</w:t>
            </w:r>
          </w:p>
          <w:p w14:paraId="7305656D">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•餐厅内设机械排烟系统，</w:t>
            </w:r>
            <w:r>
              <w:rPr>
                <w:rFonts w:hint="eastAsia" w:ascii="Times New Roman" w:hAnsi="Times New Roman" w:eastAsia="宋体" w:cs="Times New Roman"/>
                <w:color w:val="000000"/>
                <w:kern w:val="0"/>
                <w:sz w:val="24"/>
                <w:szCs w:val="24"/>
                <w:highlight w:val="none"/>
                <w:lang w:val="en-US" w:eastAsia="zh-CN" w:bidi="ar"/>
              </w:rPr>
              <w:t>分隔开</w:t>
            </w:r>
            <w:r>
              <w:rPr>
                <w:rFonts w:hint="default" w:ascii="Times New Roman" w:hAnsi="Times New Roman" w:eastAsia="宋体" w:cs="Times New Roman"/>
                <w:color w:val="000000"/>
                <w:kern w:val="0"/>
                <w:sz w:val="24"/>
                <w:szCs w:val="24"/>
                <w:lang w:val="en-US" w:eastAsia="zh-CN" w:bidi="ar"/>
              </w:rPr>
              <w:t>的包厢、走道均应得到喷头、探头的保护。</w:t>
            </w:r>
          </w:p>
          <w:p w14:paraId="4197F835">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•应按规范要求增设应急照明、事故广播、手动报警按钮、消防通讯等。</w:t>
            </w:r>
          </w:p>
          <w:p w14:paraId="7C91EE72">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•明确消防控制室位置，消防联动应增加切断非消防电源，接通应急照明和疏散指示灯功能。</w:t>
            </w:r>
          </w:p>
          <w:p w14:paraId="118B1B80">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应定期清洗或更换灶具、排油烟系统，防止油类污垢堆积引燃。</w:t>
            </w:r>
          </w:p>
          <w:p w14:paraId="491CC8FD">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应定期更换电器插头、开关及电线，以防老化、短路而产生火花。此项工作可结合几年一度的更换装修同时进行。</w:t>
            </w:r>
          </w:p>
          <w:p w14:paraId="1CC5EBEF">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b/>
                <w:bCs/>
                <w:color w:val="000000"/>
                <w:kern w:val="0"/>
                <w:sz w:val="24"/>
                <w:szCs w:val="24"/>
                <w:lang w:val="en-US" w:eastAsia="zh-CN" w:bidi="ar"/>
              </w:rPr>
            </w:pPr>
            <w:r>
              <w:rPr>
                <w:rFonts w:hint="eastAsia" w:ascii="Times New Roman" w:hAnsi="Times New Roman" w:eastAsia="宋体" w:cs="Times New Roman"/>
                <w:b/>
                <w:bCs/>
                <w:color w:val="000000"/>
                <w:kern w:val="0"/>
                <w:sz w:val="24"/>
                <w:szCs w:val="24"/>
                <w:lang w:val="en-US" w:eastAsia="zh-CN" w:bidi="ar"/>
              </w:rPr>
              <w:t>6.</w:t>
            </w:r>
            <w:r>
              <w:rPr>
                <w:rFonts w:hint="eastAsia" w:cs="Times New Roman"/>
                <w:b/>
                <w:bCs/>
                <w:color w:val="000000"/>
                <w:kern w:val="0"/>
                <w:sz w:val="24"/>
                <w:szCs w:val="24"/>
                <w:lang w:val="en-US" w:eastAsia="zh-CN" w:bidi="ar"/>
              </w:rPr>
              <w:t>4</w:t>
            </w:r>
            <w:r>
              <w:rPr>
                <w:rFonts w:hint="default" w:ascii="Times New Roman" w:hAnsi="Times New Roman" w:eastAsia="宋体" w:cs="Times New Roman"/>
                <w:b/>
                <w:bCs/>
                <w:color w:val="000000"/>
                <w:kern w:val="0"/>
                <w:sz w:val="24"/>
                <w:szCs w:val="24"/>
                <w:lang w:val="en-US" w:eastAsia="zh-CN" w:bidi="ar"/>
              </w:rPr>
              <w:t>平面布置</w:t>
            </w:r>
          </w:p>
          <w:p w14:paraId="216AA91A">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建筑平面布置应符合《建筑设计防火规范》GB50016-2014（2018年版）要求；布置应保证操作及疏散方便；围墙两侧建筑物之间应满足防火间距要求；建构筑物之间的防火间距应符合GB50016-2014 的有关规定；无电力线路跨越装置区。</w:t>
            </w:r>
          </w:p>
          <w:p w14:paraId="796BFD8D">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建筑物、构筑物的构件，其耐火极限应符合现行国家标准《建筑设计防火规范》的有关规定。建筑物的安全疏散门，应向外开启。</w:t>
            </w:r>
          </w:p>
          <w:p w14:paraId="61407B69">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应按照有关规定和标准合理设计工程的安全监测系统，包括自动监测、报警、紧急切断及紧急停车系统，防火、防爆等事故处理系统，还要完善应急救援设施和救援通道。</w:t>
            </w:r>
          </w:p>
          <w:p w14:paraId="3A223C20">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消防设施配置安全报警系统、灭火器、消防栓等消防设施。建筑消防设施配置应符合有关规定要求。</w:t>
            </w:r>
          </w:p>
          <w:p w14:paraId="7F88283A">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b/>
                <w:bCs/>
                <w:color w:val="000000"/>
                <w:kern w:val="0"/>
                <w:sz w:val="24"/>
                <w:szCs w:val="24"/>
                <w:lang w:val="en-US" w:eastAsia="zh-CN" w:bidi="ar"/>
              </w:rPr>
            </w:pPr>
            <w:r>
              <w:rPr>
                <w:rFonts w:hint="eastAsia" w:ascii="Times New Roman" w:hAnsi="Times New Roman" w:eastAsia="宋体" w:cs="Times New Roman"/>
                <w:b/>
                <w:bCs/>
                <w:color w:val="000000"/>
                <w:kern w:val="0"/>
                <w:sz w:val="24"/>
                <w:szCs w:val="24"/>
                <w:lang w:val="en-US" w:eastAsia="zh-CN" w:bidi="ar"/>
              </w:rPr>
              <w:t>6.</w:t>
            </w:r>
            <w:r>
              <w:rPr>
                <w:rFonts w:hint="eastAsia" w:cs="Times New Roman"/>
                <w:b/>
                <w:bCs/>
                <w:color w:val="000000"/>
                <w:kern w:val="0"/>
                <w:sz w:val="24"/>
                <w:szCs w:val="24"/>
                <w:lang w:val="en-US" w:eastAsia="zh-CN" w:bidi="ar"/>
              </w:rPr>
              <w:t>5</w:t>
            </w:r>
            <w:r>
              <w:rPr>
                <w:rFonts w:hint="default" w:ascii="Times New Roman" w:hAnsi="Times New Roman" w:eastAsia="宋体" w:cs="Times New Roman"/>
                <w:b/>
                <w:bCs/>
                <w:color w:val="000000"/>
                <w:kern w:val="0"/>
                <w:sz w:val="24"/>
                <w:szCs w:val="24"/>
                <w:lang w:val="en-US" w:eastAsia="zh-CN" w:bidi="ar"/>
              </w:rPr>
              <w:t>环境风险结论</w:t>
            </w:r>
          </w:p>
          <w:p w14:paraId="07EFA189">
            <w:pPr>
              <w:keepNext w:val="0"/>
              <w:keepLines w:val="0"/>
              <w:pageBreakBefore w:val="0"/>
              <w:widowControl/>
              <w:suppressLineNumbers w:val="0"/>
              <w:kinsoku/>
              <w:wordWrap/>
              <w:overflowPunct/>
              <w:topLinePunct w:val="0"/>
              <w:autoSpaceDE/>
              <w:autoSpaceDN/>
              <w:bidi w:val="0"/>
              <w:adjustRightInd/>
              <w:snapToGrid w:val="0"/>
              <w:spacing w:line="360" w:lineRule="auto"/>
              <w:ind w:leftChars="0"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本项目定期检查天然气管道、餐厅、应急通道及周围情况， 定期进行维</w:t>
            </w:r>
            <w:r>
              <w:rPr>
                <w:spacing w:val="17"/>
              </w:rPr>
              <w:t>护或更换，保证其安全和质量。此外，应定期维护设施确保其正常运行；建</w:t>
            </w:r>
            <w:r>
              <w:rPr>
                <w:spacing w:val="12"/>
              </w:rPr>
              <w:t>立完善的消防设施，设置高压水消防系统、火灾报警系统、监控系统等。因</w:t>
            </w:r>
            <w:r>
              <w:rPr>
                <w:spacing w:val="17"/>
              </w:rPr>
              <w:t>此，项目风险水平可以接受。为落实各项污染防治措施，加强环境保护工作管理，应当根据实际情况制定各种类型的环保制度。</w:t>
            </w:r>
          </w:p>
          <w:p w14:paraId="11F0DB87">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both"/>
              <w:textAlignment w:val="auto"/>
              <w:rPr>
                <w:rFonts w:hint="default" w:ascii="Times New Roman" w:hAnsi="Times New Roman" w:eastAsia="宋体" w:cs="Times New Roman"/>
                <w:b/>
                <w:bCs/>
                <w:color w:val="000000"/>
                <w:spacing w:val="0"/>
                <w:kern w:val="2"/>
                <w:sz w:val="24"/>
                <w:szCs w:val="24"/>
                <w:lang w:val="en-US" w:eastAsia="zh-CN" w:bidi="ar-SA"/>
              </w:rPr>
            </w:pPr>
            <w:r>
              <w:rPr>
                <w:rFonts w:hint="eastAsia" w:cs="Times New Roman"/>
                <w:b/>
                <w:bCs/>
                <w:color w:val="000000"/>
                <w:spacing w:val="0"/>
                <w:kern w:val="2"/>
                <w:sz w:val="24"/>
                <w:szCs w:val="24"/>
                <w:lang w:val="en-US" w:eastAsia="zh-CN" w:bidi="ar-SA"/>
              </w:rPr>
              <w:t>7.</w:t>
            </w:r>
            <w:r>
              <w:rPr>
                <w:rFonts w:hint="default" w:ascii="Times New Roman" w:hAnsi="Times New Roman" w:eastAsia="宋体" w:cs="Times New Roman"/>
                <w:b/>
                <w:bCs/>
                <w:color w:val="000000"/>
                <w:spacing w:val="0"/>
                <w:kern w:val="2"/>
                <w:sz w:val="24"/>
                <w:szCs w:val="24"/>
                <w:lang w:val="en-US" w:eastAsia="zh-CN" w:bidi="ar-SA"/>
              </w:rPr>
              <w:t>地下水、土壤防范措施</w:t>
            </w:r>
          </w:p>
          <w:p w14:paraId="309B1082">
            <w:pPr>
              <w:keepNext w:val="0"/>
              <w:keepLines w:val="0"/>
              <w:pageBreakBefore w:val="0"/>
              <w:kinsoku/>
              <w:wordWrap/>
              <w:overflowPunct/>
              <w:topLinePunct w:val="0"/>
              <w:autoSpaceDE/>
              <w:autoSpaceDN/>
              <w:bidi w:val="0"/>
              <w:spacing w:line="360" w:lineRule="auto"/>
              <w:ind w:leftChars="0" w:firstLine="480" w:firstLineChars="200"/>
              <w:textAlignment w:val="auto"/>
              <w:rPr>
                <w:color w:val="auto"/>
                <w:highlight w:val="none"/>
              </w:rPr>
            </w:pPr>
            <w:r>
              <w:rPr>
                <w:color w:val="auto"/>
                <w:highlight w:val="none"/>
              </w:rPr>
              <w:t>本项目生活污水进入防渗化粪池处理后，由专用吸</w:t>
            </w:r>
            <w:r>
              <w:rPr>
                <w:rFonts w:hint="eastAsia"/>
                <w:color w:val="auto"/>
                <w:highlight w:val="none"/>
              </w:rPr>
              <w:t>污</w:t>
            </w:r>
            <w:r>
              <w:rPr>
                <w:color w:val="auto"/>
                <w:highlight w:val="none"/>
              </w:rPr>
              <w:t>车</w:t>
            </w:r>
            <w:r>
              <w:rPr>
                <w:rFonts w:hint="eastAsia"/>
                <w:color w:val="auto"/>
                <w:highlight w:val="none"/>
                <w:lang w:val="en-US" w:eastAsia="zh-CN"/>
              </w:rPr>
              <w:t>运送至阜康市污水处理厂处理</w:t>
            </w:r>
            <w:r>
              <w:rPr>
                <w:color w:val="auto"/>
                <w:highlight w:val="none"/>
              </w:rPr>
              <w:t>。</w:t>
            </w:r>
          </w:p>
          <w:p w14:paraId="5E3DB690">
            <w:pPr>
              <w:spacing w:line="460" w:lineRule="exact"/>
              <w:ind w:firstLine="480" w:firstLineChars="200"/>
              <w:rPr>
                <w:color w:val="auto"/>
                <w:highlight w:val="none"/>
              </w:rPr>
            </w:pPr>
            <w:r>
              <w:rPr>
                <w:color w:val="auto"/>
                <w:highlight w:val="none"/>
              </w:rPr>
              <w:t>本项目可能造成土壤和地下水污染的</w:t>
            </w:r>
            <w:r>
              <w:rPr>
                <w:rFonts w:hint="eastAsia"/>
                <w:color w:val="auto"/>
                <w:highlight w:val="none"/>
              </w:rPr>
              <w:t>情况为</w:t>
            </w:r>
            <w:r>
              <w:rPr>
                <w:rFonts w:hint="eastAsia"/>
                <w:color w:val="auto"/>
                <w:highlight w:val="none"/>
                <w:lang w:val="en-US" w:eastAsia="zh-CN"/>
              </w:rPr>
              <w:t>天然气泄漏发生火灾后产生的消防废水、化粪池破损进入土壤</w:t>
            </w:r>
            <w:r>
              <w:rPr>
                <w:color w:val="auto"/>
                <w:highlight w:val="none"/>
              </w:rPr>
              <w:t>，导致土壤和地下水污染。本项目</w:t>
            </w:r>
            <w:r>
              <w:rPr>
                <w:rFonts w:hint="eastAsia"/>
                <w:color w:val="auto"/>
                <w:highlight w:val="none"/>
                <w:lang w:val="en-US" w:eastAsia="zh-CN"/>
              </w:rPr>
              <w:t>的化粪池</w:t>
            </w:r>
            <w:r>
              <w:rPr>
                <w:color w:val="auto"/>
                <w:highlight w:val="none"/>
              </w:rPr>
              <w:t>按要求采取</w:t>
            </w:r>
            <w:r>
              <w:rPr>
                <w:rFonts w:hint="eastAsia"/>
                <w:color w:val="auto"/>
                <w:highlight w:val="none"/>
                <w:lang w:val="en-US" w:eastAsia="zh-CN"/>
              </w:rPr>
              <w:t>一般</w:t>
            </w:r>
            <w:r>
              <w:rPr>
                <w:color w:val="auto"/>
                <w:highlight w:val="none"/>
              </w:rPr>
              <w:t>防渗措施，以防止</w:t>
            </w:r>
            <w:r>
              <w:rPr>
                <w:rFonts w:hint="eastAsia"/>
                <w:color w:val="auto"/>
                <w:highlight w:val="none"/>
                <w:lang w:val="en-US" w:eastAsia="zh-CN"/>
              </w:rPr>
              <w:t>生活污水泄漏下渗对</w:t>
            </w:r>
            <w:r>
              <w:rPr>
                <w:color w:val="auto"/>
                <w:highlight w:val="none"/>
              </w:rPr>
              <w:t>地下水和土壤造成污染。</w:t>
            </w:r>
          </w:p>
          <w:p w14:paraId="7542CC01">
            <w:pPr>
              <w:spacing w:line="460" w:lineRule="exact"/>
              <w:ind w:firstLine="480" w:firstLineChars="200"/>
              <w:rPr>
                <w:color w:val="auto"/>
                <w:highlight w:val="none"/>
              </w:rPr>
            </w:pPr>
            <w:r>
              <w:rPr>
                <w:color w:val="auto"/>
                <w:highlight w:val="none"/>
              </w:rPr>
              <w:t>（1）源头控制措施</w:t>
            </w:r>
          </w:p>
          <w:p w14:paraId="6B275A13">
            <w:pPr>
              <w:spacing w:line="460" w:lineRule="exact"/>
              <w:ind w:firstLine="480" w:firstLineChars="200"/>
              <w:rPr>
                <w:color w:val="auto"/>
                <w:highlight w:val="none"/>
              </w:rPr>
            </w:pPr>
            <w:r>
              <w:rPr>
                <w:rFonts w:hint="eastAsia" w:ascii="宋体" w:hAnsi="宋体" w:cs="宋体"/>
                <w:color w:val="auto"/>
                <w:highlight w:val="none"/>
              </w:rPr>
              <w:t>①</w:t>
            </w:r>
            <w:r>
              <w:rPr>
                <w:color w:val="auto"/>
                <w:highlight w:val="none"/>
              </w:rPr>
              <w:t>严格按照国家相关规范要求，对厂区内各污水处理设备等采取相应措施，以防止和降低污染物的跑、冒、滴、漏，将污染物泄漏的环境风险事故降到最低程度。</w:t>
            </w:r>
          </w:p>
          <w:p w14:paraId="42186567">
            <w:pPr>
              <w:spacing w:line="460" w:lineRule="exact"/>
              <w:ind w:firstLine="480" w:firstLineChars="200"/>
              <w:rPr>
                <w:color w:val="auto"/>
                <w:highlight w:val="none"/>
              </w:rPr>
            </w:pPr>
            <w:r>
              <w:rPr>
                <w:rFonts w:hint="eastAsia" w:ascii="宋体" w:hAnsi="宋体" w:cs="宋体"/>
                <w:color w:val="auto"/>
                <w:highlight w:val="none"/>
              </w:rPr>
              <w:t>②</w:t>
            </w:r>
            <w:r>
              <w:rPr>
                <w:color w:val="auto"/>
                <w:highlight w:val="none"/>
              </w:rPr>
              <w:t>设备和管线尽量采用</w:t>
            </w:r>
            <w:r>
              <w:rPr>
                <w:rFonts w:ascii="宋体" w:hAnsi="宋体"/>
                <w:color w:val="auto"/>
                <w:highlight w:val="none"/>
              </w:rPr>
              <w:t>“可视化”原则，即尽可</w:t>
            </w:r>
            <w:r>
              <w:rPr>
                <w:rFonts w:hint="eastAsia" w:ascii="宋体" w:hAnsi="宋体"/>
                <w:color w:val="auto"/>
                <w:highlight w:val="none"/>
                <w:lang w:eastAsia="zh-CN"/>
              </w:rPr>
              <w:t>能在</w:t>
            </w:r>
            <w:r>
              <w:rPr>
                <w:rFonts w:ascii="宋体" w:hAnsi="宋体"/>
                <w:color w:val="auto"/>
                <w:highlight w:val="none"/>
              </w:rPr>
              <w:t>地上敷设和放置，做到污染物“早发现、早处理”</w:t>
            </w:r>
            <w:r>
              <w:rPr>
                <w:color w:val="auto"/>
                <w:highlight w:val="none"/>
              </w:rPr>
              <w:t>，以减少由于埋地泄漏而可能造成的地下水污染。对地下管道、管道内外均采用防腐处理，定期对管道进行检漏，对出现泄漏处的土壤进行换土。</w:t>
            </w:r>
          </w:p>
          <w:p w14:paraId="3B9F26BC">
            <w:pPr>
              <w:spacing w:line="460" w:lineRule="exact"/>
              <w:ind w:firstLine="480" w:firstLineChars="200"/>
              <w:rPr>
                <w:color w:val="auto"/>
                <w:highlight w:val="none"/>
              </w:rPr>
            </w:pPr>
            <w:r>
              <w:rPr>
                <w:rFonts w:hint="eastAsia" w:ascii="宋体" w:hAnsi="宋体" w:cs="宋体"/>
                <w:color w:val="auto"/>
                <w:highlight w:val="none"/>
              </w:rPr>
              <w:t>③</w:t>
            </w:r>
            <w:r>
              <w:rPr>
                <w:color w:val="auto"/>
                <w:highlight w:val="none"/>
              </w:rPr>
              <w:t>严格固体废物管理，不接触外界降水，使其不产生淋滤液，严防污染物泄漏到地下水中。</w:t>
            </w:r>
          </w:p>
          <w:p w14:paraId="00214693">
            <w:pPr>
              <w:spacing w:line="460" w:lineRule="exact"/>
              <w:ind w:firstLine="480" w:firstLineChars="200"/>
              <w:rPr>
                <w:color w:val="auto"/>
                <w:highlight w:val="none"/>
              </w:rPr>
            </w:pPr>
            <w:r>
              <w:rPr>
                <w:color w:val="auto"/>
                <w:highlight w:val="none"/>
              </w:rPr>
              <w:t>（2）分区防渗措施</w:t>
            </w:r>
          </w:p>
          <w:p w14:paraId="3139A7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highlight w:val="none"/>
              </w:rPr>
            </w:pPr>
            <w:r>
              <w:rPr>
                <w:color w:val="auto"/>
                <w:highlight w:val="none"/>
              </w:rPr>
              <w:t>针对可能对地下水造成影响的各环节，按照</w:t>
            </w:r>
            <w:r>
              <w:rPr>
                <w:rFonts w:ascii="宋体" w:hAnsi="宋体"/>
                <w:color w:val="auto"/>
                <w:highlight w:val="none"/>
              </w:rPr>
              <w:t>“考虑重点，辐射全面”</w:t>
            </w:r>
            <w:r>
              <w:rPr>
                <w:color w:val="auto"/>
                <w:highlight w:val="none"/>
              </w:rPr>
              <w:t>的防腐防渗原则，本项目针对可能对地下水造成影响的各环节，按照《一般工业固体废物贮存和填埋污染控制标准》（GB18599-2020）、《危险废物贮存污染控制标准》</w:t>
            </w:r>
            <w:r>
              <w:rPr>
                <w:rFonts w:hint="eastAsia"/>
                <w:color w:val="auto"/>
                <w:highlight w:val="none"/>
              </w:rPr>
              <w:t>（</w:t>
            </w:r>
            <w:r>
              <w:rPr>
                <w:color w:val="auto"/>
                <w:highlight w:val="none"/>
              </w:rPr>
              <w:t>GB18597-2023</w:t>
            </w:r>
            <w:r>
              <w:rPr>
                <w:rFonts w:hint="eastAsia"/>
                <w:color w:val="auto"/>
                <w:highlight w:val="none"/>
              </w:rPr>
              <w:t>）</w:t>
            </w:r>
            <w:r>
              <w:rPr>
                <w:color w:val="auto"/>
                <w:highlight w:val="none"/>
              </w:rPr>
              <w:t>，将全厂划分为一般防渗区</w:t>
            </w:r>
            <w:r>
              <w:rPr>
                <w:rFonts w:hint="eastAsia"/>
                <w:color w:val="auto"/>
                <w:highlight w:val="none"/>
                <w:lang w:val="en-US" w:eastAsia="zh-CN"/>
              </w:rPr>
              <w:t>和简单防渗区</w:t>
            </w:r>
            <w:r>
              <w:rPr>
                <w:color w:val="auto"/>
                <w:highlight w:val="none"/>
              </w:rPr>
              <w:t>。</w:t>
            </w:r>
          </w:p>
          <w:p w14:paraId="56DB6E96">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000000"/>
                <w:highlight w:val="none"/>
                <w:lang w:val="en-US" w:eastAsia="zh-CN"/>
              </w:rPr>
            </w:pPr>
            <w:r>
              <w:rPr>
                <w:color w:val="auto"/>
                <w:highlight w:val="none"/>
              </w:rPr>
              <w:t>一般防渗区主要包括</w:t>
            </w:r>
            <w:r>
              <w:rPr>
                <w:rFonts w:hint="eastAsia"/>
                <w:color w:val="auto"/>
                <w:highlight w:val="none"/>
                <w:lang w:val="en-US" w:eastAsia="zh-CN"/>
              </w:rPr>
              <w:t>化粪池、隔油池</w:t>
            </w:r>
            <w:r>
              <w:rPr>
                <w:color w:val="auto"/>
                <w:highlight w:val="none"/>
              </w:rPr>
              <w:t>等，防渗措施：水泥硬化处理，采取10cm厚三合土铺底，再铺15~20 cm的水泥进行硬化。</w:t>
            </w:r>
          </w:p>
          <w:p w14:paraId="6CDB982E">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bCs/>
                <w:color w:val="000000"/>
                <w:sz w:val="21"/>
                <w:szCs w:val="21"/>
                <w:highlight w:val="none"/>
                <w:lang w:val="en-US" w:eastAsia="zh-CN"/>
              </w:rPr>
              <w:t>表5-</w:t>
            </w:r>
            <w:r>
              <w:rPr>
                <w:rFonts w:hint="eastAsia" w:ascii="Times New Roman" w:hAnsi="Times New Roman" w:eastAsia="宋体" w:cs="Times New Roman"/>
                <w:b/>
                <w:bCs/>
                <w:color w:val="000000"/>
                <w:sz w:val="21"/>
                <w:szCs w:val="21"/>
                <w:highlight w:val="none"/>
                <w:lang w:val="en-US" w:eastAsia="zh-CN"/>
              </w:rPr>
              <w:t>2</w:t>
            </w:r>
            <w:r>
              <w:rPr>
                <w:rFonts w:hint="default" w:ascii="Times New Roman" w:hAnsi="Times New Roman" w:eastAsia="宋体" w:cs="Times New Roman"/>
                <w:b/>
                <w:bCs/>
                <w:color w:val="000000"/>
                <w:sz w:val="21"/>
                <w:szCs w:val="21"/>
                <w:highlight w:val="none"/>
                <w:lang w:val="en-US" w:eastAsia="zh-CN"/>
              </w:rPr>
              <w:t xml:space="preserve">   分区防渗要求</w:t>
            </w:r>
          </w:p>
          <w:tbl>
            <w:tblPr>
              <w:tblStyle w:val="3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46"/>
              <w:gridCol w:w="2482"/>
              <w:gridCol w:w="2912"/>
            </w:tblGrid>
            <w:tr w14:paraId="5C3AD6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423" w:type="pct"/>
                  <w:tcBorders>
                    <w:tl2br w:val="nil"/>
                    <w:tr2bl w:val="nil"/>
                  </w:tcBorders>
                  <w:noWrap w:val="0"/>
                  <w:vAlign w:val="center"/>
                </w:tcPr>
                <w:p w14:paraId="7326CDDE">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b/>
                      <w:bCs/>
                      <w:color w:val="000000"/>
                      <w:sz w:val="21"/>
                      <w:szCs w:val="21"/>
                      <w:highlight w:val="none"/>
                      <w:vertAlign w:val="baseline"/>
                      <w:lang w:val="en-US" w:eastAsia="zh-CN"/>
                    </w:rPr>
                    <w:t>防渗级别</w:t>
                  </w:r>
                </w:p>
              </w:tc>
              <w:tc>
                <w:tcPr>
                  <w:tcW w:w="1645" w:type="pct"/>
                  <w:tcBorders>
                    <w:tl2br w:val="nil"/>
                    <w:tr2bl w:val="nil"/>
                  </w:tcBorders>
                  <w:noWrap w:val="0"/>
                  <w:vAlign w:val="center"/>
                </w:tcPr>
                <w:p w14:paraId="461DF12F">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eastAsia" w:ascii="Times New Roman" w:hAnsi="Times New Roman" w:eastAsia="宋体" w:cs="Times New Roman"/>
                      <w:b/>
                      <w:bCs/>
                      <w:color w:val="000000"/>
                      <w:sz w:val="21"/>
                      <w:szCs w:val="21"/>
                      <w:highlight w:val="none"/>
                      <w:vertAlign w:val="baseline"/>
                      <w:lang w:val="en-US" w:eastAsia="zh-CN"/>
                    </w:rPr>
                    <w:t>区域</w:t>
                  </w:r>
                </w:p>
              </w:tc>
              <w:tc>
                <w:tcPr>
                  <w:tcW w:w="1930" w:type="pct"/>
                  <w:tcBorders>
                    <w:tl2br w:val="nil"/>
                    <w:tr2bl w:val="nil"/>
                  </w:tcBorders>
                  <w:noWrap w:val="0"/>
                  <w:vAlign w:val="center"/>
                </w:tcPr>
                <w:p w14:paraId="1DD6B25A">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eastAsia" w:ascii="Times New Roman" w:hAnsi="Times New Roman" w:eastAsia="宋体" w:cs="Times New Roman"/>
                      <w:b/>
                      <w:bCs/>
                      <w:color w:val="000000"/>
                      <w:sz w:val="21"/>
                      <w:szCs w:val="21"/>
                      <w:highlight w:val="none"/>
                      <w:vertAlign w:val="baseline"/>
                      <w:lang w:val="en-US" w:eastAsia="zh-CN"/>
                    </w:rPr>
                    <w:t>防渗技术要求</w:t>
                  </w:r>
                </w:p>
              </w:tc>
            </w:tr>
            <w:tr w14:paraId="04337A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23" w:type="pct"/>
                  <w:tcBorders>
                    <w:tl2br w:val="nil"/>
                    <w:tr2bl w:val="nil"/>
                  </w:tcBorders>
                  <w:noWrap w:val="0"/>
                  <w:vAlign w:val="center"/>
                </w:tcPr>
                <w:p w14:paraId="477B9B8D">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spacing w:val="4"/>
                      <w:kern w:val="24"/>
                      <w:sz w:val="21"/>
                      <w:szCs w:val="21"/>
                      <w:highlight w:val="none"/>
                      <w:vertAlign w:val="baseline"/>
                      <w:lang w:val="en-US" w:eastAsia="zh-CN" w:bidi="ar-SA"/>
                    </w:rPr>
                  </w:pPr>
                  <w:r>
                    <w:rPr>
                      <w:rFonts w:hint="default" w:ascii="Times New Roman" w:hAnsi="Times New Roman" w:eastAsia="宋体" w:cs="Times New Roman"/>
                      <w:color w:val="000000"/>
                      <w:sz w:val="21"/>
                      <w:szCs w:val="21"/>
                      <w:highlight w:val="none"/>
                      <w:vertAlign w:val="baseline"/>
                      <w:lang w:val="en-US" w:eastAsia="zh-CN"/>
                    </w:rPr>
                    <w:t>一般防渗区</w:t>
                  </w:r>
                </w:p>
              </w:tc>
              <w:tc>
                <w:tcPr>
                  <w:tcW w:w="1645" w:type="pct"/>
                  <w:tcBorders>
                    <w:tl2br w:val="nil"/>
                    <w:tr2bl w:val="nil"/>
                  </w:tcBorders>
                  <w:noWrap w:val="0"/>
                  <w:vAlign w:val="center"/>
                </w:tcPr>
                <w:p w14:paraId="34FA395E">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000000"/>
                      <w:spacing w:val="4"/>
                      <w:kern w:val="24"/>
                      <w:sz w:val="21"/>
                      <w:szCs w:val="21"/>
                      <w:highlight w:val="none"/>
                      <w:vertAlign w:val="baseline"/>
                      <w:lang w:val="en-US" w:eastAsia="zh-CN" w:bidi="ar-SA"/>
                    </w:rPr>
                  </w:pPr>
                  <w:r>
                    <w:rPr>
                      <w:rFonts w:hint="eastAsia" w:cs="Times New Roman"/>
                      <w:color w:val="000000"/>
                      <w:sz w:val="21"/>
                      <w:szCs w:val="21"/>
                      <w:highlight w:val="none"/>
                      <w:vertAlign w:val="baseline"/>
                      <w:lang w:val="en-US" w:eastAsia="zh-CN"/>
                    </w:rPr>
                    <w:t>化粪池、</w:t>
                  </w:r>
                  <w:r>
                    <w:rPr>
                      <w:rFonts w:hint="eastAsia" w:ascii="Times New Roman" w:hAnsi="Times New Roman" w:eastAsia="宋体" w:cs="Times New Roman"/>
                      <w:color w:val="000000"/>
                      <w:sz w:val="21"/>
                      <w:szCs w:val="21"/>
                      <w:highlight w:val="none"/>
                      <w:vertAlign w:val="baseline"/>
                      <w:lang w:val="en-US" w:eastAsia="zh-CN"/>
                    </w:rPr>
                    <w:t>隔油池</w:t>
                  </w:r>
                </w:p>
              </w:tc>
              <w:tc>
                <w:tcPr>
                  <w:tcW w:w="1930" w:type="pct"/>
                  <w:tcBorders>
                    <w:tl2br w:val="nil"/>
                    <w:tr2bl w:val="nil"/>
                  </w:tcBorders>
                  <w:noWrap w:val="0"/>
                  <w:vAlign w:val="center"/>
                </w:tcPr>
                <w:p w14:paraId="70E5A5DA">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 w:val="21"/>
                      <w:szCs w:val="21"/>
                      <w:highlight w:val="none"/>
                      <w:vertAlign w:val="baseline"/>
                      <w:lang w:val="en-US" w:eastAsia="zh-CN"/>
                    </w:rPr>
                  </w:pPr>
                  <w:r>
                    <w:rPr>
                      <w:rFonts w:hint="eastAsia" w:ascii="Times New Roman" w:hAnsi="Times New Roman" w:eastAsia="宋体" w:cs="Times New Roman"/>
                      <w:color w:val="000000"/>
                      <w:sz w:val="21"/>
                      <w:szCs w:val="21"/>
                      <w:highlight w:val="none"/>
                      <w:vertAlign w:val="baseline"/>
                      <w:lang w:val="en-US" w:eastAsia="zh-CN"/>
                    </w:rPr>
                    <w:t>等效黏土防渗层Mb≥1.5m</w:t>
                  </w:r>
                </w:p>
                <w:p w14:paraId="31E3BDED">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eastAsia" w:ascii="Times New Roman" w:hAnsi="Times New Roman" w:eastAsia="宋体" w:cs="Times New Roman"/>
                      <w:color w:val="000000"/>
                      <w:sz w:val="21"/>
                      <w:szCs w:val="21"/>
                      <w:highlight w:val="none"/>
                      <w:vertAlign w:val="baseline"/>
                      <w:lang w:val="en-US" w:eastAsia="zh-CN"/>
                    </w:rPr>
                    <w:t>K≤1.0</w:t>
                  </w:r>
                  <w:r>
                    <w:rPr>
                      <w:rFonts w:hint="default" w:ascii="Times New Roman" w:hAnsi="Times New Roman" w:eastAsia="宋体" w:cs="Times New Roman"/>
                      <w:color w:val="000000"/>
                      <w:sz w:val="21"/>
                      <w:szCs w:val="21"/>
                      <w:highlight w:val="none"/>
                      <w:vertAlign w:val="baseline"/>
                      <w:lang w:val="en-US" w:eastAsia="zh-CN"/>
                    </w:rPr>
                    <w:t>×</w:t>
                  </w:r>
                  <w:r>
                    <w:rPr>
                      <w:rFonts w:hint="eastAsia" w:ascii="Times New Roman" w:hAnsi="Times New Roman" w:eastAsia="宋体" w:cs="Times New Roman"/>
                      <w:color w:val="000000"/>
                      <w:sz w:val="21"/>
                      <w:szCs w:val="21"/>
                      <w:highlight w:val="none"/>
                      <w:vertAlign w:val="baseline"/>
                      <w:lang w:val="en-US" w:eastAsia="zh-CN"/>
                    </w:rPr>
                    <w:t>10</w:t>
                  </w:r>
                  <w:r>
                    <w:rPr>
                      <w:rFonts w:hint="eastAsia" w:ascii="Times New Roman" w:hAnsi="Times New Roman" w:eastAsia="宋体" w:cs="Times New Roman"/>
                      <w:color w:val="000000"/>
                      <w:sz w:val="21"/>
                      <w:szCs w:val="21"/>
                      <w:highlight w:val="none"/>
                      <w:vertAlign w:val="superscript"/>
                      <w:lang w:val="en-US" w:eastAsia="zh-CN"/>
                    </w:rPr>
                    <w:t>-7</w:t>
                  </w:r>
                  <w:r>
                    <w:rPr>
                      <w:rFonts w:hint="eastAsia" w:ascii="Times New Roman" w:hAnsi="Times New Roman" w:eastAsia="宋体" w:cs="Times New Roman"/>
                      <w:color w:val="000000"/>
                      <w:sz w:val="21"/>
                      <w:szCs w:val="21"/>
                      <w:highlight w:val="none"/>
                      <w:vertAlign w:val="baseline"/>
                      <w:lang w:val="en-US" w:eastAsia="zh-CN"/>
                    </w:rPr>
                    <w:t>cm/s</w:t>
                  </w:r>
                </w:p>
              </w:tc>
            </w:tr>
            <w:tr w14:paraId="5399F6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23" w:type="pct"/>
                  <w:tcBorders>
                    <w:tl2br w:val="nil"/>
                    <w:tr2bl w:val="nil"/>
                  </w:tcBorders>
                  <w:noWrap w:val="0"/>
                  <w:vAlign w:val="center"/>
                </w:tcPr>
                <w:p w14:paraId="3B3073AD">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简单防渗区</w:t>
                  </w:r>
                </w:p>
              </w:tc>
              <w:tc>
                <w:tcPr>
                  <w:tcW w:w="1645" w:type="pct"/>
                  <w:tcBorders>
                    <w:tl2br w:val="nil"/>
                    <w:tr2bl w:val="nil"/>
                  </w:tcBorders>
                  <w:noWrap w:val="0"/>
                  <w:vAlign w:val="center"/>
                </w:tcPr>
                <w:p w14:paraId="75FD7137">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除一般防渗区以外的区域</w:t>
                  </w:r>
                </w:p>
              </w:tc>
              <w:tc>
                <w:tcPr>
                  <w:tcW w:w="1930" w:type="pct"/>
                  <w:tcBorders>
                    <w:tl2br w:val="nil"/>
                    <w:tr2bl w:val="nil"/>
                  </w:tcBorders>
                  <w:noWrap w:val="0"/>
                  <w:vAlign w:val="center"/>
                </w:tcPr>
                <w:p w14:paraId="3BDBEA2F">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一般地面硬化</w:t>
                  </w:r>
                </w:p>
              </w:tc>
            </w:tr>
          </w:tbl>
          <w:p w14:paraId="168E16C9">
            <w:pPr>
              <w:pStyle w:val="7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96" w:firstLineChars="200"/>
              <w:jc w:val="both"/>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通过对场区各区域采取以上有效防渗措施后，能有效防止渗漏造成地下水污染，不会对地下水、土壤以及地表水环境造成影响。</w:t>
            </w:r>
          </w:p>
        </w:tc>
      </w:tr>
      <w:tr w14:paraId="39C293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53" w:type="dxa"/>
            <w:noWrap w:val="0"/>
            <w:vAlign w:val="center"/>
          </w:tcPr>
          <w:p w14:paraId="5DEC21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spacing w:val="10"/>
                <w:szCs w:val="21"/>
                <w:highlight w:val="none"/>
              </w:rPr>
            </w:pPr>
            <w:r>
              <w:rPr>
                <w:rFonts w:hint="default" w:ascii="Times New Roman" w:hAnsi="Times New Roman" w:eastAsia="宋体" w:cs="Times New Roman"/>
                <w:bCs/>
                <w:color w:val="000000"/>
                <w:szCs w:val="21"/>
                <w:highlight w:val="none"/>
              </w:rPr>
              <w:t>其他</w:t>
            </w:r>
          </w:p>
        </w:tc>
        <w:tc>
          <w:tcPr>
            <w:tcW w:w="8457" w:type="dxa"/>
            <w:noWrap w:val="0"/>
            <w:vAlign w:val="center"/>
          </w:tcPr>
          <w:p w14:paraId="55F9C3C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Cs/>
                <w:color w:val="000000"/>
                <w:spacing w:val="0"/>
                <w:sz w:val="24"/>
                <w:szCs w:val="24"/>
                <w:lang w:val="en-US" w:eastAsia="zh-CN"/>
              </w:rPr>
            </w:pPr>
            <w:r>
              <w:rPr>
                <w:rFonts w:hint="eastAsia" w:cs="Times New Roman"/>
                <w:b/>
                <w:bCs w:val="0"/>
                <w:color w:val="000000"/>
                <w:spacing w:val="0"/>
                <w:sz w:val="24"/>
                <w:szCs w:val="24"/>
                <w:lang w:val="en-US" w:eastAsia="zh-CN"/>
              </w:rPr>
              <w:t>1.</w:t>
            </w:r>
            <w:r>
              <w:rPr>
                <w:rFonts w:hint="default" w:ascii="Times New Roman" w:hAnsi="Times New Roman" w:eastAsia="宋体" w:cs="Times New Roman"/>
                <w:b/>
                <w:bCs w:val="0"/>
                <w:color w:val="000000"/>
                <w:spacing w:val="0"/>
                <w:sz w:val="24"/>
                <w:szCs w:val="24"/>
                <w:lang w:val="en-US" w:eastAsia="zh-CN"/>
              </w:rPr>
              <w:t>环境管理</w:t>
            </w:r>
          </w:p>
          <w:p w14:paraId="23DD480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000000"/>
                <w:spacing w:val="0"/>
                <w:sz w:val="24"/>
                <w:szCs w:val="24"/>
                <w:lang w:val="en-US" w:eastAsia="zh-CN"/>
              </w:rPr>
            </w:pPr>
            <w:r>
              <w:rPr>
                <w:rFonts w:hint="default" w:ascii="Times New Roman" w:hAnsi="Times New Roman" w:eastAsia="宋体" w:cs="Times New Roman"/>
                <w:bCs/>
                <w:color w:val="000000"/>
                <w:spacing w:val="0"/>
                <w:sz w:val="24"/>
                <w:szCs w:val="24"/>
                <w:lang w:val="en-US" w:eastAsia="zh-CN"/>
              </w:rPr>
              <w:t>（1）排污许可证管理要求</w:t>
            </w:r>
          </w:p>
          <w:p w14:paraId="210EAF3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bCs/>
                <w:color w:val="000000"/>
                <w:spacing w:val="0"/>
                <w:sz w:val="24"/>
                <w:szCs w:val="24"/>
                <w:lang w:val="en-US" w:eastAsia="zh-CN"/>
              </w:rPr>
            </w:pPr>
            <w:r>
              <w:rPr>
                <w:rFonts w:hint="default" w:ascii="Times New Roman" w:hAnsi="Times New Roman" w:eastAsia="宋体" w:cs="Times New Roman"/>
                <w:color w:val="000000"/>
              </w:rPr>
              <w:t>本项目所属行业为</w:t>
            </w:r>
            <w:r>
              <w:rPr>
                <w:rFonts w:hint="eastAsia" w:cs="Times New Roman"/>
                <w:color w:val="000000"/>
                <w:lang w:eastAsia="zh-CN"/>
              </w:rPr>
              <w:t>“</w:t>
            </w:r>
            <w:r>
              <w:rPr>
                <w:rFonts w:hint="default" w:ascii="Times New Roman" w:hAnsi="Times New Roman" w:eastAsia="宋体" w:cs="Times New Roman"/>
                <w:snapToGrid w:val="0"/>
                <w:color w:val="000000"/>
                <w:kern w:val="0"/>
                <w:highlight w:val="none"/>
                <w:lang w:val="en-US" w:eastAsia="zh-CN"/>
              </w:rPr>
              <w:t>四十四、房地产业97.房地产开发、商业综合体、宾馆、酒店、办公用房、标准厂房等</w:t>
            </w:r>
            <w:r>
              <w:rPr>
                <w:rFonts w:hint="eastAsia" w:cs="Times New Roman"/>
                <w:color w:val="000000"/>
                <w:lang w:eastAsia="zh-CN"/>
              </w:rPr>
              <w:t>”</w:t>
            </w:r>
            <w:r>
              <w:rPr>
                <w:rFonts w:hint="default" w:ascii="Times New Roman" w:hAnsi="Times New Roman" w:eastAsia="宋体" w:cs="Times New Roman"/>
                <w:color w:val="000000"/>
              </w:rPr>
              <w:t>，</w:t>
            </w:r>
            <w:r>
              <w:rPr>
                <w:rFonts w:hint="eastAsia" w:ascii="Times New Roman" w:hAnsi="Times New Roman" w:eastAsia="宋体" w:cs="Times New Roman"/>
                <w:color w:val="000000"/>
                <w:lang w:val="en-US" w:eastAsia="zh-CN"/>
              </w:rPr>
              <w:t>根据</w:t>
            </w:r>
            <w:r>
              <w:rPr>
                <w:rFonts w:hint="default" w:ascii="Times New Roman" w:hAnsi="Times New Roman" w:eastAsia="宋体" w:cs="Times New Roman"/>
                <w:color w:val="000000"/>
              </w:rPr>
              <w:t>《固定污染源排污许可分类管理名录</w:t>
            </w:r>
            <w:r>
              <w:rPr>
                <w:rFonts w:hint="eastAsia" w:cs="Times New Roman"/>
                <w:color w:val="000000"/>
                <w:lang w:eastAsia="zh-CN"/>
              </w:rPr>
              <w:t>（</w:t>
            </w:r>
            <w:r>
              <w:rPr>
                <w:rFonts w:hint="default" w:ascii="Times New Roman" w:hAnsi="Times New Roman" w:eastAsia="宋体" w:cs="Times New Roman"/>
                <w:color w:val="000000"/>
              </w:rPr>
              <w:t>2019年版</w:t>
            </w:r>
            <w:r>
              <w:rPr>
                <w:rFonts w:hint="eastAsia" w:cs="Times New Roman"/>
                <w:color w:val="000000"/>
                <w:lang w:eastAsia="zh-CN"/>
              </w:rPr>
              <w:t>）</w:t>
            </w:r>
            <w:r>
              <w:rPr>
                <w:rFonts w:hint="default" w:ascii="Times New Roman" w:hAnsi="Times New Roman" w:eastAsia="宋体" w:cs="Times New Roman"/>
                <w:color w:val="000000"/>
              </w:rPr>
              <w:t>》</w:t>
            </w:r>
            <w:r>
              <w:rPr>
                <w:rFonts w:hint="eastAsia" w:ascii="Times New Roman" w:hAnsi="Times New Roman" w:eastAsia="宋体" w:cs="Times New Roman"/>
                <w:color w:val="000000"/>
                <w:lang w:eastAsia="zh-CN"/>
              </w:rPr>
              <w:t>，</w:t>
            </w:r>
            <w:r>
              <w:rPr>
                <w:rFonts w:hint="eastAsia" w:ascii="Times New Roman" w:hAnsi="Times New Roman" w:eastAsia="宋体" w:cs="Times New Roman"/>
                <w:color w:val="000000"/>
                <w:lang w:val="en-US" w:eastAsia="zh-CN"/>
              </w:rPr>
              <w:t>本项目属于“108除1-107外的其他行业”，且不涉及通用工序中重点管理、简化管理、登记管理。因此</w:t>
            </w:r>
            <w:r>
              <w:rPr>
                <w:rFonts w:hint="default" w:ascii="Times New Roman" w:hAnsi="Times New Roman" w:eastAsia="宋体" w:cs="Times New Roman"/>
                <w:color w:val="000000"/>
              </w:rPr>
              <w:t>本项目不需申请</w:t>
            </w:r>
            <w:r>
              <w:rPr>
                <w:rFonts w:hint="eastAsia" w:ascii="Times New Roman" w:hAnsi="Times New Roman" w:eastAsia="宋体" w:cs="Times New Roman"/>
                <w:color w:val="000000"/>
                <w:lang w:val="en-US" w:eastAsia="zh-CN"/>
              </w:rPr>
              <w:t>取得</w:t>
            </w:r>
            <w:r>
              <w:rPr>
                <w:rFonts w:hint="default" w:ascii="Times New Roman" w:hAnsi="Times New Roman" w:eastAsia="宋体" w:cs="Times New Roman"/>
                <w:color w:val="000000"/>
              </w:rPr>
              <w:t>排污许可</w:t>
            </w:r>
            <w:r>
              <w:rPr>
                <w:rFonts w:hint="eastAsia" w:ascii="Times New Roman" w:hAnsi="Times New Roman" w:eastAsia="宋体" w:cs="Times New Roman"/>
                <w:color w:val="000000"/>
                <w:lang w:val="en-US" w:eastAsia="zh-CN"/>
              </w:rPr>
              <w:t>证和实施排污许可登记管理</w:t>
            </w:r>
            <w:r>
              <w:rPr>
                <w:rFonts w:hint="default" w:ascii="Times New Roman" w:hAnsi="Times New Roman" w:eastAsia="宋体" w:cs="Times New Roman"/>
                <w:color w:val="000000"/>
              </w:rPr>
              <w:t>。</w:t>
            </w:r>
          </w:p>
          <w:p w14:paraId="1DA8B4A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000000"/>
                <w:spacing w:val="0"/>
                <w:sz w:val="24"/>
                <w:szCs w:val="24"/>
                <w:lang w:val="en-US" w:eastAsia="zh-CN"/>
              </w:rPr>
            </w:pPr>
            <w:r>
              <w:rPr>
                <w:rFonts w:hint="default" w:ascii="Times New Roman" w:hAnsi="Times New Roman" w:eastAsia="宋体" w:cs="Times New Roman"/>
                <w:bCs/>
                <w:color w:val="000000"/>
                <w:spacing w:val="0"/>
                <w:sz w:val="24"/>
                <w:szCs w:val="24"/>
                <w:lang w:val="en-US" w:eastAsia="zh-CN"/>
              </w:rPr>
              <w:t>（2）竣工环保验收要求</w:t>
            </w:r>
          </w:p>
          <w:p w14:paraId="781A012D">
            <w:pPr>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default" w:ascii="Times New Roman" w:hAnsi="Times New Roman" w:eastAsia="宋体" w:cs="Times New Roman"/>
                <w:b/>
                <w:bCs/>
                <w:color w:val="000000"/>
                <w:spacing w:val="-4"/>
                <w:kern w:val="0"/>
                <w:sz w:val="21"/>
                <w:szCs w:val="21"/>
                <w:highlight w:val="none"/>
              </w:rPr>
            </w:pPr>
            <w:r>
              <w:rPr>
                <w:rFonts w:hint="default" w:ascii="Times New Roman" w:hAnsi="Times New Roman" w:cs="Times New Roman"/>
                <w:color w:val="000000"/>
                <w:lang w:val="en-US" w:eastAsia="zh-CN"/>
              </w:rPr>
              <w:t>根据《建设项目环境保护管理条例》《建设项目竣工环境保护验收暂行办法》，参照环境保护部关于规范建设单位自主开展建设项目竣工环境保护验收的相关要求，本建设项目完成环评手续后，建设单位需组织自验收。验收的主要内容为项目对污染治理设施与主体工程同时设计、同时施工、同时投产使用的“三同时”制度的落实情况，主要验收内容见表5-</w:t>
            </w:r>
            <w:r>
              <w:rPr>
                <w:rFonts w:hint="eastAsia" w:cs="Times New Roman"/>
                <w:color w:val="000000"/>
                <w:lang w:val="en-US" w:eastAsia="zh-CN"/>
              </w:rPr>
              <w:t>3</w:t>
            </w:r>
            <w:r>
              <w:rPr>
                <w:rFonts w:hint="default" w:ascii="Times New Roman" w:hAnsi="Times New Roman" w:cs="Times New Roman"/>
                <w:color w:val="000000"/>
                <w:lang w:val="en-US" w:eastAsia="zh-CN"/>
              </w:rPr>
              <w:t>。</w:t>
            </w:r>
          </w:p>
          <w:p w14:paraId="28A88B9C">
            <w:pPr>
              <w:keepNext w:val="0"/>
              <w:keepLines w:val="0"/>
              <w:pageBreakBefore w:val="0"/>
              <w:widowControl w:val="0"/>
              <w:kinsoku/>
              <w:wordWrap/>
              <w:overflowPunct/>
              <w:topLinePunct w:val="0"/>
              <w:autoSpaceDE/>
              <w:autoSpaceDN/>
              <w:bidi w:val="0"/>
              <w:adjustRightInd/>
              <w:snapToGrid w:val="0"/>
              <w:spacing w:line="240" w:lineRule="auto"/>
              <w:ind w:firstLine="406" w:firstLineChars="200"/>
              <w:jc w:val="center"/>
              <w:textAlignment w:val="auto"/>
              <w:rPr>
                <w:rFonts w:hint="default" w:ascii="Times New Roman" w:hAnsi="Times New Roman" w:eastAsia="宋体" w:cs="Times New Roman"/>
                <w:b/>
                <w:bCs/>
                <w:color w:val="000000"/>
                <w:spacing w:val="-4"/>
                <w:kern w:val="0"/>
                <w:sz w:val="21"/>
                <w:szCs w:val="21"/>
                <w:highlight w:val="none"/>
              </w:rPr>
            </w:pPr>
            <w:r>
              <w:rPr>
                <w:rFonts w:hint="default" w:ascii="Times New Roman" w:hAnsi="Times New Roman" w:eastAsia="宋体" w:cs="Times New Roman"/>
                <w:b/>
                <w:bCs/>
                <w:color w:val="000000"/>
                <w:spacing w:val="-4"/>
                <w:kern w:val="0"/>
                <w:sz w:val="21"/>
                <w:szCs w:val="21"/>
                <w:highlight w:val="none"/>
              </w:rPr>
              <w:t>表5-</w:t>
            </w:r>
            <w:r>
              <w:rPr>
                <w:rFonts w:hint="eastAsia" w:cs="Times New Roman"/>
                <w:b/>
                <w:bCs/>
                <w:color w:val="000000"/>
                <w:spacing w:val="-4"/>
                <w:kern w:val="0"/>
                <w:sz w:val="21"/>
                <w:szCs w:val="21"/>
                <w:highlight w:val="none"/>
                <w:lang w:val="en-US" w:eastAsia="zh-CN"/>
              </w:rPr>
              <w:t xml:space="preserve">3  </w:t>
            </w:r>
            <w:r>
              <w:rPr>
                <w:rFonts w:hint="default" w:ascii="Times New Roman" w:hAnsi="Times New Roman" w:eastAsia="宋体" w:cs="Times New Roman"/>
                <w:b/>
                <w:bCs/>
                <w:color w:val="000000"/>
                <w:spacing w:val="-4"/>
                <w:kern w:val="0"/>
                <w:sz w:val="21"/>
                <w:szCs w:val="21"/>
                <w:highlight w:val="none"/>
              </w:rPr>
              <w:t>项目竣工环境保护验收一览表</w:t>
            </w:r>
          </w:p>
          <w:tbl>
            <w:tblPr>
              <w:tblStyle w:val="32"/>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474"/>
              <w:gridCol w:w="1379"/>
              <w:gridCol w:w="2171"/>
              <w:gridCol w:w="2467"/>
              <w:gridCol w:w="1049"/>
            </w:tblGrid>
            <w:tr w14:paraId="1B5494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 w:hRule="atLeast"/>
              </w:trPr>
              <w:tc>
                <w:tcPr>
                  <w:tcW w:w="314" w:type="pct"/>
                  <w:tcBorders>
                    <w:tl2br w:val="nil"/>
                    <w:tr2bl w:val="nil"/>
                  </w:tcBorders>
                  <w:noWrap w:val="0"/>
                  <w:vAlign w:val="center"/>
                </w:tcPr>
                <w:p w14:paraId="4BD190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类别</w:t>
                  </w:r>
                </w:p>
              </w:tc>
              <w:tc>
                <w:tcPr>
                  <w:tcW w:w="914" w:type="pct"/>
                  <w:tcBorders>
                    <w:tl2br w:val="nil"/>
                    <w:tr2bl w:val="nil"/>
                  </w:tcBorders>
                  <w:noWrap w:val="0"/>
                  <w:vAlign w:val="center"/>
                </w:tcPr>
                <w:p w14:paraId="5AA3D4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治理对象</w:t>
                  </w:r>
                </w:p>
              </w:tc>
              <w:tc>
                <w:tcPr>
                  <w:tcW w:w="1439" w:type="pct"/>
                  <w:tcBorders>
                    <w:tl2br w:val="nil"/>
                    <w:tr2bl w:val="nil"/>
                  </w:tcBorders>
                  <w:noWrap w:val="0"/>
                  <w:vAlign w:val="center"/>
                </w:tcPr>
                <w:p w14:paraId="2930EF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治理设施及工艺</w:t>
                  </w:r>
                </w:p>
              </w:tc>
              <w:tc>
                <w:tcPr>
                  <w:tcW w:w="1635" w:type="pct"/>
                  <w:tcBorders>
                    <w:tl2br w:val="nil"/>
                    <w:tr2bl w:val="nil"/>
                  </w:tcBorders>
                  <w:noWrap w:val="0"/>
                  <w:vAlign w:val="center"/>
                </w:tcPr>
                <w:p w14:paraId="284ECD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验收标准</w:t>
                  </w:r>
                </w:p>
              </w:tc>
              <w:tc>
                <w:tcPr>
                  <w:tcW w:w="695" w:type="pct"/>
                  <w:tcBorders>
                    <w:tl2br w:val="nil"/>
                    <w:tr2bl w:val="nil"/>
                  </w:tcBorders>
                  <w:noWrap w:val="0"/>
                  <w:vAlign w:val="center"/>
                </w:tcPr>
                <w:p w14:paraId="7ED46D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完成时间</w:t>
                  </w:r>
                </w:p>
              </w:tc>
            </w:tr>
            <w:tr w14:paraId="0FD42B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502" w:hRule="atLeast"/>
              </w:trPr>
              <w:tc>
                <w:tcPr>
                  <w:tcW w:w="314" w:type="pct"/>
                  <w:tcBorders>
                    <w:tl2br w:val="nil"/>
                    <w:tr2bl w:val="nil"/>
                  </w:tcBorders>
                  <w:noWrap w:val="0"/>
                  <w:vAlign w:val="center"/>
                </w:tcPr>
                <w:p w14:paraId="57094D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固废</w:t>
                  </w:r>
                </w:p>
              </w:tc>
              <w:tc>
                <w:tcPr>
                  <w:tcW w:w="914" w:type="pct"/>
                  <w:tcBorders>
                    <w:tl2br w:val="nil"/>
                    <w:tr2bl w:val="nil"/>
                  </w:tcBorders>
                  <w:noWrap w:val="0"/>
                  <w:vAlign w:val="center"/>
                </w:tcPr>
                <w:p w14:paraId="2BB6CC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生活垃圾</w:t>
                  </w:r>
                </w:p>
              </w:tc>
              <w:tc>
                <w:tcPr>
                  <w:tcW w:w="1439" w:type="pct"/>
                  <w:tcBorders>
                    <w:tl2br w:val="nil"/>
                    <w:tr2bl w:val="nil"/>
                  </w:tcBorders>
                  <w:noWrap w:val="0"/>
                  <w:vAlign w:val="center"/>
                </w:tcPr>
                <w:p w14:paraId="04AF9B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rPr>
                    <w:t>集中收集后由</w:t>
                  </w:r>
                  <w:r>
                    <w:rPr>
                      <w:rFonts w:hint="default" w:ascii="Times New Roman" w:hAnsi="Times New Roman" w:eastAsia="宋体" w:cs="Times New Roman"/>
                      <w:b w:val="0"/>
                      <w:bCs/>
                      <w:color w:val="000000"/>
                      <w:kern w:val="0"/>
                      <w:sz w:val="21"/>
                      <w:szCs w:val="21"/>
                      <w:highlight w:val="none"/>
                      <w:lang w:val="en-US" w:eastAsia="zh-CN"/>
                    </w:rPr>
                    <w:t>环卫部门清运</w:t>
                  </w:r>
                </w:p>
              </w:tc>
              <w:tc>
                <w:tcPr>
                  <w:tcW w:w="1635" w:type="pct"/>
                  <w:tcBorders>
                    <w:tl2br w:val="nil"/>
                    <w:tr2bl w:val="nil"/>
                  </w:tcBorders>
                  <w:noWrap w:val="0"/>
                  <w:vAlign w:val="center"/>
                </w:tcPr>
                <w:p w14:paraId="170F60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rPr>
                    <w:t>满足环保要求，对环境无明显影响。</w:t>
                  </w:r>
                </w:p>
              </w:tc>
              <w:tc>
                <w:tcPr>
                  <w:tcW w:w="695" w:type="pct"/>
                  <w:vMerge w:val="restart"/>
                  <w:tcBorders>
                    <w:tl2br w:val="nil"/>
                    <w:tr2bl w:val="nil"/>
                  </w:tcBorders>
                  <w:noWrap w:val="0"/>
                  <w:vAlign w:val="center"/>
                </w:tcPr>
                <w:p w14:paraId="006308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rPr>
                  </w:pPr>
                  <w:r>
                    <w:rPr>
                      <w:rFonts w:hint="default" w:ascii="Times New Roman" w:hAnsi="Times New Roman" w:eastAsia="宋体" w:cs="Times New Roman"/>
                      <w:b w:val="0"/>
                      <w:bCs/>
                      <w:color w:val="000000"/>
                      <w:kern w:val="0"/>
                      <w:sz w:val="21"/>
                      <w:szCs w:val="21"/>
                      <w:highlight w:val="none"/>
                      <w:lang w:val="en-US" w:eastAsia="zh-CN"/>
                    </w:rPr>
                    <w:t>与主体工程同时完成</w:t>
                  </w:r>
                </w:p>
              </w:tc>
            </w:tr>
            <w:tr w14:paraId="7F701C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170" w:hRule="atLeast"/>
              </w:trPr>
              <w:tc>
                <w:tcPr>
                  <w:tcW w:w="314" w:type="pct"/>
                  <w:tcBorders>
                    <w:tl2br w:val="nil"/>
                    <w:tr2bl w:val="nil"/>
                  </w:tcBorders>
                  <w:noWrap w:val="0"/>
                  <w:vAlign w:val="center"/>
                </w:tcPr>
                <w:p w14:paraId="45E356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废气</w:t>
                  </w:r>
                </w:p>
              </w:tc>
              <w:tc>
                <w:tcPr>
                  <w:tcW w:w="914" w:type="pct"/>
                  <w:tcBorders>
                    <w:tl2br w:val="nil"/>
                    <w:tr2bl w:val="nil"/>
                  </w:tcBorders>
                  <w:noWrap w:val="0"/>
                  <w:vAlign w:val="center"/>
                </w:tcPr>
                <w:p w14:paraId="004661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食堂油烟</w:t>
                  </w:r>
                </w:p>
              </w:tc>
              <w:tc>
                <w:tcPr>
                  <w:tcW w:w="1439" w:type="pct"/>
                  <w:tcBorders>
                    <w:tl2br w:val="nil"/>
                    <w:tr2bl w:val="nil"/>
                  </w:tcBorders>
                  <w:noWrap w:val="0"/>
                  <w:vAlign w:val="center"/>
                </w:tcPr>
                <w:p w14:paraId="10F737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食堂油烟设置1套油烟净化装置（去除效率≥</w:t>
                  </w:r>
                  <w:r>
                    <w:rPr>
                      <w:rFonts w:hint="eastAsia" w:cs="Times New Roman"/>
                      <w:b w:val="0"/>
                      <w:bCs/>
                      <w:color w:val="000000"/>
                      <w:kern w:val="0"/>
                      <w:sz w:val="21"/>
                      <w:szCs w:val="21"/>
                      <w:highlight w:val="none"/>
                      <w:lang w:val="en-US" w:eastAsia="zh-CN"/>
                    </w:rPr>
                    <w:t>75</w:t>
                  </w:r>
                  <w:r>
                    <w:rPr>
                      <w:rFonts w:hint="default" w:ascii="Times New Roman" w:hAnsi="Times New Roman" w:eastAsia="宋体" w:cs="Times New Roman"/>
                      <w:b w:val="0"/>
                      <w:bCs/>
                      <w:color w:val="000000"/>
                      <w:kern w:val="0"/>
                      <w:sz w:val="21"/>
                      <w:szCs w:val="21"/>
                      <w:highlight w:val="none"/>
                      <w:lang w:val="en-US" w:eastAsia="zh-CN"/>
                    </w:rPr>
                    <w:t>%）处理后，通过专用烟道于屋顶排放</w:t>
                  </w:r>
                </w:p>
              </w:tc>
              <w:tc>
                <w:tcPr>
                  <w:tcW w:w="1635" w:type="pct"/>
                  <w:tcBorders>
                    <w:tl2br w:val="nil"/>
                    <w:tr2bl w:val="nil"/>
                  </w:tcBorders>
                  <w:noWrap w:val="0"/>
                  <w:vAlign w:val="center"/>
                </w:tcPr>
                <w:p w14:paraId="61ABCC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《饮食业油烟排放标准》GB18483-2001）中型标准要求</w:t>
                  </w:r>
                </w:p>
              </w:tc>
              <w:tc>
                <w:tcPr>
                  <w:tcW w:w="695" w:type="pct"/>
                  <w:vMerge w:val="continue"/>
                  <w:tcBorders>
                    <w:tl2br w:val="nil"/>
                    <w:tr2bl w:val="nil"/>
                  </w:tcBorders>
                  <w:noWrap w:val="0"/>
                  <w:vAlign w:val="center"/>
                </w:tcPr>
                <w:p w14:paraId="09F315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rPr>
                  </w:pPr>
                </w:p>
              </w:tc>
            </w:tr>
            <w:tr w14:paraId="11C2A1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170" w:hRule="atLeast"/>
              </w:trPr>
              <w:tc>
                <w:tcPr>
                  <w:tcW w:w="314" w:type="pct"/>
                  <w:tcBorders>
                    <w:tl2br w:val="nil"/>
                    <w:tr2bl w:val="nil"/>
                  </w:tcBorders>
                  <w:noWrap w:val="0"/>
                  <w:vAlign w:val="center"/>
                </w:tcPr>
                <w:p w14:paraId="766228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废水</w:t>
                  </w:r>
                </w:p>
              </w:tc>
              <w:tc>
                <w:tcPr>
                  <w:tcW w:w="914" w:type="pct"/>
                  <w:tcBorders>
                    <w:tl2br w:val="nil"/>
                    <w:tr2bl w:val="nil"/>
                  </w:tcBorders>
                  <w:noWrap w:val="0"/>
                  <w:vAlign w:val="center"/>
                </w:tcPr>
                <w:p w14:paraId="382742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生活污水</w:t>
                  </w:r>
                </w:p>
              </w:tc>
              <w:tc>
                <w:tcPr>
                  <w:tcW w:w="1439" w:type="pct"/>
                  <w:tcBorders>
                    <w:tl2br w:val="nil"/>
                    <w:tr2bl w:val="nil"/>
                  </w:tcBorders>
                  <w:noWrap w:val="0"/>
                  <w:vAlign w:val="center"/>
                </w:tcPr>
                <w:p w14:paraId="5A82CA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生活污水经</w:t>
                  </w:r>
                  <w:r>
                    <w:rPr>
                      <w:rFonts w:hint="eastAsia" w:cs="Times New Roman"/>
                      <w:b w:val="0"/>
                      <w:bCs/>
                      <w:color w:val="000000"/>
                      <w:kern w:val="0"/>
                      <w:sz w:val="21"/>
                      <w:szCs w:val="21"/>
                      <w:highlight w:val="none"/>
                      <w:lang w:val="en-US" w:eastAsia="zh-CN"/>
                    </w:rPr>
                    <w:t>化粪池</w:t>
                  </w:r>
                  <w:r>
                    <w:rPr>
                      <w:rFonts w:hint="default" w:ascii="Times New Roman" w:hAnsi="Times New Roman" w:eastAsia="宋体" w:cs="Times New Roman"/>
                      <w:b w:val="0"/>
                      <w:bCs/>
                      <w:color w:val="000000"/>
                      <w:kern w:val="0"/>
                      <w:sz w:val="21"/>
                      <w:szCs w:val="21"/>
                      <w:highlight w:val="none"/>
                      <w:lang w:val="en-US" w:eastAsia="zh-CN"/>
                    </w:rPr>
                    <w:t>处理后</w:t>
                  </w:r>
                  <w:r>
                    <w:rPr>
                      <w:rFonts w:hint="eastAsia" w:cs="Times New Roman"/>
                      <w:b w:val="0"/>
                      <w:bCs/>
                      <w:color w:val="000000"/>
                      <w:kern w:val="0"/>
                      <w:sz w:val="21"/>
                      <w:szCs w:val="21"/>
                      <w:highlight w:val="none"/>
                      <w:lang w:val="en-US" w:eastAsia="zh-CN"/>
                    </w:rPr>
                    <w:t>由吸污车拉运至阜康市污水处理厂处理</w:t>
                  </w:r>
                </w:p>
              </w:tc>
              <w:tc>
                <w:tcPr>
                  <w:tcW w:w="1635" w:type="pct"/>
                  <w:tcBorders>
                    <w:tl2br w:val="nil"/>
                    <w:tr2bl w:val="nil"/>
                  </w:tcBorders>
                  <w:noWrap w:val="0"/>
                  <w:vAlign w:val="center"/>
                </w:tcPr>
                <w:p w14:paraId="3D5060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执行《</w:t>
                  </w:r>
                  <w:r>
                    <w:rPr>
                      <w:rFonts w:hint="eastAsia" w:cs="Times New Roman"/>
                      <w:b w:val="0"/>
                      <w:bCs/>
                      <w:color w:val="000000"/>
                      <w:kern w:val="0"/>
                      <w:sz w:val="21"/>
                      <w:szCs w:val="21"/>
                      <w:highlight w:val="none"/>
                      <w:lang w:val="en-US" w:eastAsia="zh-CN"/>
                    </w:rPr>
                    <w:t>污水综合排放标准</w:t>
                  </w:r>
                  <w:r>
                    <w:rPr>
                      <w:rFonts w:hint="default" w:ascii="Times New Roman" w:hAnsi="Times New Roman" w:eastAsia="宋体" w:cs="Times New Roman"/>
                      <w:b w:val="0"/>
                      <w:bCs/>
                      <w:color w:val="000000"/>
                      <w:kern w:val="0"/>
                      <w:sz w:val="21"/>
                      <w:szCs w:val="21"/>
                      <w:highlight w:val="none"/>
                      <w:lang w:val="en-US" w:eastAsia="zh-CN"/>
                    </w:rPr>
                    <w:t>》（</w:t>
                  </w:r>
                  <w:r>
                    <w:rPr>
                      <w:rFonts w:hint="eastAsia" w:cs="Times New Roman"/>
                      <w:b w:val="0"/>
                      <w:bCs/>
                      <w:color w:val="000000"/>
                      <w:kern w:val="0"/>
                      <w:sz w:val="21"/>
                      <w:szCs w:val="21"/>
                      <w:highlight w:val="none"/>
                      <w:lang w:val="en-US" w:eastAsia="zh-CN"/>
                    </w:rPr>
                    <w:t>GB8978-1996</w:t>
                  </w:r>
                  <w:r>
                    <w:rPr>
                      <w:rFonts w:hint="default" w:ascii="Times New Roman" w:hAnsi="Times New Roman" w:eastAsia="宋体" w:cs="Times New Roman"/>
                      <w:b w:val="0"/>
                      <w:bCs/>
                      <w:color w:val="000000"/>
                      <w:kern w:val="0"/>
                      <w:sz w:val="21"/>
                      <w:szCs w:val="21"/>
                      <w:highlight w:val="none"/>
                      <w:lang w:val="en-US" w:eastAsia="zh-CN"/>
                    </w:rPr>
                    <w:t>）中的表</w:t>
                  </w:r>
                  <w:r>
                    <w:rPr>
                      <w:rFonts w:hint="eastAsia" w:cs="Times New Roman"/>
                      <w:b w:val="0"/>
                      <w:bCs/>
                      <w:color w:val="000000"/>
                      <w:kern w:val="0"/>
                      <w:sz w:val="21"/>
                      <w:szCs w:val="21"/>
                      <w:highlight w:val="none"/>
                      <w:lang w:val="en-US" w:eastAsia="zh-CN"/>
                    </w:rPr>
                    <w:t>4</w:t>
                  </w:r>
                  <w:r>
                    <w:rPr>
                      <w:rFonts w:hint="default" w:ascii="Times New Roman" w:hAnsi="Times New Roman" w:eastAsia="宋体" w:cs="Times New Roman"/>
                      <w:b w:val="0"/>
                      <w:bCs/>
                      <w:color w:val="000000"/>
                      <w:kern w:val="0"/>
                      <w:sz w:val="21"/>
                      <w:szCs w:val="21"/>
                      <w:highlight w:val="none"/>
                      <w:lang w:val="en-US" w:eastAsia="zh-CN"/>
                    </w:rPr>
                    <w:t>的</w:t>
                  </w:r>
                  <w:r>
                    <w:rPr>
                      <w:rFonts w:hint="eastAsia" w:cs="Times New Roman"/>
                      <w:b w:val="0"/>
                      <w:bCs/>
                      <w:color w:val="000000"/>
                      <w:kern w:val="0"/>
                      <w:sz w:val="21"/>
                      <w:szCs w:val="21"/>
                      <w:highlight w:val="none"/>
                      <w:lang w:val="en-US" w:eastAsia="zh-CN"/>
                    </w:rPr>
                    <w:t>三</w:t>
                  </w:r>
                  <w:r>
                    <w:rPr>
                      <w:rFonts w:hint="default" w:ascii="Times New Roman" w:hAnsi="Times New Roman" w:eastAsia="宋体" w:cs="Times New Roman"/>
                      <w:b w:val="0"/>
                      <w:bCs/>
                      <w:color w:val="000000"/>
                      <w:kern w:val="0"/>
                      <w:sz w:val="21"/>
                      <w:szCs w:val="21"/>
                      <w:highlight w:val="none"/>
                      <w:lang w:val="en-US" w:eastAsia="zh-CN"/>
                    </w:rPr>
                    <w:t>级准限值</w:t>
                  </w:r>
                </w:p>
              </w:tc>
              <w:tc>
                <w:tcPr>
                  <w:tcW w:w="695" w:type="pct"/>
                  <w:vMerge w:val="continue"/>
                  <w:tcBorders>
                    <w:tl2br w:val="nil"/>
                    <w:tr2bl w:val="nil"/>
                  </w:tcBorders>
                  <w:noWrap w:val="0"/>
                  <w:vAlign w:val="center"/>
                </w:tcPr>
                <w:p w14:paraId="2AA371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rPr>
                  </w:pPr>
                </w:p>
              </w:tc>
            </w:tr>
            <w:tr w14:paraId="2797AA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833" w:hRule="atLeast"/>
              </w:trPr>
              <w:tc>
                <w:tcPr>
                  <w:tcW w:w="314" w:type="pct"/>
                  <w:tcBorders>
                    <w:tl2br w:val="nil"/>
                    <w:tr2bl w:val="nil"/>
                  </w:tcBorders>
                  <w:noWrap w:val="0"/>
                  <w:vAlign w:val="center"/>
                </w:tcPr>
                <w:p w14:paraId="16A086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噪声</w:t>
                  </w:r>
                </w:p>
              </w:tc>
              <w:tc>
                <w:tcPr>
                  <w:tcW w:w="914" w:type="pct"/>
                  <w:tcBorders>
                    <w:tl2br w:val="nil"/>
                    <w:tr2bl w:val="nil"/>
                  </w:tcBorders>
                  <w:noWrap w:val="0"/>
                  <w:vAlign w:val="center"/>
                </w:tcPr>
                <w:p w14:paraId="0A7C44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eastAsia" w:cs="Times New Roman"/>
                      <w:b w:val="0"/>
                      <w:bCs/>
                      <w:color w:val="000000"/>
                      <w:kern w:val="0"/>
                      <w:sz w:val="21"/>
                      <w:szCs w:val="21"/>
                      <w:highlight w:val="none"/>
                      <w:lang w:val="en-US" w:eastAsia="zh-CN"/>
                    </w:rPr>
                    <w:t>民宿区、乡村会客厅</w:t>
                  </w:r>
                </w:p>
              </w:tc>
              <w:tc>
                <w:tcPr>
                  <w:tcW w:w="1439" w:type="pct"/>
                  <w:tcBorders>
                    <w:tl2br w:val="nil"/>
                    <w:tr2bl w:val="nil"/>
                  </w:tcBorders>
                  <w:noWrap w:val="0"/>
                  <w:vAlign w:val="center"/>
                </w:tcPr>
                <w:p w14:paraId="104BEA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检查设备保持良好运行状态</w:t>
                  </w:r>
                </w:p>
              </w:tc>
              <w:tc>
                <w:tcPr>
                  <w:tcW w:w="1635" w:type="pct"/>
                  <w:tcBorders>
                    <w:tl2br w:val="nil"/>
                    <w:tr2bl w:val="nil"/>
                  </w:tcBorders>
                  <w:noWrap w:val="0"/>
                  <w:vAlign w:val="center"/>
                </w:tcPr>
                <w:p w14:paraId="0B7C63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eastAsia="zh-CN"/>
                    </w:rPr>
                  </w:pPr>
                  <w:r>
                    <w:rPr>
                      <w:rFonts w:hint="default" w:ascii="Times New Roman" w:hAnsi="Times New Roman" w:eastAsia="宋体" w:cs="Times New Roman"/>
                      <w:b w:val="0"/>
                      <w:bCs/>
                      <w:color w:val="000000"/>
                      <w:kern w:val="0"/>
                      <w:sz w:val="21"/>
                      <w:szCs w:val="21"/>
                      <w:highlight w:val="none"/>
                    </w:rPr>
                    <w:t>执行</w:t>
                  </w:r>
                  <w:r>
                    <w:rPr>
                      <w:rFonts w:hint="default" w:ascii="Times New Roman" w:hAnsi="Times New Roman" w:eastAsia="宋体" w:cs="Times New Roman"/>
                      <w:b w:val="0"/>
                      <w:bCs/>
                      <w:color w:val="000000"/>
                      <w:kern w:val="0"/>
                      <w:sz w:val="21"/>
                      <w:szCs w:val="21"/>
                      <w:highlight w:val="none"/>
                      <w:lang w:val="en-US" w:eastAsia="zh-CN"/>
                    </w:rPr>
                    <w:t>《社会生活环境噪声排放标准》（GB22337-2008）1类标准</w:t>
                  </w:r>
                </w:p>
              </w:tc>
              <w:tc>
                <w:tcPr>
                  <w:tcW w:w="695" w:type="pct"/>
                  <w:vMerge w:val="continue"/>
                  <w:tcBorders>
                    <w:tl2br w:val="nil"/>
                    <w:tr2bl w:val="nil"/>
                  </w:tcBorders>
                  <w:noWrap w:val="0"/>
                  <w:vAlign w:val="center"/>
                </w:tcPr>
                <w:p w14:paraId="4E8B62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rPr>
                  </w:pPr>
                </w:p>
              </w:tc>
            </w:tr>
            <w:tr w14:paraId="02A1D9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314" w:type="pct"/>
                  <w:vMerge w:val="restart"/>
                  <w:tcBorders>
                    <w:tl2br w:val="nil"/>
                    <w:tr2bl w:val="nil"/>
                  </w:tcBorders>
                  <w:noWrap w:val="0"/>
                  <w:vAlign w:val="center"/>
                </w:tcPr>
                <w:p w14:paraId="1AE900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生态环境</w:t>
                  </w:r>
                </w:p>
              </w:tc>
              <w:tc>
                <w:tcPr>
                  <w:tcW w:w="914" w:type="pct"/>
                  <w:tcBorders>
                    <w:tl2br w:val="nil"/>
                    <w:tr2bl w:val="nil"/>
                  </w:tcBorders>
                  <w:noWrap w:val="0"/>
                  <w:vAlign w:val="center"/>
                </w:tcPr>
                <w:p w14:paraId="4573E9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水土流失</w:t>
                  </w:r>
                </w:p>
              </w:tc>
              <w:tc>
                <w:tcPr>
                  <w:tcW w:w="1439" w:type="pct"/>
                  <w:tcBorders>
                    <w:tl2br w:val="nil"/>
                    <w:tr2bl w:val="nil"/>
                  </w:tcBorders>
                  <w:noWrap w:val="0"/>
                  <w:vAlign w:val="center"/>
                </w:tcPr>
                <w:p w14:paraId="7F0622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工程措施、临时措施等</w:t>
                  </w:r>
                </w:p>
              </w:tc>
              <w:tc>
                <w:tcPr>
                  <w:tcW w:w="1635" w:type="pct"/>
                  <w:tcBorders>
                    <w:tl2br w:val="nil"/>
                    <w:tr2bl w:val="nil"/>
                  </w:tcBorders>
                  <w:noWrap w:val="0"/>
                  <w:vAlign w:val="center"/>
                </w:tcPr>
                <w:p w14:paraId="0ED3E0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扰动土地整治率95%，水土流失总治理度95%。</w:t>
                  </w:r>
                </w:p>
              </w:tc>
              <w:tc>
                <w:tcPr>
                  <w:tcW w:w="695" w:type="pct"/>
                  <w:tcBorders>
                    <w:tl2br w:val="nil"/>
                    <w:tr2bl w:val="nil"/>
                  </w:tcBorders>
                  <w:noWrap w:val="0"/>
                  <w:vAlign w:val="center"/>
                </w:tcPr>
                <w:p w14:paraId="3A601E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自然恢复期1年</w:t>
                  </w:r>
                </w:p>
              </w:tc>
            </w:tr>
            <w:tr w14:paraId="270506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655" w:hRule="atLeast"/>
              </w:trPr>
              <w:tc>
                <w:tcPr>
                  <w:tcW w:w="314" w:type="pct"/>
                  <w:vMerge w:val="continue"/>
                  <w:tcBorders>
                    <w:tl2br w:val="nil"/>
                    <w:tr2bl w:val="nil"/>
                  </w:tcBorders>
                  <w:noWrap w:val="0"/>
                  <w:vAlign w:val="center"/>
                </w:tcPr>
                <w:p w14:paraId="1F859C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rPr>
                  </w:pPr>
                </w:p>
              </w:tc>
              <w:tc>
                <w:tcPr>
                  <w:tcW w:w="914" w:type="pct"/>
                  <w:tcBorders>
                    <w:tl2br w:val="nil"/>
                    <w:tr2bl w:val="nil"/>
                  </w:tcBorders>
                  <w:noWrap w:val="0"/>
                  <w:vAlign w:val="center"/>
                </w:tcPr>
                <w:p w14:paraId="03E81C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保护野生动植物</w:t>
                  </w:r>
                </w:p>
              </w:tc>
              <w:tc>
                <w:tcPr>
                  <w:tcW w:w="1439" w:type="pct"/>
                  <w:tcBorders>
                    <w:tl2br w:val="nil"/>
                    <w:tr2bl w:val="nil"/>
                  </w:tcBorders>
                  <w:noWrap w:val="0"/>
                  <w:vAlign w:val="center"/>
                </w:tcPr>
                <w:p w14:paraId="40FAD6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野生动植物保护宣传牌</w:t>
                  </w:r>
                </w:p>
              </w:tc>
              <w:tc>
                <w:tcPr>
                  <w:tcW w:w="1635" w:type="pct"/>
                  <w:tcBorders>
                    <w:tl2br w:val="nil"/>
                    <w:tr2bl w:val="nil"/>
                  </w:tcBorders>
                  <w:noWrap w:val="0"/>
                  <w:vAlign w:val="center"/>
                </w:tcPr>
                <w:p w14:paraId="3D54FE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警示人员，增强动物保护意识。</w:t>
                  </w:r>
                </w:p>
              </w:tc>
              <w:tc>
                <w:tcPr>
                  <w:tcW w:w="695" w:type="pct"/>
                  <w:tcBorders>
                    <w:tl2br w:val="nil"/>
                    <w:tr2bl w:val="nil"/>
                  </w:tcBorders>
                  <w:noWrap w:val="0"/>
                  <w:vAlign w:val="center"/>
                </w:tcPr>
                <w:p w14:paraId="253D26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kern w:val="0"/>
                      <w:sz w:val="21"/>
                      <w:szCs w:val="21"/>
                      <w:highlight w:val="none"/>
                      <w:lang w:val="en-US" w:eastAsia="zh-CN"/>
                    </w:rPr>
                  </w:pPr>
                  <w:r>
                    <w:rPr>
                      <w:rFonts w:hint="default" w:ascii="Times New Roman" w:hAnsi="Times New Roman" w:eastAsia="宋体" w:cs="Times New Roman"/>
                      <w:b w:val="0"/>
                      <w:bCs/>
                      <w:color w:val="000000"/>
                      <w:kern w:val="0"/>
                      <w:sz w:val="21"/>
                      <w:szCs w:val="21"/>
                      <w:highlight w:val="none"/>
                      <w:lang w:val="en-US" w:eastAsia="zh-CN"/>
                    </w:rPr>
                    <w:t>与主体工程同时完成</w:t>
                  </w:r>
                </w:p>
              </w:tc>
            </w:tr>
          </w:tbl>
          <w:p w14:paraId="39EF7B4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000000"/>
                <w:spacing w:val="0"/>
                <w:sz w:val="24"/>
                <w:szCs w:val="24"/>
                <w:lang w:val="en-US" w:eastAsia="zh-CN"/>
              </w:rPr>
            </w:pPr>
            <w:r>
              <w:rPr>
                <w:rFonts w:hint="default" w:ascii="Times New Roman" w:hAnsi="Times New Roman" w:eastAsia="宋体" w:cs="Times New Roman"/>
                <w:bCs/>
                <w:color w:val="000000"/>
                <w:spacing w:val="0"/>
                <w:sz w:val="24"/>
                <w:szCs w:val="24"/>
                <w:lang w:val="en-US" w:eastAsia="zh-CN"/>
              </w:rPr>
              <w:t>（3）运行管理要求</w:t>
            </w:r>
          </w:p>
          <w:p w14:paraId="28F871F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Cs/>
                <w:color w:val="000000"/>
                <w:spacing w:val="0"/>
                <w:sz w:val="24"/>
                <w:szCs w:val="24"/>
                <w:lang w:val="en-US" w:eastAsia="zh-CN"/>
              </w:rPr>
            </w:pPr>
            <w:r>
              <w:rPr>
                <w:rFonts w:hint="default" w:ascii="Times New Roman" w:hAnsi="Times New Roman" w:eastAsia="宋体" w:cs="Times New Roman"/>
                <w:color w:val="000000"/>
                <w:kern w:val="0"/>
                <w:sz w:val="24"/>
                <w:szCs w:val="24"/>
                <w:lang w:val="en-US" w:eastAsia="zh-CN" w:bidi="ar"/>
              </w:rPr>
              <w:t>运营期</w:t>
            </w:r>
            <w:r>
              <w:rPr>
                <w:rFonts w:hint="eastAsia" w:ascii="Times New Roman" w:hAnsi="Times New Roman" w:eastAsia="宋体" w:cs="Times New Roman"/>
                <w:color w:val="000000"/>
                <w:kern w:val="0"/>
                <w:sz w:val="24"/>
                <w:szCs w:val="24"/>
                <w:lang w:val="en-US" w:eastAsia="zh-CN" w:bidi="ar"/>
              </w:rPr>
              <w:t>设置专项</w:t>
            </w:r>
            <w:r>
              <w:rPr>
                <w:rFonts w:hint="default" w:ascii="Times New Roman" w:hAnsi="Times New Roman" w:eastAsia="宋体" w:cs="Times New Roman"/>
                <w:color w:val="000000"/>
                <w:kern w:val="0"/>
                <w:sz w:val="24"/>
                <w:szCs w:val="24"/>
                <w:lang w:val="en-US" w:eastAsia="zh-CN" w:bidi="ar"/>
              </w:rPr>
              <w:t>负责人加强场地基础设施日常监管和维护，确保正常运</w:t>
            </w:r>
            <w:r>
              <w:rPr>
                <w:rFonts w:hint="default" w:ascii="Times New Roman" w:hAnsi="Times New Roman" w:eastAsia="宋体" w:cs="Times New Roman"/>
                <w:bCs/>
                <w:color w:val="000000"/>
                <w:spacing w:val="0"/>
                <w:sz w:val="24"/>
                <w:szCs w:val="24"/>
                <w:lang w:val="en-US" w:eastAsia="zh-CN"/>
              </w:rPr>
              <w:t>行</w:t>
            </w:r>
            <w:r>
              <w:rPr>
                <w:rFonts w:hint="eastAsia" w:ascii="Times New Roman" w:hAnsi="Times New Roman" w:eastAsia="宋体" w:cs="Times New Roman"/>
                <w:bCs/>
                <w:color w:val="000000"/>
                <w:spacing w:val="0"/>
                <w:sz w:val="24"/>
                <w:szCs w:val="24"/>
                <w:lang w:val="en-US" w:eastAsia="zh-CN"/>
              </w:rPr>
              <w:t>。</w:t>
            </w:r>
          </w:p>
          <w:p w14:paraId="6B100D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Cs/>
                <w:color w:val="000000"/>
                <w:spacing w:val="0"/>
                <w:sz w:val="24"/>
                <w:szCs w:val="24"/>
                <w:lang w:val="en-US" w:eastAsia="zh-CN"/>
              </w:rPr>
            </w:pPr>
            <w:r>
              <w:rPr>
                <w:rFonts w:hint="eastAsia" w:ascii="Times New Roman" w:hAnsi="Times New Roman" w:eastAsia="宋体" w:cs="Times New Roman"/>
                <w:bCs/>
                <w:color w:val="000000"/>
                <w:spacing w:val="0"/>
                <w:sz w:val="24"/>
                <w:szCs w:val="24"/>
                <w:lang w:val="en-US" w:eastAsia="zh-CN"/>
              </w:rPr>
              <w:t>（4）环境监测</w:t>
            </w:r>
          </w:p>
          <w:p w14:paraId="760768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Cs/>
                <w:color w:val="000000"/>
                <w:spacing w:val="0"/>
                <w:sz w:val="24"/>
                <w:szCs w:val="24"/>
                <w:lang w:val="en-US" w:eastAsia="zh-CN"/>
              </w:rPr>
            </w:pPr>
            <w:r>
              <w:rPr>
                <w:rFonts w:hint="eastAsia" w:ascii="Times New Roman" w:hAnsi="Times New Roman" w:eastAsia="宋体" w:cs="Times New Roman"/>
                <w:bCs/>
                <w:color w:val="000000"/>
                <w:spacing w:val="0"/>
                <w:sz w:val="24"/>
                <w:szCs w:val="24"/>
                <w:lang w:val="en-US" w:eastAsia="zh-CN"/>
              </w:rPr>
              <w:t>本项目不设置环境监测任务</w:t>
            </w:r>
            <w:r>
              <w:rPr>
                <w:rFonts w:hint="eastAsia" w:cs="Times New Roman"/>
                <w:bCs/>
                <w:color w:val="000000"/>
                <w:spacing w:val="0"/>
                <w:sz w:val="24"/>
                <w:szCs w:val="24"/>
                <w:lang w:val="en-US" w:eastAsia="zh-CN"/>
              </w:rPr>
              <w:t>。</w:t>
            </w:r>
          </w:p>
          <w:p w14:paraId="71CA74A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000000"/>
                <w:spacing w:val="0"/>
                <w:sz w:val="24"/>
                <w:szCs w:val="24"/>
                <w:lang w:val="en-US" w:eastAsia="zh-CN"/>
              </w:rPr>
            </w:pPr>
            <w:r>
              <w:rPr>
                <w:rFonts w:hint="eastAsia" w:ascii="Times New Roman" w:hAnsi="Times New Roman" w:eastAsia="宋体" w:cs="Times New Roman"/>
                <w:bCs/>
                <w:color w:val="000000"/>
                <w:spacing w:val="0"/>
                <w:sz w:val="24"/>
                <w:szCs w:val="24"/>
                <w:lang w:val="en-US" w:eastAsia="zh-CN"/>
              </w:rPr>
              <w:t>（5）排污口管理</w:t>
            </w:r>
          </w:p>
          <w:p w14:paraId="2A5C8BD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heme="minorBidi"/>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Cs/>
                <w:color w:val="000000"/>
                <w:spacing w:val="0"/>
                <w:sz w:val="24"/>
                <w:szCs w:val="24"/>
                <w:lang w:val="en-US" w:eastAsia="zh-CN"/>
              </w:rPr>
              <w:t>本项目应按照《环境保护图形标志一排放口（源）》（GB 15562.1-1995）、《环境保护图形标志一固体废物贮存（处置）场》（GB 15562.2-1995）修</w:t>
            </w:r>
            <w:r>
              <w:rPr>
                <w:rFonts w:hint="eastAsia" w:ascii="Times New Roman" w:hAnsi="Times New Roman" w:eastAsia="宋体" w:cstheme="minorBidi"/>
                <w:b w:val="0"/>
                <w:color w:val="000000" w:themeColor="text1"/>
                <w:kern w:val="2"/>
                <w:sz w:val="24"/>
                <w:szCs w:val="24"/>
                <w:lang w:val="en-US" w:eastAsia="zh-CN" w:bidi="ar-SA"/>
                <w14:textFill>
                  <w14:solidFill>
                    <w14:schemeClr w14:val="tx1"/>
                  </w14:solidFill>
                </w14:textFill>
              </w:rPr>
              <w:t>改单</w:t>
            </w:r>
            <w:r>
              <w:rPr>
                <w:rFonts w:hint="eastAsia" w:cstheme="minorBidi"/>
                <w:b w:val="0"/>
                <w:color w:val="000000" w:themeColor="text1"/>
                <w:kern w:val="2"/>
                <w:sz w:val="24"/>
                <w:szCs w:val="24"/>
                <w:lang w:val="en-US" w:eastAsia="zh-CN" w:bidi="ar-SA"/>
                <w14:textFill>
                  <w14:solidFill>
                    <w14:schemeClr w14:val="tx1"/>
                  </w14:solidFill>
                </w14:textFill>
              </w:rPr>
              <w:t>、《排污单位污染物排放口二维码标识技术规范》（HJ 1297-2023）</w:t>
            </w:r>
            <w:r>
              <w:rPr>
                <w:rFonts w:hint="eastAsia" w:ascii="Times New Roman" w:hAnsi="Times New Roman" w:eastAsia="宋体" w:cstheme="minorBidi"/>
                <w:b w:val="0"/>
                <w:color w:val="000000" w:themeColor="text1"/>
                <w:kern w:val="2"/>
                <w:sz w:val="24"/>
                <w:szCs w:val="24"/>
                <w:lang w:val="en-US" w:eastAsia="zh-CN" w:bidi="ar-SA"/>
                <w14:textFill>
                  <w14:solidFill>
                    <w14:schemeClr w14:val="tx1"/>
                  </w14:solidFill>
                </w14:textFill>
              </w:rPr>
              <w:t>等标准要求，排污口应便于采样与计量检测，便于日常现场监督检查</w:t>
            </w:r>
            <w:r>
              <w:rPr>
                <w:rFonts w:hint="eastAsia" w:cstheme="minorBidi"/>
                <w:b w:val="0"/>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heme="minorBidi"/>
                <w:b w:val="0"/>
                <w:color w:val="000000" w:themeColor="text1"/>
                <w:kern w:val="2"/>
                <w:sz w:val="24"/>
                <w:szCs w:val="24"/>
                <w:lang w:val="en-US" w:eastAsia="zh-CN" w:bidi="ar-SA"/>
                <w14:textFill>
                  <w14:solidFill>
                    <w14:schemeClr w14:val="tx1"/>
                  </w14:solidFill>
                </w14:textFill>
              </w:rPr>
              <w:t>排污口位置必须合理确定，按要求规范化管理。</w:t>
            </w:r>
          </w:p>
          <w:p w14:paraId="5CF5FB79">
            <w:pPr>
              <w:pStyle w:val="113"/>
              <w:bidi w:val="0"/>
              <w:spacing w:line="240" w:lineRule="auto"/>
              <w:rPr>
                <w:rFonts w:hint="default" w:ascii="Times New Roman" w:hAnsi="Times New Roman" w:cs="Times New Roman"/>
                <w:b/>
                <w:bCs/>
                <w:color w:val="000000" w:themeColor="text1"/>
                <w:sz w:val="21"/>
                <w:szCs w:val="21"/>
                <w14:textFill>
                  <w14:solidFill>
                    <w14:schemeClr w14:val="tx1"/>
                  </w14:solidFill>
                </w14:textFill>
              </w:rPr>
            </w:pPr>
            <w:bookmarkStart w:id="30" w:name="_Ref975"/>
            <w:r>
              <w:rPr>
                <w:rFonts w:hint="default" w:ascii="Times New Roman" w:hAnsi="Times New Roman" w:cs="Times New Roman"/>
                <w:b/>
                <w:bCs/>
                <w:color w:val="000000" w:themeColor="text1"/>
                <w:sz w:val="21"/>
                <w:szCs w:val="21"/>
                <w14:textFill>
                  <w14:solidFill>
                    <w14:schemeClr w14:val="tx1"/>
                  </w14:solidFill>
                </w14:textFill>
              </w:rPr>
              <w:t>表</w:t>
            </w:r>
            <w:r>
              <w:rPr>
                <w:rFonts w:hint="eastAsia" w:ascii="Times New Roman" w:hAnsi="Times New Roman" w:cs="Times New Roman"/>
                <w:b/>
                <w:bCs/>
                <w:color w:val="000000" w:themeColor="text1"/>
                <w:sz w:val="21"/>
                <w:szCs w:val="21"/>
                <w:lang w:val="en-US" w:eastAsia="zh-CN"/>
                <w14:textFill>
                  <w14:solidFill>
                    <w14:schemeClr w14:val="tx1"/>
                  </w14:solidFill>
                </w14:textFill>
              </w:rPr>
              <w:t>5</w:t>
            </w:r>
            <w:r>
              <w:rPr>
                <w:rFonts w:hint="default" w:ascii="Times New Roman" w:hAnsi="Times New Roman" w:cs="Times New Roman"/>
                <w:b/>
                <w:bCs/>
                <w:color w:val="000000" w:themeColor="text1"/>
                <w:sz w:val="21"/>
                <w:szCs w:val="21"/>
                <w:lang w:val="en-US" w:eastAsia="zh-CN"/>
                <w14:textFill>
                  <w14:solidFill>
                    <w14:schemeClr w14:val="tx1"/>
                  </w14:solidFill>
                </w14:textFill>
              </w:rPr>
              <w:t>-</w:t>
            </w:r>
            <w:r>
              <w:rPr>
                <w:rFonts w:hint="eastAsia" w:cs="Times New Roman"/>
                <w:b/>
                <w:bCs/>
                <w:color w:val="000000" w:themeColor="text1"/>
                <w:sz w:val="21"/>
                <w:szCs w:val="21"/>
                <w:lang w:val="en-US" w:eastAsia="zh-CN"/>
                <w14:textFill>
                  <w14:solidFill>
                    <w14:schemeClr w14:val="tx1"/>
                  </w14:solidFill>
                </w14:textFill>
              </w:rPr>
              <w:t xml:space="preserve">4   </w:t>
            </w:r>
            <w:r>
              <w:rPr>
                <w:rFonts w:hint="default" w:ascii="Times New Roman" w:hAnsi="Times New Roman" w:cs="Times New Roman"/>
                <w:b/>
                <w:bCs/>
                <w:color w:val="000000" w:themeColor="text1"/>
                <w:sz w:val="21"/>
                <w:szCs w:val="21"/>
                <w14:textFill>
                  <w14:solidFill>
                    <w14:schemeClr w14:val="tx1"/>
                  </w14:solidFill>
                </w14:textFill>
              </w:rPr>
              <w:t>环境保护图形标志设置图形表</w:t>
            </w:r>
            <w:bookmarkEnd w:id="30"/>
          </w:p>
          <w:tbl>
            <w:tblPr>
              <w:tblStyle w:val="3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1687"/>
              <w:gridCol w:w="1957"/>
              <w:gridCol w:w="1528"/>
              <w:gridCol w:w="1792"/>
            </w:tblGrid>
            <w:tr w14:paraId="72CBE0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2" w:type="pct"/>
                  <w:tcBorders>
                    <w:bottom w:val="single" w:color="auto" w:sz="12" w:space="0"/>
                  </w:tcBorders>
                  <w:noWrap w:val="0"/>
                  <w:vAlign w:val="center"/>
                </w:tcPr>
                <w:p w14:paraId="2C5763AC">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序号</w:t>
                  </w:r>
                </w:p>
              </w:tc>
              <w:tc>
                <w:tcPr>
                  <w:tcW w:w="1118" w:type="pct"/>
                  <w:tcBorders>
                    <w:bottom w:val="single" w:color="auto" w:sz="12" w:space="0"/>
                  </w:tcBorders>
                  <w:noWrap w:val="0"/>
                  <w:vAlign w:val="center"/>
                </w:tcPr>
                <w:p w14:paraId="322DDA5D">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提示图形标志</w:t>
                  </w:r>
                </w:p>
              </w:tc>
              <w:tc>
                <w:tcPr>
                  <w:tcW w:w="1297" w:type="pct"/>
                  <w:tcBorders>
                    <w:bottom w:val="single" w:color="auto" w:sz="12" w:space="0"/>
                  </w:tcBorders>
                  <w:noWrap w:val="0"/>
                  <w:vAlign w:val="center"/>
                </w:tcPr>
                <w:p w14:paraId="7E2DDC2F">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警告图形符号</w:t>
                  </w:r>
                </w:p>
              </w:tc>
              <w:tc>
                <w:tcPr>
                  <w:tcW w:w="1013" w:type="pct"/>
                  <w:tcBorders>
                    <w:bottom w:val="single" w:color="auto" w:sz="12" w:space="0"/>
                  </w:tcBorders>
                  <w:noWrap w:val="0"/>
                  <w:vAlign w:val="center"/>
                </w:tcPr>
                <w:p w14:paraId="5818FDF8">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名称</w:t>
                  </w:r>
                </w:p>
              </w:tc>
              <w:tc>
                <w:tcPr>
                  <w:tcW w:w="1188" w:type="pct"/>
                  <w:tcBorders>
                    <w:bottom w:val="single" w:color="auto" w:sz="12" w:space="0"/>
                  </w:tcBorders>
                  <w:noWrap w:val="0"/>
                  <w:vAlign w:val="center"/>
                </w:tcPr>
                <w:p w14:paraId="4A46BC4C">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功能</w:t>
                  </w:r>
                </w:p>
              </w:tc>
            </w:tr>
            <w:tr w14:paraId="54186C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2" w:type="pct"/>
                  <w:tcBorders>
                    <w:tl2br w:val="nil"/>
                    <w:tr2bl w:val="nil"/>
                  </w:tcBorders>
                  <w:shd w:val="clear" w:color="auto" w:fill="auto"/>
                  <w:noWrap w:val="0"/>
                  <w:vAlign w:val="center"/>
                </w:tcPr>
                <w:p w14:paraId="7427059E">
                  <w:pPr>
                    <w:pStyle w:val="56"/>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textAlignment w:val="auto"/>
                    <w:rPr>
                      <w:rFonts w:hint="default" w:ascii="Times New Roman" w:hAnsi="Times New Roman" w:eastAsia="黑体" w:cs="Times New Roman"/>
                      <w:b/>
                      <w:color w:val="000000" w:themeColor="text1"/>
                      <w:kern w:val="0"/>
                      <w:sz w:val="20"/>
                      <w:szCs w:val="20"/>
                      <w:lang w:val="en-US" w:eastAsia="zh-CN" w:bidi="zh-CN"/>
                      <w14:textFill>
                        <w14:solidFill>
                          <w14:schemeClr w14:val="tx1"/>
                        </w14:solidFill>
                      </w14:textFill>
                    </w:rPr>
                  </w:pPr>
                  <w:r>
                    <w:rPr>
                      <w:rFonts w:hint="eastAsia" w:ascii="Times New Roman" w:cs="Times New Roman"/>
                      <w:b w:val="0"/>
                      <w:bCs/>
                      <w:color w:val="000000" w:themeColor="text1"/>
                      <w:kern w:val="0"/>
                      <w:sz w:val="20"/>
                      <w:szCs w:val="20"/>
                      <w:lang w:val="en-US" w:eastAsia="zh-CN" w:bidi="zh-CN"/>
                      <w14:textFill>
                        <w14:solidFill>
                          <w14:schemeClr w14:val="tx1"/>
                        </w14:solidFill>
                      </w14:textFill>
                    </w:rPr>
                    <w:t>1</w:t>
                  </w:r>
                </w:p>
              </w:tc>
              <w:tc>
                <w:tcPr>
                  <w:tcW w:w="1118" w:type="pct"/>
                  <w:tcBorders>
                    <w:tl2br w:val="nil"/>
                    <w:tr2bl w:val="nil"/>
                  </w:tcBorders>
                  <w:shd w:val="clear" w:color="auto" w:fill="auto"/>
                  <w:noWrap w:val="0"/>
                  <w:vAlign w:val="center"/>
                </w:tcPr>
                <w:p w14:paraId="48FE8C63">
                  <w:pPr>
                    <w:pStyle w:val="56"/>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textAlignment w:val="auto"/>
                    <w:rPr>
                      <w:rFonts w:hint="default" w:ascii="Times New Roman" w:hAnsi="Times New Roman" w:eastAsia="黑体" w:cs="Times New Roman"/>
                      <w:b/>
                      <w:color w:val="000000" w:themeColor="text1"/>
                      <w:kern w:val="0"/>
                      <w:sz w:val="20"/>
                      <w:szCs w:val="20"/>
                      <w:lang w:val="zh-CN" w:eastAsia="zh-CN" w:bidi="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922655" cy="863600"/>
                        <wp:effectExtent l="0" t="0" r="10795" b="12700"/>
                        <wp:docPr id="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1"/>
                                <pic:cNvPicPr>
                                  <a:picLocks noChangeAspect="1"/>
                                </pic:cNvPicPr>
                              </pic:nvPicPr>
                              <pic:blipFill>
                                <a:blip r:embed="rId31"/>
                                <a:stretch>
                                  <a:fillRect/>
                                </a:stretch>
                              </pic:blipFill>
                              <pic:spPr>
                                <a:xfrm>
                                  <a:off x="0" y="0"/>
                                  <a:ext cx="922655" cy="863600"/>
                                </a:xfrm>
                                <a:prstGeom prst="rect">
                                  <a:avLst/>
                                </a:prstGeom>
                                <a:noFill/>
                                <a:ln>
                                  <a:noFill/>
                                </a:ln>
                              </pic:spPr>
                            </pic:pic>
                          </a:graphicData>
                        </a:graphic>
                      </wp:inline>
                    </w:drawing>
                  </w:r>
                </w:p>
              </w:tc>
              <w:tc>
                <w:tcPr>
                  <w:tcW w:w="1297" w:type="pct"/>
                  <w:tcBorders>
                    <w:tl2br w:val="nil"/>
                    <w:tr2bl w:val="nil"/>
                  </w:tcBorders>
                  <w:shd w:val="clear" w:color="auto" w:fill="auto"/>
                  <w:noWrap w:val="0"/>
                  <w:vAlign w:val="center"/>
                </w:tcPr>
                <w:p w14:paraId="66FA883F">
                  <w:pPr>
                    <w:pStyle w:val="56"/>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textAlignment w:val="auto"/>
                    <w:rPr>
                      <w:rFonts w:hint="default" w:ascii="Times New Roman" w:hAnsi="Times New Roman" w:eastAsia="黑体" w:cs="Times New Roman"/>
                      <w:b/>
                      <w:color w:val="000000" w:themeColor="text1"/>
                      <w:kern w:val="0"/>
                      <w:sz w:val="20"/>
                      <w:szCs w:val="20"/>
                      <w:lang w:val="zh-CN" w:eastAsia="zh-CN" w:bidi="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957580" cy="906145"/>
                        <wp:effectExtent l="0" t="0" r="13970" b="8255"/>
                        <wp:docPr id="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2"/>
                                <pic:cNvPicPr>
                                  <a:picLocks noChangeAspect="1"/>
                                </pic:cNvPicPr>
                              </pic:nvPicPr>
                              <pic:blipFill>
                                <a:blip r:embed="rId32"/>
                                <a:stretch>
                                  <a:fillRect/>
                                </a:stretch>
                              </pic:blipFill>
                              <pic:spPr>
                                <a:xfrm>
                                  <a:off x="0" y="0"/>
                                  <a:ext cx="957580" cy="906145"/>
                                </a:xfrm>
                                <a:prstGeom prst="rect">
                                  <a:avLst/>
                                </a:prstGeom>
                                <a:noFill/>
                                <a:ln>
                                  <a:noFill/>
                                </a:ln>
                              </pic:spPr>
                            </pic:pic>
                          </a:graphicData>
                        </a:graphic>
                      </wp:inline>
                    </w:drawing>
                  </w:r>
                </w:p>
              </w:tc>
              <w:tc>
                <w:tcPr>
                  <w:tcW w:w="1013" w:type="pct"/>
                  <w:tcBorders>
                    <w:tl2br w:val="nil"/>
                    <w:tr2bl w:val="nil"/>
                  </w:tcBorders>
                  <w:shd w:val="clear" w:color="auto" w:fill="auto"/>
                  <w:noWrap w:val="0"/>
                  <w:vAlign w:val="center"/>
                </w:tcPr>
                <w:p w14:paraId="53F11D11">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color w:val="000000" w:themeColor="text1"/>
                      <w:sz w:val="21"/>
                      <w:szCs w:val="21"/>
                      <w:lang w:val="zh-CN"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废气排放口</w:t>
                  </w:r>
                </w:p>
              </w:tc>
              <w:tc>
                <w:tcPr>
                  <w:tcW w:w="1188" w:type="pct"/>
                  <w:tcBorders>
                    <w:tl2br w:val="nil"/>
                    <w:tr2bl w:val="nil"/>
                  </w:tcBorders>
                  <w:shd w:val="clear" w:color="auto" w:fill="auto"/>
                  <w:noWrap w:val="0"/>
                  <w:vAlign w:val="center"/>
                </w:tcPr>
                <w:p w14:paraId="7700DB8C">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color w:val="000000" w:themeColor="text1"/>
                      <w:sz w:val="21"/>
                      <w:szCs w:val="21"/>
                      <w:lang w:val="zh-CN"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表示废气向大气环境排放</w:t>
                  </w:r>
                </w:p>
              </w:tc>
            </w:tr>
            <w:tr w14:paraId="0D576B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2" w:type="pct"/>
                  <w:tcBorders>
                    <w:tl2br w:val="nil"/>
                    <w:tr2bl w:val="nil"/>
                  </w:tcBorders>
                  <w:shd w:val="clear" w:color="auto" w:fill="auto"/>
                  <w:noWrap w:val="0"/>
                  <w:vAlign w:val="center"/>
                </w:tcPr>
                <w:p w14:paraId="27556F54">
                  <w:pPr>
                    <w:pStyle w:val="56"/>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textAlignment w:val="auto"/>
                    <w:rPr>
                      <w:rFonts w:hint="default" w:ascii="Times New Roman" w:cs="Times New Roman"/>
                      <w:b w:val="0"/>
                      <w:bCs/>
                      <w:color w:val="000000" w:themeColor="text1"/>
                      <w:kern w:val="0"/>
                      <w:sz w:val="20"/>
                      <w:szCs w:val="20"/>
                      <w:lang w:val="en-US" w:eastAsia="zh-CN" w:bidi="zh-CN"/>
                      <w14:textFill>
                        <w14:solidFill>
                          <w14:schemeClr w14:val="tx1"/>
                        </w14:solidFill>
                      </w14:textFill>
                    </w:rPr>
                  </w:pPr>
                  <w:r>
                    <w:rPr>
                      <w:rFonts w:hint="eastAsia" w:ascii="Times New Roman" w:cs="Times New Roman"/>
                      <w:b w:val="0"/>
                      <w:bCs/>
                      <w:color w:val="000000" w:themeColor="text1"/>
                      <w:kern w:val="0"/>
                      <w:sz w:val="20"/>
                      <w:szCs w:val="20"/>
                      <w:lang w:val="en-US" w:eastAsia="zh-CN" w:bidi="zh-CN"/>
                      <w14:textFill>
                        <w14:solidFill>
                          <w14:schemeClr w14:val="tx1"/>
                        </w14:solidFill>
                      </w14:textFill>
                    </w:rPr>
                    <w:t>2</w:t>
                  </w:r>
                </w:p>
              </w:tc>
              <w:tc>
                <w:tcPr>
                  <w:tcW w:w="1118" w:type="pct"/>
                  <w:tcBorders>
                    <w:tl2br w:val="nil"/>
                    <w:tr2bl w:val="nil"/>
                  </w:tcBorders>
                  <w:shd w:val="clear" w:color="auto" w:fill="auto"/>
                  <w:noWrap w:val="0"/>
                  <w:vAlign w:val="center"/>
                </w:tcPr>
                <w:p w14:paraId="5D39C59A">
                  <w:pPr>
                    <w:pStyle w:val="56"/>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textAlignment w:val="auto"/>
                    <w:rPr>
                      <w:rFonts w:hint="default" w:ascii="Times New Roman" w:hAnsi="Times New Roman" w:cs="Times New Roman"/>
                      <w:color w:val="000000" w:themeColor="text1"/>
                      <w14:textFill>
                        <w14:solidFill>
                          <w14:schemeClr w14:val="tx1"/>
                        </w14:solidFill>
                      </w14:textFill>
                    </w:rPr>
                  </w:pPr>
                  <w:r>
                    <w:drawing>
                      <wp:inline distT="0" distB="0" distL="114300" distR="114300">
                        <wp:extent cx="787400" cy="787400"/>
                        <wp:effectExtent l="0" t="0" r="12700" b="1270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33"/>
                                <a:stretch>
                                  <a:fillRect/>
                                </a:stretch>
                              </pic:blipFill>
                              <pic:spPr>
                                <a:xfrm>
                                  <a:off x="0" y="0"/>
                                  <a:ext cx="787400" cy="787400"/>
                                </a:xfrm>
                                <a:prstGeom prst="rect">
                                  <a:avLst/>
                                </a:prstGeom>
                                <a:noFill/>
                                <a:ln>
                                  <a:noFill/>
                                </a:ln>
                              </pic:spPr>
                            </pic:pic>
                          </a:graphicData>
                        </a:graphic>
                      </wp:inline>
                    </w:drawing>
                  </w:r>
                </w:p>
              </w:tc>
              <w:tc>
                <w:tcPr>
                  <w:tcW w:w="1297" w:type="pct"/>
                  <w:tcBorders>
                    <w:tl2br w:val="nil"/>
                    <w:tr2bl w:val="nil"/>
                  </w:tcBorders>
                  <w:shd w:val="clear" w:color="auto" w:fill="auto"/>
                  <w:noWrap w:val="0"/>
                  <w:vAlign w:val="center"/>
                </w:tcPr>
                <w:p w14:paraId="61A01551">
                  <w:pPr>
                    <w:pStyle w:val="56"/>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textAlignment w:val="auto"/>
                    <w:rPr>
                      <w:rFonts w:hint="default" w:ascii="Times New Roman" w:hAnsi="Times New Roman" w:cs="Times New Roman"/>
                      <w:color w:val="000000" w:themeColor="text1"/>
                      <w14:textFill>
                        <w14:solidFill>
                          <w14:schemeClr w14:val="tx1"/>
                        </w14:solidFill>
                      </w14:textFill>
                    </w:rPr>
                  </w:pPr>
                  <w:r>
                    <w:drawing>
                      <wp:inline distT="0" distB="0" distL="114300" distR="114300">
                        <wp:extent cx="1099185" cy="977900"/>
                        <wp:effectExtent l="0" t="0" r="5715" b="1270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34"/>
                                <a:stretch>
                                  <a:fillRect/>
                                </a:stretch>
                              </pic:blipFill>
                              <pic:spPr>
                                <a:xfrm>
                                  <a:off x="0" y="0"/>
                                  <a:ext cx="1099185" cy="977900"/>
                                </a:xfrm>
                                <a:prstGeom prst="rect">
                                  <a:avLst/>
                                </a:prstGeom>
                                <a:noFill/>
                                <a:ln>
                                  <a:noFill/>
                                </a:ln>
                              </pic:spPr>
                            </pic:pic>
                          </a:graphicData>
                        </a:graphic>
                      </wp:inline>
                    </w:drawing>
                  </w:r>
                </w:p>
              </w:tc>
              <w:tc>
                <w:tcPr>
                  <w:tcW w:w="1013" w:type="pct"/>
                  <w:tcBorders>
                    <w:tl2br w:val="nil"/>
                    <w:tr2bl w:val="nil"/>
                  </w:tcBorders>
                  <w:shd w:val="clear" w:color="auto" w:fill="auto"/>
                  <w:noWrap w:val="0"/>
                  <w:vAlign w:val="center"/>
                </w:tcPr>
                <w:p w14:paraId="517E8D0E">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废水排放口</w:t>
                  </w:r>
                </w:p>
              </w:tc>
              <w:tc>
                <w:tcPr>
                  <w:tcW w:w="1188" w:type="pct"/>
                  <w:tcBorders>
                    <w:tl2br w:val="nil"/>
                    <w:tr2bl w:val="nil"/>
                  </w:tcBorders>
                  <w:shd w:val="clear" w:color="auto" w:fill="auto"/>
                  <w:noWrap w:val="0"/>
                  <w:vAlign w:val="center"/>
                </w:tcPr>
                <w:p w14:paraId="4D29EC41">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 xml:space="preserve">表示废水向水体排 </w:t>
                  </w:r>
                </w:p>
                <w:p w14:paraId="73D954C3">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放</w:t>
                  </w:r>
                </w:p>
              </w:tc>
            </w:tr>
            <w:tr w14:paraId="229943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2" w:type="pct"/>
                  <w:tcBorders>
                    <w:tl2br w:val="nil"/>
                    <w:tr2bl w:val="nil"/>
                  </w:tcBorders>
                  <w:noWrap w:val="0"/>
                  <w:vAlign w:val="center"/>
                </w:tcPr>
                <w:p w14:paraId="1218A7F3">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eastAsia="宋体" w:cs="Times New Roman"/>
                      <w:b w:val="0"/>
                      <w:bCs/>
                      <w:color w:val="000000" w:themeColor="text1"/>
                      <w:sz w:val="21"/>
                      <w:szCs w:val="21"/>
                      <w:lang w:val="en-US" w:eastAsia="zh-CN"/>
                      <w14:textFill>
                        <w14:solidFill>
                          <w14:schemeClr w14:val="tx1"/>
                        </w14:solidFill>
                      </w14:textFill>
                    </w:rPr>
                    <w:t>3</w:t>
                  </w:r>
                </w:p>
              </w:tc>
              <w:tc>
                <w:tcPr>
                  <w:tcW w:w="1118" w:type="pct"/>
                  <w:tcBorders>
                    <w:tl2br w:val="nil"/>
                    <w:tr2bl w:val="nil"/>
                  </w:tcBorders>
                  <w:noWrap w:val="0"/>
                  <w:vAlign w:val="center"/>
                </w:tcPr>
                <w:p w14:paraId="6258AC45">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drawing>
                      <wp:inline distT="0" distB="0" distL="114300" distR="114300">
                        <wp:extent cx="965200" cy="922655"/>
                        <wp:effectExtent l="0" t="0" r="6350" b="10795"/>
                        <wp:docPr id="4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6"/>
                                <pic:cNvPicPr>
                                  <a:picLocks noChangeAspect="1"/>
                                </pic:cNvPicPr>
                              </pic:nvPicPr>
                              <pic:blipFill>
                                <a:blip r:embed="rId35"/>
                                <a:stretch>
                                  <a:fillRect/>
                                </a:stretch>
                              </pic:blipFill>
                              <pic:spPr>
                                <a:xfrm>
                                  <a:off x="0" y="0"/>
                                  <a:ext cx="965200" cy="922655"/>
                                </a:xfrm>
                                <a:prstGeom prst="rect">
                                  <a:avLst/>
                                </a:prstGeom>
                                <a:noFill/>
                                <a:ln>
                                  <a:noFill/>
                                </a:ln>
                              </pic:spPr>
                            </pic:pic>
                          </a:graphicData>
                        </a:graphic>
                      </wp:inline>
                    </w:drawing>
                  </w:r>
                </w:p>
              </w:tc>
              <w:tc>
                <w:tcPr>
                  <w:tcW w:w="1297" w:type="pct"/>
                  <w:tcBorders>
                    <w:tl2br w:val="nil"/>
                    <w:tr2bl w:val="nil"/>
                  </w:tcBorders>
                  <w:noWrap w:val="0"/>
                  <w:vAlign w:val="center"/>
                </w:tcPr>
                <w:p w14:paraId="686F666E">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drawing>
                      <wp:inline distT="0" distB="0" distL="114300" distR="114300">
                        <wp:extent cx="965200" cy="779145"/>
                        <wp:effectExtent l="0" t="0" r="6350" b="1905"/>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pic:cNvPicPr>
                              </pic:nvPicPr>
                              <pic:blipFill>
                                <a:blip r:embed="rId36"/>
                                <a:stretch>
                                  <a:fillRect/>
                                </a:stretch>
                              </pic:blipFill>
                              <pic:spPr>
                                <a:xfrm>
                                  <a:off x="0" y="0"/>
                                  <a:ext cx="965200" cy="779145"/>
                                </a:xfrm>
                                <a:prstGeom prst="rect">
                                  <a:avLst/>
                                </a:prstGeom>
                                <a:noFill/>
                                <a:ln>
                                  <a:noFill/>
                                </a:ln>
                              </pic:spPr>
                            </pic:pic>
                          </a:graphicData>
                        </a:graphic>
                      </wp:inline>
                    </w:drawing>
                  </w:r>
                </w:p>
              </w:tc>
              <w:tc>
                <w:tcPr>
                  <w:tcW w:w="1013" w:type="pct"/>
                  <w:tcBorders>
                    <w:tl2br w:val="nil"/>
                    <w:tr2bl w:val="nil"/>
                  </w:tcBorders>
                  <w:noWrap w:val="0"/>
                  <w:vAlign w:val="center"/>
                </w:tcPr>
                <w:p w14:paraId="2B59BBEA">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噪声排放源</w:t>
                  </w:r>
                </w:p>
              </w:tc>
              <w:tc>
                <w:tcPr>
                  <w:tcW w:w="1188" w:type="pct"/>
                  <w:tcBorders>
                    <w:tl2br w:val="nil"/>
                    <w:tr2bl w:val="nil"/>
                  </w:tcBorders>
                  <w:noWrap w:val="0"/>
                  <w:vAlign w:val="center"/>
                </w:tcPr>
                <w:p w14:paraId="4F118CDA">
                  <w:pPr>
                    <w:pStyle w:val="56"/>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表示噪声向外环境排放</w:t>
                  </w:r>
                </w:p>
              </w:tc>
            </w:tr>
          </w:tbl>
          <w:p w14:paraId="659C47C4">
            <w:pPr>
              <w:keepNext w:val="0"/>
              <w:keepLines w:val="0"/>
              <w:pageBreakBefore w:val="0"/>
              <w:widowControl/>
              <w:numPr>
                <w:ilvl w:val="0"/>
                <w:numId w:val="0"/>
              </w:numPr>
              <w:suppressLineNumbers w:val="0"/>
              <w:kinsoku/>
              <w:wordWrap/>
              <w:overflowPunct/>
              <w:topLinePunct w:val="0"/>
              <w:autoSpaceDE/>
              <w:autoSpaceDN/>
              <w:bidi w:val="0"/>
              <w:adjustRightInd/>
              <w:snapToGrid w:val="0"/>
              <w:ind w:leftChars="200"/>
              <w:jc w:val="both"/>
              <w:textAlignment w:val="auto"/>
              <w:rPr>
                <w:rFonts w:hint="default" w:cs="Times New Roman"/>
                <w:color w:val="000000"/>
                <w:kern w:val="0"/>
                <w:sz w:val="24"/>
                <w:szCs w:val="24"/>
                <w:lang w:val="en-US" w:eastAsia="zh-CN" w:bidi="ar"/>
              </w:rPr>
            </w:pPr>
          </w:p>
        </w:tc>
      </w:tr>
      <w:tr w14:paraId="1E9425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3" w:hRule="atLeast"/>
          <w:jc w:val="center"/>
        </w:trPr>
        <w:tc>
          <w:tcPr>
            <w:tcW w:w="753" w:type="dxa"/>
            <w:noWrap w:val="0"/>
            <w:vAlign w:val="center"/>
          </w:tcPr>
          <w:p w14:paraId="481621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spacing w:val="10"/>
                <w:szCs w:val="21"/>
                <w:highlight w:val="none"/>
              </w:rPr>
            </w:pPr>
            <w:r>
              <w:rPr>
                <w:rFonts w:hint="default" w:ascii="Times New Roman" w:hAnsi="Times New Roman" w:eastAsia="宋体" w:cs="Times New Roman"/>
                <w:bCs/>
                <w:color w:val="000000"/>
                <w:szCs w:val="21"/>
                <w:highlight w:val="none"/>
              </w:rPr>
              <w:t>环保投资</w:t>
            </w:r>
          </w:p>
        </w:tc>
        <w:tc>
          <w:tcPr>
            <w:tcW w:w="8457" w:type="dxa"/>
            <w:noWrap w:val="0"/>
            <w:vAlign w:val="top"/>
          </w:tcPr>
          <w:p w14:paraId="7A5533A6">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kern w:val="0"/>
                <w:sz w:val="24"/>
                <w:szCs w:val="24"/>
                <w:highlight w:val="none"/>
                <w:lang w:val="en-US" w:eastAsia="zh-CN" w:bidi="ar"/>
              </w:rPr>
              <w:t>项目总投资</w:t>
            </w:r>
            <w:r>
              <w:rPr>
                <w:rFonts w:hint="eastAsia" w:ascii="Times New Roman" w:hAnsi="Times New Roman" w:eastAsia="宋体" w:cs="Times New Roman"/>
                <w:color w:val="000000"/>
                <w:kern w:val="0"/>
                <w:sz w:val="24"/>
                <w:szCs w:val="24"/>
                <w:highlight w:val="none"/>
                <w:lang w:val="en-US" w:eastAsia="zh-CN" w:bidi="ar"/>
              </w:rPr>
              <w:t>5000</w:t>
            </w:r>
            <w:r>
              <w:rPr>
                <w:rFonts w:hint="default" w:ascii="Times New Roman" w:hAnsi="Times New Roman" w:eastAsia="宋体" w:cs="Times New Roman"/>
                <w:color w:val="000000"/>
                <w:kern w:val="0"/>
                <w:sz w:val="24"/>
                <w:szCs w:val="24"/>
                <w:highlight w:val="none"/>
                <w:lang w:val="en-US" w:eastAsia="zh-CN" w:bidi="ar"/>
              </w:rPr>
              <w:t>万元，其中环保投资</w:t>
            </w:r>
            <w:r>
              <w:rPr>
                <w:rFonts w:hint="eastAsia" w:ascii="Times New Roman" w:hAnsi="Times New Roman" w:eastAsia="宋体" w:cs="Times New Roman"/>
                <w:color w:val="000000"/>
                <w:kern w:val="0"/>
                <w:sz w:val="24"/>
                <w:szCs w:val="24"/>
                <w:highlight w:val="none"/>
                <w:lang w:val="en-US" w:eastAsia="zh-CN" w:bidi="ar"/>
              </w:rPr>
              <w:t>157</w:t>
            </w:r>
            <w:r>
              <w:rPr>
                <w:rFonts w:hint="default" w:ascii="Times New Roman" w:hAnsi="Times New Roman" w:eastAsia="宋体" w:cs="Times New Roman"/>
                <w:color w:val="000000"/>
                <w:kern w:val="0"/>
                <w:sz w:val="24"/>
                <w:szCs w:val="24"/>
                <w:highlight w:val="none"/>
                <w:lang w:val="en-US" w:eastAsia="zh-CN" w:bidi="ar"/>
              </w:rPr>
              <w:t>万元，占总投资的</w:t>
            </w:r>
            <w:r>
              <w:rPr>
                <w:rFonts w:hint="eastAsia" w:ascii="Times New Roman" w:hAnsi="Times New Roman" w:eastAsia="宋体" w:cs="Times New Roman"/>
                <w:color w:val="000000"/>
                <w:kern w:val="0"/>
                <w:sz w:val="24"/>
                <w:szCs w:val="24"/>
                <w:highlight w:val="none"/>
                <w:lang w:val="en-US" w:eastAsia="zh-CN" w:bidi="ar"/>
              </w:rPr>
              <w:t>3.14</w:t>
            </w:r>
            <w:r>
              <w:rPr>
                <w:rFonts w:hint="default" w:ascii="Times New Roman" w:hAnsi="Times New Roman" w:eastAsia="宋体" w:cs="Times New Roman"/>
                <w:color w:val="000000"/>
                <w:kern w:val="0"/>
                <w:sz w:val="24"/>
                <w:szCs w:val="24"/>
                <w:highlight w:val="none"/>
                <w:lang w:val="en-US" w:eastAsia="zh-CN" w:bidi="ar"/>
              </w:rPr>
              <w:t>%。环保投资明细见表5-</w:t>
            </w:r>
            <w:r>
              <w:rPr>
                <w:rFonts w:hint="eastAsia" w:cs="Times New Roman"/>
                <w:color w:val="000000"/>
                <w:kern w:val="0"/>
                <w:sz w:val="24"/>
                <w:szCs w:val="24"/>
                <w:highlight w:val="none"/>
                <w:lang w:val="en-US" w:eastAsia="zh-CN" w:bidi="ar"/>
              </w:rPr>
              <w:t>5</w:t>
            </w:r>
            <w:r>
              <w:rPr>
                <w:rFonts w:hint="default" w:ascii="Times New Roman" w:hAnsi="Times New Roman" w:eastAsia="宋体" w:cs="Times New Roman"/>
                <w:color w:val="000000"/>
                <w:kern w:val="0"/>
                <w:sz w:val="24"/>
                <w:szCs w:val="24"/>
                <w:highlight w:val="none"/>
                <w:lang w:val="en-US" w:eastAsia="zh-CN" w:bidi="ar"/>
              </w:rPr>
              <w:t>。</w:t>
            </w:r>
          </w:p>
          <w:p w14:paraId="62331CC9">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color w:val="000000"/>
                <w:spacing w:val="0"/>
                <w:kern w:val="2"/>
                <w:sz w:val="21"/>
                <w:szCs w:val="21"/>
                <w:highlight w:val="none"/>
                <w:lang w:val="en-US" w:eastAsia="zh-CN" w:bidi="ar-SA"/>
              </w:rPr>
            </w:pPr>
            <w:r>
              <w:rPr>
                <w:rFonts w:hint="default" w:ascii="Times New Roman" w:hAnsi="Times New Roman" w:eastAsia="宋体" w:cs="Times New Roman"/>
                <w:b/>
                <w:color w:val="000000"/>
                <w:spacing w:val="0"/>
                <w:kern w:val="2"/>
                <w:sz w:val="21"/>
                <w:szCs w:val="21"/>
                <w:highlight w:val="none"/>
                <w:lang w:val="en-US" w:eastAsia="zh-CN" w:bidi="ar-SA"/>
              </w:rPr>
              <w:t>表5-</w:t>
            </w:r>
            <w:r>
              <w:rPr>
                <w:rFonts w:hint="eastAsia" w:cs="Times New Roman"/>
                <w:b/>
                <w:color w:val="000000"/>
                <w:spacing w:val="0"/>
                <w:kern w:val="2"/>
                <w:sz w:val="21"/>
                <w:szCs w:val="21"/>
                <w:highlight w:val="none"/>
                <w:lang w:val="en-US" w:eastAsia="zh-CN" w:bidi="ar-SA"/>
              </w:rPr>
              <w:t>5</w:t>
            </w:r>
            <w:r>
              <w:rPr>
                <w:rFonts w:hint="default" w:ascii="Times New Roman" w:hAnsi="Times New Roman" w:eastAsia="宋体" w:cs="Times New Roman"/>
                <w:b/>
                <w:color w:val="000000"/>
                <w:spacing w:val="0"/>
                <w:kern w:val="2"/>
                <w:sz w:val="21"/>
                <w:szCs w:val="21"/>
                <w:highlight w:val="none"/>
                <w:lang w:val="en-US" w:eastAsia="zh-CN" w:bidi="ar-SA"/>
              </w:rPr>
              <w:t xml:space="preserve">   项目环保投资估算表</w:t>
            </w:r>
          </w:p>
          <w:tbl>
            <w:tblPr>
              <w:tblStyle w:val="33"/>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35"/>
              <w:gridCol w:w="803"/>
              <w:gridCol w:w="5206"/>
              <w:gridCol w:w="1067"/>
            </w:tblGrid>
            <w:tr w14:paraId="081CA1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5" w:type="dxa"/>
                  <w:tcBorders>
                    <w:tl2br w:val="nil"/>
                    <w:tr2bl w:val="nil"/>
                  </w:tcBorders>
                  <w:noWrap w:val="0"/>
                  <w:vAlign w:val="center"/>
                </w:tcPr>
                <w:p w14:paraId="0FEC39D6">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b/>
                      <w:bCs/>
                      <w:color w:val="000000"/>
                      <w:sz w:val="21"/>
                      <w:szCs w:val="21"/>
                      <w:highlight w:val="none"/>
                      <w:vertAlign w:val="baseline"/>
                      <w:lang w:val="en-US" w:eastAsia="zh-CN"/>
                    </w:rPr>
                    <w:t>时段</w:t>
                  </w:r>
                </w:p>
              </w:tc>
              <w:tc>
                <w:tcPr>
                  <w:tcW w:w="803" w:type="dxa"/>
                  <w:tcBorders>
                    <w:tl2br w:val="nil"/>
                    <w:tr2bl w:val="nil"/>
                  </w:tcBorders>
                  <w:noWrap w:val="0"/>
                  <w:vAlign w:val="center"/>
                </w:tcPr>
                <w:p w14:paraId="51332A4F">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b/>
                      <w:bCs/>
                      <w:color w:val="000000"/>
                      <w:sz w:val="21"/>
                      <w:szCs w:val="21"/>
                      <w:highlight w:val="none"/>
                      <w:vertAlign w:val="baseline"/>
                      <w:lang w:val="en-US" w:eastAsia="zh-CN"/>
                    </w:rPr>
                    <w:t>类别</w:t>
                  </w:r>
                </w:p>
              </w:tc>
              <w:tc>
                <w:tcPr>
                  <w:tcW w:w="5206" w:type="dxa"/>
                  <w:tcBorders>
                    <w:tl2br w:val="nil"/>
                    <w:tr2bl w:val="nil"/>
                  </w:tcBorders>
                  <w:noWrap w:val="0"/>
                  <w:vAlign w:val="center"/>
                </w:tcPr>
                <w:p w14:paraId="1D9490FF">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b/>
                      <w:bCs/>
                      <w:color w:val="000000"/>
                      <w:sz w:val="21"/>
                      <w:szCs w:val="21"/>
                      <w:highlight w:val="none"/>
                      <w:vertAlign w:val="baseline"/>
                      <w:lang w:val="en-US" w:eastAsia="zh-CN"/>
                    </w:rPr>
                    <w:t>环境治理措施</w:t>
                  </w:r>
                </w:p>
              </w:tc>
              <w:tc>
                <w:tcPr>
                  <w:tcW w:w="1067" w:type="dxa"/>
                  <w:tcBorders>
                    <w:tl2br w:val="nil"/>
                    <w:tr2bl w:val="nil"/>
                  </w:tcBorders>
                  <w:noWrap w:val="0"/>
                  <w:vAlign w:val="center"/>
                </w:tcPr>
                <w:p w14:paraId="1B1070B8">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b/>
                      <w:bCs/>
                      <w:color w:val="000000"/>
                      <w:sz w:val="21"/>
                      <w:szCs w:val="21"/>
                      <w:highlight w:val="none"/>
                      <w:vertAlign w:val="baseline"/>
                      <w:lang w:val="en-US" w:eastAsia="zh-CN"/>
                    </w:rPr>
                    <w:t>投资（万元）</w:t>
                  </w:r>
                </w:p>
              </w:tc>
            </w:tr>
            <w:tr w14:paraId="141396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5" w:type="dxa"/>
                  <w:vMerge w:val="restart"/>
                  <w:tcBorders>
                    <w:tl2br w:val="nil"/>
                    <w:tr2bl w:val="nil"/>
                  </w:tcBorders>
                  <w:noWrap w:val="0"/>
                  <w:vAlign w:val="center"/>
                </w:tcPr>
                <w:p w14:paraId="27B0127B">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施工期</w:t>
                  </w:r>
                </w:p>
              </w:tc>
              <w:tc>
                <w:tcPr>
                  <w:tcW w:w="803" w:type="dxa"/>
                  <w:tcBorders>
                    <w:tl2br w:val="nil"/>
                    <w:tr2bl w:val="nil"/>
                  </w:tcBorders>
                  <w:noWrap w:val="0"/>
                  <w:vAlign w:val="center"/>
                </w:tcPr>
                <w:p w14:paraId="6D0EB0F9">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固体废物</w:t>
                  </w:r>
                </w:p>
              </w:tc>
              <w:tc>
                <w:tcPr>
                  <w:tcW w:w="5206" w:type="dxa"/>
                  <w:tcBorders>
                    <w:tl2br w:val="nil"/>
                    <w:tr2bl w:val="nil"/>
                  </w:tcBorders>
                  <w:noWrap w:val="0"/>
                  <w:vAlign w:val="center"/>
                </w:tcPr>
                <w:p w14:paraId="1032D049">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000000"/>
                      <w:sz w:val="21"/>
                      <w:szCs w:val="21"/>
                      <w:highlight w:val="none"/>
                      <w:vertAlign w:val="baseline"/>
                      <w:lang w:val="en-US" w:eastAsia="zh-CN"/>
                    </w:rPr>
                  </w:pPr>
                  <w:r>
                    <w:rPr>
                      <w:rFonts w:hint="eastAsia"/>
                      <w:spacing w:val="0"/>
                      <w:sz w:val="21"/>
                      <w:szCs w:val="21"/>
                      <w:lang w:val="en-US" w:eastAsia="zh-CN"/>
                    </w:rPr>
                    <w:t>建筑垃圾</w:t>
                  </w:r>
                  <w:r>
                    <w:rPr>
                      <w:spacing w:val="0"/>
                      <w:sz w:val="21"/>
                      <w:szCs w:val="21"/>
                    </w:rPr>
                    <w:t>集中收集后统一交由</w:t>
                  </w:r>
                  <w:r>
                    <w:rPr>
                      <w:rFonts w:eastAsia="宋体"/>
                      <w:spacing w:val="0"/>
                      <w:sz w:val="21"/>
                      <w:szCs w:val="21"/>
                    </w:rPr>
                    <w:t>新疆阜康产业园固废综合处置静脉园（一期）处</w:t>
                  </w:r>
                  <w:r>
                    <w:rPr>
                      <w:spacing w:val="0"/>
                      <w:sz w:val="21"/>
                      <w:szCs w:val="21"/>
                    </w:rPr>
                    <w:t>置</w:t>
                  </w:r>
                  <w:r>
                    <w:rPr>
                      <w:rFonts w:hint="eastAsia"/>
                      <w:spacing w:val="0"/>
                      <w:sz w:val="21"/>
                      <w:szCs w:val="21"/>
                      <w:lang w:eastAsia="zh-CN"/>
                    </w:rPr>
                    <w:t>，</w:t>
                  </w:r>
                  <w:r>
                    <w:rPr>
                      <w:rFonts w:hint="eastAsia"/>
                      <w:spacing w:val="0"/>
                      <w:sz w:val="21"/>
                      <w:szCs w:val="21"/>
                      <w:lang w:val="en-US" w:eastAsia="zh-CN"/>
                    </w:rPr>
                    <w:t>生活垃圾</w:t>
                  </w:r>
                  <w:r>
                    <w:rPr>
                      <w:spacing w:val="0"/>
                      <w:sz w:val="21"/>
                      <w:szCs w:val="21"/>
                    </w:rPr>
                    <w:t>集中收集后，由</w:t>
                  </w:r>
                  <w:r>
                    <w:rPr>
                      <w:rFonts w:hint="eastAsia"/>
                      <w:spacing w:val="0"/>
                      <w:sz w:val="21"/>
                      <w:szCs w:val="21"/>
                      <w:lang w:val="en-US" w:eastAsia="zh-CN"/>
                    </w:rPr>
                    <w:t>环卫</w:t>
                  </w:r>
                  <w:r>
                    <w:rPr>
                      <w:spacing w:val="0"/>
                      <w:sz w:val="21"/>
                      <w:szCs w:val="21"/>
                    </w:rPr>
                    <w:t>部门统一清运至</w:t>
                  </w:r>
                  <w:r>
                    <w:rPr>
                      <w:rFonts w:hint="eastAsia"/>
                      <w:spacing w:val="0"/>
                      <w:sz w:val="21"/>
                      <w:szCs w:val="21"/>
                      <w:lang w:val="en-US" w:eastAsia="zh-CN"/>
                    </w:rPr>
                    <w:t>阜康市生活垃圾填埋场</w:t>
                  </w:r>
                  <w:r>
                    <w:rPr>
                      <w:spacing w:val="0"/>
                      <w:sz w:val="21"/>
                      <w:szCs w:val="21"/>
                    </w:rPr>
                    <w:t>处置</w:t>
                  </w:r>
                </w:p>
              </w:tc>
              <w:tc>
                <w:tcPr>
                  <w:tcW w:w="1067" w:type="dxa"/>
                  <w:tcBorders>
                    <w:tl2br w:val="nil"/>
                    <w:tr2bl w:val="nil"/>
                  </w:tcBorders>
                  <w:noWrap w:val="0"/>
                  <w:vAlign w:val="center"/>
                </w:tcPr>
                <w:p w14:paraId="72C1C35A">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3</w:t>
                  </w:r>
                </w:p>
              </w:tc>
            </w:tr>
            <w:tr w14:paraId="605D66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5" w:type="dxa"/>
                  <w:vMerge w:val="continue"/>
                  <w:tcBorders>
                    <w:tl2br w:val="nil"/>
                    <w:tr2bl w:val="nil"/>
                  </w:tcBorders>
                  <w:noWrap w:val="0"/>
                  <w:vAlign w:val="center"/>
                </w:tcPr>
                <w:p w14:paraId="3F928463">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sz w:val="21"/>
                      <w:szCs w:val="21"/>
                      <w:highlight w:val="none"/>
                      <w:vertAlign w:val="baseline"/>
                      <w:lang w:val="en-US" w:eastAsia="zh-CN"/>
                    </w:rPr>
                  </w:pPr>
                </w:p>
              </w:tc>
              <w:tc>
                <w:tcPr>
                  <w:tcW w:w="803" w:type="dxa"/>
                  <w:tcBorders>
                    <w:tl2br w:val="nil"/>
                    <w:tr2bl w:val="nil"/>
                  </w:tcBorders>
                  <w:noWrap w:val="0"/>
                  <w:vAlign w:val="center"/>
                </w:tcPr>
                <w:p w14:paraId="4860933E">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pacing w:val="4"/>
                      <w:kern w:val="24"/>
                      <w:sz w:val="21"/>
                      <w:szCs w:val="21"/>
                      <w:highlight w:val="none"/>
                      <w:vertAlign w:val="baseline"/>
                      <w:lang w:val="en-US" w:eastAsia="zh-CN" w:bidi="ar-SA"/>
                    </w:rPr>
                  </w:pPr>
                  <w:r>
                    <w:rPr>
                      <w:rFonts w:hint="default" w:ascii="Times New Roman" w:hAnsi="Times New Roman" w:eastAsia="宋体" w:cs="Times New Roman"/>
                      <w:color w:val="000000"/>
                      <w:sz w:val="21"/>
                      <w:szCs w:val="21"/>
                      <w:highlight w:val="none"/>
                      <w:vertAlign w:val="baseline"/>
                      <w:lang w:val="en-US" w:eastAsia="zh-CN"/>
                    </w:rPr>
                    <w:t>废水</w:t>
                  </w:r>
                </w:p>
              </w:tc>
              <w:tc>
                <w:tcPr>
                  <w:tcW w:w="5206" w:type="dxa"/>
                  <w:tcBorders>
                    <w:tl2br w:val="nil"/>
                    <w:tr2bl w:val="nil"/>
                  </w:tcBorders>
                  <w:noWrap w:val="0"/>
                  <w:vAlign w:val="center"/>
                </w:tcPr>
                <w:p w14:paraId="03B6EC28">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spacing w:val="9"/>
                      <w:sz w:val="21"/>
                      <w:szCs w:val="21"/>
                    </w:rPr>
                    <w:t>设置沉淀池1座</w:t>
                  </w:r>
                </w:p>
              </w:tc>
              <w:tc>
                <w:tcPr>
                  <w:tcW w:w="1067" w:type="dxa"/>
                  <w:tcBorders>
                    <w:tl2br w:val="nil"/>
                    <w:tr2bl w:val="nil"/>
                  </w:tcBorders>
                  <w:noWrap w:val="0"/>
                  <w:vAlign w:val="center"/>
                </w:tcPr>
                <w:p w14:paraId="69D8D2D1">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3</w:t>
                  </w:r>
                </w:p>
              </w:tc>
            </w:tr>
            <w:tr w14:paraId="547B33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5" w:type="dxa"/>
                  <w:vMerge w:val="continue"/>
                  <w:tcBorders>
                    <w:tl2br w:val="nil"/>
                    <w:tr2bl w:val="nil"/>
                  </w:tcBorders>
                  <w:noWrap w:val="0"/>
                  <w:vAlign w:val="center"/>
                </w:tcPr>
                <w:p w14:paraId="5B22FECB">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sz w:val="21"/>
                      <w:szCs w:val="21"/>
                      <w:highlight w:val="none"/>
                      <w:vertAlign w:val="baseline"/>
                      <w:lang w:val="en-US" w:eastAsia="zh-CN"/>
                    </w:rPr>
                  </w:pPr>
                </w:p>
              </w:tc>
              <w:tc>
                <w:tcPr>
                  <w:tcW w:w="803" w:type="dxa"/>
                  <w:tcBorders>
                    <w:tl2br w:val="nil"/>
                    <w:tr2bl w:val="nil"/>
                  </w:tcBorders>
                  <w:noWrap w:val="0"/>
                  <w:vAlign w:val="center"/>
                </w:tcPr>
                <w:p w14:paraId="01B9A518">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pacing w:val="4"/>
                      <w:kern w:val="24"/>
                      <w:sz w:val="21"/>
                      <w:szCs w:val="21"/>
                      <w:highlight w:val="none"/>
                      <w:vertAlign w:val="baseline"/>
                      <w:lang w:val="en-US" w:eastAsia="zh-CN" w:bidi="ar-SA"/>
                    </w:rPr>
                  </w:pPr>
                  <w:r>
                    <w:rPr>
                      <w:rFonts w:hint="eastAsia" w:ascii="Times New Roman" w:hAnsi="Times New Roman" w:eastAsia="宋体" w:cs="Times New Roman"/>
                      <w:color w:val="000000"/>
                      <w:sz w:val="21"/>
                      <w:szCs w:val="21"/>
                      <w:highlight w:val="none"/>
                      <w:vertAlign w:val="baseline"/>
                      <w:lang w:val="en-US" w:eastAsia="zh-CN"/>
                    </w:rPr>
                    <w:t>废气</w:t>
                  </w:r>
                </w:p>
              </w:tc>
              <w:tc>
                <w:tcPr>
                  <w:tcW w:w="5206" w:type="dxa"/>
                  <w:tcBorders>
                    <w:tl2br w:val="nil"/>
                    <w:tr2bl w:val="nil"/>
                  </w:tcBorders>
                  <w:noWrap w:val="0"/>
                  <w:vAlign w:val="center"/>
                </w:tcPr>
                <w:p w14:paraId="740A9DBE">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spacing w:val="-19"/>
                      <w:sz w:val="21"/>
                      <w:szCs w:val="21"/>
                    </w:rPr>
                    <w:t>设置洒水、限制车速</w:t>
                  </w:r>
                  <w:r>
                    <w:rPr>
                      <w:spacing w:val="-18"/>
                      <w:sz w:val="21"/>
                      <w:szCs w:val="21"/>
                    </w:rPr>
                    <w:t>、禁止超载、</w:t>
                  </w:r>
                  <w:r>
                    <w:rPr>
                      <w:spacing w:val="-9"/>
                      <w:sz w:val="21"/>
                      <w:szCs w:val="21"/>
                    </w:rPr>
                    <w:t>运</w:t>
                  </w:r>
                  <w:r>
                    <w:rPr>
                      <w:spacing w:val="-2"/>
                      <w:sz w:val="21"/>
                      <w:szCs w:val="21"/>
                    </w:rPr>
                    <w:t>输车辆加盖</w:t>
                  </w:r>
                  <w:r>
                    <w:rPr>
                      <w:rFonts w:hint="eastAsia"/>
                      <w:spacing w:val="-2"/>
                      <w:sz w:val="21"/>
                      <w:szCs w:val="21"/>
                      <w:lang w:eastAsia="zh-CN"/>
                    </w:rPr>
                    <w:t>篷布</w:t>
                  </w:r>
                  <w:r>
                    <w:rPr>
                      <w:spacing w:val="-2"/>
                      <w:sz w:val="21"/>
                      <w:szCs w:val="21"/>
                    </w:rPr>
                    <w:t>等</w:t>
                  </w:r>
                </w:p>
              </w:tc>
              <w:tc>
                <w:tcPr>
                  <w:tcW w:w="1067" w:type="dxa"/>
                  <w:tcBorders>
                    <w:tl2br w:val="nil"/>
                    <w:tr2bl w:val="nil"/>
                  </w:tcBorders>
                  <w:noWrap w:val="0"/>
                  <w:vAlign w:val="center"/>
                </w:tcPr>
                <w:p w14:paraId="49358A09">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10</w:t>
                  </w:r>
                </w:p>
              </w:tc>
            </w:tr>
            <w:tr w14:paraId="4C034F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5" w:type="dxa"/>
                  <w:vMerge w:val="continue"/>
                  <w:tcBorders>
                    <w:tl2br w:val="nil"/>
                    <w:tr2bl w:val="nil"/>
                  </w:tcBorders>
                  <w:noWrap w:val="0"/>
                  <w:vAlign w:val="center"/>
                </w:tcPr>
                <w:p w14:paraId="38AEC775">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sz w:val="21"/>
                      <w:szCs w:val="21"/>
                      <w:highlight w:val="none"/>
                      <w:vertAlign w:val="baseline"/>
                      <w:lang w:val="en-US" w:eastAsia="zh-CN"/>
                    </w:rPr>
                  </w:pPr>
                </w:p>
              </w:tc>
              <w:tc>
                <w:tcPr>
                  <w:tcW w:w="803" w:type="dxa"/>
                  <w:tcBorders>
                    <w:tl2br w:val="nil"/>
                    <w:tr2bl w:val="nil"/>
                  </w:tcBorders>
                  <w:noWrap w:val="0"/>
                  <w:vAlign w:val="center"/>
                </w:tcPr>
                <w:p w14:paraId="4B63EECC">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pacing w:val="4"/>
                      <w:kern w:val="24"/>
                      <w:sz w:val="21"/>
                      <w:szCs w:val="21"/>
                      <w:highlight w:val="none"/>
                      <w:vertAlign w:val="baseline"/>
                      <w:lang w:val="en-US" w:eastAsia="zh-CN" w:bidi="ar-SA"/>
                    </w:rPr>
                  </w:pPr>
                  <w:r>
                    <w:rPr>
                      <w:rFonts w:hint="default" w:ascii="Times New Roman" w:hAnsi="Times New Roman" w:eastAsia="宋体" w:cs="Times New Roman"/>
                      <w:color w:val="000000"/>
                      <w:sz w:val="21"/>
                      <w:szCs w:val="21"/>
                      <w:highlight w:val="none"/>
                      <w:vertAlign w:val="baseline"/>
                      <w:lang w:val="en-US" w:eastAsia="zh-CN"/>
                    </w:rPr>
                    <w:t>噪声</w:t>
                  </w:r>
                </w:p>
              </w:tc>
              <w:tc>
                <w:tcPr>
                  <w:tcW w:w="5206" w:type="dxa"/>
                  <w:tcBorders>
                    <w:tl2br w:val="nil"/>
                    <w:tr2bl w:val="nil"/>
                  </w:tcBorders>
                  <w:noWrap w:val="0"/>
                  <w:vAlign w:val="center"/>
                </w:tcPr>
                <w:p w14:paraId="10904064">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设备、车辆保养维修等</w:t>
                  </w:r>
                  <w:r>
                    <w:rPr>
                      <w:rFonts w:hint="eastAsia" w:ascii="Times New Roman" w:hAnsi="Times New Roman" w:eastAsia="宋体" w:cs="Times New Roman"/>
                      <w:color w:val="000000"/>
                      <w:sz w:val="21"/>
                      <w:szCs w:val="21"/>
                      <w:highlight w:val="none"/>
                      <w:vertAlign w:val="baseline"/>
                      <w:lang w:val="en-US" w:eastAsia="zh-CN"/>
                    </w:rPr>
                    <w:t>；施工期临时围屏等</w:t>
                  </w:r>
                </w:p>
              </w:tc>
              <w:tc>
                <w:tcPr>
                  <w:tcW w:w="1067" w:type="dxa"/>
                  <w:tcBorders>
                    <w:tl2br w:val="nil"/>
                    <w:tr2bl w:val="nil"/>
                  </w:tcBorders>
                  <w:noWrap w:val="0"/>
                  <w:vAlign w:val="center"/>
                </w:tcPr>
                <w:p w14:paraId="6ADCC59E">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10</w:t>
                  </w:r>
                </w:p>
              </w:tc>
            </w:tr>
            <w:tr w14:paraId="0D32B2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5" w:type="dxa"/>
                  <w:vMerge w:val="continue"/>
                  <w:tcBorders>
                    <w:tl2br w:val="nil"/>
                    <w:tr2bl w:val="nil"/>
                  </w:tcBorders>
                  <w:noWrap w:val="0"/>
                  <w:vAlign w:val="center"/>
                </w:tcPr>
                <w:p w14:paraId="29DE05FA">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sz w:val="21"/>
                      <w:szCs w:val="21"/>
                      <w:highlight w:val="none"/>
                      <w:vertAlign w:val="baseline"/>
                      <w:lang w:val="en-US" w:eastAsia="zh-CN"/>
                    </w:rPr>
                  </w:pPr>
                </w:p>
              </w:tc>
              <w:tc>
                <w:tcPr>
                  <w:tcW w:w="803" w:type="dxa"/>
                  <w:tcBorders>
                    <w:tl2br w:val="nil"/>
                    <w:tr2bl w:val="nil"/>
                  </w:tcBorders>
                  <w:noWrap w:val="0"/>
                  <w:vAlign w:val="center"/>
                </w:tcPr>
                <w:p w14:paraId="38CE50E5">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eastAsia" w:ascii="Times New Roman" w:hAnsi="Times New Roman" w:eastAsia="宋体" w:cs="Times New Roman"/>
                      <w:color w:val="000000"/>
                      <w:sz w:val="21"/>
                      <w:szCs w:val="21"/>
                      <w:highlight w:val="none"/>
                      <w:vertAlign w:val="baseline"/>
                      <w:lang w:val="en-US" w:eastAsia="zh-CN"/>
                    </w:rPr>
                    <w:t>生态环境</w:t>
                  </w:r>
                </w:p>
              </w:tc>
              <w:tc>
                <w:tcPr>
                  <w:tcW w:w="5206" w:type="dxa"/>
                  <w:tcBorders>
                    <w:tl2br w:val="nil"/>
                    <w:tr2bl w:val="nil"/>
                  </w:tcBorders>
                  <w:noWrap w:val="0"/>
                  <w:vAlign w:val="center"/>
                </w:tcPr>
                <w:p w14:paraId="69337A7E">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施工生态减缓与恢复措施</w:t>
                  </w:r>
                </w:p>
              </w:tc>
              <w:tc>
                <w:tcPr>
                  <w:tcW w:w="1067" w:type="dxa"/>
                  <w:tcBorders>
                    <w:tl2br w:val="nil"/>
                    <w:tr2bl w:val="nil"/>
                  </w:tcBorders>
                  <w:noWrap w:val="0"/>
                  <w:vAlign w:val="center"/>
                </w:tcPr>
                <w:p w14:paraId="350E1EFE">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20</w:t>
                  </w:r>
                </w:p>
              </w:tc>
            </w:tr>
            <w:tr w14:paraId="161B9F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5" w:type="dxa"/>
                  <w:vMerge w:val="restart"/>
                  <w:tcBorders>
                    <w:tl2br w:val="nil"/>
                    <w:tr2bl w:val="nil"/>
                  </w:tcBorders>
                  <w:noWrap w:val="0"/>
                  <w:vAlign w:val="center"/>
                </w:tcPr>
                <w:p w14:paraId="6DF3FCE9">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运营期</w:t>
                  </w:r>
                </w:p>
              </w:tc>
              <w:tc>
                <w:tcPr>
                  <w:tcW w:w="803" w:type="dxa"/>
                  <w:tcBorders>
                    <w:tl2br w:val="nil"/>
                    <w:tr2bl w:val="nil"/>
                  </w:tcBorders>
                  <w:noWrap w:val="0"/>
                  <w:vAlign w:val="center"/>
                </w:tcPr>
                <w:p w14:paraId="6F9E971F">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固体废物</w:t>
                  </w:r>
                </w:p>
              </w:tc>
              <w:tc>
                <w:tcPr>
                  <w:tcW w:w="5206" w:type="dxa"/>
                  <w:tcBorders>
                    <w:tl2br w:val="nil"/>
                    <w:tr2bl w:val="nil"/>
                  </w:tcBorders>
                  <w:noWrap w:val="0"/>
                  <w:vAlign w:val="center"/>
                </w:tcPr>
                <w:p w14:paraId="7C9F46CC">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生活垃圾集中收集后，</w:t>
                  </w:r>
                  <w:r>
                    <w:rPr>
                      <w:rFonts w:hint="eastAsia" w:cs="Times New Roman"/>
                      <w:color w:val="000000"/>
                      <w:sz w:val="21"/>
                      <w:szCs w:val="21"/>
                      <w:highlight w:val="none"/>
                      <w:vertAlign w:val="baseline"/>
                      <w:lang w:val="en-US" w:eastAsia="zh-CN"/>
                    </w:rPr>
                    <w:t>委托环卫部门统一</w:t>
                  </w:r>
                  <w:r>
                    <w:rPr>
                      <w:rFonts w:hint="default" w:ascii="Times New Roman" w:hAnsi="Times New Roman" w:eastAsia="宋体" w:cs="Times New Roman"/>
                      <w:color w:val="000000"/>
                      <w:sz w:val="21"/>
                      <w:szCs w:val="21"/>
                      <w:highlight w:val="none"/>
                      <w:vertAlign w:val="baseline"/>
                      <w:lang w:val="en-US" w:eastAsia="zh-CN"/>
                    </w:rPr>
                    <w:t>定期清运</w:t>
                  </w:r>
                </w:p>
              </w:tc>
              <w:tc>
                <w:tcPr>
                  <w:tcW w:w="1067" w:type="dxa"/>
                  <w:tcBorders>
                    <w:tl2br w:val="nil"/>
                    <w:tr2bl w:val="nil"/>
                  </w:tcBorders>
                  <w:noWrap w:val="0"/>
                  <w:vAlign w:val="center"/>
                </w:tcPr>
                <w:p w14:paraId="1D87C158">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5</w:t>
                  </w:r>
                </w:p>
              </w:tc>
            </w:tr>
            <w:tr w14:paraId="1FDDD9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5" w:type="dxa"/>
                  <w:vMerge w:val="continue"/>
                  <w:tcBorders>
                    <w:tl2br w:val="nil"/>
                    <w:tr2bl w:val="nil"/>
                  </w:tcBorders>
                  <w:noWrap w:val="0"/>
                  <w:vAlign w:val="center"/>
                </w:tcPr>
                <w:p w14:paraId="5B04AADD">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p>
              </w:tc>
              <w:tc>
                <w:tcPr>
                  <w:tcW w:w="803" w:type="dxa"/>
                  <w:tcBorders>
                    <w:tl2br w:val="nil"/>
                    <w:tr2bl w:val="nil"/>
                  </w:tcBorders>
                  <w:noWrap w:val="0"/>
                  <w:vAlign w:val="center"/>
                </w:tcPr>
                <w:p w14:paraId="59DD0031">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废水</w:t>
                  </w:r>
                </w:p>
              </w:tc>
              <w:tc>
                <w:tcPr>
                  <w:tcW w:w="5206" w:type="dxa"/>
                  <w:tcBorders>
                    <w:tl2br w:val="nil"/>
                    <w:tr2bl w:val="nil"/>
                  </w:tcBorders>
                  <w:noWrap w:val="0"/>
                  <w:vAlign w:val="center"/>
                </w:tcPr>
                <w:p w14:paraId="212D2E37">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eastAsia" w:ascii="Times New Roman" w:hAnsi="Times New Roman" w:eastAsia="宋体" w:cs="Times New Roman"/>
                      <w:color w:val="000000"/>
                      <w:sz w:val="21"/>
                      <w:szCs w:val="21"/>
                      <w:highlight w:val="none"/>
                      <w:vertAlign w:val="baseline"/>
                      <w:lang w:val="en-US" w:eastAsia="zh-CN"/>
                    </w:rPr>
                    <w:t>隔油池1个、化粪池4座</w:t>
                  </w:r>
                  <w:r>
                    <w:rPr>
                      <w:spacing w:val="2"/>
                      <w:sz w:val="21"/>
                      <w:szCs w:val="21"/>
                    </w:rPr>
                    <w:t>及配套污管网</w:t>
                  </w:r>
                </w:p>
              </w:tc>
              <w:tc>
                <w:tcPr>
                  <w:tcW w:w="1067" w:type="dxa"/>
                  <w:tcBorders>
                    <w:tl2br w:val="nil"/>
                    <w:tr2bl w:val="nil"/>
                  </w:tcBorders>
                  <w:noWrap w:val="0"/>
                  <w:vAlign w:val="center"/>
                </w:tcPr>
                <w:p w14:paraId="0049192C">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10</w:t>
                  </w:r>
                </w:p>
              </w:tc>
            </w:tr>
            <w:tr w14:paraId="708C06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5" w:type="dxa"/>
                  <w:vMerge w:val="continue"/>
                  <w:tcBorders>
                    <w:tl2br w:val="nil"/>
                    <w:tr2bl w:val="nil"/>
                  </w:tcBorders>
                  <w:noWrap w:val="0"/>
                  <w:vAlign w:val="center"/>
                </w:tcPr>
                <w:p w14:paraId="56BFA196">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p>
              </w:tc>
              <w:tc>
                <w:tcPr>
                  <w:tcW w:w="803" w:type="dxa"/>
                  <w:tcBorders>
                    <w:tl2br w:val="nil"/>
                    <w:tr2bl w:val="nil"/>
                  </w:tcBorders>
                  <w:noWrap w:val="0"/>
                  <w:vAlign w:val="center"/>
                </w:tcPr>
                <w:p w14:paraId="21E9CC26">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eastAsia" w:ascii="Times New Roman" w:hAnsi="Times New Roman" w:eastAsia="宋体" w:cs="Times New Roman"/>
                      <w:color w:val="000000"/>
                      <w:sz w:val="21"/>
                      <w:szCs w:val="21"/>
                      <w:highlight w:val="none"/>
                      <w:vertAlign w:val="baseline"/>
                      <w:lang w:val="en-US" w:eastAsia="zh-CN"/>
                    </w:rPr>
                    <w:t>废气</w:t>
                  </w:r>
                </w:p>
              </w:tc>
              <w:tc>
                <w:tcPr>
                  <w:tcW w:w="5206" w:type="dxa"/>
                  <w:tcBorders>
                    <w:tl2br w:val="nil"/>
                    <w:tr2bl w:val="nil"/>
                  </w:tcBorders>
                  <w:noWrap w:val="0"/>
                  <w:vAlign w:val="center"/>
                </w:tcPr>
                <w:p w14:paraId="659D2CED">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spacing w:val="1"/>
                      <w:sz w:val="21"/>
                      <w:szCs w:val="21"/>
                    </w:rPr>
                    <w:t>油烟净化器1套</w:t>
                  </w:r>
                  <w:r>
                    <w:rPr>
                      <w:rFonts w:hint="eastAsia"/>
                      <w:spacing w:val="1"/>
                      <w:sz w:val="21"/>
                      <w:szCs w:val="21"/>
                      <w:lang w:eastAsia="zh-CN"/>
                    </w:rPr>
                    <w:t>（</w:t>
                  </w:r>
                  <w:r>
                    <w:rPr>
                      <w:spacing w:val="1"/>
                      <w:sz w:val="21"/>
                      <w:szCs w:val="21"/>
                    </w:rPr>
                    <w:t>处置效率不低</w:t>
                  </w:r>
                  <w:r>
                    <w:rPr>
                      <w:sz w:val="21"/>
                      <w:szCs w:val="21"/>
                    </w:rPr>
                    <w:t>于</w:t>
                  </w:r>
                  <w:r>
                    <w:rPr>
                      <w:rFonts w:hint="eastAsia"/>
                      <w:sz w:val="21"/>
                      <w:szCs w:val="21"/>
                      <w:highlight w:val="none"/>
                      <w:lang w:val="en-US" w:eastAsia="zh-CN"/>
                    </w:rPr>
                    <w:t>75</w:t>
                  </w:r>
                  <w:r>
                    <w:rPr>
                      <w:sz w:val="21"/>
                      <w:szCs w:val="21"/>
                      <w:highlight w:val="none"/>
                    </w:rPr>
                    <w:t>%</w:t>
                  </w:r>
                  <w:r>
                    <w:rPr>
                      <w:rFonts w:hint="eastAsia"/>
                      <w:sz w:val="21"/>
                      <w:szCs w:val="21"/>
                      <w:highlight w:val="none"/>
                      <w:lang w:eastAsia="zh-CN"/>
                    </w:rPr>
                    <w:t>）</w:t>
                  </w:r>
                  <w:r>
                    <w:rPr>
                      <w:sz w:val="21"/>
                      <w:szCs w:val="21"/>
                    </w:rPr>
                    <w:t>及配套油烟管道</w:t>
                  </w:r>
                </w:p>
              </w:tc>
              <w:tc>
                <w:tcPr>
                  <w:tcW w:w="1067" w:type="dxa"/>
                  <w:tcBorders>
                    <w:tl2br w:val="nil"/>
                    <w:tr2bl w:val="nil"/>
                  </w:tcBorders>
                  <w:noWrap w:val="0"/>
                  <w:vAlign w:val="center"/>
                </w:tcPr>
                <w:p w14:paraId="68757993">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8</w:t>
                  </w:r>
                </w:p>
              </w:tc>
            </w:tr>
            <w:tr w14:paraId="3CA4D6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5" w:type="dxa"/>
                  <w:vMerge w:val="continue"/>
                  <w:tcBorders>
                    <w:tl2br w:val="nil"/>
                    <w:tr2bl w:val="nil"/>
                  </w:tcBorders>
                  <w:noWrap w:val="0"/>
                  <w:vAlign w:val="center"/>
                </w:tcPr>
                <w:p w14:paraId="3533FA33">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p>
              </w:tc>
              <w:tc>
                <w:tcPr>
                  <w:tcW w:w="803" w:type="dxa"/>
                  <w:tcBorders>
                    <w:tl2br w:val="nil"/>
                    <w:tr2bl w:val="nil"/>
                  </w:tcBorders>
                  <w:noWrap w:val="0"/>
                  <w:vAlign w:val="center"/>
                </w:tcPr>
                <w:p w14:paraId="4581DCB9">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噪声</w:t>
                  </w:r>
                </w:p>
              </w:tc>
              <w:tc>
                <w:tcPr>
                  <w:tcW w:w="5206" w:type="dxa"/>
                  <w:tcBorders>
                    <w:tl2br w:val="nil"/>
                    <w:tr2bl w:val="nil"/>
                  </w:tcBorders>
                  <w:noWrap w:val="0"/>
                  <w:vAlign w:val="center"/>
                </w:tcPr>
                <w:p w14:paraId="7EFC59CD">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选用低噪声设备，对各设备采取基础减振、隔声、消声措施，另外通过加强管理、定期维护保养设备；做好制度管理和对游客的疏导，降低社会噪声</w:t>
                  </w:r>
                </w:p>
              </w:tc>
              <w:tc>
                <w:tcPr>
                  <w:tcW w:w="1067" w:type="dxa"/>
                  <w:tcBorders>
                    <w:tl2br w:val="nil"/>
                    <w:tr2bl w:val="nil"/>
                  </w:tcBorders>
                  <w:noWrap w:val="0"/>
                  <w:vAlign w:val="center"/>
                </w:tcPr>
                <w:p w14:paraId="480173E1">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10</w:t>
                  </w:r>
                </w:p>
              </w:tc>
            </w:tr>
            <w:tr w14:paraId="06B44A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5" w:type="dxa"/>
                  <w:vMerge w:val="continue"/>
                  <w:tcBorders>
                    <w:tl2br w:val="nil"/>
                    <w:tr2bl w:val="nil"/>
                  </w:tcBorders>
                  <w:noWrap w:val="0"/>
                  <w:vAlign w:val="center"/>
                </w:tcPr>
                <w:p w14:paraId="4E7271C7">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p>
              </w:tc>
              <w:tc>
                <w:tcPr>
                  <w:tcW w:w="803" w:type="dxa"/>
                  <w:tcBorders>
                    <w:tl2br w:val="nil"/>
                    <w:tr2bl w:val="nil"/>
                  </w:tcBorders>
                  <w:noWrap w:val="0"/>
                  <w:vAlign w:val="center"/>
                </w:tcPr>
                <w:p w14:paraId="5D9930E3">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环境风险</w:t>
                  </w:r>
                </w:p>
              </w:tc>
              <w:tc>
                <w:tcPr>
                  <w:tcW w:w="5206" w:type="dxa"/>
                  <w:tcBorders>
                    <w:tl2br w:val="nil"/>
                    <w:tr2bl w:val="nil"/>
                  </w:tcBorders>
                  <w:noWrap w:val="0"/>
                  <w:vAlign w:val="center"/>
                </w:tcPr>
                <w:p w14:paraId="1C9FA7AC">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配备灭火器、消火栓、报警器等</w:t>
                  </w:r>
                </w:p>
              </w:tc>
              <w:tc>
                <w:tcPr>
                  <w:tcW w:w="1067" w:type="dxa"/>
                  <w:tcBorders>
                    <w:tl2br w:val="nil"/>
                    <w:tr2bl w:val="nil"/>
                  </w:tcBorders>
                  <w:noWrap w:val="0"/>
                  <w:vAlign w:val="center"/>
                </w:tcPr>
                <w:p w14:paraId="5D0302A4">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18</w:t>
                  </w:r>
                </w:p>
              </w:tc>
            </w:tr>
            <w:tr w14:paraId="2A8DEE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5" w:type="dxa"/>
                  <w:vMerge w:val="continue"/>
                  <w:tcBorders>
                    <w:tl2br w:val="nil"/>
                    <w:tr2bl w:val="nil"/>
                  </w:tcBorders>
                  <w:noWrap w:val="0"/>
                  <w:vAlign w:val="center"/>
                </w:tcPr>
                <w:p w14:paraId="16929843">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p>
              </w:tc>
              <w:tc>
                <w:tcPr>
                  <w:tcW w:w="803" w:type="dxa"/>
                  <w:tcBorders>
                    <w:tl2br w:val="nil"/>
                    <w:tr2bl w:val="nil"/>
                  </w:tcBorders>
                  <w:noWrap w:val="0"/>
                  <w:vAlign w:val="center"/>
                </w:tcPr>
                <w:p w14:paraId="60F5F70D">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生态环境</w:t>
                  </w:r>
                </w:p>
              </w:tc>
              <w:tc>
                <w:tcPr>
                  <w:tcW w:w="5206" w:type="dxa"/>
                  <w:tcBorders>
                    <w:tl2br w:val="nil"/>
                    <w:tr2bl w:val="nil"/>
                  </w:tcBorders>
                  <w:noWrap w:val="0"/>
                  <w:vAlign w:val="center"/>
                </w:tcPr>
                <w:p w14:paraId="6C6ABECA">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eastAsia" w:ascii="Times New Roman" w:hAnsi="Times New Roman" w:eastAsia="宋体" w:cs="Times New Roman"/>
                      <w:color w:val="000000"/>
                      <w:sz w:val="21"/>
                      <w:szCs w:val="21"/>
                      <w:highlight w:val="none"/>
                      <w:vertAlign w:val="baseline"/>
                      <w:lang w:val="en-US" w:eastAsia="zh-CN"/>
                    </w:rPr>
                    <w:t>绿化工程</w:t>
                  </w:r>
                </w:p>
              </w:tc>
              <w:tc>
                <w:tcPr>
                  <w:tcW w:w="1067" w:type="dxa"/>
                  <w:tcBorders>
                    <w:tl2br w:val="nil"/>
                    <w:tr2bl w:val="nil"/>
                  </w:tcBorders>
                  <w:noWrap w:val="0"/>
                  <w:vAlign w:val="center"/>
                </w:tcPr>
                <w:p w14:paraId="65D15B24">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50</w:t>
                  </w:r>
                </w:p>
              </w:tc>
            </w:tr>
            <w:tr w14:paraId="595AF7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38" w:type="dxa"/>
                  <w:gridSpan w:val="2"/>
                  <w:tcBorders>
                    <w:tl2br w:val="nil"/>
                    <w:tr2bl w:val="nil"/>
                  </w:tcBorders>
                  <w:noWrap w:val="0"/>
                  <w:vAlign w:val="center"/>
                </w:tcPr>
                <w:p w14:paraId="2BB1426C">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环境管理</w:t>
                  </w:r>
                </w:p>
              </w:tc>
              <w:tc>
                <w:tcPr>
                  <w:tcW w:w="5206" w:type="dxa"/>
                  <w:tcBorders>
                    <w:tl2br w:val="nil"/>
                    <w:tr2bl w:val="nil"/>
                  </w:tcBorders>
                  <w:noWrap w:val="0"/>
                  <w:vAlign w:val="center"/>
                </w:tcPr>
                <w:p w14:paraId="58457A56">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环境管理及竣工验收</w:t>
                  </w:r>
                </w:p>
              </w:tc>
              <w:tc>
                <w:tcPr>
                  <w:tcW w:w="1067" w:type="dxa"/>
                  <w:tcBorders>
                    <w:tl2br w:val="nil"/>
                    <w:tr2bl w:val="nil"/>
                  </w:tcBorders>
                  <w:noWrap w:val="0"/>
                  <w:vAlign w:val="center"/>
                </w:tcPr>
                <w:p w14:paraId="5CE770B9">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10</w:t>
                  </w:r>
                </w:p>
              </w:tc>
            </w:tr>
            <w:tr w14:paraId="4A759D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44" w:type="dxa"/>
                  <w:gridSpan w:val="3"/>
                  <w:tcBorders>
                    <w:tl2br w:val="nil"/>
                    <w:tr2bl w:val="nil"/>
                  </w:tcBorders>
                  <w:noWrap w:val="0"/>
                  <w:vAlign w:val="center"/>
                </w:tcPr>
                <w:p w14:paraId="18522588">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合计</w:t>
                  </w:r>
                </w:p>
              </w:tc>
              <w:tc>
                <w:tcPr>
                  <w:tcW w:w="1067" w:type="dxa"/>
                  <w:tcBorders>
                    <w:tl2br w:val="nil"/>
                    <w:tr2bl w:val="nil"/>
                  </w:tcBorders>
                  <w:noWrap w:val="0"/>
                  <w:vAlign w:val="center"/>
                </w:tcPr>
                <w:p w14:paraId="3B83D244">
                  <w:pPr>
                    <w:pStyle w:val="7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157</w:t>
                  </w:r>
                </w:p>
              </w:tc>
            </w:tr>
          </w:tbl>
          <w:p w14:paraId="25F088C1">
            <w:pPr>
              <w:pStyle w:val="79"/>
              <w:ind w:firstLine="0" w:firstLineChars="0"/>
              <w:jc w:val="center"/>
              <w:rPr>
                <w:rFonts w:hint="default" w:ascii="Times New Roman" w:hAnsi="Times New Roman" w:eastAsia="宋体" w:cs="Times New Roman"/>
                <w:color w:val="000000"/>
                <w:highlight w:val="none"/>
                <w:lang w:val="en-US" w:eastAsia="zh-CN"/>
              </w:rPr>
            </w:pPr>
          </w:p>
          <w:p w14:paraId="6C85014F">
            <w:pPr>
              <w:pStyle w:val="79"/>
              <w:ind w:firstLine="0" w:firstLineChars="0"/>
              <w:jc w:val="center"/>
              <w:rPr>
                <w:rFonts w:hint="default" w:ascii="Times New Roman" w:hAnsi="Times New Roman" w:eastAsia="宋体" w:cs="Times New Roman"/>
                <w:color w:val="000000"/>
                <w:highlight w:val="none"/>
                <w:lang w:val="en-US" w:eastAsia="zh-CN"/>
              </w:rPr>
            </w:pPr>
          </w:p>
          <w:p w14:paraId="3781C65E">
            <w:pPr>
              <w:pStyle w:val="79"/>
              <w:ind w:firstLine="0" w:firstLineChars="0"/>
              <w:jc w:val="center"/>
              <w:rPr>
                <w:rFonts w:hint="default" w:ascii="Times New Roman" w:hAnsi="Times New Roman" w:eastAsia="宋体" w:cs="Times New Roman"/>
                <w:color w:val="000000"/>
                <w:highlight w:val="none"/>
                <w:lang w:val="en-US" w:eastAsia="zh-CN"/>
              </w:rPr>
            </w:pPr>
          </w:p>
          <w:p w14:paraId="113EE0DC">
            <w:pPr>
              <w:pStyle w:val="79"/>
              <w:ind w:firstLine="0" w:firstLineChars="0"/>
              <w:jc w:val="center"/>
              <w:rPr>
                <w:rFonts w:hint="default" w:ascii="Times New Roman" w:hAnsi="Times New Roman" w:eastAsia="宋体" w:cs="Times New Roman"/>
                <w:color w:val="000000"/>
                <w:highlight w:val="none"/>
                <w:lang w:val="en-US" w:eastAsia="zh-CN"/>
              </w:rPr>
            </w:pPr>
          </w:p>
          <w:p w14:paraId="0F843738">
            <w:pPr>
              <w:pStyle w:val="79"/>
              <w:ind w:firstLine="0" w:firstLineChars="0"/>
              <w:jc w:val="center"/>
              <w:rPr>
                <w:rFonts w:hint="default" w:ascii="Times New Roman" w:hAnsi="Times New Roman" w:eastAsia="宋体" w:cs="Times New Roman"/>
                <w:color w:val="000000"/>
                <w:highlight w:val="none"/>
                <w:lang w:val="en-US" w:eastAsia="zh-CN"/>
              </w:rPr>
            </w:pPr>
          </w:p>
          <w:p w14:paraId="1FA39517">
            <w:pPr>
              <w:pStyle w:val="79"/>
              <w:ind w:firstLine="0" w:firstLineChars="0"/>
              <w:jc w:val="center"/>
              <w:rPr>
                <w:rFonts w:hint="default" w:ascii="Times New Roman" w:hAnsi="Times New Roman" w:eastAsia="宋体" w:cs="Times New Roman"/>
                <w:color w:val="000000"/>
                <w:highlight w:val="none"/>
                <w:lang w:val="en-US" w:eastAsia="zh-CN"/>
              </w:rPr>
            </w:pPr>
          </w:p>
          <w:p w14:paraId="7221C10E">
            <w:pPr>
              <w:pStyle w:val="79"/>
              <w:ind w:firstLine="0" w:firstLineChars="0"/>
              <w:jc w:val="center"/>
              <w:rPr>
                <w:rFonts w:hint="default" w:ascii="Times New Roman" w:hAnsi="Times New Roman" w:eastAsia="宋体" w:cs="Times New Roman"/>
                <w:color w:val="000000"/>
                <w:highlight w:val="none"/>
                <w:lang w:val="en-US" w:eastAsia="zh-CN"/>
              </w:rPr>
            </w:pPr>
          </w:p>
          <w:p w14:paraId="0B65F918">
            <w:pPr>
              <w:pStyle w:val="79"/>
              <w:ind w:firstLine="0" w:firstLineChars="0"/>
              <w:jc w:val="center"/>
              <w:rPr>
                <w:rFonts w:hint="default" w:ascii="Times New Roman" w:hAnsi="Times New Roman" w:eastAsia="宋体" w:cs="Times New Roman"/>
                <w:color w:val="000000"/>
                <w:highlight w:val="none"/>
                <w:lang w:val="en-US" w:eastAsia="zh-CN"/>
              </w:rPr>
            </w:pPr>
          </w:p>
          <w:p w14:paraId="1945A058">
            <w:pPr>
              <w:pStyle w:val="79"/>
              <w:ind w:firstLine="0" w:firstLineChars="0"/>
              <w:jc w:val="center"/>
              <w:rPr>
                <w:rFonts w:hint="default" w:ascii="Times New Roman" w:hAnsi="Times New Roman" w:eastAsia="宋体" w:cs="Times New Roman"/>
                <w:color w:val="000000"/>
                <w:highlight w:val="none"/>
                <w:lang w:val="en-US" w:eastAsia="zh-CN"/>
              </w:rPr>
            </w:pPr>
          </w:p>
        </w:tc>
      </w:tr>
    </w:tbl>
    <w:p w14:paraId="4AF46CD5">
      <w:pPr>
        <w:ind w:firstLine="480"/>
        <w:rPr>
          <w:rFonts w:hint="default" w:ascii="Times New Roman" w:hAnsi="Times New Roman" w:eastAsia="宋体" w:cs="Times New Roman"/>
          <w:color w:val="000000"/>
          <w:highlight w:val="none"/>
        </w:rPr>
        <w:sectPr>
          <w:pgSz w:w="11907" w:h="16840"/>
          <w:pgMar w:top="1440" w:right="1797" w:bottom="1440" w:left="1797" w:header="851" w:footer="1077" w:gutter="0"/>
          <w:pgBorders>
            <w:top w:val="none" w:sz="0" w:space="0"/>
            <w:left w:val="none" w:sz="0" w:space="0"/>
            <w:bottom w:val="none" w:sz="0" w:space="0"/>
            <w:right w:val="none" w:sz="0" w:space="0"/>
          </w:pgBorders>
          <w:pgNumType w:fmt="decimal"/>
          <w:cols w:space="720" w:num="1"/>
          <w:docGrid w:linePitch="312" w:charSpace="0"/>
        </w:sectPr>
      </w:pPr>
    </w:p>
    <w:p w14:paraId="2E2CFE03">
      <w:pPr>
        <w:pStyle w:val="28"/>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outlineLvl w:val="0"/>
        <w:rPr>
          <w:rFonts w:hint="default" w:ascii="Times New Roman" w:hAnsi="Times New Roman" w:eastAsia="宋体" w:cs="Times New Roman"/>
          <w:snapToGrid w:val="0"/>
          <w:color w:val="000000"/>
          <w:sz w:val="30"/>
          <w:szCs w:val="30"/>
          <w:highlight w:val="none"/>
        </w:rPr>
      </w:pPr>
      <w:bookmarkStart w:id="31" w:name="_Toc18695"/>
      <w:bookmarkStart w:id="32" w:name="_Toc15034"/>
      <w:bookmarkStart w:id="33" w:name="_Toc8793"/>
      <w:bookmarkStart w:id="34" w:name="_Toc24283"/>
      <w:r>
        <w:rPr>
          <w:rFonts w:hint="default" w:ascii="Times New Roman" w:hAnsi="Times New Roman" w:eastAsia="宋体" w:cs="Times New Roman"/>
          <w:snapToGrid w:val="0"/>
          <w:color w:val="000000"/>
          <w:sz w:val="30"/>
          <w:szCs w:val="30"/>
          <w:highlight w:val="none"/>
        </w:rPr>
        <w:t>六、生态环境保护措施监督检查清单</w:t>
      </w:r>
      <w:bookmarkEnd w:id="31"/>
      <w:bookmarkEnd w:id="32"/>
      <w:bookmarkEnd w:id="33"/>
      <w:bookmarkEnd w:id="34"/>
    </w:p>
    <w:tbl>
      <w:tblPr>
        <w:tblStyle w:val="32"/>
        <w:tblW w:w="85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947"/>
        <w:gridCol w:w="1947"/>
        <w:gridCol w:w="1947"/>
        <w:gridCol w:w="1947"/>
      </w:tblGrid>
      <w:tr w14:paraId="1C2095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34" w:type="dxa"/>
            <w:vMerge w:val="restart"/>
            <w:tcBorders>
              <w:tl2br w:val="single" w:color="auto" w:sz="4" w:space="0"/>
            </w:tcBorders>
            <w:noWrap w:val="0"/>
            <w:vAlign w:val="center"/>
          </w:tcPr>
          <w:p w14:paraId="178E0418">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内容</w:t>
            </w:r>
          </w:p>
          <w:p w14:paraId="753BFB36">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kern w:val="2"/>
                <w:sz w:val="24"/>
                <w:szCs w:val="24"/>
                <w:highlight w:val="none"/>
              </w:rPr>
            </w:pPr>
          </w:p>
          <w:p w14:paraId="01FA1A2E">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要素</w:t>
            </w:r>
          </w:p>
        </w:tc>
        <w:tc>
          <w:tcPr>
            <w:tcW w:w="3894" w:type="dxa"/>
            <w:gridSpan w:val="2"/>
            <w:noWrap w:val="0"/>
            <w:vAlign w:val="center"/>
          </w:tcPr>
          <w:p w14:paraId="431C53EB">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施工期</w:t>
            </w:r>
          </w:p>
        </w:tc>
        <w:tc>
          <w:tcPr>
            <w:tcW w:w="3894" w:type="dxa"/>
            <w:gridSpan w:val="2"/>
            <w:noWrap w:val="0"/>
            <w:vAlign w:val="center"/>
          </w:tcPr>
          <w:p w14:paraId="706CA7F7">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运营期</w:t>
            </w:r>
          </w:p>
        </w:tc>
      </w:tr>
      <w:tr w14:paraId="295ECA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34" w:type="dxa"/>
            <w:vMerge w:val="continue"/>
            <w:noWrap w:val="0"/>
            <w:vAlign w:val="center"/>
          </w:tcPr>
          <w:p w14:paraId="1866172C">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p>
        </w:tc>
        <w:tc>
          <w:tcPr>
            <w:tcW w:w="1947" w:type="dxa"/>
            <w:noWrap w:val="0"/>
            <w:vAlign w:val="center"/>
          </w:tcPr>
          <w:p w14:paraId="2AC5C29F">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kern w:val="2"/>
                <w:sz w:val="24"/>
                <w:szCs w:val="24"/>
                <w:highlight w:val="none"/>
              </w:rPr>
            </w:pPr>
            <w:r>
              <w:rPr>
                <w:rFonts w:hint="default" w:ascii="Times New Roman" w:hAnsi="Times New Roman" w:eastAsia="宋体" w:cs="Times New Roman"/>
                <w:b w:val="0"/>
                <w:bCs w:val="0"/>
                <w:color w:val="000000"/>
                <w:kern w:val="2"/>
                <w:sz w:val="24"/>
                <w:szCs w:val="24"/>
                <w:highlight w:val="none"/>
              </w:rPr>
              <w:t>环境保护措施</w:t>
            </w:r>
          </w:p>
        </w:tc>
        <w:tc>
          <w:tcPr>
            <w:tcW w:w="1947" w:type="dxa"/>
            <w:noWrap w:val="0"/>
            <w:vAlign w:val="center"/>
          </w:tcPr>
          <w:p w14:paraId="7D2744A5">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kern w:val="2"/>
                <w:sz w:val="24"/>
                <w:szCs w:val="24"/>
                <w:highlight w:val="none"/>
              </w:rPr>
            </w:pPr>
            <w:r>
              <w:rPr>
                <w:rFonts w:hint="default" w:ascii="Times New Roman" w:hAnsi="Times New Roman" w:eastAsia="宋体" w:cs="Times New Roman"/>
                <w:b w:val="0"/>
                <w:bCs w:val="0"/>
                <w:color w:val="000000"/>
                <w:kern w:val="2"/>
                <w:sz w:val="24"/>
                <w:szCs w:val="24"/>
                <w:highlight w:val="none"/>
              </w:rPr>
              <w:t>验收要求</w:t>
            </w:r>
          </w:p>
        </w:tc>
        <w:tc>
          <w:tcPr>
            <w:tcW w:w="1947" w:type="dxa"/>
            <w:noWrap w:val="0"/>
            <w:vAlign w:val="center"/>
          </w:tcPr>
          <w:p w14:paraId="69EAD860">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kern w:val="2"/>
                <w:sz w:val="24"/>
                <w:szCs w:val="24"/>
                <w:highlight w:val="none"/>
              </w:rPr>
            </w:pPr>
            <w:r>
              <w:rPr>
                <w:rFonts w:hint="default" w:ascii="Times New Roman" w:hAnsi="Times New Roman" w:eastAsia="宋体" w:cs="Times New Roman"/>
                <w:b w:val="0"/>
                <w:bCs w:val="0"/>
                <w:color w:val="000000"/>
                <w:kern w:val="2"/>
                <w:sz w:val="24"/>
                <w:szCs w:val="24"/>
                <w:highlight w:val="none"/>
              </w:rPr>
              <w:t>环境保护措施</w:t>
            </w:r>
          </w:p>
        </w:tc>
        <w:tc>
          <w:tcPr>
            <w:tcW w:w="1947" w:type="dxa"/>
            <w:noWrap w:val="0"/>
            <w:vAlign w:val="center"/>
          </w:tcPr>
          <w:p w14:paraId="60639BFD">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kern w:val="2"/>
                <w:sz w:val="24"/>
                <w:szCs w:val="24"/>
                <w:highlight w:val="none"/>
              </w:rPr>
            </w:pPr>
            <w:r>
              <w:rPr>
                <w:rFonts w:hint="default" w:ascii="Times New Roman" w:hAnsi="Times New Roman" w:eastAsia="宋体" w:cs="Times New Roman"/>
                <w:b w:val="0"/>
                <w:bCs w:val="0"/>
                <w:color w:val="000000"/>
                <w:kern w:val="2"/>
                <w:sz w:val="24"/>
                <w:szCs w:val="24"/>
                <w:highlight w:val="none"/>
              </w:rPr>
              <w:t>验收要求</w:t>
            </w:r>
          </w:p>
        </w:tc>
      </w:tr>
      <w:tr w14:paraId="1F7BFF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4" w:type="dxa"/>
            <w:noWrap w:val="0"/>
            <w:vAlign w:val="center"/>
          </w:tcPr>
          <w:p w14:paraId="1F69A433">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陆生生态</w:t>
            </w:r>
          </w:p>
        </w:tc>
        <w:tc>
          <w:tcPr>
            <w:tcW w:w="1947" w:type="dxa"/>
            <w:noWrap w:val="0"/>
            <w:vAlign w:val="center"/>
          </w:tcPr>
          <w:p w14:paraId="69CB0310">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1"/>
                <w:sz w:val="24"/>
                <w:szCs w:val="24"/>
              </w:rPr>
              <w:t>减少疏松地面的裸露</w:t>
            </w:r>
            <w:r>
              <w:rPr>
                <w:rFonts w:hint="default" w:ascii="Times New Roman" w:hAnsi="Times New Roman" w:cs="Times New Roman"/>
                <w:b w:val="0"/>
                <w:bCs w:val="0"/>
                <w:spacing w:val="-9"/>
                <w:sz w:val="24"/>
                <w:szCs w:val="24"/>
              </w:rPr>
              <w:t>时间；裸露区域采取遮</w:t>
            </w:r>
            <w:r>
              <w:rPr>
                <w:rFonts w:hint="default" w:ascii="Times New Roman" w:hAnsi="Times New Roman" w:cs="Times New Roman"/>
                <w:b w:val="0"/>
                <w:bCs w:val="0"/>
                <w:spacing w:val="1"/>
                <w:sz w:val="24"/>
                <w:szCs w:val="24"/>
              </w:rPr>
              <w:t>盖措施或及时进行覆</w:t>
            </w:r>
            <w:r>
              <w:rPr>
                <w:rFonts w:hint="default" w:ascii="Times New Roman" w:hAnsi="Times New Roman" w:cs="Times New Roman"/>
                <w:b w:val="0"/>
                <w:bCs w:val="0"/>
                <w:spacing w:val="-9"/>
                <w:sz w:val="24"/>
                <w:szCs w:val="24"/>
              </w:rPr>
              <w:t>土和绿化；</w:t>
            </w:r>
            <w:r>
              <w:rPr>
                <w:rFonts w:hint="default" w:ascii="Times New Roman" w:hAnsi="Times New Roman" w:cs="Times New Roman"/>
                <w:b w:val="0"/>
                <w:bCs w:val="0"/>
                <w:spacing w:val="-1"/>
                <w:sz w:val="24"/>
                <w:szCs w:val="24"/>
              </w:rPr>
              <w:t>施工结束后及时清理</w:t>
            </w:r>
          </w:p>
          <w:p w14:paraId="0D26384C">
            <w:pPr>
              <w:pStyle w:val="88"/>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cs="Times New Roman"/>
                <w:b w:val="0"/>
                <w:bCs w:val="0"/>
                <w:spacing w:val="-2"/>
                <w:sz w:val="24"/>
                <w:szCs w:val="24"/>
              </w:rPr>
              <w:t>施工场地</w:t>
            </w:r>
          </w:p>
        </w:tc>
        <w:tc>
          <w:tcPr>
            <w:tcW w:w="1947" w:type="dxa"/>
            <w:noWrap w:val="0"/>
            <w:vAlign w:val="center"/>
          </w:tcPr>
          <w:p w14:paraId="6096F6D4">
            <w:pPr>
              <w:pStyle w:val="88"/>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cs="Times New Roman"/>
                <w:b w:val="0"/>
                <w:bCs w:val="0"/>
                <w:spacing w:val="-10"/>
                <w:sz w:val="24"/>
                <w:szCs w:val="24"/>
              </w:rPr>
              <w:t>裸露区域采取遮</w:t>
            </w:r>
            <w:r>
              <w:rPr>
                <w:rFonts w:hint="default" w:ascii="Times New Roman" w:hAnsi="Times New Roman" w:cs="Times New Roman"/>
                <w:b w:val="0"/>
                <w:bCs w:val="0"/>
                <w:spacing w:val="-11"/>
                <w:sz w:val="24"/>
                <w:szCs w:val="24"/>
              </w:rPr>
              <w:t>盖措施或及时进</w:t>
            </w:r>
            <w:r>
              <w:rPr>
                <w:rFonts w:hint="default" w:ascii="Times New Roman" w:hAnsi="Times New Roman" w:cs="Times New Roman"/>
                <w:b w:val="0"/>
                <w:bCs w:val="0"/>
                <w:spacing w:val="9"/>
                <w:sz w:val="24"/>
                <w:szCs w:val="24"/>
              </w:rPr>
              <w:t>行覆土和绿化；</w:t>
            </w:r>
            <w:r>
              <w:rPr>
                <w:rFonts w:hint="default" w:ascii="Times New Roman" w:hAnsi="Times New Roman" w:cs="Times New Roman"/>
                <w:b w:val="0"/>
                <w:bCs w:val="0"/>
                <w:spacing w:val="2"/>
                <w:sz w:val="24"/>
                <w:szCs w:val="24"/>
              </w:rPr>
              <w:t>施工结束后</w:t>
            </w:r>
            <w:r>
              <w:rPr>
                <w:rFonts w:hint="default" w:ascii="Times New Roman" w:hAnsi="Times New Roman" w:cs="Times New Roman"/>
                <w:b w:val="0"/>
                <w:bCs w:val="0"/>
                <w:spacing w:val="1"/>
                <w:sz w:val="24"/>
                <w:szCs w:val="24"/>
              </w:rPr>
              <w:t>及时清理施工场</w:t>
            </w:r>
            <w:r>
              <w:rPr>
                <w:rFonts w:hint="default" w:ascii="Times New Roman" w:hAnsi="Times New Roman" w:cs="Times New Roman"/>
                <w:b w:val="0"/>
                <w:bCs w:val="0"/>
                <w:spacing w:val="-1"/>
                <w:sz w:val="24"/>
                <w:szCs w:val="24"/>
              </w:rPr>
              <w:t>地。</w:t>
            </w:r>
          </w:p>
        </w:tc>
        <w:tc>
          <w:tcPr>
            <w:tcW w:w="1947" w:type="dxa"/>
            <w:noWrap w:val="0"/>
            <w:vAlign w:val="center"/>
          </w:tcPr>
          <w:p w14:paraId="7885634A">
            <w:pPr>
              <w:pStyle w:val="88"/>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cs="Times New Roman"/>
                <w:b w:val="0"/>
                <w:bCs w:val="0"/>
                <w:spacing w:val="-3"/>
                <w:sz w:val="24"/>
                <w:szCs w:val="24"/>
              </w:rPr>
              <w:t>景观绿化</w:t>
            </w:r>
          </w:p>
        </w:tc>
        <w:tc>
          <w:tcPr>
            <w:tcW w:w="1947" w:type="dxa"/>
            <w:noWrap w:val="0"/>
            <w:vAlign w:val="center"/>
          </w:tcPr>
          <w:p w14:paraId="760E4DDE">
            <w:pPr>
              <w:pStyle w:val="88"/>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cs="Times New Roman"/>
                <w:b w:val="0"/>
                <w:bCs w:val="0"/>
                <w:spacing w:val="-3"/>
                <w:sz w:val="24"/>
                <w:szCs w:val="24"/>
              </w:rPr>
              <w:t>景观绿化</w:t>
            </w:r>
          </w:p>
        </w:tc>
      </w:tr>
      <w:tr w14:paraId="0AEC7B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34" w:type="dxa"/>
            <w:noWrap w:val="0"/>
            <w:vAlign w:val="center"/>
          </w:tcPr>
          <w:p w14:paraId="23030D7E">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水生生态</w:t>
            </w:r>
          </w:p>
        </w:tc>
        <w:tc>
          <w:tcPr>
            <w:tcW w:w="1947" w:type="dxa"/>
            <w:noWrap w:val="0"/>
            <w:vAlign w:val="center"/>
          </w:tcPr>
          <w:p w14:paraId="30F89244">
            <w:pPr>
              <w:pStyle w:val="88"/>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cs="Times New Roman"/>
                <w:b w:val="0"/>
                <w:bCs w:val="0"/>
                <w:spacing w:val="-1"/>
                <w:sz w:val="24"/>
                <w:szCs w:val="24"/>
                <w:lang w:val="en-US" w:eastAsia="zh-CN"/>
              </w:rPr>
              <w:t>/</w:t>
            </w:r>
          </w:p>
        </w:tc>
        <w:tc>
          <w:tcPr>
            <w:tcW w:w="1947" w:type="dxa"/>
            <w:noWrap w:val="0"/>
            <w:vAlign w:val="center"/>
          </w:tcPr>
          <w:p w14:paraId="279311D2">
            <w:pPr>
              <w:pStyle w:val="88"/>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cs="Times New Roman"/>
                <w:b w:val="0"/>
                <w:bCs w:val="0"/>
                <w:sz w:val="24"/>
                <w:szCs w:val="24"/>
              </w:rPr>
              <w:t>/</w:t>
            </w:r>
          </w:p>
        </w:tc>
        <w:tc>
          <w:tcPr>
            <w:tcW w:w="1947" w:type="dxa"/>
            <w:noWrap w:val="0"/>
            <w:vAlign w:val="center"/>
          </w:tcPr>
          <w:p w14:paraId="31DDF43D">
            <w:pPr>
              <w:pStyle w:val="88"/>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cs="Times New Roman"/>
                <w:b w:val="0"/>
                <w:bCs w:val="0"/>
                <w:sz w:val="24"/>
                <w:szCs w:val="24"/>
              </w:rPr>
              <w:t>/</w:t>
            </w:r>
          </w:p>
        </w:tc>
        <w:tc>
          <w:tcPr>
            <w:tcW w:w="1947" w:type="dxa"/>
            <w:noWrap w:val="0"/>
            <w:vAlign w:val="center"/>
          </w:tcPr>
          <w:p w14:paraId="0E8D1135">
            <w:pPr>
              <w:pStyle w:val="88"/>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cs="Times New Roman"/>
                <w:b w:val="0"/>
                <w:bCs w:val="0"/>
                <w:sz w:val="24"/>
                <w:szCs w:val="24"/>
              </w:rPr>
              <w:t>/</w:t>
            </w:r>
          </w:p>
        </w:tc>
      </w:tr>
      <w:tr w14:paraId="49F4B7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34" w:type="dxa"/>
            <w:vMerge w:val="restart"/>
            <w:noWrap w:val="0"/>
            <w:vAlign w:val="center"/>
          </w:tcPr>
          <w:p w14:paraId="788C4A75">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地表水环境</w:t>
            </w:r>
          </w:p>
        </w:tc>
        <w:tc>
          <w:tcPr>
            <w:tcW w:w="1947" w:type="dxa"/>
            <w:noWrap w:val="0"/>
            <w:vAlign w:val="center"/>
          </w:tcPr>
          <w:p w14:paraId="6C98D8AA">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cs="Times New Roman"/>
                <w:b w:val="0"/>
                <w:bCs w:val="0"/>
                <w:spacing w:val="-1"/>
                <w:sz w:val="24"/>
                <w:szCs w:val="24"/>
              </w:rPr>
              <w:t>施工废水排入沉淀池</w:t>
            </w:r>
            <w:r>
              <w:rPr>
                <w:rFonts w:hint="default" w:ascii="Times New Roman" w:hAnsi="Times New Roman" w:cs="Times New Roman"/>
                <w:b w:val="0"/>
                <w:bCs w:val="0"/>
                <w:spacing w:val="8"/>
                <w:sz w:val="24"/>
                <w:szCs w:val="24"/>
              </w:rPr>
              <w:t>进行沉淀处理后回用于施工用水、</w:t>
            </w:r>
            <w:r>
              <w:rPr>
                <w:rFonts w:hint="default" w:ascii="Times New Roman" w:hAnsi="Times New Roman" w:cs="Times New Roman"/>
                <w:b w:val="0"/>
                <w:bCs w:val="0"/>
                <w:spacing w:val="-1"/>
                <w:sz w:val="24"/>
                <w:szCs w:val="24"/>
              </w:rPr>
              <w:t>轮胎清洗水和场区降</w:t>
            </w:r>
            <w:r>
              <w:rPr>
                <w:rFonts w:hint="default" w:ascii="Times New Roman" w:hAnsi="Times New Roman" w:cs="Times New Roman"/>
                <w:b w:val="0"/>
                <w:bCs w:val="0"/>
                <w:spacing w:val="1"/>
                <w:sz w:val="24"/>
                <w:szCs w:val="24"/>
              </w:rPr>
              <w:t>尘等，车轮冲洗废水</w:t>
            </w:r>
            <w:r>
              <w:rPr>
                <w:rFonts w:hint="default" w:ascii="Times New Roman" w:hAnsi="Times New Roman" w:cs="Times New Roman"/>
                <w:b w:val="0"/>
                <w:bCs w:val="0"/>
                <w:spacing w:val="10"/>
                <w:sz w:val="24"/>
                <w:szCs w:val="24"/>
              </w:rPr>
              <w:t>经沉淀池处理</w:t>
            </w:r>
            <w:r>
              <w:rPr>
                <w:rFonts w:hint="default" w:ascii="Times New Roman" w:hAnsi="Times New Roman" w:cs="Times New Roman"/>
                <w:b w:val="0"/>
                <w:bCs w:val="0"/>
                <w:spacing w:val="8"/>
                <w:sz w:val="24"/>
                <w:szCs w:val="24"/>
              </w:rPr>
              <w:t>后回用</w:t>
            </w:r>
          </w:p>
        </w:tc>
        <w:tc>
          <w:tcPr>
            <w:tcW w:w="1947" w:type="dxa"/>
            <w:noWrap w:val="0"/>
            <w:vAlign w:val="center"/>
          </w:tcPr>
          <w:p w14:paraId="2212A716">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cs="Times New Roman"/>
                <w:b w:val="0"/>
                <w:bCs w:val="0"/>
                <w:spacing w:val="2"/>
                <w:sz w:val="24"/>
                <w:szCs w:val="24"/>
              </w:rPr>
              <w:t>不外排</w:t>
            </w:r>
          </w:p>
        </w:tc>
        <w:tc>
          <w:tcPr>
            <w:tcW w:w="1947" w:type="dxa"/>
            <w:vMerge w:val="restart"/>
            <w:noWrap w:val="0"/>
            <w:vAlign w:val="center"/>
          </w:tcPr>
          <w:p w14:paraId="76F4CE82">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pacing w:val="-1"/>
                <w:sz w:val="24"/>
                <w:szCs w:val="24"/>
              </w:rPr>
              <w:t>食堂废水通过隔油池</w:t>
            </w:r>
            <w:r>
              <w:rPr>
                <w:rFonts w:hint="default" w:ascii="Times New Roman" w:hAnsi="Times New Roman" w:cs="Times New Roman"/>
                <w:b w:val="0"/>
                <w:bCs w:val="0"/>
                <w:spacing w:val="-2"/>
                <w:sz w:val="24"/>
                <w:szCs w:val="24"/>
              </w:rPr>
              <w:t>预处理后</w:t>
            </w:r>
            <w:r>
              <w:rPr>
                <w:rFonts w:hint="eastAsia" w:ascii="Times New Roman" w:hAnsi="Times New Roman" w:cs="Times New Roman"/>
                <w:b w:val="0"/>
                <w:bCs w:val="0"/>
                <w:spacing w:val="-2"/>
                <w:sz w:val="24"/>
                <w:szCs w:val="24"/>
                <w:lang w:val="en-US" w:eastAsia="zh-CN"/>
              </w:rPr>
              <w:t>排入乡村会客厅处的化粪池，生活污水经化粪池处理后由吸污车</w:t>
            </w:r>
            <w:r>
              <w:rPr>
                <w:rFonts w:hint="eastAsia" w:ascii="Times New Roman" w:hAnsi="Times New Roman" w:eastAsia="宋体" w:cs="Times New Roman"/>
                <w:b w:val="0"/>
                <w:bCs w:val="0"/>
                <w:spacing w:val="-1"/>
                <w:sz w:val="24"/>
                <w:szCs w:val="24"/>
                <w:lang w:val="en-US" w:eastAsia="zh-CN"/>
              </w:rPr>
              <w:t>定期抽出运送至阜康市污水处理厂处理</w:t>
            </w:r>
          </w:p>
          <w:p w14:paraId="1E4BB714">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p>
        </w:tc>
        <w:tc>
          <w:tcPr>
            <w:tcW w:w="1947" w:type="dxa"/>
            <w:vMerge w:val="restart"/>
            <w:noWrap w:val="0"/>
            <w:vAlign w:val="center"/>
          </w:tcPr>
          <w:p w14:paraId="14DB76D0">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ascii="Times New Roman" w:hAnsi="Times New Roman" w:eastAsia="宋体" w:cs="Times New Roman"/>
                <w:b w:val="0"/>
                <w:bCs w:val="0"/>
                <w:color w:val="000000"/>
                <w:sz w:val="24"/>
                <w:szCs w:val="24"/>
                <w:highlight w:val="none"/>
                <w:vertAlign w:val="baseline"/>
                <w:lang w:val="en-US" w:eastAsia="zh-CN"/>
              </w:rPr>
              <w:t>不外排</w:t>
            </w:r>
          </w:p>
        </w:tc>
      </w:tr>
      <w:tr w14:paraId="0DF661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34" w:type="dxa"/>
            <w:vMerge w:val="continue"/>
            <w:noWrap w:val="0"/>
            <w:vAlign w:val="center"/>
          </w:tcPr>
          <w:p w14:paraId="127BF189">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4"/>
                <w:szCs w:val="24"/>
              </w:rPr>
            </w:pPr>
          </w:p>
        </w:tc>
        <w:tc>
          <w:tcPr>
            <w:tcW w:w="1947" w:type="dxa"/>
            <w:noWrap w:val="0"/>
            <w:vAlign w:val="center"/>
          </w:tcPr>
          <w:p w14:paraId="4073CC7F">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ascii="Times New Roman" w:hAnsi="Times New Roman" w:eastAsia="宋体" w:cs="Times New Roman"/>
                <w:b w:val="0"/>
                <w:bCs w:val="0"/>
                <w:spacing w:val="-1"/>
                <w:sz w:val="24"/>
                <w:szCs w:val="24"/>
                <w:lang w:val="en-US" w:eastAsia="zh-CN"/>
              </w:rPr>
              <w:t>生活污水排入移动式化粪池处理后，</w:t>
            </w:r>
            <w:r>
              <w:rPr>
                <w:rFonts w:hint="eastAsia" w:ascii="Times New Roman" w:hAnsi="Times New Roman" w:cs="Times New Roman"/>
                <w:b w:val="0"/>
                <w:bCs w:val="0"/>
                <w:spacing w:val="-2"/>
                <w:sz w:val="24"/>
                <w:szCs w:val="24"/>
                <w:lang w:val="en-US" w:eastAsia="zh-CN"/>
              </w:rPr>
              <w:t>由吸污车</w:t>
            </w:r>
            <w:r>
              <w:rPr>
                <w:rFonts w:hint="eastAsia" w:ascii="Times New Roman" w:hAnsi="Times New Roman" w:eastAsia="宋体" w:cs="Times New Roman"/>
                <w:b w:val="0"/>
                <w:bCs w:val="0"/>
                <w:spacing w:val="-1"/>
                <w:sz w:val="24"/>
                <w:szCs w:val="24"/>
                <w:lang w:val="en-US" w:eastAsia="zh-CN"/>
              </w:rPr>
              <w:t>定期抽出运送至阜康市污水处理厂处理</w:t>
            </w:r>
          </w:p>
        </w:tc>
        <w:tc>
          <w:tcPr>
            <w:tcW w:w="1947" w:type="dxa"/>
            <w:noWrap w:val="0"/>
            <w:vAlign w:val="center"/>
          </w:tcPr>
          <w:p w14:paraId="709EE211">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cs="Times New Roman"/>
                <w:b w:val="0"/>
                <w:bCs w:val="0"/>
                <w:spacing w:val="2"/>
                <w:sz w:val="24"/>
                <w:szCs w:val="24"/>
              </w:rPr>
              <w:t>不外排</w:t>
            </w:r>
          </w:p>
        </w:tc>
        <w:tc>
          <w:tcPr>
            <w:tcW w:w="1947" w:type="dxa"/>
            <w:vMerge w:val="continue"/>
            <w:noWrap w:val="0"/>
            <w:vAlign w:val="center"/>
          </w:tcPr>
          <w:p w14:paraId="1E2EFF17">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p>
        </w:tc>
        <w:tc>
          <w:tcPr>
            <w:tcW w:w="1947" w:type="dxa"/>
            <w:vMerge w:val="continue"/>
            <w:noWrap w:val="0"/>
            <w:vAlign w:val="center"/>
          </w:tcPr>
          <w:p w14:paraId="2B0E75B1">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p>
        </w:tc>
      </w:tr>
      <w:tr w14:paraId="3651E5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34" w:type="dxa"/>
            <w:noWrap w:val="0"/>
            <w:vAlign w:val="center"/>
          </w:tcPr>
          <w:p w14:paraId="3BAE52DB">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地下水及土壤环境</w:t>
            </w:r>
          </w:p>
        </w:tc>
        <w:tc>
          <w:tcPr>
            <w:tcW w:w="1947" w:type="dxa"/>
            <w:noWrap w:val="0"/>
            <w:vAlign w:val="center"/>
          </w:tcPr>
          <w:p w14:paraId="7E5A929B">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cs="Times New Roman"/>
                <w:b w:val="0"/>
                <w:bCs w:val="0"/>
                <w:spacing w:val="-14"/>
                <w:sz w:val="24"/>
                <w:szCs w:val="24"/>
              </w:rPr>
              <w:t>加强管理，分段施工，</w:t>
            </w:r>
            <w:r>
              <w:rPr>
                <w:rFonts w:hint="default" w:ascii="Times New Roman" w:hAnsi="Times New Roman" w:cs="Times New Roman"/>
                <w:b w:val="0"/>
                <w:bCs w:val="0"/>
                <w:spacing w:val="-4"/>
                <w:sz w:val="24"/>
                <w:szCs w:val="24"/>
              </w:rPr>
              <w:t>弃土优先回填</w:t>
            </w:r>
          </w:p>
        </w:tc>
        <w:tc>
          <w:tcPr>
            <w:tcW w:w="1947" w:type="dxa"/>
            <w:noWrap w:val="0"/>
            <w:vAlign w:val="center"/>
          </w:tcPr>
          <w:p w14:paraId="2FC0CCB6">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pacing w:val="4"/>
                <w:kern w:val="24"/>
                <w:sz w:val="24"/>
                <w:szCs w:val="24"/>
                <w:highlight w:val="none"/>
                <w:vertAlign w:val="baseline"/>
                <w:lang w:val="en-US" w:eastAsia="zh-CN" w:bidi="ar-SA"/>
              </w:rPr>
            </w:pPr>
            <w:r>
              <w:rPr>
                <w:rFonts w:hint="eastAsia" w:ascii="Times New Roman" w:hAnsi="Times New Roman" w:eastAsia="宋体" w:cs="Times New Roman"/>
                <w:b w:val="0"/>
                <w:bCs w:val="0"/>
                <w:color w:val="000000"/>
                <w:spacing w:val="4"/>
                <w:kern w:val="24"/>
                <w:sz w:val="24"/>
                <w:szCs w:val="24"/>
                <w:highlight w:val="none"/>
                <w:vertAlign w:val="baseline"/>
                <w:lang w:val="en-US" w:eastAsia="zh-CN" w:bidi="ar-SA"/>
              </w:rPr>
              <w:t>/</w:t>
            </w:r>
          </w:p>
        </w:tc>
        <w:tc>
          <w:tcPr>
            <w:tcW w:w="1947" w:type="dxa"/>
            <w:noWrap w:val="0"/>
            <w:vAlign w:val="center"/>
          </w:tcPr>
          <w:p w14:paraId="5DB07B83">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pacing w:val="4"/>
                <w:kern w:val="24"/>
                <w:sz w:val="24"/>
                <w:szCs w:val="24"/>
                <w:highlight w:val="none"/>
                <w:vertAlign w:val="baseline"/>
                <w:lang w:val="en-US" w:eastAsia="zh-CN" w:bidi="ar-SA"/>
              </w:rPr>
            </w:pPr>
            <w:r>
              <w:rPr>
                <w:rFonts w:hint="eastAsia" w:ascii="Times New Roman" w:hAnsi="Times New Roman" w:eastAsia="宋体" w:cs="Times New Roman"/>
                <w:b w:val="0"/>
                <w:bCs w:val="0"/>
                <w:color w:val="000000"/>
                <w:spacing w:val="4"/>
                <w:kern w:val="24"/>
                <w:sz w:val="24"/>
                <w:szCs w:val="24"/>
                <w:highlight w:val="none"/>
                <w:vertAlign w:val="baseline"/>
                <w:lang w:val="en-US" w:eastAsia="zh-CN" w:bidi="ar-SA"/>
              </w:rPr>
              <w:t>/</w:t>
            </w:r>
          </w:p>
        </w:tc>
        <w:tc>
          <w:tcPr>
            <w:tcW w:w="1947" w:type="dxa"/>
            <w:noWrap w:val="0"/>
            <w:vAlign w:val="center"/>
          </w:tcPr>
          <w:p w14:paraId="2B3561C2">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ascii="Times New Roman" w:hAnsi="Times New Roman" w:eastAsia="宋体" w:cs="Times New Roman"/>
                <w:b w:val="0"/>
                <w:bCs w:val="0"/>
                <w:color w:val="000000"/>
                <w:sz w:val="24"/>
                <w:szCs w:val="24"/>
                <w:highlight w:val="none"/>
                <w:vertAlign w:val="baseline"/>
                <w:lang w:val="en-US" w:eastAsia="zh-CN"/>
              </w:rPr>
              <w:t>/</w:t>
            </w:r>
          </w:p>
        </w:tc>
      </w:tr>
      <w:tr w14:paraId="1DAEA4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4" w:type="dxa"/>
            <w:noWrap w:val="0"/>
            <w:vAlign w:val="center"/>
          </w:tcPr>
          <w:p w14:paraId="13AC19AF">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声环境</w:t>
            </w:r>
          </w:p>
        </w:tc>
        <w:tc>
          <w:tcPr>
            <w:tcW w:w="1947" w:type="dxa"/>
            <w:noWrap w:val="0"/>
            <w:vAlign w:val="center"/>
          </w:tcPr>
          <w:p w14:paraId="6AF42076">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cs="Times New Roman"/>
                <w:b w:val="0"/>
                <w:bCs w:val="0"/>
                <w:spacing w:val="-9"/>
                <w:sz w:val="24"/>
                <w:szCs w:val="24"/>
                <w:lang w:eastAsia="zh-CN"/>
              </w:rPr>
              <w:t>减振</w:t>
            </w:r>
            <w:r>
              <w:rPr>
                <w:rFonts w:hint="default" w:ascii="Times New Roman" w:hAnsi="Times New Roman" w:cs="Times New Roman"/>
                <w:b w:val="0"/>
                <w:bCs w:val="0"/>
                <w:spacing w:val="-9"/>
                <w:sz w:val="24"/>
                <w:szCs w:val="24"/>
              </w:rPr>
              <w:t>垫、消声器、施工</w:t>
            </w:r>
            <w:r>
              <w:rPr>
                <w:rFonts w:hint="default" w:ascii="Times New Roman" w:hAnsi="Times New Roman" w:cs="Times New Roman"/>
                <w:b w:val="0"/>
                <w:bCs w:val="0"/>
                <w:spacing w:val="-2"/>
                <w:sz w:val="24"/>
                <w:szCs w:val="24"/>
              </w:rPr>
              <w:t>器械定期保养</w:t>
            </w:r>
          </w:p>
        </w:tc>
        <w:tc>
          <w:tcPr>
            <w:tcW w:w="1947" w:type="dxa"/>
            <w:noWrap w:val="0"/>
            <w:vAlign w:val="center"/>
          </w:tcPr>
          <w:p w14:paraId="6187B433">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1"/>
                <w:sz w:val="24"/>
                <w:szCs w:val="24"/>
              </w:rPr>
              <w:t>满足《建筑施工</w:t>
            </w:r>
            <w:r>
              <w:rPr>
                <w:rFonts w:hint="default" w:ascii="Times New Roman" w:hAnsi="Times New Roman" w:cs="Times New Roman"/>
                <w:b w:val="0"/>
                <w:bCs w:val="0"/>
                <w:spacing w:val="-1"/>
                <w:sz w:val="24"/>
                <w:szCs w:val="24"/>
              </w:rPr>
              <w:t>噪声排</w:t>
            </w:r>
            <w:r>
              <w:rPr>
                <w:rFonts w:hint="default" w:ascii="Times New Roman" w:hAnsi="Times New Roman" w:cs="Times New Roman"/>
                <w:b w:val="0"/>
                <w:bCs w:val="0"/>
                <w:spacing w:val="-4"/>
                <w:sz w:val="24"/>
                <w:szCs w:val="24"/>
              </w:rPr>
              <w:t>放标准》</w:t>
            </w:r>
          </w:p>
          <w:p w14:paraId="4878D897">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cs="Times New Roman"/>
                <w:b w:val="0"/>
                <w:bCs w:val="0"/>
                <w:spacing w:val="-4"/>
                <w:sz w:val="24"/>
                <w:szCs w:val="24"/>
              </w:rPr>
              <w:t>(GB12523-20</w:t>
            </w:r>
            <w:r>
              <w:rPr>
                <w:rFonts w:hint="default" w:ascii="Times New Roman" w:hAnsi="Times New Roman" w:cs="Times New Roman"/>
                <w:b w:val="0"/>
                <w:bCs w:val="0"/>
                <w:spacing w:val="-4"/>
                <w:sz w:val="24"/>
                <w:szCs w:val="24"/>
                <w:lang w:val="en-US" w:eastAsia="zh-CN"/>
              </w:rPr>
              <w:t>25</w:t>
            </w:r>
            <w:r>
              <w:rPr>
                <w:rFonts w:hint="default" w:ascii="Times New Roman" w:hAnsi="Times New Roman" w:cs="Times New Roman"/>
                <w:b w:val="0"/>
                <w:bCs w:val="0"/>
                <w:sz w:val="24"/>
                <w:szCs w:val="24"/>
              </w:rPr>
              <w:t>)</w:t>
            </w:r>
          </w:p>
        </w:tc>
        <w:tc>
          <w:tcPr>
            <w:tcW w:w="1947" w:type="dxa"/>
            <w:noWrap w:val="0"/>
            <w:vAlign w:val="center"/>
          </w:tcPr>
          <w:p w14:paraId="0969A14F">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eastAsia="宋体" w:cs="Times New Roman"/>
                <w:b w:val="0"/>
                <w:bCs w:val="0"/>
                <w:color w:val="000000"/>
                <w:spacing w:val="4"/>
                <w:kern w:val="24"/>
                <w:sz w:val="24"/>
                <w:szCs w:val="24"/>
                <w:highlight w:val="none"/>
                <w:vertAlign w:val="baseline"/>
                <w:lang w:val="en-US" w:eastAsia="zh-CN" w:bidi="ar-SA"/>
              </w:rPr>
            </w:pPr>
            <w:r>
              <w:rPr>
                <w:rFonts w:hint="default" w:ascii="Times New Roman" w:hAnsi="Times New Roman" w:cs="Times New Roman"/>
                <w:b w:val="0"/>
                <w:bCs w:val="0"/>
                <w:spacing w:val="0"/>
                <w:sz w:val="24"/>
                <w:szCs w:val="24"/>
              </w:rPr>
              <w:t>选用低噪声设备，定期维护，保持良好运行状态，加强管理，加强绿化，限制车速等</w:t>
            </w:r>
          </w:p>
        </w:tc>
        <w:tc>
          <w:tcPr>
            <w:tcW w:w="1947" w:type="dxa"/>
            <w:noWrap w:val="0"/>
            <w:vAlign w:val="center"/>
          </w:tcPr>
          <w:p w14:paraId="614A15A2">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pacing w:val="4"/>
                <w:kern w:val="24"/>
                <w:sz w:val="24"/>
                <w:szCs w:val="24"/>
                <w:highlight w:val="none"/>
                <w:vertAlign w:val="baseline"/>
                <w:lang w:val="en-US" w:eastAsia="zh-CN" w:bidi="ar-SA"/>
              </w:rPr>
            </w:pPr>
            <w:r>
              <w:rPr>
                <w:rFonts w:hint="default" w:ascii="Times New Roman" w:hAnsi="Times New Roman" w:eastAsia="宋体" w:cs="Times New Roman"/>
                <w:b w:val="0"/>
                <w:bCs w:val="0"/>
                <w:color w:val="000000"/>
                <w:sz w:val="24"/>
                <w:szCs w:val="24"/>
              </w:rPr>
              <w:t>《</w:t>
            </w:r>
            <w:r>
              <w:rPr>
                <w:rFonts w:hint="default" w:ascii="Times New Roman" w:hAnsi="Times New Roman" w:eastAsia="宋体" w:cs="Times New Roman"/>
                <w:b w:val="0"/>
                <w:bCs w:val="0"/>
                <w:color w:val="000000"/>
                <w:sz w:val="24"/>
                <w:szCs w:val="24"/>
                <w:lang w:val="en-US" w:eastAsia="zh-CN"/>
              </w:rPr>
              <w:t>社会生活</w:t>
            </w:r>
            <w:r>
              <w:rPr>
                <w:rFonts w:hint="default" w:ascii="Times New Roman" w:hAnsi="Times New Roman" w:eastAsia="宋体" w:cs="Times New Roman"/>
                <w:b w:val="0"/>
                <w:bCs w:val="0"/>
                <w:color w:val="000000"/>
                <w:sz w:val="24"/>
                <w:szCs w:val="24"/>
              </w:rPr>
              <w:t>环境噪声排放标准》（</w:t>
            </w:r>
            <w:r>
              <w:rPr>
                <w:rFonts w:hint="default" w:ascii="Times New Roman" w:hAnsi="Times New Roman" w:eastAsia="宋体" w:cs="Times New Roman"/>
                <w:b w:val="0"/>
                <w:bCs w:val="0"/>
                <w:spacing w:val="-2"/>
                <w:sz w:val="24"/>
                <w:szCs w:val="24"/>
              </w:rPr>
              <w:t>GB223</w:t>
            </w:r>
            <w:r>
              <w:rPr>
                <w:rFonts w:hint="default" w:ascii="Times New Roman" w:hAnsi="Times New Roman" w:eastAsia="宋体" w:cs="Times New Roman"/>
                <w:b w:val="0"/>
                <w:bCs w:val="0"/>
                <w:spacing w:val="-3"/>
                <w:sz w:val="24"/>
                <w:szCs w:val="24"/>
              </w:rPr>
              <w:t>37-2008</w:t>
            </w:r>
            <w:r>
              <w:rPr>
                <w:rFonts w:hint="default" w:ascii="Times New Roman" w:hAnsi="Times New Roman" w:eastAsia="宋体" w:cs="Times New Roman"/>
                <w:b w:val="0"/>
                <w:bCs w:val="0"/>
                <w:color w:val="000000"/>
                <w:sz w:val="24"/>
                <w:szCs w:val="24"/>
              </w:rPr>
              <w:t>）</w:t>
            </w:r>
            <w:r>
              <w:rPr>
                <w:rFonts w:hint="default" w:ascii="Times New Roman" w:hAnsi="Times New Roman" w:eastAsia="宋体" w:cs="Times New Roman"/>
                <w:b w:val="0"/>
                <w:bCs w:val="0"/>
                <w:color w:val="000000"/>
                <w:sz w:val="24"/>
                <w:szCs w:val="24"/>
                <w:lang w:val="en-US" w:eastAsia="zh-CN"/>
              </w:rPr>
              <w:t>1</w:t>
            </w:r>
            <w:r>
              <w:rPr>
                <w:rFonts w:hint="default" w:ascii="Times New Roman" w:hAnsi="Times New Roman" w:eastAsia="宋体" w:cs="Times New Roman"/>
                <w:b w:val="0"/>
                <w:bCs w:val="0"/>
                <w:color w:val="000000"/>
                <w:sz w:val="24"/>
                <w:szCs w:val="24"/>
              </w:rPr>
              <w:t>类标准</w:t>
            </w:r>
          </w:p>
        </w:tc>
      </w:tr>
      <w:tr w14:paraId="46131A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734" w:type="dxa"/>
            <w:noWrap w:val="0"/>
            <w:vAlign w:val="center"/>
          </w:tcPr>
          <w:p w14:paraId="017B42BE">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振动</w:t>
            </w:r>
          </w:p>
        </w:tc>
        <w:tc>
          <w:tcPr>
            <w:tcW w:w="1947" w:type="dxa"/>
            <w:noWrap w:val="0"/>
            <w:vAlign w:val="center"/>
          </w:tcPr>
          <w:p w14:paraId="292CEF1A">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ascii="Times New Roman" w:hAnsi="Times New Roman" w:eastAsia="宋体" w:cs="Times New Roman"/>
                <w:b w:val="0"/>
                <w:bCs w:val="0"/>
                <w:color w:val="000000"/>
                <w:sz w:val="24"/>
                <w:szCs w:val="24"/>
                <w:highlight w:val="none"/>
                <w:vertAlign w:val="baseline"/>
                <w:lang w:val="en-US" w:eastAsia="zh-CN"/>
              </w:rPr>
              <w:t>/</w:t>
            </w:r>
          </w:p>
        </w:tc>
        <w:tc>
          <w:tcPr>
            <w:tcW w:w="1947" w:type="dxa"/>
            <w:noWrap w:val="0"/>
            <w:vAlign w:val="center"/>
          </w:tcPr>
          <w:p w14:paraId="571B4837">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ascii="Times New Roman" w:hAnsi="Times New Roman" w:eastAsia="宋体" w:cs="Times New Roman"/>
                <w:b w:val="0"/>
                <w:bCs w:val="0"/>
                <w:color w:val="000000"/>
                <w:sz w:val="24"/>
                <w:szCs w:val="24"/>
                <w:highlight w:val="none"/>
                <w:vertAlign w:val="baseline"/>
                <w:lang w:val="en-US" w:eastAsia="zh-CN"/>
              </w:rPr>
              <w:t>/</w:t>
            </w:r>
          </w:p>
        </w:tc>
        <w:tc>
          <w:tcPr>
            <w:tcW w:w="1947" w:type="dxa"/>
            <w:noWrap w:val="0"/>
            <w:vAlign w:val="center"/>
          </w:tcPr>
          <w:p w14:paraId="62501B27">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ascii="Times New Roman" w:hAnsi="Times New Roman" w:eastAsia="宋体" w:cs="Times New Roman"/>
                <w:b w:val="0"/>
                <w:bCs w:val="0"/>
                <w:color w:val="000000"/>
                <w:sz w:val="24"/>
                <w:szCs w:val="24"/>
                <w:highlight w:val="none"/>
                <w:vertAlign w:val="baseline"/>
                <w:lang w:val="en-US" w:eastAsia="zh-CN"/>
              </w:rPr>
              <w:t>/</w:t>
            </w:r>
          </w:p>
        </w:tc>
        <w:tc>
          <w:tcPr>
            <w:tcW w:w="1947" w:type="dxa"/>
            <w:noWrap w:val="0"/>
            <w:vAlign w:val="center"/>
          </w:tcPr>
          <w:p w14:paraId="5779CD33">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ascii="Times New Roman" w:hAnsi="Times New Roman" w:eastAsia="宋体" w:cs="Times New Roman"/>
                <w:b w:val="0"/>
                <w:bCs w:val="0"/>
                <w:color w:val="000000"/>
                <w:sz w:val="24"/>
                <w:szCs w:val="24"/>
                <w:highlight w:val="none"/>
                <w:vertAlign w:val="baseline"/>
                <w:lang w:val="en-US" w:eastAsia="zh-CN"/>
              </w:rPr>
              <w:t>/</w:t>
            </w:r>
          </w:p>
        </w:tc>
      </w:tr>
      <w:tr w14:paraId="6BB1ED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34" w:type="dxa"/>
            <w:vMerge w:val="restart"/>
            <w:noWrap w:val="0"/>
            <w:vAlign w:val="center"/>
          </w:tcPr>
          <w:p w14:paraId="67AAE116">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大气环境</w:t>
            </w:r>
          </w:p>
        </w:tc>
        <w:tc>
          <w:tcPr>
            <w:tcW w:w="1947" w:type="dxa"/>
            <w:vMerge w:val="restart"/>
            <w:noWrap w:val="0"/>
            <w:vAlign w:val="center"/>
          </w:tcPr>
          <w:p w14:paraId="2C66E1B6">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cs="Times New Roman"/>
                <w:b w:val="0"/>
                <w:bCs w:val="0"/>
                <w:spacing w:val="-1"/>
                <w:sz w:val="24"/>
                <w:szCs w:val="24"/>
              </w:rPr>
              <w:t>围挡封闭施工；对施</w:t>
            </w:r>
            <w:r>
              <w:rPr>
                <w:rFonts w:hint="default" w:ascii="Times New Roman" w:hAnsi="Times New Roman" w:cs="Times New Roman"/>
                <w:b w:val="0"/>
                <w:bCs w:val="0"/>
                <w:spacing w:val="1"/>
                <w:sz w:val="24"/>
                <w:szCs w:val="24"/>
              </w:rPr>
              <w:t>工场地内松散、干涸的表土、施工便道等应定期进行清扫和洒水，安装喷淋头、保持道路表面清洁和湿润；原辅材料、土壤运输车辆采取密闭措施</w:t>
            </w:r>
          </w:p>
        </w:tc>
        <w:tc>
          <w:tcPr>
            <w:tcW w:w="1947" w:type="dxa"/>
            <w:vMerge w:val="restart"/>
            <w:noWrap w:val="0"/>
            <w:vAlign w:val="center"/>
          </w:tcPr>
          <w:p w14:paraId="7DC7DA7A">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cs="Times New Roman"/>
                <w:b w:val="0"/>
                <w:bCs w:val="0"/>
                <w:spacing w:val="-2"/>
                <w:sz w:val="24"/>
                <w:szCs w:val="24"/>
              </w:rPr>
              <w:t>达到大气污染</w:t>
            </w:r>
            <w:r>
              <w:rPr>
                <w:rFonts w:hint="default" w:ascii="Times New Roman" w:hAnsi="Times New Roman" w:cs="Times New Roman"/>
                <w:b w:val="0"/>
                <w:bCs w:val="0"/>
                <w:spacing w:val="1"/>
                <w:sz w:val="24"/>
                <w:szCs w:val="24"/>
              </w:rPr>
              <w:t xml:space="preserve"> </w:t>
            </w:r>
            <w:r>
              <w:rPr>
                <w:rFonts w:hint="default" w:ascii="Times New Roman" w:hAnsi="Times New Roman" w:cs="Times New Roman"/>
                <w:b w:val="0"/>
                <w:bCs w:val="0"/>
                <w:spacing w:val="-3"/>
                <w:sz w:val="24"/>
                <w:szCs w:val="24"/>
              </w:rPr>
              <w:t>综合排放标准》</w:t>
            </w:r>
            <w:r>
              <w:rPr>
                <w:rFonts w:hint="eastAsia" w:cs="Times New Roman"/>
                <w:b w:val="0"/>
                <w:bCs w:val="0"/>
                <w:spacing w:val="-3"/>
                <w:sz w:val="24"/>
                <w:szCs w:val="24"/>
                <w:lang w:eastAsia="zh-CN"/>
              </w:rPr>
              <w:t>（</w:t>
            </w:r>
            <w:r>
              <w:rPr>
                <w:rFonts w:hint="default" w:ascii="Times New Roman" w:hAnsi="Times New Roman" w:cs="Times New Roman"/>
                <w:b w:val="0"/>
                <w:bCs w:val="0"/>
                <w:sz w:val="24"/>
                <w:szCs w:val="24"/>
              </w:rPr>
              <w:t>GB1629-1996</w:t>
            </w:r>
            <w:r>
              <w:rPr>
                <w:rFonts w:hint="eastAsia" w:cs="Times New Roman"/>
                <w:b w:val="0"/>
                <w:bCs w:val="0"/>
                <w:sz w:val="24"/>
                <w:szCs w:val="24"/>
                <w:lang w:eastAsia="zh-CN"/>
              </w:rPr>
              <w:t>）</w:t>
            </w:r>
            <w:r>
              <w:rPr>
                <w:rFonts w:hint="default" w:ascii="Times New Roman" w:hAnsi="Times New Roman" w:cs="Times New Roman"/>
                <w:b w:val="0"/>
                <w:bCs w:val="0"/>
                <w:spacing w:val="8"/>
                <w:sz w:val="24"/>
                <w:szCs w:val="24"/>
              </w:rPr>
              <w:t>表2中无组织</w:t>
            </w:r>
          </w:p>
        </w:tc>
        <w:tc>
          <w:tcPr>
            <w:tcW w:w="1947" w:type="dxa"/>
            <w:noWrap w:val="0"/>
            <w:vAlign w:val="center"/>
          </w:tcPr>
          <w:p w14:paraId="594F3295">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1"/>
                <w:sz w:val="24"/>
                <w:szCs w:val="24"/>
              </w:rPr>
              <w:t>食堂油烟：油烟净化</w:t>
            </w:r>
            <w:r>
              <w:rPr>
                <w:rFonts w:hint="default" w:ascii="Times New Roman" w:hAnsi="Times New Roman" w:cs="Times New Roman"/>
                <w:b w:val="0"/>
                <w:bCs w:val="0"/>
                <w:spacing w:val="4"/>
                <w:sz w:val="24"/>
                <w:szCs w:val="24"/>
              </w:rPr>
              <w:t>器处理后由排气管引</w:t>
            </w:r>
          </w:p>
          <w:p w14:paraId="2F1648FA">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cs="Times New Roman"/>
                <w:b w:val="0"/>
                <w:bCs w:val="0"/>
                <w:spacing w:val="-2"/>
                <w:sz w:val="24"/>
                <w:szCs w:val="24"/>
              </w:rPr>
              <w:t>至楼顶排放</w:t>
            </w:r>
          </w:p>
        </w:tc>
        <w:tc>
          <w:tcPr>
            <w:tcW w:w="1947" w:type="dxa"/>
            <w:noWrap w:val="0"/>
            <w:vAlign w:val="center"/>
          </w:tcPr>
          <w:p w14:paraId="0F5B85C1">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eastAsia" w:ascii="Times New Roman" w:hAnsi="Times New Roman" w:cs="Times New Roman"/>
                <w:b w:val="0"/>
                <w:bCs w:val="0"/>
                <w:sz w:val="24"/>
                <w:szCs w:val="24"/>
                <w:lang w:eastAsia="zh-CN"/>
              </w:rPr>
            </w:pPr>
            <w:r>
              <w:rPr>
                <w:rFonts w:hint="eastAsia" w:ascii="Times New Roman" w:hAnsi="Times New Roman" w:cs="Times New Roman"/>
                <w:b w:val="0"/>
                <w:bCs w:val="0"/>
                <w:sz w:val="24"/>
                <w:szCs w:val="24"/>
                <w:lang w:eastAsia="zh-CN"/>
              </w:rPr>
              <w:t>《饮食业油烟排放标准(试行)》(GB18483-</w:t>
            </w:r>
          </w:p>
          <w:p w14:paraId="2CD3C406">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eastAsia" w:ascii="Times New Roman" w:hAnsi="Times New Roman" w:cs="Times New Roman"/>
                <w:b w:val="0"/>
                <w:bCs w:val="0"/>
                <w:sz w:val="24"/>
                <w:szCs w:val="24"/>
                <w:lang w:eastAsia="zh-CN"/>
              </w:rPr>
            </w:pPr>
          </w:p>
          <w:p w14:paraId="6963C08C">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ascii="Times New Roman" w:hAnsi="Times New Roman" w:cs="Times New Roman"/>
                <w:b w:val="0"/>
                <w:bCs w:val="0"/>
                <w:sz w:val="24"/>
                <w:szCs w:val="24"/>
                <w:lang w:eastAsia="zh-CN"/>
              </w:rPr>
              <w:t>2001)</w:t>
            </w:r>
            <w:r>
              <w:rPr>
                <w:rFonts w:hint="default" w:ascii="Times New Roman" w:hAnsi="Times New Roman" w:cs="Times New Roman"/>
                <w:b w:val="0"/>
                <w:bCs w:val="0"/>
                <w:spacing w:val="-3"/>
                <w:sz w:val="24"/>
                <w:szCs w:val="24"/>
              </w:rPr>
              <w:t>要求</w:t>
            </w:r>
          </w:p>
        </w:tc>
      </w:tr>
      <w:tr w14:paraId="3CE9AE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34" w:type="dxa"/>
            <w:vMerge w:val="continue"/>
            <w:noWrap w:val="0"/>
            <w:vAlign w:val="center"/>
          </w:tcPr>
          <w:p w14:paraId="23156EAA">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p>
        </w:tc>
        <w:tc>
          <w:tcPr>
            <w:tcW w:w="1947" w:type="dxa"/>
            <w:vMerge w:val="continue"/>
            <w:noWrap w:val="0"/>
            <w:vAlign w:val="center"/>
          </w:tcPr>
          <w:p w14:paraId="1C29FAD1">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val="0"/>
                <w:bCs w:val="0"/>
                <w:spacing w:val="8"/>
                <w:sz w:val="24"/>
                <w:szCs w:val="24"/>
              </w:rPr>
            </w:pPr>
          </w:p>
        </w:tc>
        <w:tc>
          <w:tcPr>
            <w:tcW w:w="1947" w:type="dxa"/>
            <w:vMerge w:val="continue"/>
            <w:noWrap w:val="0"/>
            <w:vAlign w:val="center"/>
          </w:tcPr>
          <w:p w14:paraId="51B787A8">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val="0"/>
                <w:bCs w:val="0"/>
                <w:spacing w:val="-2"/>
                <w:sz w:val="24"/>
                <w:szCs w:val="24"/>
              </w:rPr>
            </w:pPr>
          </w:p>
        </w:tc>
        <w:tc>
          <w:tcPr>
            <w:tcW w:w="1947" w:type="dxa"/>
            <w:noWrap w:val="0"/>
            <w:vAlign w:val="center"/>
          </w:tcPr>
          <w:p w14:paraId="1FB9AD5F">
            <w:pPr>
              <w:pStyle w:val="88"/>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4"/>
                <w:szCs w:val="24"/>
                <w:lang w:val="en-US" w:eastAsia="en-US" w:bidi="ar-SA"/>
              </w:rPr>
            </w:pPr>
            <w:r>
              <w:rPr>
                <w:rFonts w:hint="default" w:ascii="Times New Roman" w:hAnsi="Times New Roman" w:cs="Times New Roman"/>
                <w:b w:val="0"/>
                <w:bCs w:val="0"/>
                <w:spacing w:val="13"/>
                <w:sz w:val="24"/>
                <w:szCs w:val="24"/>
              </w:rPr>
              <w:t>地面停车场汽</w:t>
            </w:r>
            <w:r>
              <w:rPr>
                <w:rFonts w:hint="default" w:ascii="Times New Roman" w:hAnsi="Times New Roman" w:cs="Times New Roman"/>
                <w:b w:val="0"/>
                <w:bCs w:val="0"/>
                <w:spacing w:val="12"/>
                <w:sz w:val="24"/>
                <w:szCs w:val="24"/>
              </w:rPr>
              <w:t>车尾气：加强</w:t>
            </w:r>
            <w:r>
              <w:rPr>
                <w:rFonts w:hint="default" w:ascii="Times New Roman" w:hAnsi="Times New Roman" w:cs="Times New Roman"/>
                <w:b w:val="0"/>
                <w:bCs w:val="0"/>
                <w:spacing w:val="-2"/>
                <w:sz w:val="24"/>
                <w:szCs w:val="24"/>
              </w:rPr>
              <w:t>管理与绿化。</w:t>
            </w:r>
          </w:p>
        </w:tc>
        <w:tc>
          <w:tcPr>
            <w:tcW w:w="1947" w:type="dxa"/>
            <w:noWrap w:val="0"/>
            <w:vAlign w:val="center"/>
          </w:tcPr>
          <w:p w14:paraId="59E358B9">
            <w:pPr>
              <w:pStyle w:val="88"/>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Times New Roman"/>
                <w:b w:val="0"/>
                <w:bCs w:val="0"/>
                <w:kern w:val="2"/>
                <w:sz w:val="24"/>
                <w:szCs w:val="24"/>
                <w:lang w:val="en-US" w:eastAsia="en-US" w:bidi="ar-SA"/>
              </w:rPr>
            </w:pPr>
            <w:r>
              <w:rPr>
                <w:rFonts w:hint="default" w:ascii="Times New Roman" w:hAnsi="Times New Roman" w:cs="Times New Roman"/>
                <w:b w:val="0"/>
                <w:bCs w:val="0"/>
                <w:spacing w:val="-1"/>
                <w:sz w:val="24"/>
                <w:szCs w:val="24"/>
              </w:rPr>
              <w:t>影响降低到最小</w:t>
            </w:r>
          </w:p>
        </w:tc>
      </w:tr>
      <w:tr w14:paraId="0C87AF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34" w:type="dxa"/>
            <w:vMerge w:val="continue"/>
            <w:noWrap w:val="0"/>
            <w:vAlign w:val="center"/>
          </w:tcPr>
          <w:p w14:paraId="7AE5EFF7">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p>
        </w:tc>
        <w:tc>
          <w:tcPr>
            <w:tcW w:w="1947" w:type="dxa"/>
            <w:vMerge w:val="continue"/>
            <w:noWrap w:val="0"/>
            <w:vAlign w:val="center"/>
          </w:tcPr>
          <w:p w14:paraId="3F43B650">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val="0"/>
                <w:bCs w:val="0"/>
                <w:spacing w:val="8"/>
                <w:sz w:val="24"/>
                <w:szCs w:val="24"/>
              </w:rPr>
            </w:pPr>
          </w:p>
        </w:tc>
        <w:tc>
          <w:tcPr>
            <w:tcW w:w="1947" w:type="dxa"/>
            <w:vMerge w:val="continue"/>
            <w:noWrap w:val="0"/>
            <w:vAlign w:val="center"/>
          </w:tcPr>
          <w:p w14:paraId="42A24728">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val="0"/>
                <w:bCs w:val="0"/>
                <w:spacing w:val="-2"/>
                <w:sz w:val="24"/>
                <w:szCs w:val="24"/>
              </w:rPr>
            </w:pPr>
          </w:p>
        </w:tc>
        <w:tc>
          <w:tcPr>
            <w:tcW w:w="1947" w:type="dxa"/>
            <w:noWrap w:val="0"/>
            <w:vAlign w:val="center"/>
          </w:tcPr>
          <w:p w14:paraId="182508A9">
            <w:pPr>
              <w:pStyle w:val="88"/>
              <w:keepNext w:val="0"/>
              <w:keepLines w:val="0"/>
              <w:pageBreakBefore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4"/>
                <w:szCs w:val="24"/>
                <w:lang w:val="en-US" w:eastAsia="en-US" w:bidi="ar-SA"/>
              </w:rPr>
            </w:pPr>
            <w:r>
              <w:rPr>
                <w:rFonts w:hint="default" w:ascii="Times New Roman" w:hAnsi="Times New Roman" w:cs="Times New Roman"/>
                <w:b w:val="0"/>
                <w:bCs w:val="0"/>
                <w:spacing w:val="7"/>
                <w:sz w:val="24"/>
                <w:szCs w:val="24"/>
              </w:rPr>
              <w:t>垃圾收集点、</w:t>
            </w:r>
            <w:r>
              <w:rPr>
                <w:rFonts w:hint="default" w:ascii="Times New Roman" w:hAnsi="Times New Roman" w:cs="Times New Roman"/>
                <w:b w:val="0"/>
                <w:bCs w:val="0"/>
                <w:spacing w:val="12"/>
                <w:sz w:val="24"/>
                <w:szCs w:val="24"/>
              </w:rPr>
              <w:t>公厕恶臭：加强管理，及时</w:t>
            </w:r>
            <w:r>
              <w:rPr>
                <w:rFonts w:hint="default" w:ascii="Times New Roman" w:hAnsi="Times New Roman" w:cs="Times New Roman"/>
                <w:b w:val="0"/>
                <w:bCs w:val="0"/>
                <w:spacing w:val="-3"/>
                <w:sz w:val="24"/>
                <w:szCs w:val="24"/>
              </w:rPr>
              <w:t>清理，消毒，</w:t>
            </w:r>
            <w:r>
              <w:rPr>
                <w:rFonts w:hint="default" w:ascii="Times New Roman" w:hAnsi="Times New Roman" w:cs="Times New Roman"/>
                <w:b w:val="0"/>
                <w:bCs w:val="0"/>
                <w:spacing w:val="12"/>
                <w:sz w:val="24"/>
                <w:szCs w:val="24"/>
              </w:rPr>
              <w:t>设置绿化带隔离、加强卫生</w:t>
            </w:r>
            <w:r>
              <w:rPr>
                <w:rFonts w:hint="default" w:ascii="Times New Roman" w:hAnsi="Times New Roman" w:cs="Times New Roman"/>
                <w:b w:val="0"/>
                <w:bCs w:val="0"/>
                <w:spacing w:val="-8"/>
                <w:sz w:val="24"/>
                <w:szCs w:val="24"/>
              </w:rPr>
              <w:t>管理。</w:t>
            </w:r>
          </w:p>
        </w:tc>
        <w:tc>
          <w:tcPr>
            <w:tcW w:w="1947" w:type="dxa"/>
            <w:noWrap w:val="0"/>
            <w:vAlign w:val="center"/>
          </w:tcPr>
          <w:p w14:paraId="24CCD6A3">
            <w:pPr>
              <w:pStyle w:val="88"/>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Times New Roman"/>
                <w:b w:val="0"/>
                <w:bCs w:val="0"/>
                <w:kern w:val="2"/>
                <w:sz w:val="24"/>
                <w:szCs w:val="24"/>
                <w:lang w:val="en-US" w:eastAsia="en-US" w:bidi="ar-SA"/>
              </w:rPr>
            </w:pPr>
            <w:r>
              <w:rPr>
                <w:rFonts w:hint="default" w:ascii="Times New Roman" w:hAnsi="Times New Roman" w:cs="Times New Roman"/>
                <w:b w:val="0"/>
                <w:bCs w:val="0"/>
                <w:spacing w:val="-1"/>
                <w:sz w:val="24"/>
                <w:szCs w:val="24"/>
              </w:rPr>
              <w:t>影响降低到最小</w:t>
            </w:r>
          </w:p>
        </w:tc>
      </w:tr>
      <w:tr w14:paraId="22D99F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4" w:type="dxa"/>
            <w:noWrap w:val="0"/>
            <w:vAlign w:val="center"/>
          </w:tcPr>
          <w:p w14:paraId="2BB50C7C">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固体废物</w:t>
            </w:r>
          </w:p>
        </w:tc>
        <w:tc>
          <w:tcPr>
            <w:tcW w:w="1947" w:type="dxa"/>
            <w:noWrap w:val="0"/>
            <w:vAlign w:val="center"/>
          </w:tcPr>
          <w:p w14:paraId="248100C3">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cs="Times New Roman"/>
                <w:b w:val="0"/>
                <w:bCs w:val="0"/>
                <w:spacing w:val="-2"/>
                <w:sz w:val="24"/>
                <w:szCs w:val="24"/>
              </w:rPr>
              <w:t>建筑垃圾，分类收集</w:t>
            </w:r>
            <w:r>
              <w:rPr>
                <w:rFonts w:hint="default" w:ascii="Times New Roman" w:hAnsi="Times New Roman" w:cs="Times New Roman"/>
                <w:b w:val="0"/>
                <w:bCs w:val="0"/>
                <w:spacing w:val="2"/>
                <w:sz w:val="24"/>
                <w:szCs w:val="24"/>
              </w:rPr>
              <w:t>处置；生活垃圾交</w:t>
            </w:r>
            <w:r>
              <w:rPr>
                <w:rFonts w:hint="eastAsia" w:ascii="Times New Roman" w:hAnsi="Times New Roman" w:cs="Times New Roman"/>
                <w:b w:val="0"/>
                <w:bCs w:val="0"/>
                <w:spacing w:val="2"/>
                <w:sz w:val="24"/>
                <w:szCs w:val="24"/>
                <w:lang w:eastAsia="zh-CN"/>
              </w:rPr>
              <w:t>委托环卫部门统一</w:t>
            </w:r>
            <w:r>
              <w:rPr>
                <w:rFonts w:hint="eastAsia" w:ascii="Times New Roman" w:hAnsi="Times New Roman" w:cs="Times New Roman"/>
                <w:b w:val="0"/>
                <w:bCs w:val="0"/>
                <w:spacing w:val="1"/>
                <w:sz w:val="24"/>
                <w:szCs w:val="24"/>
                <w:lang w:val="en-US" w:eastAsia="zh-CN"/>
              </w:rPr>
              <w:t>运送至阜康市垃圾填埋场填埋</w:t>
            </w:r>
          </w:p>
        </w:tc>
        <w:tc>
          <w:tcPr>
            <w:tcW w:w="1947" w:type="dxa"/>
            <w:noWrap w:val="0"/>
            <w:vAlign w:val="center"/>
          </w:tcPr>
          <w:p w14:paraId="5F353F03">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cs="Times New Roman"/>
                <w:b w:val="0"/>
                <w:bCs w:val="0"/>
                <w:spacing w:val="2"/>
                <w:sz w:val="24"/>
                <w:szCs w:val="24"/>
              </w:rPr>
              <w:t>不外排</w:t>
            </w:r>
          </w:p>
        </w:tc>
        <w:tc>
          <w:tcPr>
            <w:tcW w:w="1947" w:type="dxa"/>
            <w:noWrap w:val="0"/>
            <w:vAlign w:val="center"/>
          </w:tcPr>
          <w:p w14:paraId="35D6144D">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cs="Times New Roman"/>
                <w:b w:val="0"/>
                <w:bCs w:val="0"/>
                <w:spacing w:val="1"/>
                <w:sz w:val="24"/>
                <w:szCs w:val="24"/>
              </w:rPr>
              <w:t>生活垃圾</w:t>
            </w:r>
            <w:r>
              <w:rPr>
                <w:rFonts w:hint="eastAsia" w:ascii="Times New Roman" w:hAnsi="Times New Roman" w:cs="Times New Roman"/>
                <w:b w:val="0"/>
                <w:bCs w:val="0"/>
                <w:spacing w:val="1"/>
                <w:sz w:val="24"/>
                <w:szCs w:val="24"/>
                <w:lang w:eastAsia="zh-CN"/>
              </w:rPr>
              <w:t>委托环卫部门统一</w:t>
            </w:r>
            <w:r>
              <w:rPr>
                <w:rFonts w:hint="eastAsia" w:ascii="Times New Roman" w:hAnsi="Times New Roman" w:cs="Times New Roman"/>
                <w:b w:val="0"/>
                <w:bCs w:val="0"/>
                <w:spacing w:val="1"/>
                <w:sz w:val="24"/>
                <w:szCs w:val="24"/>
                <w:lang w:val="en-US" w:eastAsia="zh-CN"/>
              </w:rPr>
              <w:t>运送至阜康市垃圾填埋场填埋</w:t>
            </w:r>
            <w:r>
              <w:rPr>
                <w:rFonts w:hint="default" w:ascii="Times New Roman" w:hAnsi="Times New Roman" w:cs="Times New Roman"/>
                <w:b w:val="0"/>
                <w:bCs w:val="0"/>
                <w:spacing w:val="24"/>
                <w:sz w:val="24"/>
                <w:szCs w:val="24"/>
              </w:rPr>
              <w:t>；</w:t>
            </w:r>
            <w:r>
              <w:rPr>
                <w:rFonts w:hint="default" w:ascii="Times New Roman" w:hAnsi="Times New Roman" w:cs="Times New Roman"/>
                <w:b w:val="0"/>
                <w:bCs w:val="0"/>
                <w:spacing w:val="1"/>
                <w:sz w:val="24"/>
                <w:szCs w:val="24"/>
              </w:rPr>
              <w:t>餐厨垃圾集中收集后</w:t>
            </w:r>
            <w:r>
              <w:rPr>
                <w:rFonts w:hint="default" w:ascii="Times New Roman" w:hAnsi="Times New Roman" w:cs="Times New Roman"/>
                <w:b w:val="0"/>
                <w:bCs w:val="0"/>
                <w:spacing w:val="-4"/>
                <w:sz w:val="24"/>
                <w:szCs w:val="24"/>
              </w:rPr>
              <w:t>交由有资质单位回收</w:t>
            </w:r>
            <w:r>
              <w:rPr>
                <w:rFonts w:hint="default" w:ascii="Times New Roman" w:hAnsi="Times New Roman" w:cs="Times New Roman"/>
                <w:b w:val="0"/>
                <w:bCs w:val="0"/>
                <w:spacing w:val="-6"/>
                <w:sz w:val="24"/>
                <w:szCs w:val="24"/>
              </w:rPr>
              <w:t>处理</w:t>
            </w:r>
          </w:p>
        </w:tc>
        <w:tc>
          <w:tcPr>
            <w:tcW w:w="1947" w:type="dxa"/>
            <w:noWrap w:val="0"/>
            <w:vAlign w:val="center"/>
          </w:tcPr>
          <w:p w14:paraId="665FA0DD">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一般固体废</w:t>
            </w:r>
            <w:r>
              <w:rPr>
                <w:rFonts w:hint="default" w:ascii="Times New Roman" w:hAnsi="Times New Roman" w:cs="Times New Roman"/>
                <w:b w:val="0"/>
                <w:bCs w:val="0"/>
                <w:spacing w:val="4"/>
                <w:sz w:val="24"/>
                <w:szCs w:val="24"/>
              </w:rPr>
              <w:t>物执行《一</w:t>
            </w:r>
            <w:r>
              <w:rPr>
                <w:rFonts w:hint="default" w:ascii="Times New Roman" w:hAnsi="Times New Roman" w:cs="Times New Roman"/>
                <w:b w:val="0"/>
                <w:bCs w:val="0"/>
                <w:spacing w:val="-2"/>
                <w:sz w:val="24"/>
                <w:szCs w:val="24"/>
              </w:rPr>
              <w:t>般工业固体</w:t>
            </w:r>
            <w:r>
              <w:rPr>
                <w:rFonts w:hint="default" w:ascii="Times New Roman" w:hAnsi="Times New Roman" w:cs="Times New Roman"/>
                <w:b w:val="0"/>
                <w:bCs w:val="0"/>
                <w:spacing w:val="3"/>
                <w:sz w:val="24"/>
                <w:szCs w:val="24"/>
              </w:rPr>
              <w:t>废物贮存和</w:t>
            </w:r>
            <w:r>
              <w:rPr>
                <w:rFonts w:hint="default" w:ascii="Times New Roman" w:hAnsi="Times New Roman" w:cs="Times New Roman"/>
                <w:b w:val="0"/>
                <w:bCs w:val="0"/>
                <w:spacing w:val="-2"/>
                <w:sz w:val="24"/>
                <w:szCs w:val="24"/>
              </w:rPr>
              <w:t>填埋污染控</w:t>
            </w:r>
            <w:r>
              <w:rPr>
                <w:rFonts w:hint="default" w:ascii="Times New Roman" w:hAnsi="Times New Roman" w:cs="Times New Roman"/>
                <w:b w:val="0"/>
                <w:bCs w:val="0"/>
                <w:spacing w:val="-4"/>
                <w:sz w:val="24"/>
                <w:szCs w:val="24"/>
              </w:rPr>
              <w:t>制标准》</w:t>
            </w:r>
            <w:r>
              <w:rPr>
                <w:rFonts w:hint="eastAsia" w:ascii="Times New Roman" w:hAnsi="Times New Roman" w:cs="Times New Roman"/>
                <w:b w:val="0"/>
                <w:bCs w:val="0"/>
                <w:spacing w:val="-6"/>
                <w:sz w:val="24"/>
                <w:szCs w:val="24"/>
                <w:lang w:eastAsia="zh-CN"/>
              </w:rPr>
              <w:t>（</w:t>
            </w:r>
            <w:r>
              <w:rPr>
                <w:rFonts w:hint="default" w:ascii="Times New Roman" w:hAnsi="Times New Roman" w:cs="Times New Roman"/>
                <w:b w:val="0"/>
                <w:bCs w:val="0"/>
                <w:color w:val="103030"/>
                <w:spacing w:val="-6"/>
                <w:sz w:val="24"/>
                <w:szCs w:val="24"/>
              </w:rPr>
              <w:t>GB18599-</w:t>
            </w:r>
          </w:p>
          <w:p w14:paraId="1BA44B30">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cs="Times New Roman"/>
                <w:b w:val="0"/>
                <w:bCs w:val="0"/>
                <w:spacing w:val="-2"/>
                <w:sz w:val="24"/>
                <w:szCs w:val="24"/>
              </w:rPr>
              <w:t>2020</w:t>
            </w:r>
            <w:r>
              <w:rPr>
                <w:rFonts w:hint="eastAsia" w:cs="Times New Roman"/>
                <w:b w:val="0"/>
                <w:bCs w:val="0"/>
                <w:spacing w:val="-2"/>
                <w:sz w:val="24"/>
                <w:szCs w:val="24"/>
                <w:lang w:eastAsia="zh-CN"/>
              </w:rPr>
              <w:t>）</w:t>
            </w:r>
          </w:p>
        </w:tc>
      </w:tr>
      <w:tr w14:paraId="7C1B9F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734" w:type="dxa"/>
            <w:noWrap w:val="0"/>
            <w:vAlign w:val="center"/>
          </w:tcPr>
          <w:p w14:paraId="2BBFE3DE">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电磁环境</w:t>
            </w:r>
          </w:p>
        </w:tc>
        <w:tc>
          <w:tcPr>
            <w:tcW w:w="1947" w:type="dxa"/>
            <w:noWrap w:val="0"/>
            <w:vAlign w:val="center"/>
          </w:tcPr>
          <w:p w14:paraId="30E50687">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cs="Times New Roman"/>
                <w:b w:val="0"/>
                <w:bCs w:val="0"/>
                <w:color w:val="000000"/>
                <w:sz w:val="24"/>
                <w:szCs w:val="24"/>
                <w:highlight w:val="none"/>
                <w:vertAlign w:val="baseline"/>
                <w:lang w:val="en-US" w:eastAsia="zh-CN"/>
              </w:rPr>
              <w:t>/</w:t>
            </w:r>
          </w:p>
        </w:tc>
        <w:tc>
          <w:tcPr>
            <w:tcW w:w="1947" w:type="dxa"/>
            <w:noWrap w:val="0"/>
            <w:vAlign w:val="center"/>
          </w:tcPr>
          <w:p w14:paraId="36C91DE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cs="Times New Roman"/>
                <w:b w:val="0"/>
                <w:bCs w:val="0"/>
                <w:color w:val="000000"/>
                <w:sz w:val="24"/>
                <w:szCs w:val="24"/>
                <w:highlight w:val="none"/>
                <w:vertAlign w:val="baseline"/>
                <w:lang w:val="en-US" w:eastAsia="zh-CN"/>
              </w:rPr>
              <w:t>/</w:t>
            </w:r>
          </w:p>
        </w:tc>
        <w:tc>
          <w:tcPr>
            <w:tcW w:w="1947" w:type="dxa"/>
            <w:noWrap w:val="0"/>
            <w:vAlign w:val="center"/>
          </w:tcPr>
          <w:p w14:paraId="30E0C61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cs="Times New Roman"/>
                <w:b w:val="0"/>
                <w:bCs w:val="0"/>
                <w:color w:val="000000"/>
                <w:sz w:val="24"/>
                <w:szCs w:val="24"/>
                <w:highlight w:val="none"/>
                <w:vertAlign w:val="baseline"/>
                <w:lang w:val="en-US" w:eastAsia="zh-CN"/>
              </w:rPr>
              <w:t>/</w:t>
            </w:r>
          </w:p>
        </w:tc>
        <w:tc>
          <w:tcPr>
            <w:tcW w:w="1947" w:type="dxa"/>
            <w:noWrap w:val="0"/>
            <w:vAlign w:val="center"/>
          </w:tcPr>
          <w:p w14:paraId="5BC2AFC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cs="Times New Roman"/>
                <w:b w:val="0"/>
                <w:bCs w:val="0"/>
                <w:color w:val="000000"/>
                <w:sz w:val="24"/>
                <w:szCs w:val="24"/>
                <w:highlight w:val="none"/>
                <w:vertAlign w:val="baseline"/>
                <w:lang w:val="en-US" w:eastAsia="zh-CN"/>
              </w:rPr>
              <w:t>/</w:t>
            </w:r>
          </w:p>
        </w:tc>
      </w:tr>
      <w:tr w14:paraId="2DE050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4" w:type="dxa"/>
            <w:noWrap w:val="0"/>
            <w:vAlign w:val="center"/>
          </w:tcPr>
          <w:p w14:paraId="215BFC68">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环境风险</w:t>
            </w:r>
          </w:p>
        </w:tc>
        <w:tc>
          <w:tcPr>
            <w:tcW w:w="1947" w:type="dxa"/>
            <w:noWrap w:val="0"/>
            <w:vAlign w:val="center"/>
          </w:tcPr>
          <w:p w14:paraId="3009DCE7">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w:t>
            </w:r>
          </w:p>
        </w:tc>
        <w:tc>
          <w:tcPr>
            <w:tcW w:w="1947" w:type="dxa"/>
            <w:noWrap w:val="0"/>
            <w:vAlign w:val="center"/>
          </w:tcPr>
          <w:p w14:paraId="4881D53A">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ascii="Times New Roman" w:hAnsi="Times New Roman" w:eastAsia="宋体" w:cs="Times New Roman"/>
                <w:b w:val="0"/>
                <w:bCs w:val="0"/>
                <w:color w:val="000000"/>
                <w:sz w:val="24"/>
                <w:szCs w:val="24"/>
                <w:highlight w:val="none"/>
                <w:vertAlign w:val="baseline"/>
                <w:lang w:val="en-US" w:eastAsia="zh-CN"/>
              </w:rPr>
              <w:t>/</w:t>
            </w:r>
          </w:p>
        </w:tc>
        <w:tc>
          <w:tcPr>
            <w:tcW w:w="1947" w:type="dxa"/>
            <w:noWrap w:val="0"/>
            <w:vAlign w:val="center"/>
          </w:tcPr>
          <w:p w14:paraId="4D145C89">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消火栓、灭火</w:t>
            </w:r>
          </w:p>
          <w:p w14:paraId="11B86A48">
            <w:pPr>
              <w:pStyle w:val="88"/>
              <w:keepNext w:val="0"/>
              <w:keepLines w:val="0"/>
              <w:pageBreakBefore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1"/>
                <w:sz w:val="24"/>
                <w:szCs w:val="24"/>
              </w:rPr>
              <w:t>器、报警系统</w:t>
            </w:r>
          </w:p>
          <w:p w14:paraId="7195FB0A">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cs="Times New Roman"/>
                <w:b w:val="0"/>
                <w:bCs w:val="0"/>
                <w:sz w:val="24"/>
                <w:szCs w:val="24"/>
              </w:rPr>
              <w:t>等</w:t>
            </w:r>
          </w:p>
        </w:tc>
        <w:tc>
          <w:tcPr>
            <w:tcW w:w="1947" w:type="dxa"/>
            <w:noWrap w:val="0"/>
            <w:vAlign w:val="center"/>
          </w:tcPr>
          <w:p w14:paraId="78E5CFEC">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ascii="Times New Roman" w:hAnsi="Times New Roman" w:eastAsia="宋体" w:cs="Times New Roman"/>
                <w:b w:val="0"/>
                <w:bCs w:val="0"/>
                <w:color w:val="000000"/>
                <w:sz w:val="24"/>
                <w:szCs w:val="24"/>
                <w:highlight w:val="none"/>
                <w:vertAlign w:val="baseline"/>
                <w:lang w:val="en-US" w:eastAsia="zh-CN"/>
              </w:rPr>
              <w:t>/</w:t>
            </w:r>
          </w:p>
        </w:tc>
      </w:tr>
      <w:tr w14:paraId="50D2E0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34" w:type="dxa"/>
            <w:noWrap w:val="0"/>
            <w:vAlign w:val="center"/>
          </w:tcPr>
          <w:p w14:paraId="25985CAA">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环境监测</w:t>
            </w:r>
          </w:p>
        </w:tc>
        <w:tc>
          <w:tcPr>
            <w:tcW w:w="1947" w:type="dxa"/>
            <w:noWrap w:val="0"/>
            <w:vAlign w:val="center"/>
          </w:tcPr>
          <w:p w14:paraId="13B0B8B9">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ascii="Times New Roman" w:hAnsi="Times New Roman" w:eastAsia="宋体" w:cs="Times New Roman"/>
                <w:b w:val="0"/>
                <w:bCs w:val="0"/>
                <w:color w:val="000000"/>
                <w:sz w:val="24"/>
                <w:szCs w:val="24"/>
                <w:highlight w:val="none"/>
                <w:vertAlign w:val="baseline"/>
                <w:lang w:val="en-US" w:eastAsia="zh-CN"/>
              </w:rPr>
              <w:t>/</w:t>
            </w:r>
          </w:p>
        </w:tc>
        <w:tc>
          <w:tcPr>
            <w:tcW w:w="1947" w:type="dxa"/>
            <w:noWrap w:val="0"/>
            <w:vAlign w:val="center"/>
          </w:tcPr>
          <w:p w14:paraId="3B73FBC1">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ascii="Times New Roman" w:hAnsi="Times New Roman" w:eastAsia="宋体" w:cs="Times New Roman"/>
                <w:b w:val="0"/>
                <w:bCs w:val="0"/>
                <w:color w:val="000000"/>
                <w:sz w:val="24"/>
                <w:szCs w:val="24"/>
                <w:highlight w:val="none"/>
                <w:vertAlign w:val="baseline"/>
                <w:lang w:val="en-US" w:eastAsia="zh-CN"/>
              </w:rPr>
              <w:t>/</w:t>
            </w:r>
          </w:p>
        </w:tc>
        <w:tc>
          <w:tcPr>
            <w:tcW w:w="1947" w:type="dxa"/>
            <w:noWrap w:val="0"/>
            <w:vAlign w:val="center"/>
          </w:tcPr>
          <w:p w14:paraId="7A3BA386">
            <w:pPr>
              <w:pStyle w:val="7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eastAsia" w:ascii="Times New Roman" w:hAnsi="Times New Roman" w:eastAsia="宋体" w:cs="Times New Roman"/>
                <w:b w:val="0"/>
                <w:bCs w:val="0"/>
                <w:color w:val="000000"/>
                <w:sz w:val="24"/>
                <w:szCs w:val="24"/>
                <w:highlight w:val="none"/>
                <w:vertAlign w:val="baseline"/>
                <w:lang w:val="en-US" w:eastAsia="zh-CN"/>
              </w:rPr>
              <w:t>/</w:t>
            </w:r>
          </w:p>
        </w:tc>
        <w:tc>
          <w:tcPr>
            <w:tcW w:w="1947" w:type="dxa"/>
            <w:noWrap w:val="0"/>
            <w:vAlign w:val="center"/>
          </w:tcPr>
          <w:p w14:paraId="6DA4E604">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kern w:val="2"/>
                <w:sz w:val="24"/>
                <w:szCs w:val="24"/>
                <w:highlight w:val="none"/>
                <w:lang w:val="en-US" w:eastAsia="zh-CN"/>
              </w:rPr>
            </w:pPr>
            <w:r>
              <w:rPr>
                <w:rFonts w:hint="eastAsia" w:ascii="Times New Roman" w:hAnsi="Times New Roman" w:eastAsia="宋体" w:cs="Times New Roman"/>
                <w:b w:val="0"/>
                <w:bCs w:val="0"/>
                <w:color w:val="000000"/>
                <w:kern w:val="2"/>
                <w:sz w:val="24"/>
                <w:szCs w:val="24"/>
                <w:highlight w:val="none"/>
                <w:lang w:val="en-US" w:eastAsia="zh-CN"/>
              </w:rPr>
              <w:t>/</w:t>
            </w:r>
          </w:p>
        </w:tc>
      </w:tr>
      <w:tr w14:paraId="219C73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34" w:type="dxa"/>
            <w:noWrap w:val="0"/>
            <w:vAlign w:val="center"/>
          </w:tcPr>
          <w:p w14:paraId="6FC14130">
            <w:pPr>
              <w:pStyle w:val="28"/>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其他</w:t>
            </w:r>
          </w:p>
        </w:tc>
        <w:tc>
          <w:tcPr>
            <w:tcW w:w="7788" w:type="dxa"/>
            <w:gridSpan w:val="4"/>
            <w:noWrap w:val="0"/>
            <w:vAlign w:val="center"/>
          </w:tcPr>
          <w:p w14:paraId="7A3E5F73">
            <w:pPr>
              <w:pStyle w:val="79"/>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4"/>
                <w:szCs w:val="24"/>
                <w:highlight w:val="none"/>
                <w:lang w:val="en-US" w:eastAsia="zh-CN"/>
              </w:rPr>
            </w:pPr>
            <w:r>
              <w:rPr>
                <w:rFonts w:hint="default" w:ascii="Times New Roman" w:hAnsi="Times New Roman" w:eastAsia="宋体" w:cs="Times New Roman"/>
                <w:color w:val="000000"/>
                <w:kern w:val="2"/>
                <w:sz w:val="24"/>
                <w:szCs w:val="24"/>
                <w:highlight w:val="none"/>
                <w:lang w:val="en-US" w:eastAsia="zh-CN"/>
              </w:rPr>
              <w:t>/</w:t>
            </w:r>
          </w:p>
        </w:tc>
      </w:tr>
    </w:tbl>
    <w:p w14:paraId="626445E0">
      <w:pPr>
        <w:rPr>
          <w:rFonts w:hint="default" w:ascii="Times New Roman" w:hAnsi="Times New Roman" w:eastAsia="宋体" w:cs="Times New Roman"/>
          <w:snapToGrid w:val="0"/>
          <w:color w:val="000000"/>
          <w:sz w:val="30"/>
          <w:szCs w:val="30"/>
          <w:highlight w:val="none"/>
        </w:rPr>
      </w:pPr>
      <w:bookmarkStart w:id="35" w:name="_Toc2756"/>
      <w:bookmarkStart w:id="36" w:name="_Toc26185"/>
      <w:bookmarkStart w:id="37" w:name="_Toc19417"/>
      <w:bookmarkStart w:id="38" w:name="_Toc25796"/>
      <w:r>
        <w:rPr>
          <w:rFonts w:hint="default" w:ascii="Times New Roman" w:hAnsi="Times New Roman" w:eastAsia="宋体" w:cs="Times New Roman"/>
          <w:snapToGrid w:val="0"/>
          <w:color w:val="000000"/>
          <w:sz w:val="30"/>
          <w:szCs w:val="30"/>
          <w:highlight w:val="none"/>
        </w:rPr>
        <w:br w:type="page"/>
      </w:r>
    </w:p>
    <w:p w14:paraId="06F56D36">
      <w:pPr>
        <w:pStyle w:val="28"/>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outlineLvl w:val="0"/>
        <w:rPr>
          <w:rFonts w:hint="default" w:ascii="Times New Roman" w:hAnsi="Times New Roman" w:eastAsia="宋体" w:cs="Times New Roman"/>
          <w:snapToGrid w:val="0"/>
          <w:color w:val="000000"/>
          <w:sz w:val="30"/>
          <w:szCs w:val="30"/>
          <w:highlight w:val="none"/>
        </w:rPr>
      </w:pPr>
      <w:r>
        <w:rPr>
          <w:rFonts w:hint="default" w:ascii="Times New Roman" w:hAnsi="Times New Roman" w:eastAsia="宋体" w:cs="Times New Roman"/>
          <w:snapToGrid w:val="0"/>
          <w:color w:val="000000"/>
          <w:sz w:val="30"/>
          <w:szCs w:val="30"/>
          <w:highlight w:val="none"/>
        </w:rPr>
        <w:t>七、结论</w:t>
      </w:r>
      <w:bookmarkEnd w:id="35"/>
      <w:bookmarkEnd w:id="36"/>
      <w:bookmarkEnd w:id="37"/>
      <w:bookmarkEnd w:id="38"/>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3C3FB8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9289" w:type="dxa"/>
            <w:noWrap w:val="0"/>
            <w:vAlign w:val="top"/>
          </w:tcPr>
          <w:p w14:paraId="3DE7CE5C">
            <w:pPr>
              <w:keepNext w:val="0"/>
              <w:keepLines w:val="0"/>
              <w:pageBreakBefore w:val="0"/>
              <w:widowControl/>
              <w:suppressLineNumbers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highlight w:val="none"/>
              </w:rPr>
            </w:pPr>
            <w:r>
              <w:rPr>
                <w:sz w:val="24"/>
                <w:szCs w:val="24"/>
              </w:rPr>
              <w:t>本工程实施符合国家产业政策，工程施工期间对周围环境影响较小，且不存在环境制约性因素，项目建成运行后经济效益、环保效益和社会效</w:t>
            </w:r>
            <w:r>
              <w:rPr>
                <w:spacing w:val="-1"/>
                <w:sz w:val="24"/>
                <w:szCs w:val="24"/>
              </w:rPr>
              <w:t>益显著。该项目在施工过程</w:t>
            </w:r>
            <w:r>
              <w:rPr>
                <w:spacing w:val="1"/>
                <w:sz w:val="24"/>
                <w:szCs w:val="24"/>
              </w:rPr>
              <w:t>中产生一定的废水、废气、固体废物和噪声污染，本评</w:t>
            </w:r>
            <w:r>
              <w:rPr>
                <w:sz w:val="24"/>
                <w:szCs w:val="24"/>
              </w:rPr>
              <w:t>价认为，只要全面落实本报告中提出的各项污染治理措施，并重点对污染物进行治理，确保</w:t>
            </w:r>
            <w:r>
              <w:rPr>
                <w:spacing w:val="-1"/>
                <w:sz w:val="24"/>
                <w:szCs w:val="24"/>
              </w:rPr>
              <w:t>污染物达标排放，从环境保</w:t>
            </w:r>
            <w:r>
              <w:rPr>
                <w:sz w:val="24"/>
                <w:szCs w:val="24"/>
              </w:rPr>
              <w:t>护的角度来看该项目的建设是可行的。</w:t>
            </w:r>
          </w:p>
        </w:tc>
      </w:tr>
    </w:tbl>
    <w:p w14:paraId="2C82B1FE">
      <w:pPr>
        <w:rPr>
          <w:rFonts w:hint="default" w:ascii="Times New Roman" w:hAnsi="Times New Roman" w:eastAsia="宋体" w:cs="Times New Roman"/>
          <w:color w:val="000000"/>
        </w:rPr>
      </w:pPr>
      <w:r>
        <w:rPr>
          <w:rFonts w:hint="default" w:ascii="Times New Roman" w:hAnsi="Times New Roman" w:eastAsia="宋体" w:cs="Times New Roman"/>
          <w:color w:val="000000"/>
        </w:rPr>
        <w:br w:type="page"/>
      </w:r>
    </w:p>
    <w:p w14:paraId="244AC06B">
      <w:pPr>
        <w:rPr>
          <w:rFonts w:hint="default" w:ascii="Times New Roman" w:hAnsi="Times New Roman" w:eastAsia="宋体" w:cs="Times New Roman"/>
          <w:color w:val="000000"/>
        </w:rPr>
      </w:pPr>
    </w:p>
    <w:p w14:paraId="00EE3F66">
      <w:pPr>
        <w:rPr>
          <w:rFonts w:hint="default" w:ascii="Times New Roman" w:hAnsi="Times New Roman" w:eastAsia="宋体" w:cs="Times New Roman"/>
          <w:color w:val="000000"/>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3A08041">
      <w:pPr>
        <w:ind w:firstLine="0" w:firstLineChars="0"/>
        <w:rPr>
          <w:rFonts w:hint="eastAsia" w:ascii="Times New Roman" w:hAnsi="Times New Roman" w:eastAsia="宋体" w:cs="Times New Roman"/>
          <w:color w:val="000000"/>
          <w:lang w:val="en-US" w:eastAsia="zh-CN"/>
        </w:rPr>
      </w:pPr>
    </w:p>
    <w:p w14:paraId="4D9F717B">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eastAsia="宋体" w:cs="Times New Roman"/>
          <w:color w:val="000000"/>
          <w:spacing w:val="8"/>
          <w:sz w:val="47"/>
          <w:szCs w:val="47"/>
          <w:lang w:val="en-US" w:eastAsia="zh-CN"/>
        </w:rPr>
      </w:pPr>
      <w:bookmarkStart w:id="39" w:name="_Toc28832"/>
      <w:bookmarkStart w:id="40" w:name="_Toc18052"/>
      <w:bookmarkStart w:id="41" w:name="_Toc25629"/>
    </w:p>
    <w:p w14:paraId="2927742C">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eastAsia="宋体" w:cs="Times New Roman"/>
          <w:color w:val="000000"/>
          <w:spacing w:val="8"/>
          <w:sz w:val="47"/>
          <w:szCs w:val="47"/>
          <w:lang w:val="en-US" w:eastAsia="zh-CN"/>
        </w:rPr>
      </w:pPr>
    </w:p>
    <w:p w14:paraId="04084AB6">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eastAsia="宋体" w:cs="Times New Roman"/>
          <w:color w:val="000000"/>
          <w:spacing w:val="8"/>
          <w:sz w:val="47"/>
          <w:szCs w:val="47"/>
          <w:lang w:val="en-US" w:eastAsia="zh-CN"/>
        </w:rPr>
      </w:pPr>
    </w:p>
    <w:p w14:paraId="4D6CC03D">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outlineLvl w:val="9"/>
        <w:rPr>
          <w:rFonts w:hint="default" w:ascii="Times New Roman" w:hAnsi="Times New Roman" w:eastAsia="宋体" w:cs="Times New Roman"/>
          <w:b/>
          <w:bCs/>
          <w:color w:val="000000"/>
          <w:kern w:val="2"/>
          <w:sz w:val="52"/>
          <w:szCs w:val="52"/>
          <w:highlight w:val="none"/>
          <w:lang w:val="en-US" w:eastAsia="zh-CN" w:bidi="ar"/>
        </w:rPr>
      </w:pPr>
      <w:r>
        <w:rPr>
          <w:rFonts w:hint="eastAsia" w:cs="Times New Roman"/>
          <w:color w:val="000000"/>
          <w:spacing w:val="8"/>
          <w:sz w:val="47"/>
          <w:szCs w:val="47"/>
          <w:lang w:val="en-US" w:eastAsia="zh-CN"/>
        </w:rPr>
        <w:t>新疆天山天池文化旅游投资有限公司实施阜康市花儿沟村整村运营示范项目</w:t>
      </w:r>
      <w:r>
        <w:rPr>
          <w:rFonts w:hint="default" w:ascii="Times New Roman" w:hAnsi="Times New Roman" w:eastAsia="宋体" w:cs="Times New Roman"/>
          <w:color w:val="000000"/>
          <w:spacing w:val="8"/>
          <w:sz w:val="47"/>
          <w:szCs w:val="47"/>
        </w:rPr>
        <w:t>生态环境专项评价</w:t>
      </w:r>
      <w:bookmarkEnd w:id="39"/>
      <w:bookmarkEnd w:id="40"/>
      <w:bookmarkEnd w:id="41"/>
    </w:p>
    <w:p w14:paraId="7C8C1511">
      <w:pPr>
        <w:ind w:left="0" w:leftChars="0" w:firstLine="0" w:firstLineChars="0"/>
        <w:rPr>
          <w:rFonts w:hint="default" w:ascii="Times New Roman" w:hAnsi="Times New Roman" w:eastAsia="宋体" w:cs="Times New Roman"/>
          <w:b/>
          <w:bCs/>
          <w:color w:val="000000"/>
          <w:kern w:val="2"/>
          <w:sz w:val="72"/>
          <w:szCs w:val="72"/>
          <w:highlight w:val="none"/>
          <w:lang w:val="en-US" w:eastAsia="zh-CN" w:bidi="ar"/>
        </w:rPr>
      </w:pPr>
    </w:p>
    <w:p w14:paraId="5F8D6C95">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ascii="Times New Roman" w:hAnsi="Times New Roman" w:eastAsia="宋体" w:cs="Times New Roman"/>
          <w:b/>
          <w:bCs/>
          <w:color w:val="000000"/>
          <w:kern w:val="2"/>
          <w:sz w:val="72"/>
          <w:szCs w:val="72"/>
          <w:highlight w:val="none"/>
          <w:lang w:val="en-US" w:eastAsia="zh-CN" w:bidi="ar"/>
        </w:rPr>
      </w:pPr>
    </w:p>
    <w:p w14:paraId="602A9070">
      <w:pPr>
        <w:ind w:left="0" w:leftChars="0" w:firstLine="0" w:firstLineChars="0"/>
        <w:rPr>
          <w:rFonts w:hint="default" w:ascii="Times New Roman" w:hAnsi="Times New Roman" w:eastAsia="宋体" w:cs="Times New Roman"/>
          <w:b/>
          <w:bCs/>
          <w:color w:val="000000"/>
          <w:kern w:val="2"/>
          <w:sz w:val="72"/>
          <w:szCs w:val="72"/>
          <w:highlight w:val="none"/>
          <w:lang w:val="en-US" w:eastAsia="zh-CN" w:bidi="ar"/>
        </w:rPr>
      </w:pPr>
    </w:p>
    <w:p w14:paraId="12BF877C">
      <w:pPr>
        <w:outlineLvl w:val="9"/>
        <w:rPr>
          <w:rFonts w:hint="default" w:ascii="Times New Roman" w:hAnsi="Times New Roman" w:eastAsia="宋体" w:cs="Times New Roman"/>
          <w:b/>
          <w:bCs/>
          <w:color w:val="000000"/>
          <w:kern w:val="2"/>
          <w:sz w:val="72"/>
          <w:szCs w:val="72"/>
          <w:highlight w:val="none"/>
          <w:lang w:val="en-US" w:eastAsia="zh-CN" w:bidi="ar"/>
        </w:rPr>
      </w:pPr>
    </w:p>
    <w:p w14:paraId="077A628A">
      <w:pPr>
        <w:outlineLvl w:val="9"/>
        <w:rPr>
          <w:rFonts w:hint="default" w:ascii="Times New Roman" w:hAnsi="Times New Roman" w:eastAsia="宋体" w:cs="Times New Roman"/>
          <w:b/>
          <w:bCs/>
          <w:color w:val="000000"/>
          <w:kern w:val="2"/>
          <w:sz w:val="72"/>
          <w:szCs w:val="72"/>
          <w:highlight w:val="none"/>
          <w:lang w:val="en-US" w:eastAsia="zh-CN" w:bidi="ar"/>
        </w:rPr>
      </w:pPr>
    </w:p>
    <w:p w14:paraId="2BDAAA80">
      <w:pPr>
        <w:outlineLvl w:val="9"/>
        <w:rPr>
          <w:rFonts w:hint="default" w:ascii="Times New Roman" w:hAnsi="Times New Roman" w:eastAsia="宋体" w:cs="Times New Roman"/>
          <w:b/>
          <w:bCs/>
          <w:color w:val="000000"/>
          <w:kern w:val="2"/>
          <w:sz w:val="72"/>
          <w:szCs w:val="72"/>
          <w:highlight w:val="none"/>
          <w:lang w:val="en-US" w:eastAsia="zh-CN" w:bidi="ar"/>
        </w:rPr>
      </w:pPr>
    </w:p>
    <w:p w14:paraId="6B4164EF">
      <w:pPr>
        <w:rPr>
          <w:rFonts w:hint="default" w:ascii="Times New Roman" w:hAnsi="Times New Roman" w:eastAsia="宋体" w:cs="Times New Roman"/>
          <w:color w:val="000000"/>
          <w:lang w:val="en-US" w:eastAsia="zh-CN"/>
        </w:rPr>
      </w:pPr>
    </w:p>
    <w:p w14:paraId="0D3EBD01">
      <w:pPr>
        <w:ind w:left="0" w:leftChars="0" w:firstLine="0" w:firstLineChars="0"/>
        <w:jc w:val="center"/>
        <w:rPr>
          <w:rFonts w:hint="default" w:ascii="Times New Roman" w:hAnsi="Times New Roman" w:eastAsia="宋体" w:cs="Times New Roman"/>
          <w:b/>
          <w:bCs/>
          <w:color w:val="000000"/>
          <w:kern w:val="2"/>
          <w:sz w:val="36"/>
          <w:szCs w:val="36"/>
          <w:highlight w:val="none"/>
          <w:lang w:val="en-US" w:eastAsia="zh-CN" w:bidi="ar"/>
        </w:rPr>
      </w:pPr>
      <w:r>
        <w:rPr>
          <w:rFonts w:hint="default" w:ascii="Times New Roman" w:hAnsi="Times New Roman" w:eastAsia="宋体" w:cs="Times New Roman"/>
          <w:b/>
          <w:bCs/>
          <w:color w:val="000000"/>
          <w:kern w:val="2"/>
          <w:sz w:val="36"/>
          <w:szCs w:val="36"/>
          <w:highlight w:val="none"/>
          <w:lang w:val="en-US" w:eastAsia="zh-CN" w:bidi="ar"/>
        </w:rPr>
        <w:t>2026年</w:t>
      </w:r>
      <w:r>
        <w:rPr>
          <w:rFonts w:hint="eastAsia" w:ascii="Times New Roman" w:hAnsi="Times New Roman" w:eastAsia="宋体" w:cs="Times New Roman"/>
          <w:b/>
          <w:bCs/>
          <w:color w:val="000000"/>
          <w:kern w:val="2"/>
          <w:sz w:val="36"/>
          <w:szCs w:val="36"/>
          <w:highlight w:val="none"/>
          <w:lang w:val="en-US" w:eastAsia="zh-CN" w:bidi="ar"/>
        </w:rPr>
        <w:t>7</w:t>
      </w:r>
      <w:r>
        <w:rPr>
          <w:rFonts w:hint="default" w:ascii="Times New Roman" w:hAnsi="Times New Roman" w:eastAsia="宋体" w:cs="Times New Roman"/>
          <w:b/>
          <w:bCs/>
          <w:color w:val="000000"/>
          <w:kern w:val="2"/>
          <w:sz w:val="36"/>
          <w:szCs w:val="36"/>
          <w:highlight w:val="none"/>
          <w:lang w:val="en-US" w:eastAsia="zh-CN" w:bidi="ar"/>
        </w:rPr>
        <w:t>月</w:t>
      </w:r>
    </w:p>
    <w:p w14:paraId="74663BDF">
      <w:pPr>
        <w:keepNext w:val="0"/>
        <w:keepLines w:val="0"/>
        <w:pageBreakBefore w:val="0"/>
        <w:widowControl w:val="0"/>
        <w:kinsoku/>
        <w:wordWrap/>
        <w:overflowPunct/>
        <w:topLinePunct w:val="0"/>
        <w:bidi w:val="0"/>
        <w:adjustRightInd/>
        <w:spacing w:line="360" w:lineRule="auto"/>
        <w:ind w:left="0" w:right="0" w:firstLine="624" w:firstLineChars="200"/>
        <w:jc w:val="center"/>
        <w:textAlignment w:val="auto"/>
        <w:outlineLvl w:val="0"/>
        <w:rPr>
          <w:rFonts w:hint="default" w:ascii="Times New Roman" w:hAnsi="Times New Roman" w:eastAsia="宋体" w:cs="Times New Roman"/>
          <w:color w:val="000000"/>
          <w:spacing w:val="-4"/>
          <w:sz w:val="32"/>
          <w:szCs w:val="32"/>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DDB7969">
      <w:pPr>
        <w:keepNext w:val="0"/>
        <w:keepLines w:val="0"/>
        <w:pageBreakBefore w:val="0"/>
        <w:widowControl w:val="0"/>
        <w:kinsoku/>
        <w:wordWrap/>
        <w:overflowPunct/>
        <w:topLinePunct w:val="0"/>
        <w:bidi w:val="0"/>
        <w:adjustRightInd/>
        <w:spacing w:line="360" w:lineRule="auto"/>
        <w:ind w:left="0" w:right="0" w:firstLine="624" w:firstLineChars="200"/>
        <w:jc w:val="center"/>
        <w:textAlignment w:val="auto"/>
        <w:outlineLvl w:val="0"/>
        <w:rPr>
          <w:rFonts w:hint="default" w:ascii="Times New Roman" w:hAnsi="Times New Roman" w:eastAsia="宋体" w:cs="Times New Roman"/>
          <w:color w:val="000000"/>
          <w:spacing w:val="-4"/>
          <w:sz w:val="32"/>
          <w:szCs w:val="32"/>
        </w:rPr>
        <w:sectPr>
          <w:foot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2135385">
      <w:pPr>
        <w:keepNext w:val="0"/>
        <w:keepLines w:val="0"/>
        <w:pageBreakBefore w:val="0"/>
        <w:widowControl w:val="0"/>
        <w:kinsoku/>
        <w:wordWrap/>
        <w:overflowPunct/>
        <w:topLinePunct w:val="0"/>
        <w:autoSpaceDE/>
        <w:autoSpaceDN/>
        <w:bidi w:val="0"/>
        <w:snapToGrid w:val="0"/>
        <w:spacing w:before="0" w:after="0" w:line="360" w:lineRule="auto"/>
        <w:ind w:left="0" w:leftChars="0" w:right="0" w:rightChars="0" w:firstLine="0" w:firstLineChars="0"/>
        <w:jc w:val="center"/>
        <w:textAlignment w:val="auto"/>
        <w:rPr>
          <w:rFonts w:hint="default" w:ascii="Times New Roman" w:hAnsi="Times New Roman" w:eastAsia="宋体" w:cs="Times New Roman"/>
          <w:color w:val="000000"/>
          <w:sz w:val="28"/>
          <w:szCs w:val="28"/>
        </w:rPr>
      </w:pPr>
      <w:bookmarkStart w:id="42" w:name="bookmark8"/>
      <w:bookmarkEnd w:id="42"/>
      <w:bookmarkStart w:id="43" w:name="_Toc29477"/>
      <w:r>
        <w:rPr>
          <w:rFonts w:hint="default" w:ascii="Times New Roman" w:hAnsi="Times New Roman" w:eastAsia="宋体" w:cs="Times New Roman"/>
          <w:b/>
          <w:bCs/>
          <w:color w:val="000000"/>
          <w:sz w:val="28"/>
          <w:szCs w:val="28"/>
        </w:rPr>
        <w:t>目</w:t>
      </w:r>
      <w:r>
        <w:rPr>
          <w:rFonts w:hint="eastAsia" w:cs="Times New Roman"/>
          <w:b/>
          <w:bCs/>
          <w:color w:val="000000"/>
          <w:sz w:val="28"/>
          <w:szCs w:val="28"/>
          <w:lang w:val="en-US" w:eastAsia="zh-CN"/>
        </w:rPr>
        <w:t xml:space="preserve">  </w:t>
      </w:r>
      <w:r>
        <w:rPr>
          <w:rFonts w:hint="default" w:ascii="Times New Roman" w:hAnsi="Times New Roman" w:eastAsia="宋体" w:cs="Times New Roman"/>
          <w:b/>
          <w:bCs/>
          <w:color w:val="000000"/>
          <w:sz w:val="28"/>
          <w:szCs w:val="28"/>
        </w:rPr>
        <w:t>录</w:t>
      </w:r>
    </w:p>
    <w:p w14:paraId="26C24AD2">
      <w:pPr>
        <w:pStyle w:val="23"/>
        <w:keepNext w:val="0"/>
        <w:keepLines w:val="0"/>
        <w:pageBreakBefore w:val="0"/>
        <w:widowControl w:val="0"/>
        <w:tabs>
          <w:tab w:val="right" w:leader="dot" w:pos="8844"/>
        </w:tabs>
        <w:kinsoku/>
        <w:wordWrap/>
        <w:overflowPunct/>
        <w:topLinePunct w:val="0"/>
        <w:autoSpaceDE/>
        <w:autoSpaceDN/>
        <w:bidi w:val="0"/>
        <w:snapToGrid w:val="0"/>
        <w:spacing w:line="52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_Toc15658 </w:instrText>
      </w:r>
      <w:r>
        <w:rPr>
          <w:rFonts w:hint="default" w:ascii="Times New Roman" w:hAnsi="Times New Roman" w:eastAsia="宋体" w:cs="Times New Roman"/>
          <w:bCs/>
          <w:color w:val="000000"/>
          <w:sz w:val="24"/>
          <w:szCs w:val="24"/>
          <w:highlight w:val="none"/>
        </w:rPr>
        <w:fldChar w:fldCharType="separate"/>
      </w:r>
      <w:r>
        <w:rPr>
          <w:rFonts w:hint="eastAsia" w:cs="Times New Roman"/>
          <w:bCs/>
          <w:color w:val="000000"/>
          <w:sz w:val="24"/>
          <w:szCs w:val="24"/>
          <w:highlight w:val="none"/>
          <w:lang w:eastAsia="zh-CN"/>
        </w:rPr>
        <w:t>1.</w:t>
      </w:r>
      <w:r>
        <w:rPr>
          <w:rFonts w:hint="default" w:ascii="Times New Roman" w:hAnsi="Times New Roman" w:eastAsia="宋体" w:cs="Times New Roman"/>
          <w:bCs/>
          <w:color w:val="000000"/>
          <w:sz w:val="24"/>
          <w:szCs w:val="24"/>
          <w:lang w:val="en-US" w:eastAsia="zh-CN"/>
        </w:rPr>
        <w:t>总则</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_Toc15658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1</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188306F2">
      <w:pPr>
        <w:pStyle w:val="27"/>
        <w:keepNext w:val="0"/>
        <w:keepLines w:val="0"/>
        <w:pageBreakBefore w:val="0"/>
        <w:widowControl w:val="0"/>
        <w:tabs>
          <w:tab w:val="right" w:leader="dot" w:pos="8844"/>
        </w:tabs>
        <w:kinsoku/>
        <w:wordWrap/>
        <w:overflowPunct/>
        <w:topLinePunct w:val="0"/>
        <w:autoSpaceDE/>
        <w:autoSpaceDN/>
        <w:bidi w:val="0"/>
        <w:adjustRightInd w:val="0"/>
        <w:snapToGrid w:val="0"/>
        <w:spacing w:line="520" w:lineRule="exact"/>
        <w:ind w:left="0" w:leftChars="0" w:firstLine="0" w:firstLineChars="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_Toc8410 </w:instrText>
      </w:r>
      <w:r>
        <w:rPr>
          <w:rFonts w:hint="default" w:ascii="Times New Roman" w:hAnsi="Times New Roman" w:eastAsia="宋体" w:cs="Times New Roman"/>
          <w:bCs/>
          <w:color w:val="000000"/>
          <w:sz w:val="24"/>
          <w:szCs w:val="24"/>
          <w:highlight w:val="none"/>
        </w:rPr>
        <w:fldChar w:fldCharType="separate"/>
      </w:r>
      <w:r>
        <w:rPr>
          <w:rFonts w:hint="default" w:ascii="Times New Roman" w:hAnsi="Times New Roman" w:eastAsia="宋体" w:cs="Times New Roman"/>
          <w:color w:val="000000"/>
          <w:sz w:val="24"/>
          <w:szCs w:val="24"/>
          <w:lang w:val="en-US" w:eastAsia="zh-CN"/>
        </w:rPr>
        <w:t>1.1评价依据</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_Toc8410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1</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2BA2F2EB">
      <w:pPr>
        <w:pStyle w:val="27"/>
        <w:keepNext w:val="0"/>
        <w:keepLines w:val="0"/>
        <w:pageBreakBefore w:val="0"/>
        <w:widowControl w:val="0"/>
        <w:tabs>
          <w:tab w:val="right" w:leader="dot" w:pos="8844"/>
        </w:tabs>
        <w:kinsoku/>
        <w:wordWrap/>
        <w:overflowPunct/>
        <w:topLinePunct w:val="0"/>
        <w:autoSpaceDE/>
        <w:autoSpaceDN/>
        <w:bidi w:val="0"/>
        <w:adjustRightInd w:val="0"/>
        <w:snapToGrid w:val="0"/>
        <w:spacing w:line="520" w:lineRule="exact"/>
        <w:ind w:left="0" w:leftChars="0" w:firstLine="0" w:firstLineChars="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_Toc2894 </w:instrText>
      </w:r>
      <w:r>
        <w:rPr>
          <w:rFonts w:hint="default" w:ascii="Times New Roman" w:hAnsi="Times New Roman" w:eastAsia="宋体" w:cs="Times New Roman"/>
          <w:bCs/>
          <w:color w:val="000000"/>
          <w:sz w:val="24"/>
          <w:szCs w:val="24"/>
          <w:highlight w:val="none"/>
        </w:rPr>
        <w:fldChar w:fldCharType="separate"/>
      </w:r>
      <w:r>
        <w:rPr>
          <w:rFonts w:hint="default" w:ascii="Times New Roman" w:hAnsi="Times New Roman" w:eastAsia="宋体" w:cs="Times New Roman"/>
          <w:color w:val="000000"/>
          <w:sz w:val="24"/>
          <w:szCs w:val="24"/>
          <w:lang w:val="en-US" w:eastAsia="zh-CN"/>
        </w:rPr>
        <w:t>1.2工程分析</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_Toc2894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4</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1594CB1F">
      <w:pPr>
        <w:pStyle w:val="27"/>
        <w:keepNext w:val="0"/>
        <w:keepLines w:val="0"/>
        <w:pageBreakBefore w:val="0"/>
        <w:widowControl w:val="0"/>
        <w:tabs>
          <w:tab w:val="right" w:leader="dot" w:pos="8844"/>
        </w:tabs>
        <w:kinsoku/>
        <w:wordWrap/>
        <w:overflowPunct/>
        <w:topLinePunct w:val="0"/>
        <w:autoSpaceDE/>
        <w:autoSpaceDN/>
        <w:bidi w:val="0"/>
        <w:adjustRightInd w:val="0"/>
        <w:snapToGrid w:val="0"/>
        <w:spacing w:line="520" w:lineRule="exact"/>
        <w:ind w:left="0" w:leftChars="0" w:firstLine="0" w:firstLineChars="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_Toc5658 </w:instrText>
      </w:r>
      <w:r>
        <w:rPr>
          <w:rFonts w:hint="default" w:ascii="Times New Roman" w:hAnsi="Times New Roman" w:eastAsia="宋体" w:cs="Times New Roman"/>
          <w:bCs/>
          <w:color w:val="000000"/>
          <w:sz w:val="24"/>
          <w:szCs w:val="24"/>
          <w:highlight w:val="none"/>
        </w:rPr>
        <w:fldChar w:fldCharType="separate"/>
      </w:r>
      <w:r>
        <w:rPr>
          <w:rFonts w:hint="default" w:ascii="Times New Roman" w:hAnsi="Times New Roman" w:eastAsia="宋体" w:cs="Times New Roman"/>
          <w:color w:val="000000"/>
          <w:sz w:val="24"/>
          <w:szCs w:val="24"/>
          <w:lang w:val="en-US" w:eastAsia="zh-CN"/>
        </w:rPr>
        <w:t>1.3 生态环境影响识别及评价因子筛选</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_Toc5658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5</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041BED63">
      <w:pPr>
        <w:pStyle w:val="27"/>
        <w:keepNext w:val="0"/>
        <w:keepLines w:val="0"/>
        <w:pageBreakBefore w:val="0"/>
        <w:widowControl w:val="0"/>
        <w:tabs>
          <w:tab w:val="right" w:leader="dot" w:pos="8844"/>
        </w:tabs>
        <w:kinsoku/>
        <w:wordWrap/>
        <w:overflowPunct/>
        <w:topLinePunct w:val="0"/>
        <w:autoSpaceDE/>
        <w:autoSpaceDN/>
        <w:bidi w:val="0"/>
        <w:adjustRightInd w:val="0"/>
        <w:snapToGrid w:val="0"/>
        <w:spacing w:line="520" w:lineRule="exact"/>
        <w:ind w:left="0" w:leftChars="0" w:firstLine="0" w:firstLineChars="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_Toc14127 </w:instrText>
      </w:r>
      <w:r>
        <w:rPr>
          <w:rFonts w:hint="default" w:ascii="Times New Roman" w:hAnsi="Times New Roman" w:eastAsia="宋体" w:cs="Times New Roman"/>
          <w:bCs/>
          <w:color w:val="000000"/>
          <w:sz w:val="24"/>
          <w:szCs w:val="24"/>
          <w:highlight w:val="none"/>
        </w:rPr>
        <w:fldChar w:fldCharType="separate"/>
      </w:r>
      <w:r>
        <w:rPr>
          <w:rFonts w:hint="default" w:ascii="Times New Roman" w:hAnsi="Times New Roman" w:eastAsia="宋体" w:cs="Times New Roman"/>
          <w:color w:val="000000"/>
          <w:sz w:val="24"/>
          <w:szCs w:val="24"/>
          <w:lang w:val="en-US" w:eastAsia="zh-CN"/>
        </w:rPr>
        <w:t>1.4评价等级及评价范围</w:t>
      </w:r>
      <w:r>
        <w:rPr>
          <w:rFonts w:hint="default" w:ascii="Times New Roman" w:hAnsi="Times New Roman" w:eastAsia="宋体" w:cs="Times New Roman"/>
          <w:color w:val="000000"/>
          <w:sz w:val="24"/>
          <w:szCs w:val="24"/>
        </w:rPr>
        <w:tab/>
      </w:r>
      <w:r>
        <w:rPr>
          <w:rFonts w:hint="eastAsia" w:cs="Times New Roman"/>
          <w:color w:val="000000"/>
          <w:sz w:val="24"/>
          <w:szCs w:val="24"/>
          <w:lang w:val="en-US" w:eastAsia="zh-CN"/>
        </w:rPr>
        <w:t>6</w:t>
      </w:r>
      <w:r>
        <w:rPr>
          <w:rFonts w:hint="default" w:ascii="Times New Roman" w:hAnsi="Times New Roman" w:eastAsia="宋体" w:cs="Times New Roman"/>
          <w:bCs/>
          <w:color w:val="000000"/>
          <w:sz w:val="24"/>
          <w:szCs w:val="24"/>
          <w:highlight w:val="none"/>
        </w:rPr>
        <w:fldChar w:fldCharType="end"/>
      </w:r>
    </w:p>
    <w:p w14:paraId="64BDE099">
      <w:pPr>
        <w:pStyle w:val="27"/>
        <w:keepNext w:val="0"/>
        <w:keepLines w:val="0"/>
        <w:pageBreakBefore w:val="0"/>
        <w:widowControl w:val="0"/>
        <w:tabs>
          <w:tab w:val="right" w:leader="dot" w:pos="8844"/>
        </w:tabs>
        <w:kinsoku/>
        <w:wordWrap/>
        <w:overflowPunct/>
        <w:topLinePunct w:val="0"/>
        <w:autoSpaceDE/>
        <w:autoSpaceDN/>
        <w:bidi w:val="0"/>
        <w:adjustRightInd w:val="0"/>
        <w:snapToGrid w:val="0"/>
        <w:spacing w:line="520" w:lineRule="exact"/>
        <w:ind w:left="0" w:leftChars="0" w:firstLine="0" w:firstLineChars="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_Toc28595 </w:instrText>
      </w:r>
      <w:r>
        <w:rPr>
          <w:rFonts w:hint="default" w:ascii="Times New Roman" w:hAnsi="Times New Roman" w:eastAsia="宋体" w:cs="Times New Roman"/>
          <w:bCs/>
          <w:color w:val="000000"/>
          <w:sz w:val="24"/>
          <w:szCs w:val="24"/>
          <w:highlight w:val="none"/>
        </w:rPr>
        <w:fldChar w:fldCharType="separate"/>
      </w:r>
      <w:r>
        <w:rPr>
          <w:rFonts w:hint="default" w:ascii="Times New Roman" w:hAnsi="Times New Roman" w:eastAsia="宋体" w:cs="Times New Roman"/>
          <w:color w:val="000000"/>
          <w:sz w:val="24"/>
          <w:szCs w:val="24"/>
          <w:lang w:val="en-US" w:eastAsia="zh-CN"/>
        </w:rPr>
        <w:t>1.5评价时段</w:t>
      </w:r>
      <w:r>
        <w:rPr>
          <w:rFonts w:hint="default" w:ascii="Times New Roman" w:hAnsi="Times New Roman" w:eastAsia="宋体" w:cs="Times New Roman"/>
          <w:color w:val="000000"/>
          <w:sz w:val="24"/>
          <w:szCs w:val="24"/>
        </w:rPr>
        <w:tab/>
      </w:r>
      <w:r>
        <w:rPr>
          <w:rFonts w:hint="eastAsia" w:cs="Times New Roman"/>
          <w:color w:val="000000"/>
          <w:sz w:val="24"/>
          <w:szCs w:val="24"/>
          <w:lang w:val="en-US" w:eastAsia="zh-CN"/>
        </w:rPr>
        <w:t>7</w:t>
      </w:r>
      <w:r>
        <w:rPr>
          <w:rFonts w:hint="default" w:ascii="Times New Roman" w:hAnsi="Times New Roman" w:eastAsia="宋体" w:cs="Times New Roman"/>
          <w:bCs/>
          <w:color w:val="000000"/>
          <w:sz w:val="24"/>
          <w:szCs w:val="24"/>
          <w:highlight w:val="none"/>
        </w:rPr>
        <w:fldChar w:fldCharType="end"/>
      </w:r>
    </w:p>
    <w:p w14:paraId="293B236B">
      <w:pPr>
        <w:pStyle w:val="27"/>
        <w:keepNext w:val="0"/>
        <w:keepLines w:val="0"/>
        <w:pageBreakBefore w:val="0"/>
        <w:widowControl w:val="0"/>
        <w:tabs>
          <w:tab w:val="right" w:leader="dot" w:pos="8844"/>
        </w:tabs>
        <w:kinsoku/>
        <w:wordWrap/>
        <w:overflowPunct/>
        <w:topLinePunct w:val="0"/>
        <w:autoSpaceDE/>
        <w:autoSpaceDN/>
        <w:bidi w:val="0"/>
        <w:adjustRightInd w:val="0"/>
        <w:snapToGrid w:val="0"/>
        <w:spacing w:line="520" w:lineRule="exact"/>
        <w:ind w:left="0" w:leftChars="0" w:firstLine="0" w:firstLineChars="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_Toc4692 </w:instrText>
      </w:r>
      <w:r>
        <w:rPr>
          <w:rFonts w:hint="default" w:ascii="Times New Roman" w:hAnsi="Times New Roman" w:eastAsia="宋体" w:cs="Times New Roman"/>
          <w:bCs/>
          <w:color w:val="000000"/>
          <w:sz w:val="24"/>
          <w:szCs w:val="24"/>
          <w:highlight w:val="none"/>
        </w:rPr>
        <w:fldChar w:fldCharType="separate"/>
      </w:r>
      <w:r>
        <w:rPr>
          <w:rFonts w:hint="default" w:ascii="Times New Roman" w:hAnsi="Times New Roman" w:eastAsia="宋体" w:cs="Times New Roman"/>
          <w:color w:val="000000"/>
          <w:sz w:val="24"/>
          <w:szCs w:val="24"/>
          <w:lang w:val="en-US" w:eastAsia="zh-CN"/>
        </w:rPr>
        <w:t>1.6评价工作重点</w:t>
      </w:r>
      <w:r>
        <w:rPr>
          <w:rFonts w:hint="default" w:ascii="Times New Roman" w:hAnsi="Times New Roman" w:eastAsia="宋体" w:cs="Times New Roman"/>
          <w:color w:val="000000"/>
          <w:sz w:val="24"/>
          <w:szCs w:val="24"/>
        </w:rPr>
        <w:tab/>
      </w:r>
      <w:r>
        <w:rPr>
          <w:rFonts w:hint="eastAsia" w:cs="Times New Roman"/>
          <w:color w:val="000000"/>
          <w:sz w:val="24"/>
          <w:szCs w:val="24"/>
          <w:lang w:val="en-US" w:eastAsia="zh-CN"/>
        </w:rPr>
        <w:t>7</w:t>
      </w:r>
      <w:r>
        <w:rPr>
          <w:rFonts w:hint="default" w:ascii="Times New Roman" w:hAnsi="Times New Roman" w:eastAsia="宋体" w:cs="Times New Roman"/>
          <w:bCs/>
          <w:color w:val="000000"/>
          <w:sz w:val="24"/>
          <w:szCs w:val="24"/>
          <w:highlight w:val="none"/>
        </w:rPr>
        <w:fldChar w:fldCharType="end"/>
      </w:r>
    </w:p>
    <w:p w14:paraId="237B96F8">
      <w:pPr>
        <w:pStyle w:val="23"/>
        <w:keepNext w:val="0"/>
        <w:keepLines w:val="0"/>
        <w:pageBreakBefore w:val="0"/>
        <w:widowControl w:val="0"/>
        <w:tabs>
          <w:tab w:val="right" w:leader="dot" w:pos="8844"/>
        </w:tabs>
        <w:kinsoku/>
        <w:wordWrap/>
        <w:overflowPunct/>
        <w:topLinePunct w:val="0"/>
        <w:autoSpaceDE/>
        <w:autoSpaceDN/>
        <w:bidi w:val="0"/>
        <w:snapToGrid w:val="0"/>
        <w:spacing w:line="52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_Toc10139 </w:instrText>
      </w:r>
      <w:r>
        <w:rPr>
          <w:rFonts w:hint="default" w:ascii="Times New Roman" w:hAnsi="Times New Roman" w:eastAsia="宋体" w:cs="Times New Roman"/>
          <w:bCs/>
          <w:color w:val="000000"/>
          <w:sz w:val="24"/>
          <w:szCs w:val="24"/>
          <w:highlight w:val="none"/>
        </w:rPr>
        <w:fldChar w:fldCharType="separate"/>
      </w:r>
      <w:r>
        <w:rPr>
          <w:rFonts w:hint="eastAsia" w:cs="Times New Roman"/>
          <w:bCs/>
          <w:color w:val="000000"/>
          <w:sz w:val="24"/>
          <w:szCs w:val="24"/>
          <w:highlight w:val="none"/>
          <w:lang w:eastAsia="zh-CN"/>
        </w:rPr>
        <w:t>2.</w:t>
      </w:r>
      <w:r>
        <w:rPr>
          <w:rFonts w:hint="default" w:ascii="Times New Roman" w:hAnsi="Times New Roman" w:eastAsia="宋体" w:cs="Times New Roman"/>
          <w:bCs/>
          <w:color w:val="000000"/>
          <w:sz w:val="24"/>
          <w:szCs w:val="24"/>
          <w:lang w:val="en-US" w:eastAsia="zh-CN"/>
        </w:rPr>
        <w:t>生态环境现状调查与评价</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_Toc10139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8</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4EC0C8B8">
      <w:pPr>
        <w:pStyle w:val="27"/>
        <w:keepNext w:val="0"/>
        <w:keepLines w:val="0"/>
        <w:pageBreakBefore w:val="0"/>
        <w:widowControl w:val="0"/>
        <w:tabs>
          <w:tab w:val="right" w:leader="dot" w:pos="8844"/>
        </w:tabs>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_Toc2871 </w:instrText>
      </w:r>
      <w:r>
        <w:rPr>
          <w:rFonts w:hint="default" w:ascii="Times New Roman" w:hAnsi="Times New Roman" w:eastAsia="宋体" w:cs="Times New Roman"/>
          <w:bCs/>
          <w:color w:val="000000"/>
          <w:sz w:val="24"/>
          <w:szCs w:val="24"/>
          <w:highlight w:val="none"/>
        </w:rPr>
        <w:fldChar w:fldCharType="separate"/>
      </w:r>
      <w:r>
        <w:rPr>
          <w:rFonts w:hint="default" w:ascii="Times New Roman" w:hAnsi="Times New Roman" w:eastAsia="宋体" w:cs="Times New Roman"/>
          <w:color w:val="000000"/>
          <w:sz w:val="24"/>
          <w:szCs w:val="24"/>
          <w:highlight w:val="none"/>
          <w:lang w:val="en-US" w:eastAsia="zh-CN"/>
        </w:rPr>
        <w:t>2.1主体功能区规划</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_Toc2871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8</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4809079A">
      <w:pPr>
        <w:pStyle w:val="27"/>
        <w:keepNext w:val="0"/>
        <w:keepLines w:val="0"/>
        <w:pageBreakBefore w:val="0"/>
        <w:widowControl w:val="0"/>
        <w:tabs>
          <w:tab w:val="right" w:leader="dot" w:pos="8844"/>
        </w:tabs>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_Toc25916 </w:instrText>
      </w:r>
      <w:r>
        <w:rPr>
          <w:rFonts w:hint="default" w:ascii="Times New Roman" w:hAnsi="Times New Roman" w:eastAsia="宋体" w:cs="Times New Roman"/>
          <w:bCs/>
          <w:color w:val="000000"/>
          <w:sz w:val="24"/>
          <w:szCs w:val="24"/>
          <w:highlight w:val="none"/>
        </w:rPr>
        <w:fldChar w:fldCharType="separate"/>
      </w:r>
      <w:r>
        <w:rPr>
          <w:rFonts w:hint="default" w:ascii="Times New Roman" w:hAnsi="Times New Roman" w:eastAsia="宋体" w:cs="Times New Roman"/>
          <w:color w:val="000000"/>
          <w:sz w:val="24"/>
          <w:szCs w:val="24"/>
          <w:lang w:val="en-US" w:eastAsia="zh-CN"/>
        </w:rPr>
        <w:t>2.2生态功能区划</w:t>
      </w:r>
      <w:r>
        <w:rPr>
          <w:rFonts w:hint="default" w:ascii="Times New Roman" w:hAnsi="Times New Roman" w:eastAsia="宋体" w:cs="Times New Roman"/>
          <w:color w:val="000000"/>
          <w:sz w:val="24"/>
          <w:szCs w:val="24"/>
        </w:rPr>
        <w:tab/>
      </w:r>
      <w:r>
        <w:rPr>
          <w:rFonts w:hint="eastAsia" w:cs="Times New Roman"/>
          <w:color w:val="000000"/>
          <w:sz w:val="24"/>
          <w:szCs w:val="24"/>
          <w:lang w:val="en-US" w:eastAsia="zh-CN"/>
        </w:rPr>
        <w:t>8</w:t>
      </w:r>
      <w:r>
        <w:rPr>
          <w:rFonts w:hint="default" w:ascii="Times New Roman" w:hAnsi="Times New Roman" w:eastAsia="宋体" w:cs="Times New Roman"/>
          <w:bCs/>
          <w:color w:val="000000"/>
          <w:sz w:val="24"/>
          <w:szCs w:val="24"/>
          <w:highlight w:val="none"/>
        </w:rPr>
        <w:fldChar w:fldCharType="end"/>
      </w:r>
    </w:p>
    <w:p w14:paraId="6E14EB73">
      <w:pPr>
        <w:pStyle w:val="27"/>
        <w:keepNext w:val="0"/>
        <w:keepLines w:val="0"/>
        <w:pageBreakBefore w:val="0"/>
        <w:widowControl w:val="0"/>
        <w:tabs>
          <w:tab w:val="right" w:leader="dot" w:pos="8844"/>
        </w:tabs>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_Toc15120 </w:instrText>
      </w:r>
      <w:r>
        <w:rPr>
          <w:rFonts w:hint="default" w:ascii="Times New Roman" w:hAnsi="Times New Roman" w:eastAsia="宋体" w:cs="Times New Roman"/>
          <w:bCs/>
          <w:color w:val="000000"/>
          <w:sz w:val="24"/>
          <w:szCs w:val="24"/>
          <w:highlight w:val="none"/>
        </w:rPr>
        <w:fldChar w:fldCharType="separate"/>
      </w:r>
      <w:r>
        <w:rPr>
          <w:rFonts w:hint="default" w:ascii="Times New Roman" w:hAnsi="Times New Roman" w:eastAsia="宋体" w:cs="Times New Roman"/>
          <w:color w:val="000000"/>
          <w:sz w:val="24"/>
          <w:szCs w:val="24"/>
          <w:lang w:val="en-US" w:eastAsia="zh-CN"/>
        </w:rPr>
        <w:t>2.3生态现状调查</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_Toc15120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9</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7000A502">
      <w:pPr>
        <w:pStyle w:val="27"/>
        <w:keepNext w:val="0"/>
        <w:keepLines w:val="0"/>
        <w:pageBreakBefore w:val="0"/>
        <w:widowControl w:val="0"/>
        <w:tabs>
          <w:tab w:val="right" w:leader="dot" w:pos="8844"/>
        </w:tabs>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_Toc30365 </w:instrText>
      </w:r>
      <w:r>
        <w:rPr>
          <w:rFonts w:hint="default" w:ascii="Times New Roman" w:hAnsi="Times New Roman" w:eastAsia="宋体" w:cs="Times New Roman"/>
          <w:bCs/>
          <w:color w:val="000000"/>
          <w:sz w:val="24"/>
          <w:szCs w:val="24"/>
          <w:highlight w:val="none"/>
        </w:rPr>
        <w:fldChar w:fldCharType="separate"/>
      </w:r>
      <w:r>
        <w:rPr>
          <w:rFonts w:hint="default" w:ascii="Times New Roman" w:hAnsi="Times New Roman" w:eastAsia="宋体" w:cs="Times New Roman"/>
          <w:color w:val="000000"/>
          <w:sz w:val="24"/>
          <w:szCs w:val="24"/>
          <w:lang w:val="en-US" w:eastAsia="zh-CN"/>
        </w:rPr>
        <w:t>2.4生态保护目标</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_Toc30365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29</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676787FE">
      <w:pPr>
        <w:pStyle w:val="23"/>
        <w:keepNext w:val="0"/>
        <w:keepLines w:val="0"/>
        <w:pageBreakBefore w:val="0"/>
        <w:widowControl w:val="0"/>
        <w:tabs>
          <w:tab w:val="right" w:leader="dot" w:pos="8844"/>
        </w:tabs>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_Toc4811 </w:instrText>
      </w:r>
      <w:r>
        <w:rPr>
          <w:rFonts w:hint="default" w:ascii="Times New Roman" w:hAnsi="Times New Roman" w:eastAsia="宋体" w:cs="Times New Roman"/>
          <w:bCs/>
          <w:color w:val="000000"/>
          <w:sz w:val="24"/>
          <w:szCs w:val="24"/>
          <w:highlight w:val="none"/>
        </w:rPr>
        <w:fldChar w:fldCharType="separate"/>
      </w:r>
      <w:r>
        <w:rPr>
          <w:rFonts w:hint="eastAsia" w:cs="Times New Roman"/>
          <w:bCs/>
          <w:color w:val="000000"/>
          <w:sz w:val="24"/>
          <w:szCs w:val="24"/>
          <w:highlight w:val="none"/>
          <w:lang w:eastAsia="zh-CN"/>
        </w:rPr>
        <w:t>3.</w:t>
      </w:r>
      <w:r>
        <w:rPr>
          <w:rFonts w:hint="default" w:ascii="Times New Roman" w:hAnsi="Times New Roman" w:eastAsia="宋体" w:cs="Times New Roman"/>
          <w:bCs/>
          <w:color w:val="000000"/>
          <w:sz w:val="24"/>
          <w:szCs w:val="24"/>
          <w:lang w:val="en-US" w:eastAsia="zh-CN"/>
        </w:rPr>
        <w:t>生态环境影响分析</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_Toc4811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36</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58340177">
      <w:pPr>
        <w:pStyle w:val="27"/>
        <w:keepNext w:val="0"/>
        <w:keepLines w:val="0"/>
        <w:pageBreakBefore w:val="0"/>
        <w:widowControl w:val="0"/>
        <w:tabs>
          <w:tab w:val="right" w:leader="dot" w:pos="8844"/>
        </w:tabs>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_Toc32752 </w:instrText>
      </w:r>
      <w:r>
        <w:rPr>
          <w:rFonts w:hint="default" w:ascii="Times New Roman" w:hAnsi="Times New Roman" w:eastAsia="宋体" w:cs="Times New Roman"/>
          <w:bCs/>
          <w:color w:val="000000"/>
          <w:sz w:val="24"/>
          <w:szCs w:val="24"/>
          <w:highlight w:val="none"/>
        </w:rPr>
        <w:fldChar w:fldCharType="separate"/>
      </w:r>
      <w:r>
        <w:rPr>
          <w:rFonts w:hint="default" w:ascii="Times New Roman" w:hAnsi="Times New Roman" w:eastAsia="宋体" w:cs="Times New Roman"/>
          <w:color w:val="000000"/>
          <w:sz w:val="24"/>
          <w:szCs w:val="24"/>
          <w:lang w:val="en-US" w:eastAsia="zh-CN"/>
        </w:rPr>
        <w:t>3.1</w:t>
      </w:r>
      <w:r>
        <w:rPr>
          <w:rFonts w:hint="eastAsia" w:cs="Times New Roman"/>
          <w:color w:val="000000"/>
          <w:sz w:val="24"/>
          <w:szCs w:val="24"/>
          <w:lang w:val="en-US" w:eastAsia="zh-CN"/>
        </w:rPr>
        <w:t>施工期</w:t>
      </w:r>
      <w:r>
        <w:rPr>
          <w:rFonts w:hint="default" w:ascii="Times New Roman" w:hAnsi="Times New Roman" w:eastAsia="宋体" w:cs="Times New Roman"/>
          <w:color w:val="000000"/>
          <w:sz w:val="24"/>
          <w:szCs w:val="24"/>
          <w:lang w:val="en-US" w:eastAsia="zh-CN"/>
        </w:rPr>
        <w:t>生态环境影响分析</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_Toc32752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36</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729E2B85">
      <w:pPr>
        <w:pStyle w:val="27"/>
        <w:keepNext w:val="0"/>
        <w:keepLines w:val="0"/>
        <w:pageBreakBefore w:val="0"/>
        <w:widowControl w:val="0"/>
        <w:tabs>
          <w:tab w:val="right" w:leader="dot" w:pos="8844"/>
        </w:tabs>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_Toc32752 </w:instrText>
      </w:r>
      <w:r>
        <w:rPr>
          <w:rFonts w:hint="default" w:ascii="Times New Roman" w:hAnsi="Times New Roman" w:eastAsia="宋体" w:cs="Times New Roman"/>
          <w:bCs/>
          <w:color w:val="000000"/>
          <w:sz w:val="24"/>
          <w:szCs w:val="24"/>
          <w:highlight w:val="none"/>
        </w:rPr>
        <w:fldChar w:fldCharType="separate"/>
      </w:r>
      <w:r>
        <w:rPr>
          <w:rFonts w:hint="default" w:ascii="Times New Roman" w:hAnsi="Times New Roman" w:eastAsia="宋体" w:cs="Times New Roman"/>
          <w:color w:val="000000"/>
          <w:sz w:val="24"/>
          <w:szCs w:val="24"/>
          <w:lang w:val="en-US" w:eastAsia="zh-CN"/>
        </w:rPr>
        <w:t>3.</w:t>
      </w:r>
      <w:r>
        <w:rPr>
          <w:rFonts w:hint="eastAsia" w:cs="Times New Roman"/>
          <w:color w:val="000000"/>
          <w:sz w:val="24"/>
          <w:szCs w:val="24"/>
          <w:lang w:val="en-US" w:eastAsia="zh-CN"/>
        </w:rPr>
        <w:t>2运营期</w:t>
      </w:r>
      <w:r>
        <w:rPr>
          <w:rFonts w:hint="default" w:ascii="Times New Roman" w:hAnsi="Times New Roman" w:eastAsia="宋体" w:cs="Times New Roman"/>
          <w:color w:val="000000"/>
          <w:sz w:val="24"/>
          <w:szCs w:val="24"/>
          <w:lang w:val="en-US" w:eastAsia="zh-CN"/>
        </w:rPr>
        <w:t>生态环境影响分析</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_Toc32752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36</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7E411E8C">
      <w:pPr>
        <w:pStyle w:val="23"/>
        <w:keepNext w:val="0"/>
        <w:keepLines w:val="0"/>
        <w:pageBreakBefore w:val="0"/>
        <w:widowControl w:val="0"/>
        <w:tabs>
          <w:tab w:val="right" w:leader="dot" w:pos="8844"/>
        </w:tabs>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_Toc10470 </w:instrText>
      </w:r>
      <w:r>
        <w:rPr>
          <w:rFonts w:hint="default" w:ascii="Times New Roman" w:hAnsi="Times New Roman" w:eastAsia="宋体" w:cs="Times New Roman"/>
          <w:bCs/>
          <w:color w:val="000000"/>
          <w:sz w:val="24"/>
          <w:szCs w:val="24"/>
          <w:highlight w:val="none"/>
        </w:rPr>
        <w:fldChar w:fldCharType="separate"/>
      </w:r>
      <w:r>
        <w:rPr>
          <w:rFonts w:hint="eastAsia" w:cs="Times New Roman"/>
          <w:bCs/>
          <w:color w:val="000000"/>
          <w:sz w:val="24"/>
          <w:szCs w:val="24"/>
          <w:highlight w:val="none"/>
          <w:lang w:eastAsia="zh-CN"/>
        </w:rPr>
        <w:t>4.</w:t>
      </w:r>
      <w:r>
        <w:rPr>
          <w:rFonts w:hint="default" w:ascii="Times New Roman" w:hAnsi="Times New Roman" w:eastAsia="宋体" w:cs="Times New Roman"/>
          <w:bCs/>
          <w:color w:val="000000"/>
          <w:sz w:val="24"/>
          <w:szCs w:val="24"/>
          <w:lang w:val="en-US" w:eastAsia="zh-CN"/>
        </w:rPr>
        <w:t>生态环境保护措施</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_Toc10470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40</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3F91D4ED">
      <w:pPr>
        <w:pStyle w:val="27"/>
        <w:keepNext w:val="0"/>
        <w:keepLines w:val="0"/>
        <w:pageBreakBefore w:val="0"/>
        <w:widowControl w:val="0"/>
        <w:tabs>
          <w:tab w:val="right" w:leader="dot" w:pos="8844"/>
        </w:tabs>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_Toc31878 </w:instrText>
      </w:r>
      <w:r>
        <w:rPr>
          <w:rFonts w:hint="default" w:ascii="Times New Roman" w:hAnsi="Times New Roman" w:eastAsia="宋体" w:cs="Times New Roman"/>
          <w:bCs/>
          <w:color w:val="000000"/>
          <w:sz w:val="24"/>
          <w:szCs w:val="24"/>
          <w:highlight w:val="none"/>
        </w:rPr>
        <w:fldChar w:fldCharType="separate"/>
      </w:r>
      <w:r>
        <w:rPr>
          <w:rFonts w:hint="default" w:ascii="Times New Roman" w:hAnsi="Times New Roman" w:eastAsia="宋体" w:cs="Times New Roman"/>
          <w:color w:val="000000"/>
          <w:sz w:val="24"/>
          <w:szCs w:val="24"/>
          <w:lang w:val="en-US" w:eastAsia="zh-CN"/>
        </w:rPr>
        <w:t>4.1</w:t>
      </w:r>
      <w:r>
        <w:rPr>
          <w:rFonts w:hint="eastAsia" w:cs="Times New Roman"/>
          <w:color w:val="000000"/>
          <w:sz w:val="24"/>
          <w:szCs w:val="24"/>
          <w:lang w:val="en-US" w:eastAsia="zh-CN"/>
        </w:rPr>
        <w:t>施工</w:t>
      </w:r>
      <w:r>
        <w:rPr>
          <w:rFonts w:hint="default" w:ascii="Times New Roman" w:hAnsi="Times New Roman" w:eastAsia="宋体" w:cs="Times New Roman"/>
          <w:color w:val="000000"/>
          <w:sz w:val="24"/>
          <w:szCs w:val="24"/>
          <w:lang w:val="en-US" w:eastAsia="zh-CN"/>
        </w:rPr>
        <w:t>期生态保护措施</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_Toc31878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40</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14DDDFF9">
      <w:pPr>
        <w:pStyle w:val="27"/>
        <w:keepNext w:val="0"/>
        <w:keepLines w:val="0"/>
        <w:pageBreakBefore w:val="0"/>
        <w:widowControl w:val="0"/>
        <w:tabs>
          <w:tab w:val="right" w:leader="dot" w:pos="8844"/>
        </w:tabs>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_Toc31878 </w:instrText>
      </w:r>
      <w:r>
        <w:rPr>
          <w:rFonts w:hint="default" w:ascii="Times New Roman" w:hAnsi="Times New Roman" w:eastAsia="宋体" w:cs="Times New Roman"/>
          <w:bCs/>
          <w:color w:val="000000"/>
          <w:sz w:val="24"/>
          <w:szCs w:val="24"/>
          <w:highlight w:val="none"/>
        </w:rPr>
        <w:fldChar w:fldCharType="separate"/>
      </w:r>
      <w:r>
        <w:rPr>
          <w:rFonts w:hint="default" w:ascii="Times New Roman" w:hAnsi="Times New Roman" w:eastAsia="宋体" w:cs="Times New Roman"/>
          <w:color w:val="000000"/>
          <w:sz w:val="24"/>
          <w:szCs w:val="24"/>
          <w:lang w:val="en-US" w:eastAsia="zh-CN"/>
        </w:rPr>
        <w:t>4.</w:t>
      </w:r>
      <w:r>
        <w:rPr>
          <w:rFonts w:hint="eastAsia" w:cs="Times New Roman"/>
          <w:color w:val="000000"/>
          <w:sz w:val="24"/>
          <w:szCs w:val="24"/>
          <w:lang w:val="en-US" w:eastAsia="zh-CN"/>
        </w:rPr>
        <w:t>2</w:t>
      </w:r>
      <w:r>
        <w:rPr>
          <w:rFonts w:hint="default" w:ascii="Times New Roman" w:hAnsi="Times New Roman" w:eastAsia="宋体" w:cs="Times New Roman"/>
          <w:color w:val="000000"/>
          <w:sz w:val="24"/>
          <w:szCs w:val="24"/>
          <w:lang w:val="en-US" w:eastAsia="zh-CN"/>
        </w:rPr>
        <w:t>运营期生态保护措施</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_Toc31878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40</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7E4C77EE">
      <w:pPr>
        <w:pStyle w:val="23"/>
        <w:keepNext w:val="0"/>
        <w:keepLines w:val="0"/>
        <w:pageBreakBefore w:val="0"/>
        <w:widowControl w:val="0"/>
        <w:tabs>
          <w:tab w:val="right" w:leader="dot" w:pos="8844"/>
        </w:tabs>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_Toc30475 </w:instrText>
      </w:r>
      <w:r>
        <w:rPr>
          <w:rFonts w:hint="default" w:ascii="Times New Roman" w:hAnsi="Times New Roman" w:eastAsia="宋体" w:cs="Times New Roman"/>
          <w:bCs/>
          <w:color w:val="000000"/>
          <w:sz w:val="24"/>
          <w:szCs w:val="24"/>
          <w:highlight w:val="none"/>
        </w:rPr>
        <w:fldChar w:fldCharType="separate"/>
      </w:r>
      <w:r>
        <w:rPr>
          <w:rFonts w:hint="eastAsia" w:cs="Times New Roman"/>
          <w:bCs/>
          <w:color w:val="000000"/>
          <w:sz w:val="24"/>
          <w:szCs w:val="24"/>
          <w:highlight w:val="none"/>
          <w:lang w:eastAsia="zh-CN"/>
        </w:rPr>
        <w:t>5.</w:t>
      </w:r>
      <w:r>
        <w:rPr>
          <w:rFonts w:hint="default" w:ascii="Times New Roman" w:hAnsi="Times New Roman" w:eastAsia="宋体" w:cs="Times New Roman"/>
          <w:bCs/>
          <w:color w:val="000000"/>
          <w:sz w:val="24"/>
          <w:szCs w:val="24"/>
          <w:lang w:val="en-US" w:eastAsia="zh-CN"/>
        </w:rPr>
        <w:t>生态环境影响分析评价结论</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_Toc30475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44</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710B375D">
      <w:pPr>
        <w:pStyle w:val="23"/>
        <w:keepNext w:val="0"/>
        <w:keepLines w:val="0"/>
        <w:pageBreakBefore w:val="0"/>
        <w:widowControl w:val="0"/>
        <w:tabs>
          <w:tab w:val="right" w:leader="dot" w:pos="8844"/>
        </w:tabs>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sz w:val="24"/>
          <w:szCs w:val="24"/>
          <w:highlight w:val="none"/>
        </w:rPr>
        <w:fldChar w:fldCharType="begin"/>
      </w:r>
      <w:r>
        <w:rPr>
          <w:rFonts w:hint="default" w:ascii="Times New Roman" w:hAnsi="Times New Roman" w:eastAsia="宋体" w:cs="Times New Roman"/>
          <w:bCs/>
          <w:color w:val="000000"/>
          <w:sz w:val="24"/>
          <w:szCs w:val="24"/>
          <w:highlight w:val="none"/>
        </w:rPr>
        <w:instrText xml:space="preserve"> HYPERLINK \l _Toc17531 </w:instrText>
      </w:r>
      <w:r>
        <w:rPr>
          <w:rFonts w:hint="default" w:ascii="Times New Roman" w:hAnsi="Times New Roman" w:eastAsia="宋体" w:cs="Times New Roman"/>
          <w:bCs/>
          <w:color w:val="000000"/>
          <w:sz w:val="24"/>
          <w:szCs w:val="24"/>
          <w:highlight w:val="none"/>
        </w:rPr>
        <w:fldChar w:fldCharType="separate"/>
      </w:r>
      <w:r>
        <w:rPr>
          <w:rFonts w:hint="eastAsia" w:cs="Times New Roman"/>
          <w:bCs/>
          <w:color w:val="000000"/>
          <w:sz w:val="24"/>
          <w:szCs w:val="24"/>
          <w:highlight w:val="none"/>
          <w:lang w:eastAsia="zh-CN"/>
        </w:rPr>
        <w:t>6.</w:t>
      </w:r>
      <w:r>
        <w:rPr>
          <w:rFonts w:hint="default" w:ascii="Times New Roman" w:hAnsi="Times New Roman" w:eastAsia="宋体" w:cs="Times New Roman"/>
          <w:bCs/>
          <w:color w:val="000000"/>
          <w:sz w:val="24"/>
          <w:szCs w:val="24"/>
          <w:lang w:val="en-US" w:eastAsia="zh-CN"/>
        </w:rPr>
        <w:t>生态影响评价自查表</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PAGEREF _Toc17531 \h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44</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bCs/>
          <w:color w:val="000000"/>
          <w:sz w:val="24"/>
          <w:szCs w:val="24"/>
          <w:highlight w:val="none"/>
        </w:rPr>
        <w:fldChar w:fldCharType="end"/>
      </w:r>
    </w:p>
    <w:p w14:paraId="1C71D55F">
      <w:pPr>
        <w:keepNext w:val="0"/>
        <w:keepLines w:val="0"/>
        <w:pageBreakBefore w:val="0"/>
        <w:widowControl w:val="0"/>
        <w:kinsoku/>
        <w:wordWrap/>
        <w:overflowPunct/>
        <w:topLinePunct w:val="0"/>
        <w:autoSpaceDE/>
        <w:autoSpaceDN/>
        <w:bidi w:val="0"/>
        <w:snapToGrid w:val="0"/>
        <w:spacing w:line="360" w:lineRule="auto"/>
        <w:ind w:left="0" w:leftChars="0"/>
        <w:textAlignment w:val="auto"/>
        <w:rPr>
          <w:rFonts w:hint="default" w:ascii="Times New Roman" w:hAnsi="Times New Roman" w:eastAsia="宋体" w:cs="Times New Roman"/>
          <w:color w:val="000000"/>
        </w:rPr>
      </w:pPr>
    </w:p>
    <w:p w14:paraId="77E353EC">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000000"/>
          <w:szCs w:val="24"/>
        </w:rPr>
      </w:pPr>
    </w:p>
    <w:p w14:paraId="092DEC70">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000000"/>
          <w:szCs w:val="24"/>
        </w:rPr>
        <w:sectPr>
          <w:footerReference r:id="rId1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09CF926">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000000"/>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D83E159">
      <w:pPr>
        <w:pStyle w:val="3"/>
        <w:pageBreakBefore w:val="0"/>
        <w:widowControl w:val="0"/>
        <w:kinsoku/>
        <w:wordWrap/>
        <w:topLinePunct w:val="0"/>
        <w:autoSpaceDE/>
        <w:autoSpaceDN/>
        <w:bidi w:val="0"/>
        <w:snapToGrid w:val="0"/>
        <w:spacing w:before="0" w:beforeAutospacing="0" w:after="0" w:afterAutospacing="0" w:line="360" w:lineRule="auto"/>
        <w:ind w:left="0" w:leftChars="0" w:firstLine="0" w:firstLineChars="0"/>
        <w:textAlignment w:val="auto"/>
        <w:rPr>
          <w:rFonts w:hint="default" w:ascii="Times New Roman" w:hAnsi="Times New Roman" w:eastAsia="宋体" w:cs="Times New Roman"/>
          <w:b/>
          <w:bCs/>
          <w:color w:val="000000"/>
          <w:sz w:val="28"/>
          <w:szCs w:val="28"/>
          <w:lang w:val="en-US" w:eastAsia="zh-CN"/>
        </w:rPr>
      </w:pPr>
      <w:bookmarkStart w:id="44" w:name="_Toc11888"/>
      <w:bookmarkStart w:id="45" w:name="_Toc17520"/>
      <w:bookmarkStart w:id="46" w:name="_Toc15658"/>
      <w:bookmarkStart w:id="47" w:name="_Toc29351"/>
      <w:bookmarkStart w:id="48" w:name="_Toc1721"/>
      <w:r>
        <w:rPr>
          <w:rFonts w:hint="eastAsia" w:eastAsia="宋体" w:cs="Times New Roman"/>
          <w:b/>
          <w:bCs/>
          <w:color w:val="000000"/>
          <w:sz w:val="28"/>
          <w:szCs w:val="28"/>
          <w:lang w:val="en-US" w:eastAsia="zh-CN"/>
        </w:rPr>
        <w:t>1.</w:t>
      </w:r>
      <w:r>
        <w:rPr>
          <w:rFonts w:hint="default" w:ascii="Times New Roman" w:hAnsi="Times New Roman" w:eastAsia="宋体" w:cs="Times New Roman"/>
          <w:b/>
          <w:bCs/>
          <w:color w:val="000000"/>
          <w:sz w:val="28"/>
          <w:szCs w:val="28"/>
          <w:lang w:val="en-US" w:eastAsia="zh-CN"/>
        </w:rPr>
        <w:t>总则</w:t>
      </w:r>
      <w:bookmarkEnd w:id="44"/>
      <w:bookmarkEnd w:id="45"/>
      <w:bookmarkEnd w:id="46"/>
      <w:bookmarkEnd w:id="47"/>
    </w:p>
    <w:p w14:paraId="33C4B85D">
      <w:pPr>
        <w:pStyle w:val="4"/>
        <w:pageBreakBefore w:val="0"/>
        <w:widowControl w:val="0"/>
        <w:numPr>
          <w:ilvl w:val="0"/>
          <w:numId w:val="0"/>
        </w:numPr>
        <w:kinsoku/>
        <w:wordWrap/>
        <w:topLinePunct w:val="0"/>
        <w:autoSpaceDE/>
        <w:autoSpaceDN/>
        <w:bidi w:val="0"/>
        <w:snapToGrid w:val="0"/>
        <w:spacing w:before="0" w:beforeLines="0" w:beforeAutospacing="0" w:after="0" w:afterLines="0" w:afterAutospacing="0" w:line="360" w:lineRule="auto"/>
        <w:ind w:leftChars="0"/>
        <w:textAlignment w:val="auto"/>
        <w:rPr>
          <w:rFonts w:hint="default" w:ascii="Times New Roman" w:hAnsi="Times New Roman" w:eastAsia="宋体" w:cs="Times New Roman"/>
          <w:color w:val="000000"/>
          <w:sz w:val="24"/>
          <w:szCs w:val="24"/>
          <w:lang w:val="en-US" w:eastAsia="zh-CN"/>
        </w:rPr>
      </w:pPr>
      <w:bookmarkStart w:id="49" w:name="_Toc10230"/>
      <w:bookmarkStart w:id="50" w:name="_Toc14738"/>
      <w:bookmarkStart w:id="51" w:name="_Toc8410"/>
      <w:r>
        <w:rPr>
          <w:rFonts w:hint="default" w:ascii="Times New Roman" w:hAnsi="Times New Roman" w:eastAsia="宋体" w:cs="Times New Roman"/>
          <w:color w:val="000000"/>
          <w:sz w:val="24"/>
          <w:szCs w:val="24"/>
          <w:lang w:val="en-US" w:eastAsia="zh-CN"/>
        </w:rPr>
        <w:t>1.1评价依据</w:t>
      </w:r>
      <w:bookmarkEnd w:id="49"/>
      <w:bookmarkEnd w:id="50"/>
      <w:bookmarkEnd w:id="51"/>
    </w:p>
    <w:p w14:paraId="2E387860">
      <w:pPr>
        <w:pStyle w:val="5"/>
        <w:pageBreakBefore w:val="0"/>
        <w:widowControl w:val="0"/>
        <w:kinsoku/>
        <w:wordWrap/>
        <w:topLinePunct w:val="0"/>
        <w:autoSpaceDE/>
        <w:autoSpaceDN/>
        <w:bidi w:val="0"/>
        <w:snapToGrid w:val="0"/>
        <w:spacing w:before="0" w:beforeAutospacing="0" w:after="0" w:afterAutospacing="0" w:line="360" w:lineRule="auto"/>
        <w:jc w:val="left"/>
        <w:textAlignment w:val="auto"/>
        <w:rPr>
          <w:rFonts w:hint="default" w:ascii="Times New Roman" w:hAnsi="Times New Roman" w:eastAsia="宋体" w:cs="Times New Roman"/>
          <w:b w:val="0"/>
          <w:bCs w:val="0"/>
          <w:color w:val="000000"/>
          <w:kern w:val="2"/>
          <w:sz w:val="24"/>
          <w:szCs w:val="24"/>
          <w:lang w:val="en-US" w:eastAsia="zh-CN" w:bidi="ar-SA"/>
        </w:rPr>
      </w:pPr>
      <w:bookmarkStart w:id="52" w:name="_Toc25651"/>
      <w:r>
        <w:rPr>
          <w:rFonts w:hint="default" w:ascii="Times New Roman" w:hAnsi="Times New Roman" w:eastAsia="宋体" w:cs="Times New Roman"/>
          <w:b w:val="0"/>
          <w:bCs w:val="0"/>
          <w:color w:val="000000"/>
          <w:kern w:val="2"/>
          <w:sz w:val="24"/>
          <w:szCs w:val="24"/>
          <w:lang w:val="en-US" w:eastAsia="zh-CN" w:bidi="ar-SA"/>
        </w:rPr>
        <w:t>1.1.1法律法规</w:t>
      </w:r>
      <w:bookmarkEnd w:id="52"/>
    </w:p>
    <w:p w14:paraId="66E1460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（1）《中华人民共和国环境保护法》（修订版）2015.1.1；</w:t>
      </w:r>
    </w:p>
    <w:p w14:paraId="79DCBBF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（2）《中华人民共和国环境影响评价法》（修正版）2018.12.29；</w:t>
      </w:r>
    </w:p>
    <w:p w14:paraId="0ABBBF2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（3）《中华人民共和国大气污染防治法》（修正版）2018.10.26；</w:t>
      </w:r>
    </w:p>
    <w:p w14:paraId="6184B487">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（4）《中华人民共和国水污染防治法》（修正版）2018.1.1；</w:t>
      </w:r>
    </w:p>
    <w:p w14:paraId="1B1F803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（5）《中华人民共和国固体废物污染环境防治法》（修正版）2020.9.1；</w:t>
      </w:r>
    </w:p>
    <w:p w14:paraId="7902E6ED">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（6）《中华人民共和国土壤污染防治法》2019.1.1；</w:t>
      </w:r>
    </w:p>
    <w:p w14:paraId="4BA6562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（7）《中华人民共和国噪声污染防治法》（修订版）2022.6.5；</w:t>
      </w:r>
    </w:p>
    <w:p w14:paraId="60D662F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（8）《中华人民共和国水法》（修正版）2016.9.1；</w:t>
      </w:r>
    </w:p>
    <w:p w14:paraId="1E7B10D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（9）《中华人民共和国土地管理法》（修订版）2020.1.1；</w:t>
      </w:r>
    </w:p>
    <w:p w14:paraId="0EE49005">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（10）《中华人民共和国水土保持法》（修订版）2011.3.1；</w:t>
      </w:r>
    </w:p>
    <w:p w14:paraId="7EADD808">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（11）《中华人民共和国草原法》（2021.4.29修正）；</w:t>
      </w:r>
    </w:p>
    <w:p w14:paraId="361F715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（12）《中华人民共和国森林法》2020.7.1；</w:t>
      </w:r>
    </w:p>
    <w:p w14:paraId="521C629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（13）《中华人民共和国防洪法》2016.7.2修订；</w:t>
      </w:r>
    </w:p>
    <w:p w14:paraId="5813CAC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（14）《中华人民共和国渔业法》2013.12.28；</w:t>
      </w:r>
    </w:p>
    <w:p w14:paraId="2146F17C">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（15）《中华人民共和国野生动物保护法》2023.5.1；</w:t>
      </w:r>
    </w:p>
    <w:p w14:paraId="687574CB">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（16）《中华人民共和国防沙治沙法（修订）》，2025年1月1日；</w:t>
      </w:r>
    </w:p>
    <w:p w14:paraId="09782A2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（17）《中华人民共和国突发事件应对法》2024.11.1。</w:t>
      </w:r>
    </w:p>
    <w:p w14:paraId="28AAEEC1">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jc w:val="left"/>
        <w:textAlignment w:val="auto"/>
        <w:outlineLvl w:val="9"/>
        <w:rPr>
          <w:rFonts w:hint="default" w:ascii="Times New Roman" w:hAnsi="Times New Roman" w:eastAsia="宋体" w:cs="Times New Roman"/>
          <w:b w:val="0"/>
          <w:bCs w:val="0"/>
          <w:color w:val="000000"/>
          <w:kern w:val="2"/>
          <w:sz w:val="24"/>
          <w:szCs w:val="24"/>
          <w:lang w:val="en-US" w:eastAsia="zh-CN" w:bidi="ar-SA"/>
        </w:rPr>
      </w:pPr>
      <w:r>
        <w:rPr>
          <w:rFonts w:hint="default" w:ascii="Times New Roman" w:hAnsi="Times New Roman" w:eastAsia="宋体" w:cs="Times New Roman"/>
          <w:b w:val="0"/>
          <w:bCs w:val="0"/>
          <w:color w:val="000000"/>
          <w:kern w:val="2"/>
          <w:sz w:val="24"/>
          <w:szCs w:val="24"/>
          <w:lang w:val="en-US" w:eastAsia="zh-CN" w:bidi="ar-SA"/>
        </w:rPr>
        <w:t>说明：《中华人民共和国生态环境法典》自2026年8月15日起施行。《中华人民共和国环境保护法</w:t>
      </w:r>
      <w:r>
        <w:rPr>
          <w:rFonts w:hint="eastAsia" w:cs="Times New Roman"/>
          <w:b w:val="0"/>
          <w:bCs w:val="0"/>
          <w:color w:val="000000"/>
          <w:kern w:val="2"/>
          <w:sz w:val="24"/>
          <w:szCs w:val="24"/>
          <w:lang w:val="en-US" w:eastAsia="zh-CN" w:bidi="ar-SA"/>
        </w:rPr>
        <w:t>》《</w:t>
      </w:r>
      <w:r>
        <w:rPr>
          <w:rFonts w:hint="default" w:ascii="Times New Roman" w:hAnsi="Times New Roman" w:eastAsia="宋体" w:cs="Times New Roman"/>
          <w:b w:val="0"/>
          <w:bCs w:val="0"/>
          <w:color w:val="000000"/>
          <w:kern w:val="2"/>
          <w:sz w:val="24"/>
          <w:szCs w:val="24"/>
          <w:lang w:val="en-US" w:eastAsia="zh-CN" w:bidi="ar-SA"/>
        </w:rPr>
        <w:t>中华人民共和国环境影响评价法</w:t>
      </w:r>
      <w:r>
        <w:rPr>
          <w:rFonts w:hint="eastAsia" w:cs="Times New Roman"/>
          <w:b w:val="0"/>
          <w:bCs w:val="0"/>
          <w:color w:val="000000"/>
          <w:kern w:val="2"/>
          <w:sz w:val="24"/>
          <w:szCs w:val="24"/>
          <w:lang w:val="en-US" w:eastAsia="zh-CN" w:bidi="ar-SA"/>
        </w:rPr>
        <w:t>》《</w:t>
      </w:r>
      <w:r>
        <w:rPr>
          <w:rFonts w:hint="default" w:ascii="Times New Roman" w:hAnsi="Times New Roman" w:eastAsia="宋体" w:cs="Times New Roman"/>
          <w:b w:val="0"/>
          <w:bCs w:val="0"/>
          <w:color w:val="000000"/>
          <w:kern w:val="2"/>
          <w:sz w:val="24"/>
          <w:szCs w:val="24"/>
          <w:lang w:val="en-US" w:eastAsia="zh-CN" w:bidi="ar-SA"/>
        </w:rPr>
        <w:t>中华人民共和国海洋环境保护法</w:t>
      </w:r>
      <w:r>
        <w:rPr>
          <w:rFonts w:hint="eastAsia" w:cs="Times New Roman"/>
          <w:b w:val="0"/>
          <w:bCs w:val="0"/>
          <w:color w:val="000000"/>
          <w:kern w:val="2"/>
          <w:sz w:val="24"/>
          <w:szCs w:val="24"/>
          <w:lang w:val="en-US" w:eastAsia="zh-CN" w:bidi="ar-SA"/>
        </w:rPr>
        <w:t>》《</w:t>
      </w:r>
      <w:r>
        <w:rPr>
          <w:rFonts w:hint="default" w:ascii="Times New Roman" w:hAnsi="Times New Roman" w:eastAsia="宋体" w:cs="Times New Roman"/>
          <w:b w:val="0"/>
          <w:bCs w:val="0"/>
          <w:color w:val="000000"/>
          <w:kern w:val="2"/>
          <w:sz w:val="24"/>
          <w:szCs w:val="24"/>
          <w:lang w:val="en-US" w:eastAsia="zh-CN" w:bidi="ar-SA"/>
        </w:rPr>
        <w:t>中华人民共和国大气污染防治法</w:t>
      </w:r>
      <w:r>
        <w:rPr>
          <w:rFonts w:hint="eastAsia" w:cs="Times New Roman"/>
          <w:b w:val="0"/>
          <w:bCs w:val="0"/>
          <w:color w:val="000000"/>
          <w:kern w:val="2"/>
          <w:sz w:val="24"/>
          <w:szCs w:val="24"/>
          <w:lang w:val="en-US" w:eastAsia="zh-CN" w:bidi="ar-SA"/>
        </w:rPr>
        <w:t>》《</w:t>
      </w:r>
      <w:r>
        <w:rPr>
          <w:rFonts w:hint="default" w:ascii="Times New Roman" w:hAnsi="Times New Roman" w:eastAsia="宋体" w:cs="Times New Roman"/>
          <w:b w:val="0"/>
          <w:bCs w:val="0"/>
          <w:color w:val="000000"/>
          <w:kern w:val="2"/>
          <w:sz w:val="24"/>
          <w:szCs w:val="24"/>
          <w:lang w:val="en-US" w:eastAsia="zh-CN" w:bidi="ar-SA"/>
        </w:rPr>
        <w:t>中华人民共和国水污染防治法</w:t>
      </w:r>
      <w:r>
        <w:rPr>
          <w:rFonts w:hint="eastAsia" w:cs="Times New Roman"/>
          <w:b w:val="0"/>
          <w:bCs w:val="0"/>
          <w:color w:val="000000"/>
          <w:kern w:val="2"/>
          <w:sz w:val="24"/>
          <w:szCs w:val="24"/>
          <w:lang w:val="en-US" w:eastAsia="zh-CN" w:bidi="ar-SA"/>
        </w:rPr>
        <w:t>》《</w:t>
      </w:r>
      <w:r>
        <w:rPr>
          <w:rFonts w:hint="default" w:ascii="Times New Roman" w:hAnsi="Times New Roman" w:eastAsia="宋体" w:cs="Times New Roman"/>
          <w:b w:val="0"/>
          <w:bCs w:val="0"/>
          <w:color w:val="000000"/>
          <w:kern w:val="2"/>
          <w:sz w:val="24"/>
          <w:szCs w:val="24"/>
          <w:lang w:val="en-US" w:eastAsia="zh-CN" w:bidi="ar-SA"/>
        </w:rPr>
        <w:t>中华人民共和国土壤污染防治法</w:t>
      </w:r>
      <w:r>
        <w:rPr>
          <w:rFonts w:hint="eastAsia" w:cs="Times New Roman"/>
          <w:b w:val="0"/>
          <w:bCs w:val="0"/>
          <w:color w:val="000000"/>
          <w:kern w:val="2"/>
          <w:sz w:val="24"/>
          <w:szCs w:val="24"/>
          <w:lang w:val="en-US" w:eastAsia="zh-CN" w:bidi="ar-SA"/>
        </w:rPr>
        <w:t>》《</w:t>
      </w:r>
      <w:r>
        <w:rPr>
          <w:rFonts w:hint="default" w:ascii="Times New Roman" w:hAnsi="Times New Roman" w:eastAsia="宋体" w:cs="Times New Roman"/>
          <w:b w:val="0"/>
          <w:bCs w:val="0"/>
          <w:color w:val="000000"/>
          <w:kern w:val="2"/>
          <w:sz w:val="24"/>
          <w:szCs w:val="24"/>
          <w:lang w:val="en-US" w:eastAsia="zh-CN" w:bidi="ar-SA"/>
        </w:rPr>
        <w:t>中华人民共和国固体废物污染环境防治法</w:t>
      </w:r>
      <w:r>
        <w:rPr>
          <w:rFonts w:hint="eastAsia" w:cs="Times New Roman"/>
          <w:b w:val="0"/>
          <w:bCs w:val="0"/>
          <w:color w:val="000000"/>
          <w:kern w:val="2"/>
          <w:sz w:val="24"/>
          <w:szCs w:val="24"/>
          <w:lang w:val="en-US" w:eastAsia="zh-CN" w:bidi="ar-SA"/>
        </w:rPr>
        <w:t>》《</w:t>
      </w:r>
      <w:r>
        <w:rPr>
          <w:rFonts w:hint="default" w:ascii="Times New Roman" w:hAnsi="Times New Roman" w:eastAsia="宋体" w:cs="Times New Roman"/>
          <w:b w:val="0"/>
          <w:bCs w:val="0"/>
          <w:color w:val="000000"/>
          <w:kern w:val="2"/>
          <w:sz w:val="24"/>
          <w:szCs w:val="24"/>
          <w:lang w:val="en-US" w:eastAsia="zh-CN" w:bidi="ar-SA"/>
        </w:rPr>
        <w:t>中华人民共和国噪声污染防治法</w:t>
      </w:r>
      <w:r>
        <w:rPr>
          <w:rFonts w:hint="eastAsia" w:cs="Times New Roman"/>
          <w:b w:val="0"/>
          <w:bCs w:val="0"/>
          <w:color w:val="000000"/>
          <w:kern w:val="2"/>
          <w:sz w:val="24"/>
          <w:szCs w:val="24"/>
          <w:lang w:val="en-US" w:eastAsia="zh-CN" w:bidi="ar-SA"/>
        </w:rPr>
        <w:t>》《</w:t>
      </w:r>
      <w:r>
        <w:rPr>
          <w:rFonts w:hint="default" w:ascii="Times New Roman" w:hAnsi="Times New Roman" w:eastAsia="宋体" w:cs="Times New Roman"/>
          <w:b w:val="0"/>
          <w:bCs w:val="0"/>
          <w:color w:val="000000"/>
          <w:kern w:val="2"/>
          <w:sz w:val="24"/>
          <w:szCs w:val="24"/>
          <w:lang w:val="en-US" w:eastAsia="zh-CN" w:bidi="ar-SA"/>
        </w:rPr>
        <w:t>中华人民共和国放射性污染防治法</w:t>
      </w:r>
      <w:r>
        <w:rPr>
          <w:rFonts w:hint="eastAsia" w:cs="Times New Roman"/>
          <w:b w:val="0"/>
          <w:bCs w:val="0"/>
          <w:color w:val="000000"/>
          <w:kern w:val="2"/>
          <w:sz w:val="24"/>
          <w:szCs w:val="24"/>
          <w:lang w:val="en-US" w:eastAsia="zh-CN" w:bidi="ar-SA"/>
        </w:rPr>
        <w:t>》《</w:t>
      </w:r>
      <w:r>
        <w:rPr>
          <w:rFonts w:hint="default" w:ascii="Times New Roman" w:hAnsi="Times New Roman" w:eastAsia="宋体" w:cs="Times New Roman"/>
          <w:b w:val="0"/>
          <w:bCs w:val="0"/>
          <w:color w:val="000000"/>
          <w:kern w:val="2"/>
          <w:sz w:val="24"/>
          <w:szCs w:val="24"/>
          <w:lang w:val="en-US" w:eastAsia="zh-CN" w:bidi="ar-SA"/>
        </w:rPr>
        <w:t>中华人民共和国清洁生产促进法》同时废止。</w:t>
      </w:r>
    </w:p>
    <w:p w14:paraId="1FFE6BAC">
      <w:pPr>
        <w:pStyle w:val="5"/>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jc w:val="left"/>
        <w:textAlignment w:val="auto"/>
        <w:rPr>
          <w:rFonts w:hint="default" w:ascii="Times New Roman" w:hAnsi="Times New Roman" w:eastAsia="宋体" w:cs="Times New Roman"/>
          <w:b w:val="0"/>
          <w:bCs w:val="0"/>
          <w:color w:val="000000"/>
          <w:kern w:val="2"/>
          <w:sz w:val="24"/>
          <w:szCs w:val="24"/>
          <w:lang w:val="en-US" w:eastAsia="zh-CN" w:bidi="ar-SA"/>
        </w:rPr>
      </w:pPr>
      <w:bookmarkStart w:id="53" w:name="_Toc29122"/>
      <w:r>
        <w:rPr>
          <w:rFonts w:hint="default" w:ascii="Times New Roman" w:hAnsi="Times New Roman" w:eastAsia="宋体" w:cs="Times New Roman"/>
          <w:b w:val="0"/>
          <w:bCs w:val="0"/>
          <w:color w:val="000000"/>
          <w:kern w:val="2"/>
          <w:sz w:val="24"/>
          <w:szCs w:val="24"/>
          <w:lang w:val="en-US" w:eastAsia="zh-CN" w:bidi="ar-SA"/>
        </w:rPr>
        <w:t>1.1.2环境保护相关法规</w:t>
      </w:r>
      <w:bookmarkEnd w:id="53"/>
    </w:p>
    <w:p w14:paraId="616CE7C8">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（1）《建设项目环境保护管理条例》（国务院令第682号）2017.10.1；</w:t>
      </w:r>
    </w:p>
    <w:p w14:paraId="3B70A0A6">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（2）《自然资源部生态环境部国家林业和草原局关于加强生态保护红线管理的通知（试行）》（自然资发〔2022〕142号）；</w:t>
      </w:r>
    </w:p>
    <w:p w14:paraId="69183504">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（3）《中华人民共和国河道管理条例》（2017年10月7日修订）；</w:t>
      </w:r>
    </w:p>
    <w:p w14:paraId="094B5F7F">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（4）《中华人民共和国陆生野生动物保护实施条例》2016年2月6日修订；</w:t>
      </w:r>
    </w:p>
    <w:p w14:paraId="4F197A3F">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（5）《中华人民共和国水生野生动物保护实施条例》2013年12月修订；</w:t>
      </w:r>
    </w:p>
    <w:p w14:paraId="0E3E1492">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（6）《中华人民共和国野生植物保护条例》2017年10月7日修订；</w:t>
      </w:r>
    </w:p>
    <w:p w14:paraId="58434BD2">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w:t>
      </w:r>
      <w:r>
        <w:rPr>
          <w:rFonts w:hint="eastAsia" w:cs="Times New Roman"/>
          <w:color w:val="000000"/>
          <w:sz w:val="24"/>
          <w:szCs w:val="24"/>
          <w:lang w:val="en-US" w:eastAsia="zh-CN"/>
        </w:rPr>
        <w:t>7</w:t>
      </w:r>
      <w:r>
        <w:rPr>
          <w:rFonts w:hint="default" w:ascii="Times New Roman" w:hAnsi="Times New Roman" w:eastAsia="宋体" w:cs="Times New Roman"/>
          <w:color w:val="000000"/>
          <w:sz w:val="24"/>
          <w:szCs w:val="24"/>
          <w:lang w:val="en-US" w:eastAsia="zh-CN"/>
        </w:rPr>
        <w:t>）《关于加强和改进永久基本农田保护工作的通知》（自然资规〔2019〕1号）；</w:t>
      </w:r>
    </w:p>
    <w:p w14:paraId="2317BE40">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w:t>
      </w:r>
      <w:r>
        <w:rPr>
          <w:rFonts w:hint="eastAsia" w:cs="Times New Roman"/>
          <w:color w:val="000000"/>
          <w:sz w:val="24"/>
          <w:szCs w:val="24"/>
          <w:lang w:val="en-US" w:eastAsia="zh-CN"/>
        </w:rPr>
        <w:t>8</w:t>
      </w:r>
      <w:r>
        <w:rPr>
          <w:rFonts w:hint="default" w:ascii="Times New Roman" w:hAnsi="Times New Roman" w:eastAsia="宋体" w:cs="Times New Roman"/>
          <w:color w:val="000000"/>
          <w:sz w:val="24"/>
          <w:szCs w:val="24"/>
          <w:lang w:val="en-US" w:eastAsia="zh-CN"/>
        </w:rPr>
        <w:t>）《生态保护补偿条例》已经2024年2月23日国务院第26次常务会议通过，自2024年6月1日起施行；</w:t>
      </w:r>
    </w:p>
    <w:p w14:paraId="6D39FDA0">
      <w:pPr>
        <w:pStyle w:val="5"/>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jc w:val="left"/>
        <w:textAlignment w:val="auto"/>
        <w:rPr>
          <w:rFonts w:hint="default" w:ascii="Times New Roman" w:hAnsi="Times New Roman" w:eastAsia="宋体" w:cs="Times New Roman"/>
          <w:b w:val="0"/>
          <w:bCs w:val="0"/>
          <w:color w:val="000000"/>
          <w:kern w:val="2"/>
          <w:sz w:val="24"/>
          <w:szCs w:val="24"/>
          <w:lang w:val="en-US" w:eastAsia="zh-CN" w:bidi="ar-SA"/>
        </w:rPr>
      </w:pPr>
      <w:bookmarkStart w:id="54" w:name="_Toc24114"/>
      <w:r>
        <w:rPr>
          <w:rFonts w:hint="default" w:ascii="Times New Roman" w:hAnsi="Times New Roman" w:eastAsia="宋体" w:cs="Times New Roman"/>
          <w:b w:val="0"/>
          <w:bCs w:val="0"/>
          <w:color w:val="000000"/>
          <w:kern w:val="2"/>
          <w:sz w:val="24"/>
          <w:szCs w:val="24"/>
          <w:lang w:val="en-US" w:eastAsia="zh-CN" w:bidi="ar-SA"/>
        </w:rPr>
        <w:t>1.1.3地方性法规、政策</w:t>
      </w:r>
      <w:bookmarkEnd w:id="54"/>
    </w:p>
    <w:p w14:paraId="2C8F4FCE">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（1）《新疆维吾尔自治区环境保护条例》（2018修正），2018.09.21；</w:t>
      </w:r>
    </w:p>
    <w:p w14:paraId="10926990">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（2）《新疆维吾尔自治区大气污染防治条例》（2019.1.1）；</w:t>
      </w:r>
    </w:p>
    <w:p w14:paraId="4D7C08C7">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（4）《关于印发新疆维吾尔自治区水污染防治工作方案的通知》（新政发〔2016〕21号，2016年1月29日）；</w:t>
      </w:r>
    </w:p>
    <w:p w14:paraId="5F0E8D78">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（5）《新疆维吾尔自治区关于进一步强化水资源保护管理的实施意见》（新政办发〔2021〕80号）；</w:t>
      </w:r>
    </w:p>
    <w:p w14:paraId="218931BB">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（6）《新疆维吾尔自治区节水行动实施方案》（新政办发〔2019〕125号）；</w:t>
      </w:r>
    </w:p>
    <w:p w14:paraId="35701CA7">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（7）《关于印发新疆维吾尔自治区土壤污染防治工作方案的通知》（新政发〔2017〕25号，2017年3月1日）；</w:t>
      </w:r>
    </w:p>
    <w:p w14:paraId="50755422">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（8）</w:t>
      </w:r>
      <w:r>
        <w:rPr>
          <w:rFonts w:hint="default" w:ascii="Times New Roman" w:hAnsi="Times New Roman" w:eastAsia="宋体" w:cs="Times New Roman"/>
          <w:color w:val="000000"/>
        </w:rPr>
        <w:t>《新疆维吾尔自治区重点行业</w:t>
      </w:r>
      <w:r>
        <w:rPr>
          <w:rFonts w:hint="default" w:ascii="Times New Roman" w:hAnsi="Times New Roman" w:eastAsia="宋体" w:cs="Times New Roman"/>
          <w:color w:val="000000"/>
          <w:lang w:val="en-US" w:eastAsia="zh-CN"/>
        </w:rPr>
        <w:t>生态</w:t>
      </w:r>
      <w:r>
        <w:rPr>
          <w:rFonts w:hint="default" w:ascii="Times New Roman" w:hAnsi="Times New Roman" w:eastAsia="宋体" w:cs="Times New Roman"/>
          <w:color w:val="000000"/>
        </w:rPr>
        <w:t>环境准入条件（</w:t>
      </w:r>
      <w:r>
        <w:rPr>
          <w:rFonts w:hint="default" w:ascii="Times New Roman" w:hAnsi="Times New Roman" w:eastAsia="宋体" w:cs="Times New Roman"/>
          <w:color w:val="000000"/>
          <w:lang w:val="en-US" w:eastAsia="zh-CN"/>
        </w:rPr>
        <w:t>2024年</w:t>
      </w:r>
      <w:r>
        <w:rPr>
          <w:rFonts w:hint="default" w:ascii="Times New Roman" w:hAnsi="Times New Roman" w:eastAsia="宋体" w:cs="Times New Roman"/>
          <w:color w:val="000000"/>
        </w:rPr>
        <w:t>）》</w:t>
      </w:r>
      <w:r>
        <w:rPr>
          <w:rFonts w:hint="default" w:ascii="Times New Roman" w:hAnsi="Times New Roman" w:eastAsia="宋体" w:cs="Times New Roman"/>
          <w:color w:val="000000"/>
          <w:sz w:val="24"/>
          <w:szCs w:val="24"/>
          <w:lang w:val="en-US" w:eastAsia="zh-CN"/>
        </w:rPr>
        <w:t>；</w:t>
      </w:r>
    </w:p>
    <w:p w14:paraId="39DAF86C">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（9）《中国新疆水环境功能区划》（新疆维吾尔自治区人民政府，新政函〔2002〕194号文，2002年11月16日）</w:t>
      </w:r>
      <w:r>
        <w:rPr>
          <w:rFonts w:hint="eastAsia" w:cs="Times New Roman"/>
          <w:color w:val="000000"/>
          <w:sz w:val="24"/>
          <w:szCs w:val="24"/>
          <w:lang w:val="en-US" w:eastAsia="zh-CN"/>
        </w:rPr>
        <w:t>。</w:t>
      </w:r>
    </w:p>
    <w:p w14:paraId="4F26E01A">
      <w:pPr>
        <w:pStyle w:val="5"/>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jc w:val="left"/>
        <w:textAlignment w:val="auto"/>
        <w:rPr>
          <w:rFonts w:hint="default" w:ascii="Times New Roman" w:hAnsi="Times New Roman" w:eastAsia="宋体" w:cs="Times New Roman"/>
          <w:b w:val="0"/>
          <w:bCs w:val="0"/>
          <w:color w:val="000000"/>
          <w:kern w:val="2"/>
          <w:sz w:val="24"/>
          <w:szCs w:val="24"/>
          <w:lang w:val="en-US" w:eastAsia="zh-CN" w:bidi="ar-SA"/>
        </w:rPr>
      </w:pPr>
      <w:bookmarkStart w:id="55" w:name="_Toc1467"/>
      <w:r>
        <w:rPr>
          <w:rFonts w:hint="default" w:ascii="Times New Roman" w:hAnsi="Times New Roman" w:eastAsia="宋体" w:cs="Times New Roman"/>
          <w:b w:val="0"/>
          <w:bCs w:val="0"/>
          <w:color w:val="000000"/>
          <w:kern w:val="2"/>
          <w:sz w:val="24"/>
          <w:szCs w:val="24"/>
          <w:lang w:val="en-US" w:eastAsia="zh-CN" w:bidi="ar-SA"/>
        </w:rPr>
        <w:t>1.1.4部门规章及规定</w:t>
      </w:r>
      <w:bookmarkEnd w:id="55"/>
    </w:p>
    <w:p w14:paraId="2F0FCDC9">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（1）《建设项目环境影响评价分类管理名录（2021年版）》（部令第16号，2021年1月1日）；</w:t>
      </w:r>
    </w:p>
    <w:p w14:paraId="0293C982">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（2）《产业结构调整指导目录（2024年本）》（中华人民共和国国家发展和改革委员会令第7号发布，2023年12月27日）；</w:t>
      </w:r>
    </w:p>
    <w:p w14:paraId="11815AD7">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（3）《市场准入负面清单（2025年版）》；</w:t>
      </w:r>
    </w:p>
    <w:p w14:paraId="6E77BE1D">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（4）《西部地区鼓励类产业目录（2025年本）》；</w:t>
      </w:r>
    </w:p>
    <w:p w14:paraId="1CBD113D">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（5）中国生物多样性红色名录—脊椎动物卷（2020）（生态环境部、中国科学院，公告2023年第15号）；</w:t>
      </w:r>
    </w:p>
    <w:p w14:paraId="288BE17C">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（6）《中国生物多样性红色名录—高等植物卷（2020）》（生态环境部、中国科学院，公告2023年第15号）；</w:t>
      </w:r>
    </w:p>
    <w:p w14:paraId="58EB83DE">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（7）《世界自然保护联盟（IUCN）濒危物种红色名录》（2015）；</w:t>
      </w:r>
    </w:p>
    <w:p w14:paraId="5D162C5B">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（8）《国家重点保护野生动物名录》（2021.2.5）；</w:t>
      </w:r>
    </w:p>
    <w:p w14:paraId="02EC3939">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（9）《国家重点保护野生植物名录》（2021.9.7）；</w:t>
      </w:r>
    </w:p>
    <w:p w14:paraId="6DA255F3">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（10）《陆生野生动物重要栖息地名录》（第一批）（国家林业和草原局公告2023年第23号，2024.1.1）；</w:t>
      </w:r>
    </w:p>
    <w:p w14:paraId="59DE37D8">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（11）《新疆国家重点保护野生动物名录》（2021.7.28）；</w:t>
      </w:r>
    </w:p>
    <w:p w14:paraId="54A4E399">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（12）《新疆国家重点保护野生植物名录》（新林护字〔2022〕8号，2022.3.9）；</w:t>
      </w:r>
    </w:p>
    <w:p w14:paraId="5516A465">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（13）《新疆维吾尔自治区重点保护野生动物名录（修订》）（新政发〔2022〕75号，2022年12月）；</w:t>
      </w:r>
    </w:p>
    <w:p w14:paraId="5EC6EAC6">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（14）《新疆维吾尔自治区重点保护野生植物名录》（2024年1月8日）；</w:t>
      </w:r>
    </w:p>
    <w:p w14:paraId="7A5EE408">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（15）《自然资源要素支撑产业高质量发展指导目录（2024年本）》（自然资发〔2024〕273号），2024年10月2日；</w:t>
      </w:r>
    </w:p>
    <w:p w14:paraId="2841B247">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（16）《建设项目使用林地审核审批管理办法》（林资规〔2021〕5号）；</w:t>
      </w:r>
    </w:p>
    <w:p w14:paraId="516F082E">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w:t>
      </w:r>
      <w:r>
        <w:rPr>
          <w:rFonts w:hint="eastAsia" w:cs="Times New Roman"/>
          <w:color w:val="000000"/>
          <w:sz w:val="24"/>
          <w:szCs w:val="24"/>
          <w:lang w:val="en-US" w:eastAsia="zh-CN"/>
        </w:rPr>
        <w:t>7</w:t>
      </w:r>
      <w:r>
        <w:rPr>
          <w:rFonts w:hint="default" w:ascii="Times New Roman" w:hAnsi="Times New Roman" w:eastAsia="宋体" w:cs="Times New Roman"/>
          <w:color w:val="000000"/>
          <w:sz w:val="24"/>
          <w:szCs w:val="24"/>
          <w:lang w:val="en-US" w:eastAsia="zh-CN"/>
        </w:rPr>
        <w:t>）《关于以改善环境质量为核心加强环境影响评价管理的通知》（环环评〔2016〕50号，2016年10月27日）；</w:t>
      </w:r>
    </w:p>
    <w:p w14:paraId="276646D9">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w:t>
      </w:r>
      <w:r>
        <w:rPr>
          <w:rFonts w:hint="eastAsia" w:cs="Times New Roman"/>
          <w:color w:val="000000"/>
          <w:sz w:val="24"/>
          <w:szCs w:val="24"/>
          <w:lang w:val="en-US" w:eastAsia="zh-CN"/>
        </w:rPr>
        <w:t>8</w:t>
      </w:r>
      <w:r>
        <w:rPr>
          <w:rFonts w:hint="default" w:ascii="Times New Roman" w:hAnsi="Times New Roman" w:eastAsia="宋体" w:cs="Times New Roman"/>
          <w:color w:val="000000"/>
          <w:sz w:val="24"/>
          <w:szCs w:val="24"/>
          <w:lang w:val="en-US" w:eastAsia="zh-CN"/>
        </w:rPr>
        <w:t>）《中华人民共和国土地管理法实施条例》，中华人民共和国国务院令第743号，2021年9月1日起施行；</w:t>
      </w:r>
    </w:p>
    <w:p w14:paraId="05877515">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w:t>
      </w:r>
      <w:r>
        <w:rPr>
          <w:rFonts w:hint="eastAsia" w:cs="Times New Roman"/>
          <w:color w:val="000000"/>
          <w:sz w:val="24"/>
          <w:szCs w:val="24"/>
          <w:lang w:val="en-US" w:eastAsia="zh-CN"/>
        </w:rPr>
        <w:t>19</w:t>
      </w:r>
      <w:r>
        <w:rPr>
          <w:rFonts w:hint="default" w:ascii="Times New Roman" w:hAnsi="Times New Roman" w:eastAsia="宋体" w:cs="Times New Roman"/>
          <w:color w:val="000000"/>
          <w:sz w:val="24"/>
          <w:szCs w:val="24"/>
          <w:lang w:val="en-US" w:eastAsia="zh-CN"/>
        </w:rPr>
        <w:t>）《国务院关于印发土壤污染防治行动计划的通知》（国发〔2016〕31号）；</w:t>
      </w:r>
    </w:p>
    <w:p w14:paraId="50BDD9EA">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w:t>
      </w:r>
      <w:r>
        <w:rPr>
          <w:rFonts w:hint="eastAsia" w:cs="Times New Roman"/>
          <w:color w:val="000000"/>
          <w:sz w:val="24"/>
          <w:szCs w:val="24"/>
          <w:lang w:val="en-US" w:eastAsia="zh-CN"/>
        </w:rPr>
        <w:t>0</w:t>
      </w:r>
      <w:r>
        <w:rPr>
          <w:rFonts w:hint="default" w:ascii="Times New Roman" w:hAnsi="Times New Roman" w:eastAsia="宋体" w:cs="Times New Roman"/>
          <w:color w:val="000000"/>
          <w:sz w:val="24"/>
          <w:szCs w:val="24"/>
          <w:lang w:val="en-US" w:eastAsia="zh-CN"/>
        </w:rPr>
        <w:t>）《国务院关于印发水污染防治行动计划的通知》（国发〔2015〕17号，2015.4.16）；</w:t>
      </w:r>
    </w:p>
    <w:p w14:paraId="6E3FF05E">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w:t>
      </w:r>
      <w:r>
        <w:rPr>
          <w:rFonts w:hint="eastAsia" w:cs="Times New Roman"/>
          <w:color w:val="000000"/>
          <w:sz w:val="24"/>
          <w:szCs w:val="24"/>
          <w:lang w:val="en-US" w:eastAsia="zh-CN"/>
        </w:rPr>
        <w:t>1</w:t>
      </w:r>
      <w:r>
        <w:rPr>
          <w:rFonts w:hint="default" w:ascii="Times New Roman" w:hAnsi="Times New Roman" w:eastAsia="宋体" w:cs="Times New Roman"/>
          <w:color w:val="000000"/>
          <w:sz w:val="24"/>
          <w:szCs w:val="24"/>
          <w:lang w:val="en-US" w:eastAsia="zh-CN"/>
        </w:rPr>
        <w:t>）《中共中央国务院</w:t>
      </w:r>
      <w:r>
        <w:rPr>
          <w:rFonts w:hint="default" w:ascii="Times New Roman" w:hAnsi="Times New Roman" w:eastAsia="宋体" w:cs="Times New Roman"/>
          <w:color w:val="000000"/>
          <w:sz w:val="24"/>
          <w:szCs w:val="24"/>
          <w:highlight w:val="none"/>
          <w:lang w:val="en-US" w:eastAsia="zh-CN"/>
        </w:rPr>
        <w:t>关于全面加强生态环境保护坚决打好污染防治攻坚战的意见》</w:t>
      </w:r>
      <w:r>
        <w:rPr>
          <w:rFonts w:hint="default" w:ascii="Times New Roman" w:hAnsi="Times New Roman" w:eastAsia="宋体" w:cs="Times New Roman"/>
          <w:color w:val="000000"/>
          <w:sz w:val="24"/>
          <w:szCs w:val="24"/>
          <w:lang w:val="en-US" w:eastAsia="zh-CN"/>
        </w:rPr>
        <w:t>；</w:t>
      </w:r>
    </w:p>
    <w:p w14:paraId="2A7F9E82">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w:t>
      </w:r>
      <w:r>
        <w:rPr>
          <w:rFonts w:hint="eastAsia" w:cs="Times New Roman"/>
          <w:color w:val="000000"/>
          <w:sz w:val="24"/>
          <w:szCs w:val="24"/>
          <w:lang w:val="en-US" w:eastAsia="zh-CN"/>
        </w:rPr>
        <w:t>2</w:t>
      </w:r>
      <w:r>
        <w:rPr>
          <w:rFonts w:hint="default" w:ascii="Times New Roman" w:hAnsi="Times New Roman" w:eastAsia="宋体" w:cs="Times New Roman"/>
          <w:color w:val="000000"/>
          <w:sz w:val="24"/>
          <w:szCs w:val="24"/>
          <w:lang w:val="en-US" w:eastAsia="zh-CN"/>
        </w:rPr>
        <w:t>）《排污许可管理条例》，中华人民共和国国务院令第736号，2021年3月1日起施行；</w:t>
      </w:r>
    </w:p>
    <w:p w14:paraId="58442932">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w:t>
      </w:r>
      <w:r>
        <w:rPr>
          <w:rFonts w:hint="eastAsia" w:cs="Times New Roman"/>
          <w:color w:val="000000"/>
          <w:sz w:val="24"/>
          <w:szCs w:val="24"/>
          <w:lang w:val="en-US" w:eastAsia="zh-CN"/>
        </w:rPr>
        <w:t>3</w:t>
      </w:r>
      <w:r>
        <w:rPr>
          <w:rFonts w:hint="default" w:ascii="Times New Roman" w:hAnsi="Times New Roman" w:eastAsia="宋体" w:cs="Times New Roman"/>
          <w:color w:val="000000"/>
          <w:sz w:val="24"/>
          <w:szCs w:val="24"/>
          <w:lang w:val="en-US" w:eastAsia="zh-CN"/>
        </w:rPr>
        <w:t>）《关于做好环境影响评价制度与排污许可制度衔接相关工作的通知》（2017年11月15日印发）；</w:t>
      </w:r>
    </w:p>
    <w:p w14:paraId="3B51E643">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lang w:val="en-US" w:eastAsia="zh-CN"/>
        </w:rPr>
        <w:t>）《突发事件应急预案管理办法》（国办发〔2024〕5号），2024年1月31日；</w:t>
      </w:r>
    </w:p>
    <w:p w14:paraId="5384F43D">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w:t>
      </w:r>
      <w:r>
        <w:rPr>
          <w:rFonts w:hint="eastAsia" w:cs="Times New Roman"/>
          <w:color w:val="000000"/>
          <w:sz w:val="24"/>
          <w:szCs w:val="24"/>
          <w:lang w:val="en-US" w:eastAsia="zh-CN"/>
        </w:rPr>
        <w:t>5</w:t>
      </w:r>
      <w:r>
        <w:rPr>
          <w:rFonts w:hint="default" w:ascii="Times New Roman" w:hAnsi="Times New Roman" w:eastAsia="宋体" w:cs="Times New Roman"/>
          <w:color w:val="000000"/>
          <w:sz w:val="24"/>
          <w:szCs w:val="24"/>
          <w:lang w:val="en-US" w:eastAsia="zh-CN"/>
        </w:rPr>
        <w:t>）《建设项目竣工环境保护验收暂行办法》（国环规环评〔2017〕4号，2017年11月22日施行）。</w:t>
      </w:r>
    </w:p>
    <w:p w14:paraId="54AD4DF0">
      <w:pPr>
        <w:pStyle w:val="5"/>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b w:val="0"/>
          <w:bCs w:val="0"/>
          <w:color w:val="000000"/>
          <w:kern w:val="2"/>
          <w:sz w:val="24"/>
          <w:szCs w:val="24"/>
          <w:lang w:val="en-US" w:eastAsia="zh-CN" w:bidi="ar-SA"/>
        </w:rPr>
      </w:pPr>
      <w:bookmarkStart w:id="56" w:name="_Toc1032"/>
      <w:r>
        <w:rPr>
          <w:rFonts w:hint="default" w:ascii="Times New Roman" w:hAnsi="Times New Roman" w:eastAsia="宋体" w:cs="Times New Roman"/>
          <w:b w:val="0"/>
          <w:bCs w:val="0"/>
          <w:color w:val="000000"/>
          <w:kern w:val="2"/>
          <w:sz w:val="24"/>
          <w:szCs w:val="24"/>
          <w:lang w:val="en-US" w:eastAsia="zh-CN" w:bidi="ar-SA"/>
        </w:rPr>
        <w:t>1.1.5技术依据</w:t>
      </w:r>
      <w:bookmarkEnd w:id="56"/>
    </w:p>
    <w:p w14:paraId="2D7BF56F">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（1）《建设项目环境影响评价技术导则 总纲》（HJ2.1-2016）；</w:t>
      </w:r>
    </w:p>
    <w:p w14:paraId="126DA993">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（2）《环境影响评价技术导则 大气环境》（HJ2.2-2018）；</w:t>
      </w:r>
    </w:p>
    <w:p w14:paraId="7F864522">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（3）《环境影响评价技术导则 地下水环境》（HJ610-2016）；</w:t>
      </w:r>
    </w:p>
    <w:p w14:paraId="39AD1DCD">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（4）《环境影响评价技术导则 地表水环境》（HJ2.3-2018）；</w:t>
      </w:r>
    </w:p>
    <w:p w14:paraId="08113029">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（5）《环境影响评价技术导则 声环境》（HJ 2.4-2021）；</w:t>
      </w:r>
    </w:p>
    <w:p w14:paraId="7CD283DB">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（6）《环境影响评价技术导则 土壤环境（试行）》（HJ964-2018）；</w:t>
      </w:r>
    </w:p>
    <w:p w14:paraId="53FD343A">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（7）《环境影响评价技术导则 生态影响》（HJ19-2022）；</w:t>
      </w:r>
    </w:p>
    <w:p w14:paraId="4FDE8C56">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（8）《建设项目环境风险评价技术导则》（HJ169-2018）。</w:t>
      </w:r>
    </w:p>
    <w:p w14:paraId="7DFBFE66">
      <w:pPr>
        <w:pStyle w:val="5"/>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b w:val="0"/>
          <w:bCs w:val="0"/>
          <w:color w:val="000000"/>
          <w:kern w:val="2"/>
          <w:sz w:val="24"/>
          <w:szCs w:val="24"/>
          <w:lang w:val="en-US" w:eastAsia="zh-CN" w:bidi="ar-SA"/>
        </w:rPr>
      </w:pPr>
      <w:bookmarkStart w:id="57" w:name="_Toc14361"/>
      <w:r>
        <w:rPr>
          <w:rFonts w:hint="default" w:ascii="Times New Roman" w:hAnsi="Times New Roman" w:eastAsia="宋体" w:cs="Times New Roman"/>
          <w:b w:val="0"/>
          <w:bCs w:val="0"/>
          <w:color w:val="000000"/>
          <w:kern w:val="2"/>
          <w:sz w:val="24"/>
          <w:szCs w:val="24"/>
          <w:lang w:val="en-US" w:eastAsia="zh-CN" w:bidi="ar-SA"/>
        </w:rPr>
        <w:t>1.1.6相关规划及依据</w:t>
      </w:r>
      <w:bookmarkEnd w:id="57"/>
    </w:p>
    <w:p w14:paraId="3000BF53">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（1）《全国生态功能区划（2015年）》；</w:t>
      </w:r>
    </w:p>
    <w:p w14:paraId="03BE4045">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（2）《新疆维吾尔自治区主体功能区规划》；</w:t>
      </w:r>
    </w:p>
    <w:p w14:paraId="65D76C55">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（3）《新疆生态环境保护“十四五”规划》（2022年5月7日）；</w:t>
      </w:r>
    </w:p>
    <w:p w14:paraId="0798BE63">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（4）《昌吉回族自治州国民经济和社会发展第十</w:t>
      </w:r>
      <w:r>
        <w:rPr>
          <w:rFonts w:hint="eastAsia" w:ascii="Times New Roman" w:hAnsi="Times New Roman" w:eastAsia="宋体" w:cs="Times New Roman"/>
          <w:color w:val="000000"/>
          <w:sz w:val="24"/>
          <w:szCs w:val="24"/>
          <w:lang w:val="en-US" w:eastAsia="zh-CN"/>
        </w:rPr>
        <w:t>五</w:t>
      </w:r>
      <w:r>
        <w:rPr>
          <w:rFonts w:hint="default" w:ascii="Times New Roman" w:hAnsi="Times New Roman" w:eastAsia="宋体" w:cs="Times New Roman"/>
          <w:color w:val="000000"/>
          <w:sz w:val="24"/>
          <w:szCs w:val="24"/>
          <w:lang w:val="en-US" w:eastAsia="zh-CN"/>
        </w:rPr>
        <w:t>个五年规划纲要》；</w:t>
      </w:r>
    </w:p>
    <w:p w14:paraId="0F0FAA4C">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（5）《昌吉州生态环境分区管控动态更新成果》。</w:t>
      </w:r>
    </w:p>
    <w:p w14:paraId="49BE688C">
      <w:pPr>
        <w:pStyle w:val="4"/>
        <w:pageBreakBefore w:val="0"/>
        <w:numPr>
          <w:ilvl w:val="0"/>
          <w:numId w:val="0"/>
        </w:numPr>
        <w:kinsoku/>
        <w:wordWrap/>
        <w:overflowPunct/>
        <w:topLinePunct w:val="0"/>
        <w:autoSpaceDE/>
        <w:autoSpaceDN/>
        <w:bidi w:val="0"/>
        <w:snapToGrid w:val="0"/>
        <w:spacing w:before="0" w:beforeLines="0" w:after="0" w:afterLines="0" w:line="360" w:lineRule="auto"/>
        <w:jc w:val="both"/>
        <w:textAlignment w:val="auto"/>
        <w:rPr>
          <w:rFonts w:hint="default" w:ascii="Times New Roman" w:hAnsi="Times New Roman" w:eastAsia="宋体" w:cs="Times New Roman"/>
          <w:color w:val="000000"/>
          <w:sz w:val="24"/>
          <w:szCs w:val="24"/>
          <w:lang w:val="en-US" w:eastAsia="zh-CN"/>
        </w:rPr>
      </w:pPr>
      <w:bookmarkStart w:id="58" w:name="_Toc2894"/>
      <w:bookmarkStart w:id="59" w:name="_Toc12439"/>
      <w:bookmarkStart w:id="60" w:name="_Toc9705"/>
      <w:r>
        <w:rPr>
          <w:rFonts w:hint="default" w:ascii="Times New Roman" w:hAnsi="Times New Roman" w:eastAsia="宋体" w:cs="Times New Roman"/>
          <w:color w:val="000000"/>
          <w:sz w:val="24"/>
          <w:szCs w:val="24"/>
          <w:lang w:val="en-US" w:eastAsia="zh-CN"/>
        </w:rPr>
        <w:t>1.2工程分析</w:t>
      </w:r>
      <w:bookmarkEnd w:id="58"/>
      <w:bookmarkEnd w:id="59"/>
      <w:bookmarkEnd w:id="60"/>
    </w:p>
    <w:p w14:paraId="3279657C">
      <w:pPr>
        <w:pStyle w:val="5"/>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b w:val="0"/>
          <w:bCs w:val="0"/>
          <w:color w:val="000000"/>
          <w:kern w:val="2"/>
          <w:sz w:val="24"/>
          <w:szCs w:val="24"/>
          <w:lang w:val="en-US" w:eastAsia="zh-CN" w:bidi="ar-SA"/>
        </w:rPr>
      </w:pPr>
      <w:bookmarkStart w:id="61" w:name="_Toc14747"/>
      <w:r>
        <w:rPr>
          <w:rFonts w:hint="default" w:ascii="Times New Roman" w:hAnsi="Times New Roman" w:eastAsia="宋体" w:cs="Times New Roman"/>
          <w:b w:val="0"/>
          <w:bCs w:val="0"/>
          <w:color w:val="000000"/>
          <w:kern w:val="2"/>
          <w:sz w:val="24"/>
          <w:szCs w:val="24"/>
          <w:lang w:val="en-US" w:eastAsia="zh-CN" w:bidi="ar-SA"/>
        </w:rPr>
        <w:t>1.2.1地理位置</w:t>
      </w:r>
      <w:bookmarkEnd w:id="61"/>
    </w:p>
    <w:p w14:paraId="3B126A7B">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kern w:val="0"/>
          <w:sz w:val="24"/>
          <w:szCs w:val="24"/>
          <w:highlight w:val="none"/>
          <w:lang w:val="en-US" w:eastAsia="zh-CN" w:bidi="ar"/>
        </w:rPr>
        <w:t>本项目位于新疆维吾尔自治区昌吉回族自治州阜康市三工河哈萨克乡花儿沟村，中心坐标：东经</w:t>
      </w:r>
      <w:r>
        <w:rPr>
          <w:rFonts w:hint="default" w:ascii="Times New Roman" w:hAnsi="Times New Roman" w:eastAsia="宋体" w:cs="Times New Roman"/>
          <w:color w:val="000000"/>
          <w:highlight w:val="none"/>
          <w:lang w:val="en-US" w:eastAsia="zh-CN"/>
        </w:rPr>
        <w:t>88°2′14.874″，北纬44°1′31.787″</w:t>
      </w:r>
      <w:r>
        <w:rPr>
          <w:rFonts w:hint="default" w:ascii="Times New Roman" w:hAnsi="Times New Roman" w:eastAsia="宋体" w:cs="Times New Roman"/>
          <w:color w:val="000000"/>
          <w:kern w:val="0"/>
          <w:sz w:val="24"/>
          <w:szCs w:val="24"/>
          <w:highlight w:val="none"/>
          <w:lang w:val="en-US" w:eastAsia="zh-CN" w:bidi="ar"/>
        </w:rPr>
        <w:t>。本项目</w:t>
      </w:r>
      <w:r>
        <w:rPr>
          <w:rFonts w:hint="default" w:ascii="Times New Roman" w:hAnsi="Times New Roman" w:eastAsia="宋体" w:cs="Times New Roman"/>
          <w:color w:val="000000"/>
          <w:kern w:val="0"/>
          <w:sz w:val="24"/>
          <w:szCs w:val="24"/>
          <w:lang w:val="en-US" w:eastAsia="zh-CN" w:bidi="ar"/>
        </w:rPr>
        <w:t>南侧为</w:t>
      </w:r>
      <w:r>
        <w:rPr>
          <w:rFonts w:hint="eastAsia" w:ascii="Times New Roman" w:hAnsi="Times New Roman" w:eastAsia="宋体" w:cs="Times New Roman"/>
          <w:color w:val="000000"/>
          <w:kern w:val="0"/>
          <w:sz w:val="24"/>
          <w:szCs w:val="24"/>
          <w:lang w:val="en-US" w:eastAsia="zh-CN" w:bidi="ar"/>
        </w:rPr>
        <w:t>花儿沟村</w:t>
      </w:r>
      <w:r>
        <w:rPr>
          <w:rFonts w:hint="default" w:ascii="Times New Roman" w:hAnsi="Times New Roman" w:eastAsia="宋体" w:cs="Times New Roman"/>
          <w:color w:val="000000"/>
          <w:kern w:val="0"/>
          <w:sz w:val="24"/>
          <w:szCs w:val="24"/>
          <w:lang w:val="en-US" w:eastAsia="zh-CN" w:bidi="ar"/>
        </w:rPr>
        <w:t>居民</w:t>
      </w:r>
      <w:r>
        <w:rPr>
          <w:rFonts w:hint="eastAsia" w:cs="Times New Roman"/>
          <w:color w:val="000000"/>
          <w:kern w:val="0"/>
          <w:sz w:val="24"/>
          <w:szCs w:val="24"/>
          <w:lang w:val="en-US" w:eastAsia="zh-CN" w:bidi="ar"/>
        </w:rPr>
        <w:t>区</w:t>
      </w:r>
      <w:r>
        <w:rPr>
          <w:rFonts w:hint="default" w:ascii="Times New Roman" w:hAnsi="Times New Roman" w:eastAsia="宋体" w:cs="Times New Roman"/>
          <w:color w:val="000000"/>
          <w:kern w:val="0"/>
          <w:sz w:val="24"/>
          <w:szCs w:val="24"/>
          <w:lang w:val="en-US" w:eastAsia="zh-CN" w:bidi="ar"/>
        </w:rPr>
        <w:t>，东侧为林草地，北侧为花儿沟村村民委员会，西侧为林草地</w:t>
      </w:r>
      <w:r>
        <w:rPr>
          <w:rFonts w:hint="default" w:ascii="Times New Roman" w:hAnsi="Times New Roman" w:eastAsia="宋体" w:cs="Times New Roman"/>
          <w:color w:val="000000"/>
          <w:kern w:val="0"/>
          <w:sz w:val="24"/>
          <w:szCs w:val="24"/>
          <w:highlight w:val="none"/>
          <w:lang w:val="en-US" w:eastAsia="zh-CN" w:bidi="ar"/>
        </w:rPr>
        <w:t>。</w:t>
      </w:r>
    </w:p>
    <w:p w14:paraId="09CC4101">
      <w:pPr>
        <w:pStyle w:val="5"/>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b w:val="0"/>
          <w:bCs w:val="0"/>
          <w:color w:val="000000"/>
          <w:kern w:val="2"/>
          <w:sz w:val="24"/>
          <w:szCs w:val="24"/>
          <w:lang w:val="en-US" w:eastAsia="zh-CN" w:bidi="ar-SA"/>
        </w:rPr>
      </w:pPr>
      <w:bookmarkStart w:id="62" w:name="_Toc13715"/>
      <w:r>
        <w:rPr>
          <w:rFonts w:hint="default" w:ascii="Times New Roman" w:hAnsi="Times New Roman" w:eastAsia="宋体" w:cs="Times New Roman"/>
          <w:b w:val="0"/>
          <w:bCs w:val="0"/>
          <w:color w:val="000000"/>
          <w:kern w:val="2"/>
          <w:sz w:val="24"/>
          <w:szCs w:val="24"/>
          <w:lang w:val="en-US" w:eastAsia="zh-CN" w:bidi="ar-SA"/>
        </w:rPr>
        <w:t>1.2.</w:t>
      </w:r>
      <w:r>
        <w:rPr>
          <w:rFonts w:hint="eastAsia" w:ascii="Times New Roman" w:hAnsi="Times New Roman" w:eastAsia="宋体" w:cs="Times New Roman"/>
          <w:b w:val="0"/>
          <w:bCs w:val="0"/>
          <w:color w:val="000000"/>
          <w:kern w:val="2"/>
          <w:sz w:val="24"/>
          <w:szCs w:val="24"/>
          <w:lang w:val="en-US" w:eastAsia="zh-CN" w:bidi="ar-SA"/>
        </w:rPr>
        <w:t>2</w:t>
      </w:r>
      <w:r>
        <w:rPr>
          <w:rFonts w:hint="default" w:ascii="Times New Roman" w:hAnsi="Times New Roman" w:eastAsia="宋体" w:cs="Times New Roman"/>
          <w:b w:val="0"/>
          <w:bCs w:val="0"/>
          <w:color w:val="000000"/>
          <w:kern w:val="2"/>
          <w:sz w:val="24"/>
          <w:szCs w:val="24"/>
          <w:lang w:val="en-US" w:eastAsia="zh-CN" w:bidi="ar-SA"/>
        </w:rPr>
        <w:t>建设内容及规模</w:t>
      </w:r>
      <w:bookmarkEnd w:id="62"/>
    </w:p>
    <w:p w14:paraId="422A4CEE">
      <w:pPr>
        <w:keepNext w:val="0"/>
        <w:keepLines w:val="0"/>
        <w:pageBreakBefore w:val="0"/>
        <w:widowControl/>
        <w:suppressLineNumbers w:val="0"/>
        <w:kinsoku/>
        <w:wordWrap/>
        <w:overflowPunct/>
        <w:topLinePunct w:val="0"/>
        <w:autoSpaceDE/>
        <w:autoSpaceDN/>
        <w:bidi w:val="0"/>
        <w:snapToGrid w:val="0"/>
        <w:spacing w:line="360" w:lineRule="auto"/>
        <w:ind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 w:val="0"/>
          <w:bCs w:val="0"/>
          <w:color w:val="000000"/>
          <w:kern w:val="0"/>
          <w:sz w:val="24"/>
          <w:szCs w:val="24"/>
          <w:highlight w:val="none"/>
          <w:lang w:val="en-US" w:eastAsia="zh-CN" w:bidi="ar"/>
        </w:rPr>
        <w:t>新建精品民宿51间：其中装配式集装箱民宿25间，游牧风情院落6座，配套客房26间。同步优化原有建筑外立面。改造780平方米乡村会客厅</w:t>
      </w:r>
      <w:r>
        <w:rPr>
          <w:rFonts w:hint="eastAsia" w:cs="Times New Roman"/>
          <w:b w:val="0"/>
          <w:bCs w:val="0"/>
          <w:color w:val="000000"/>
          <w:kern w:val="0"/>
          <w:sz w:val="24"/>
          <w:szCs w:val="24"/>
          <w:highlight w:val="none"/>
          <w:lang w:val="en-US" w:eastAsia="zh-CN" w:bidi="ar"/>
        </w:rPr>
        <w:t>。</w:t>
      </w:r>
      <w:r>
        <w:rPr>
          <w:rFonts w:hint="default" w:ascii="Times New Roman" w:hAnsi="Times New Roman" w:eastAsia="宋体" w:cs="Times New Roman"/>
          <w:b w:val="0"/>
          <w:bCs w:val="0"/>
          <w:color w:val="000000"/>
          <w:kern w:val="0"/>
          <w:sz w:val="24"/>
          <w:szCs w:val="24"/>
          <w:highlight w:val="none"/>
          <w:lang w:val="en-US" w:eastAsia="zh-CN" w:bidi="ar"/>
        </w:rPr>
        <w:t>新建</w:t>
      </w:r>
      <w:r>
        <w:rPr>
          <w:rFonts w:hint="eastAsia" w:cs="Times New Roman"/>
          <w:b w:val="0"/>
          <w:bCs w:val="0"/>
          <w:color w:val="000000"/>
          <w:kern w:val="0"/>
          <w:sz w:val="24"/>
          <w:szCs w:val="24"/>
          <w:highlight w:val="none"/>
          <w:lang w:val="en-US" w:eastAsia="zh-CN" w:bidi="ar"/>
        </w:rPr>
        <w:t>6</w:t>
      </w:r>
      <w:r>
        <w:rPr>
          <w:rFonts w:hint="default" w:ascii="Times New Roman" w:hAnsi="Times New Roman" w:eastAsia="宋体" w:cs="Times New Roman"/>
          <w:b w:val="0"/>
          <w:bCs w:val="0"/>
          <w:color w:val="000000"/>
          <w:kern w:val="0"/>
          <w:sz w:val="24"/>
          <w:szCs w:val="24"/>
          <w:highlight w:val="none"/>
          <w:lang w:val="en-US" w:eastAsia="zh-CN" w:bidi="ar"/>
        </w:rPr>
        <w:t>00平方米观景平台。修缮翻新275平方米食堂</w:t>
      </w:r>
      <w:r>
        <w:rPr>
          <w:rFonts w:hint="eastAsia" w:cs="Times New Roman"/>
          <w:b w:val="0"/>
          <w:bCs w:val="0"/>
          <w:color w:val="000000"/>
          <w:kern w:val="0"/>
          <w:sz w:val="24"/>
          <w:szCs w:val="24"/>
          <w:highlight w:val="none"/>
          <w:lang w:val="en-US" w:eastAsia="zh-CN" w:bidi="ar"/>
        </w:rPr>
        <w:t>。</w:t>
      </w:r>
      <w:r>
        <w:rPr>
          <w:rFonts w:hint="default" w:ascii="Times New Roman" w:hAnsi="Times New Roman" w:eastAsia="宋体" w:cs="Times New Roman"/>
          <w:b w:val="0"/>
          <w:bCs w:val="0"/>
          <w:color w:val="000000"/>
          <w:kern w:val="0"/>
          <w:sz w:val="24"/>
          <w:szCs w:val="24"/>
          <w:highlight w:val="none"/>
          <w:lang w:val="en-US" w:eastAsia="zh-CN" w:bidi="ar"/>
        </w:rPr>
        <w:t>新建770平方米框架建筑，功能涵盖研学教室、文创展销、直播电商。配套建设花海露营自助区、数字化管理平台等文旅业态。</w:t>
      </w:r>
    </w:p>
    <w:p w14:paraId="5ECC8C27">
      <w:pPr>
        <w:pStyle w:val="4"/>
        <w:pageBreakBefore w:val="0"/>
        <w:numPr>
          <w:ilvl w:val="1"/>
          <w:numId w:val="0"/>
        </w:numPr>
        <w:kinsoku/>
        <w:wordWrap/>
        <w:overflowPunct/>
        <w:topLinePunct w:val="0"/>
        <w:autoSpaceDE/>
        <w:autoSpaceDN/>
        <w:bidi w:val="0"/>
        <w:snapToGrid w:val="0"/>
        <w:spacing w:before="0" w:beforeLines="0" w:after="0" w:afterLines="0" w:line="360" w:lineRule="auto"/>
        <w:jc w:val="both"/>
        <w:textAlignment w:val="auto"/>
        <w:rPr>
          <w:rFonts w:hint="default" w:ascii="Times New Roman" w:hAnsi="Times New Roman" w:eastAsia="宋体" w:cs="Times New Roman"/>
          <w:color w:val="000000"/>
          <w:sz w:val="24"/>
          <w:szCs w:val="24"/>
          <w:lang w:val="en-US" w:eastAsia="zh-CN"/>
        </w:rPr>
      </w:pPr>
      <w:bookmarkStart w:id="63" w:name="_Toc30904"/>
      <w:bookmarkStart w:id="64" w:name="_Toc5658"/>
      <w:bookmarkStart w:id="65" w:name="_Toc28978"/>
      <w:r>
        <w:rPr>
          <w:rFonts w:hint="default" w:ascii="Times New Roman" w:hAnsi="Times New Roman" w:eastAsia="宋体" w:cs="Times New Roman"/>
          <w:color w:val="000000"/>
          <w:sz w:val="24"/>
          <w:szCs w:val="24"/>
          <w:lang w:val="en-US" w:eastAsia="zh-CN"/>
        </w:rPr>
        <w:t>1.3 生态环境影响识别及评价因子筛选</w:t>
      </w:r>
      <w:bookmarkEnd w:id="63"/>
      <w:bookmarkEnd w:id="64"/>
      <w:bookmarkEnd w:id="65"/>
    </w:p>
    <w:p w14:paraId="05DAEF81">
      <w:pPr>
        <w:pStyle w:val="5"/>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b w:val="0"/>
          <w:bCs w:val="0"/>
          <w:color w:val="000000"/>
          <w:kern w:val="2"/>
          <w:sz w:val="24"/>
          <w:szCs w:val="24"/>
          <w:lang w:val="en-US" w:eastAsia="zh-CN" w:bidi="ar-SA"/>
        </w:rPr>
      </w:pPr>
      <w:bookmarkStart w:id="66" w:name="_Toc29103"/>
      <w:r>
        <w:rPr>
          <w:rFonts w:hint="default" w:ascii="Times New Roman" w:hAnsi="Times New Roman" w:eastAsia="宋体" w:cs="Times New Roman"/>
          <w:b w:val="0"/>
          <w:bCs w:val="0"/>
          <w:color w:val="000000"/>
          <w:kern w:val="2"/>
          <w:sz w:val="24"/>
          <w:szCs w:val="24"/>
          <w:lang w:val="en-US" w:eastAsia="zh-CN" w:bidi="ar-SA"/>
        </w:rPr>
        <w:t>1.3.1环境影响因素识别</w:t>
      </w:r>
      <w:bookmarkEnd w:id="66"/>
    </w:p>
    <w:p w14:paraId="5C376C34">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highlight w:val="none"/>
        </w:rPr>
        <w:t>本项目地处天山天池国家地质公园管控范围，生态敏感性极高。建设期核心影响为占地扰动植被、水土流失、地质遗迹扰动、施工扬尘噪声；运营期以生活污水水环境风险、旅游人为长期生态扰动、水资源取用胁迫、景观协调性破坏、固体废物管控压力为关键制约因素。</w:t>
      </w:r>
    </w:p>
    <w:p w14:paraId="4BED34B7">
      <w:pPr>
        <w:pStyle w:val="57"/>
        <w:keepNext w:val="0"/>
        <w:keepLines w:val="0"/>
        <w:pageBreakBefore w:val="0"/>
        <w:widowControl w:val="0"/>
        <w:kinsoku/>
        <w:wordWrap/>
        <w:overflowPunct/>
        <w:topLinePunct w:val="0"/>
        <w:autoSpaceDE/>
        <w:autoSpaceDN/>
        <w:bidi w:val="0"/>
        <w:adjustRightInd w:val="0"/>
        <w:snapToGrid w:val="0"/>
        <w:spacing w:line="240" w:lineRule="auto"/>
        <w:ind w:firstLine="422"/>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表1    环境影响因素识别及筛选矩阵</w:t>
      </w:r>
    </w:p>
    <w:tbl>
      <w:tblPr>
        <w:tblStyle w:val="32"/>
        <w:tblW w:w="4998" w:type="pct"/>
        <w:tblInd w:w="0" w:type="dxa"/>
        <w:tblBorders>
          <w:top w:val="none" w:color="auto" w:sz="0" w:space="0"/>
          <w:left w:val="none" w:color="auto" w:sz="0" w:space="0"/>
          <w:bottom w:val="none" w:color="auto" w:sz="0"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062"/>
        <w:gridCol w:w="1377"/>
        <w:gridCol w:w="1227"/>
        <w:gridCol w:w="2198"/>
        <w:gridCol w:w="1273"/>
        <w:gridCol w:w="1382"/>
      </w:tblGrid>
      <w:tr w14:paraId="027415AF">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tcBorders>
              <w:top w:val="single" w:color="000000" w:sz="12" w:space="0"/>
              <w:left w:val="nil"/>
              <w:bottom w:val="single" w:color="000000" w:sz="12" w:space="0"/>
            </w:tcBorders>
            <w:shd w:val="clear" w:color="auto" w:fill="FFFFFF"/>
            <w:noWrap w:val="0"/>
            <w:vAlign w:val="center"/>
          </w:tcPr>
          <w:p w14:paraId="3F305579">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区域范围</w:t>
            </w:r>
          </w:p>
        </w:tc>
        <w:tc>
          <w:tcPr>
            <w:tcW w:w="2818" w:type="pct"/>
            <w:gridSpan w:val="3"/>
            <w:tcBorders>
              <w:top w:val="single" w:color="000000" w:sz="12" w:space="0"/>
              <w:bottom w:val="single" w:color="000000" w:sz="12" w:space="0"/>
            </w:tcBorders>
            <w:shd w:val="clear" w:color="auto" w:fill="FFFFFF"/>
            <w:noWrap w:val="0"/>
            <w:vAlign w:val="center"/>
          </w:tcPr>
          <w:p w14:paraId="05599ECC">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环境组成与环境要素</w:t>
            </w:r>
          </w:p>
        </w:tc>
        <w:tc>
          <w:tcPr>
            <w:tcW w:w="747" w:type="pct"/>
            <w:tcBorders>
              <w:top w:val="single" w:color="000000" w:sz="12" w:space="0"/>
              <w:bottom w:val="single" w:color="000000" w:sz="12" w:space="0"/>
            </w:tcBorders>
            <w:shd w:val="clear" w:color="auto" w:fill="FFFFFF"/>
            <w:noWrap w:val="0"/>
            <w:vAlign w:val="center"/>
          </w:tcPr>
          <w:p w14:paraId="4642A363">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工程施工期</w:t>
            </w:r>
          </w:p>
        </w:tc>
        <w:tc>
          <w:tcPr>
            <w:tcW w:w="809" w:type="pct"/>
            <w:tcBorders>
              <w:top w:val="single" w:color="000000" w:sz="12" w:space="0"/>
              <w:bottom w:val="single" w:color="000000" w:sz="12" w:space="0"/>
              <w:right w:val="nil"/>
            </w:tcBorders>
            <w:shd w:val="clear" w:color="auto" w:fill="FFFFFF"/>
            <w:noWrap w:val="0"/>
            <w:vAlign w:val="center"/>
          </w:tcPr>
          <w:p w14:paraId="31EEFA94">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工程</w:t>
            </w:r>
            <w:r>
              <w:rPr>
                <w:rFonts w:hint="eastAsia" w:cs="Times New Roman"/>
                <w:b w:val="0"/>
                <w:color w:val="000000"/>
                <w:lang w:val="en-US" w:eastAsia="zh-CN"/>
              </w:rPr>
              <w:t>运营期</w:t>
            </w:r>
          </w:p>
        </w:tc>
      </w:tr>
      <w:tr w14:paraId="5A54DBF0">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vMerge w:val="restart"/>
            <w:tcBorders>
              <w:top w:val="single" w:color="000000" w:sz="12" w:space="0"/>
              <w:left w:val="nil"/>
            </w:tcBorders>
            <w:shd w:val="clear" w:color="auto" w:fill="FFFFFF"/>
            <w:noWrap w:val="0"/>
            <w:vAlign w:val="center"/>
          </w:tcPr>
          <w:p w14:paraId="6DF048F2">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项目影响区域</w:t>
            </w:r>
          </w:p>
        </w:tc>
        <w:tc>
          <w:tcPr>
            <w:tcW w:w="808" w:type="pct"/>
            <w:vMerge w:val="restart"/>
            <w:tcBorders>
              <w:top w:val="single" w:color="000000" w:sz="12" w:space="0"/>
            </w:tcBorders>
            <w:shd w:val="clear" w:color="auto" w:fill="FFFFFF"/>
            <w:noWrap w:val="0"/>
            <w:vAlign w:val="center"/>
          </w:tcPr>
          <w:p w14:paraId="009DCA74">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生态</w:t>
            </w:r>
          </w:p>
        </w:tc>
        <w:tc>
          <w:tcPr>
            <w:tcW w:w="2010" w:type="pct"/>
            <w:gridSpan w:val="2"/>
            <w:tcBorders>
              <w:top w:val="single" w:color="000000" w:sz="12" w:space="0"/>
            </w:tcBorders>
            <w:shd w:val="clear" w:color="auto" w:fill="FFFFFF"/>
            <w:noWrap w:val="0"/>
            <w:vAlign w:val="center"/>
          </w:tcPr>
          <w:p w14:paraId="3128FF4F">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陆生生态系统</w:t>
            </w:r>
          </w:p>
        </w:tc>
        <w:tc>
          <w:tcPr>
            <w:tcW w:w="747" w:type="pct"/>
            <w:tcBorders>
              <w:top w:val="single" w:color="000000" w:sz="12" w:space="0"/>
            </w:tcBorders>
            <w:shd w:val="clear" w:color="auto" w:fill="FFFFFF"/>
            <w:noWrap w:val="0"/>
            <w:vAlign w:val="center"/>
          </w:tcPr>
          <w:p w14:paraId="74DF785A">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-1D</w:t>
            </w:r>
          </w:p>
        </w:tc>
        <w:tc>
          <w:tcPr>
            <w:tcW w:w="809" w:type="pct"/>
            <w:tcBorders>
              <w:top w:val="single" w:color="000000" w:sz="12" w:space="0"/>
              <w:right w:val="nil"/>
            </w:tcBorders>
            <w:shd w:val="clear" w:color="auto" w:fill="FFFFFF"/>
            <w:noWrap w:val="0"/>
            <w:vAlign w:val="center"/>
          </w:tcPr>
          <w:p w14:paraId="471FC309">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-1C</w:t>
            </w:r>
          </w:p>
        </w:tc>
      </w:tr>
      <w:tr w14:paraId="3F4FE1D3">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vMerge w:val="continue"/>
            <w:tcBorders>
              <w:left w:val="nil"/>
            </w:tcBorders>
            <w:shd w:val="clear" w:color="auto" w:fill="FFFFFF"/>
            <w:noWrap w:val="0"/>
            <w:vAlign w:val="center"/>
          </w:tcPr>
          <w:p w14:paraId="2A808E0C">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808" w:type="pct"/>
            <w:vMerge w:val="continue"/>
            <w:shd w:val="clear" w:color="auto" w:fill="FFFFFF"/>
            <w:noWrap w:val="0"/>
            <w:vAlign w:val="center"/>
          </w:tcPr>
          <w:p w14:paraId="6D1C6191">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2010" w:type="pct"/>
            <w:gridSpan w:val="2"/>
            <w:shd w:val="clear" w:color="auto" w:fill="FFFFFF"/>
            <w:noWrap w:val="0"/>
            <w:vAlign w:val="center"/>
          </w:tcPr>
          <w:p w14:paraId="55EBDD71">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水生生态系统</w:t>
            </w:r>
          </w:p>
        </w:tc>
        <w:tc>
          <w:tcPr>
            <w:tcW w:w="747" w:type="pct"/>
            <w:shd w:val="clear" w:color="auto" w:fill="FFFFFF"/>
            <w:noWrap w:val="0"/>
            <w:vAlign w:val="center"/>
          </w:tcPr>
          <w:p w14:paraId="7AFB22E2">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w:t>
            </w:r>
          </w:p>
        </w:tc>
        <w:tc>
          <w:tcPr>
            <w:tcW w:w="809" w:type="pct"/>
            <w:tcBorders>
              <w:right w:val="nil"/>
            </w:tcBorders>
            <w:shd w:val="clear" w:color="auto" w:fill="FFFFFF"/>
            <w:noWrap w:val="0"/>
            <w:vAlign w:val="center"/>
          </w:tcPr>
          <w:p w14:paraId="043E95CB">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w:t>
            </w:r>
          </w:p>
        </w:tc>
      </w:tr>
      <w:tr w14:paraId="4A9C4511">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vMerge w:val="continue"/>
            <w:tcBorders>
              <w:left w:val="nil"/>
            </w:tcBorders>
            <w:shd w:val="clear" w:color="auto" w:fill="FFFFFF"/>
            <w:noWrap w:val="0"/>
            <w:vAlign w:val="center"/>
          </w:tcPr>
          <w:p w14:paraId="6727D6F0">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808" w:type="pct"/>
            <w:vMerge w:val="continue"/>
            <w:shd w:val="clear" w:color="auto" w:fill="FFFFFF"/>
            <w:noWrap w:val="0"/>
            <w:vAlign w:val="center"/>
          </w:tcPr>
          <w:p w14:paraId="2F5079E8">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720" w:type="pct"/>
            <w:vMerge w:val="restart"/>
            <w:shd w:val="clear" w:color="auto" w:fill="FFFFFF"/>
            <w:noWrap w:val="0"/>
            <w:vAlign w:val="center"/>
          </w:tcPr>
          <w:p w14:paraId="7C3A2F9C">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陆生生物</w:t>
            </w:r>
          </w:p>
        </w:tc>
        <w:tc>
          <w:tcPr>
            <w:tcW w:w="1290" w:type="pct"/>
            <w:shd w:val="clear" w:color="auto" w:fill="FFFFFF"/>
            <w:noWrap w:val="0"/>
            <w:vAlign w:val="center"/>
          </w:tcPr>
          <w:p w14:paraId="44CE4453">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植被、植物</w:t>
            </w:r>
          </w:p>
        </w:tc>
        <w:tc>
          <w:tcPr>
            <w:tcW w:w="747" w:type="pct"/>
            <w:shd w:val="clear" w:color="auto" w:fill="FFFFFF"/>
            <w:noWrap w:val="0"/>
            <w:vAlign w:val="center"/>
          </w:tcPr>
          <w:p w14:paraId="2A54C0B8">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-1D</w:t>
            </w:r>
          </w:p>
        </w:tc>
        <w:tc>
          <w:tcPr>
            <w:tcW w:w="809" w:type="pct"/>
            <w:tcBorders>
              <w:right w:val="nil"/>
            </w:tcBorders>
            <w:shd w:val="clear" w:color="auto" w:fill="FFFFFF"/>
            <w:noWrap w:val="0"/>
            <w:vAlign w:val="center"/>
          </w:tcPr>
          <w:p w14:paraId="65FFAFF8">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-1C</w:t>
            </w:r>
          </w:p>
        </w:tc>
      </w:tr>
      <w:tr w14:paraId="5F89E988">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vMerge w:val="continue"/>
            <w:tcBorders>
              <w:left w:val="nil"/>
            </w:tcBorders>
            <w:shd w:val="clear" w:color="auto" w:fill="FFFFFF"/>
            <w:noWrap w:val="0"/>
            <w:vAlign w:val="center"/>
          </w:tcPr>
          <w:p w14:paraId="4EC93AF3">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808" w:type="pct"/>
            <w:vMerge w:val="continue"/>
            <w:shd w:val="clear" w:color="auto" w:fill="FFFFFF"/>
            <w:noWrap w:val="0"/>
            <w:vAlign w:val="center"/>
          </w:tcPr>
          <w:p w14:paraId="2A931BB6">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720" w:type="pct"/>
            <w:vMerge w:val="continue"/>
            <w:shd w:val="clear" w:color="auto" w:fill="FFFFFF"/>
            <w:noWrap w:val="0"/>
            <w:vAlign w:val="center"/>
          </w:tcPr>
          <w:p w14:paraId="40734803">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1290" w:type="pct"/>
            <w:shd w:val="clear" w:color="auto" w:fill="FFFFFF"/>
            <w:noWrap w:val="0"/>
            <w:vAlign w:val="center"/>
          </w:tcPr>
          <w:p w14:paraId="21B03867">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陆生动物</w:t>
            </w:r>
          </w:p>
        </w:tc>
        <w:tc>
          <w:tcPr>
            <w:tcW w:w="747" w:type="pct"/>
            <w:shd w:val="clear" w:color="auto" w:fill="FFFFFF"/>
            <w:noWrap w:val="0"/>
            <w:vAlign w:val="center"/>
          </w:tcPr>
          <w:p w14:paraId="3651381A">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-1D</w:t>
            </w:r>
          </w:p>
        </w:tc>
        <w:tc>
          <w:tcPr>
            <w:tcW w:w="809" w:type="pct"/>
            <w:tcBorders>
              <w:right w:val="nil"/>
            </w:tcBorders>
            <w:shd w:val="clear" w:color="auto" w:fill="FFFFFF"/>
            <w:noWrap w:val="0"/>
            <w:vAlign w:val="center"/>
          </w:tcPr>
          <w:p w14:paraId="72A4A356">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-1C</w:t>
            </w:r>
          </w:p>
        </w:tc>
      </w:tr>
      <w:tr w14:paraId="71285437">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vMerge w:val="continue"/>
            <w:tcBorders>
              <w:left w:val="nil"/>
            </w:tcBorders>
            <w:shd w:val="clear" w:color="auto" w:fill="FFFFFF"/>
            <w:noWrap w:val="0"/>
            <w:vAlign w:val="center"/>
          </w:tcPr>
          <w:p w14:paraId="77772C63">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808" w:type="pct"/>
            <w:vMerge w:val="continue"/>
            <w:shd w:val="clear" w:color="auto" w:fill="FFFFFF"/>
            <w:noWrap w:val="0"/>
            <w:vAlign w:val="center"/>
          </w:tcPr>
          <w:p w14:paraId="656FDCEF">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2010" w:type="pct"/>
            <w:gridSpan w:val="2"/>
            <w:shd w:val="clear" w:color="auto" w:fill="FFFFFF"/>
            <w:noWrap w:val="0"/>
            <w:vAlign w:val="center"/>
          </w:tcPr>
          <w:p w14:paraId="293E59A3">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水生生物</w:t>
            </w:r>
          </w:p>
        </w:tc>
        <w:tc>
          <w:tcPr>
            <w:tcW w:w="747" w:type="pct"/>
            <w:shd w:val="clear" w:color="auto" w:fill="FFFFFF"/>
            <w:noWrap w:val="0"/>
            <w:vAlign w:val="center"/>
          </w:tcPr>
          <w:p w14:paraId="1943DA21">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w:t>
            </w:r>
          </w:p>
        </w:tc>
        <w:tc>
          <w:tcPr>
            <w:tcW w:w="809" w:type="pct"/>
            <w:tcBorders>
              <w:right w:val="nil"/>
            </w:tcBorders>
            <w:shd w:val="clear" w:color="auto" w:fill="FFFFFF"/>
            <w:noWrap w:val="0"/>
            <w:vAlign w:val="center"/>
          </w:tcPr>
          <w:p w14:paraId="77AB962C">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w:t>
            </w:r>
          </w:p>
        </w:tc>
      </w:tr>
      <w:tr w14:paraId="4422B6ED">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vMerge w:val="continue"/>
            <w:tcBorders>
              <w:left w:val="nil"/>
            </w:tcBorders>
            <w:shd w:val="clear" w:color="auto" w:fill="FFFFFF"/>
            <w:noWrap w:val="0"/>
            <w:vAlign w:val="center"/>
          </w:tcPr>
          <w:p w14:paraId="144D57B8">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808" w:type="pct"/>
            <w:vMerge w:val="continue"/>
            <w:shd w:val="clear" w:color="auto" w:fill="FFFFFF"/>
            <w:noWrap w:val="0"/>
            <w:vAlign w:val="center"/>
          </w:tcPr>
          <w:p w14:paraId="554ED701">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2010" w:type="pct"/>
            <w:gridSpan w:val="2"/>
            <w:shd w:val="clear" w:color="auto" w:fill="FFFFFF"/>
            <w:noWrap w:val="0"/>
            <w:vAlign w:val="center"/>
          </w:tcPr>
          <w:p w14:paraId="7C5ADD00">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水土保持</w:t>
            </w:r>
          </w:p>
        </w:tc>
        <w:tc>
          <w:tcPr>
            <w:tcW w:w="747" w:type="pct"/>
            <w:shd w:val="clear" w:color="auto" w:fill="FFFFFF"/>
            <w:noWrap w:val="0"/>
            <w:vAlign w:val="center"/>
          </w:tcPr>
          <w:p w14:paraId="0DB58ECF">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-1D</w:t>
            </w:r>
          </w:p>
        </w:tc>
        <w:tc>
          <w:tcPr>
            <w:tcW w:w="809" w:type="pct"/>
            <w:tcBorders>
              <w:right w:val="nil"/>
            </w:tcBorders>
            <w:shd w:val="clear" w:color="auto" w:fill="FFFFFF"/>
            <w:noWrap w:val="0"/>
            <w:vAlign w:val="center"/>
          </w:tcPr>
          <w:p w14:paraId="6B629AFC">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w:t>
            </w:r>
          </w:p>
        </w:tc>
      </w:tr>
      <w:tr w14:paraId="117691BE">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vMerge w:val="continue"/>
            <w:tcBorders>
              <w:left w:val="nil"/>
            </w:tcBorders>
            <w:shd w:val="clear" w:color="auto" w:fill="FFFFFF"/>
            <w:noWrap w:val="0"/>
            <w:vAlign w:val="center"/>
          </w:tcPr>
          <w:p w14:paraId="29BC8F0C">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808" w:type="pct"/>
            <w:vMerge w:val="continue"/>
            <w:shd w:val="clear" w:color="auto" w:fill="FFFFFF"/>
            <w:noWrap w:val="0"/>
            <w:vAlign w:val="center"/>
          </w:tcPr>
          <w:p w14:paraId="689F9618">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2010" w:type="pct"/>
            <w:gridSpan w:val="2"/>
            <w:shd w:val="clear" w:color="auto" w:fill="FFFFFF"/>
            <w:noWrap w:val="0"/>
            <w:vAlign w:val="center"/>
          </w:tcPr>
          <w:p w14:paraId="58623438">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土地利用</w:t>
            </w:r>
          </w:p>
        </w:tc>
        <w:tc>
          <w:tcPr>
            <w:tcW w:w="747" w:type="pct"/>
            <w:shd w:val="clear" w:color="auto" w:fill="FFFFFF"/>
            <w:noWrap w:val="0"/>
            <w:vAlign w:val="center"/>
          </w:tcPr>
          <w:p w14:paraId="1516846F">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-2C</w:t>
            </w:r>
          </w:p>
        </w:tc>
        <w:tc>
          <w:tcPr>
            <w:tcW w:w="809" w:type="pct"/>
            <w:tcBorders>
              <w:right w:val="nil"/>
            </w:tcBorders>
            <w:shd w:val="clear" w:color="auto" w:fill="FFFFFF"/>
            <w:noWrap w:val="0"/>
            <w:vAlign w:val="center"/>
          </w:tcPr>
          <w:p w14:paraId="2CB0C63E">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+1C</w:t>
            </w:r>
          </w:p>
        </w:tc>
      </w:tr>
      <w:tr w14:paraId="6727A148">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vMerge w:val="continue"/>
            <w:tcBorders>
              <w:left w:val="nil"/>
            </w:tcBorders>
            <w:shd w:val="clear" w:color="auto" w:fill="FFFFFF"/>
            <w:noWrap w:val="0"/>
            <w:vAlign w:val="center"/>
          </w:tcPr>
          <w:p w14:paraId="51AC1E05">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808" w:type="pct"/>
            <w:vMerge w:val="restart"/>
            <w:shd w:val="clear" w:color="auto" w:fill="FFFFFF"/>
            <w:noWrap w:val="0"/>
            <w:vAlign w:val="center"/>
          </w:tcPr>
          <w:p w14:paraId="7E72BB95">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地表水环境</w:t>
            </w:r>
          </w:p>
        </w:tc>
        <w:tc>
          <w:tcPr>
            <w:tcW w:w="2010" w:type="pct"/>
            <w:gridSpan w:val="2"/>
            <w:shd w:val="clear" w:color="auto" w:fill="FFFFFF"/>
            <w:noWrap w:val="0"/>
            <w:vAlign w:val="center"/>
          </w:tcPr>
          <w:p w14:paraId="53467F69">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河流水文情势</w:t>
            </w:r>
          </w:p>
        </w:tc>
        <w:tc>
          <w:tcPr>
            <w:tcW w:w="747" w:type="pct"/>
            <w:shd w:val="clear" w:color="auto" w:fill="FFFFFF"/>
            <w:noWrap w:val="0"/>
            <w:vAlign w:val="center"/>
          </w:tcPr>
          <w:p w14:paraId="6CB28B5F">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w:t>
            </w:r>
          </w:p>
        </w:tc>
        <w:tc>
          <w:tcPr>
            <w:tcW w:w="809" w:type="pct"/>
            <w:tcBorders>
              <w:right w:val="nil"/>
            </w:tcBorders>
            <w:shd w:val="clear" w:color="auto" w:fill="FFFFFF"/>
            <w:noWrap w:val="0"/>
            <w:vAlign w:val="center"/>
          </w:tcPr>
          <w:p w14:paraId="07581CB9">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w:t>
            </w:r>
          </w:p>
        </w:tc>
      </w:tr>
      <w:tr w14:paraId="60EDF6E4">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20" w:hRule="atLeast"/>
        </w:trPr>
        <w:tc>
          <w:tcPr>
            <w:tcW w:w="624" w:type="pct"/>
            <w:vMerge w:val="continue"/>
            <w:tcBorders>
              <w:left w:val="nil"/>
            </w:tcBorders>
            <w:shd w:val="clear" w:color="auto" w:fill="FFFFFF"/>
            <w:noWrap w:val="0"/>
            <w:vAlign w:val="center"/>
          </w:tcPr>
          <w:p w14:paraId="651FF503">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808" w:type="pct"/>
            <w:vMerge w:val="continue"/>
            <w:shd w:val="clear" w:color="auto" w:fill="FFFFFF"/>
            <w:noWrap w:val="0"/>
            <w:vAlign w:val="center"/>
          </w:tcPr>
          <w:p w14:paraId="6D28FFB2">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2010" w:type="pct"/>
            <w:gridSpan w:val="2"/>
            <w:shd w:val="clear" w:color="auto" w:fill="FFFFFF"/>
            <w:noWrap w:val="0"/>
            <w:vAlign w:val="center"/>
          </w:tcPr>
          <w:p w14:paraId="15B5DDDA">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水质</w:t>
            </w:r>
          </w:p>
        </w:tc>
        <w:tc>
          <w:tcPr>
            <w:tcW w:w="747" w:type="pct"/>
            <w:shd w:val="clear" w:color="auto" w:fill="FFFFFF"/>
            <w:noWrap w:val="0"/>
            <w:vAlign w:val="center"/>
          </w:tcPr>
          <w:p w14:paraId="4FB2F40A">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w:t>
            </w:r>
          </w:p>
        </w:tc>
        <w:tc>
          <w:tcPr>
            <w:tcW w:w="809" w:type="pct"/>
            <w:tcBorders>
              <w:right w:val="nil"/>
            </w:tcBorders>
            <w:shd w:val="clear" w:color="auto" w:fill="FFFFFF"/>
            <w:noWrap w:val="0"/>
            <w:vAlign w:val="center"/>
          </w:tcPr>
          <w:p w14:paraId="20282518">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w:t>
            </w:r>
          </w:p>
        </w:tc>
      </w:tr>
      <w:tr w14:paraId="157477A9">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98" w:hRule="atLeast"/>
        </w:trPr>
        <w:tc>
          <w:tcPr>
            <w:tcW w:w="624" w:type="pct"/>
            <w:vMerge w:val="continue"/>
            <w:tcBorders>
              <w:left w:val="nil"/>
            </w:tcBorders>
            <w:shd w:val="clear" w:color="auto" w:fill="FFFFFF"/>
            <w:noWrap w:val="0"/>
            <w:vAlign w:val="center"/>
          </w:tcPr>
          <w:p w14:paraId="701F4628">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808" w:type="pct"/>
            <w:vMerge w:val="restart"/>
            <w:shd w:val="clear" w:color="auto" w:fill="FFFFFF"/>
            <w:noWrap w:val="0"/>
            <w:vAlign w:val="center"/>
          </w:tcPr>
          <w:p w14:paraId="71FD80A0">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社会环境</w:t>
            </w:r>
          </w:p>
        </w:tc>
        <w:tc>
          <w:tcPr>
            <w:tcW w:w="720" w:type="pct"/>
            <w:vMerge w:val="restart"/>
            <w:shd w:val="clear" w:color="auto" w:fill="FFFFFF"/>
            <w:noWrap w:val="0"/>
            <w:vAlign w:val="center"/>
          </w:tcPr>
          <w:p w14:paraId="513502E7">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经济社会</w:t>
            </w:r>
          </w:p>
        </w:tc>
        <w:tc>
          <w:tcPr>
            <w:tcW w:w="1290" w:type="pct"/>
            <w:shd w:val="clear" w:color="auto" w:fill="FFFFFF"/>
            <w:noWrap w:val="0"/>
            <w:vAlign w:val="center"/>
          </w:tcPr>
          <w:p w14:paraId="327C615B">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社会经济发展</w:t>
            </w:r>
          </w:p>
        </w:tc>
        <w:tc>
          <w:tcPr>
            <w:tcW w:w="747" w:type="pct"/>
            <w:shd w:val="clear" w:color="auto" w:fill="FFFFFF"/>
            <w:noWrap w:val="0"/>
            <w:vAlign w:val="center"/>
          </w:tcPr>
          <w:p w14:paraId="3E3789DE">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w:t>
            </w:r>
          </w:p>
        </w:tc>
        <w:tc>
          <w:tcPr>
            <w:tcW w:w="809" w:type="pct"/>
            <w:tcBorders>
              <w:right w:val="nil"/>
            </w:tcBorders>
            <w:shd w:val="clear" w:color="auto" w:fill="FFFFFF"/>
            <w:noWrap w:val="0"/>
            <w:vAlign w:val="center"/>
          </w:tcPr>
          <w:p w14:paraId="1DC107E6">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+2C</w:t>
            </w:r>
          </w:p>
        </w:tc>
      </w:tr>
      <w:tr w14:paraId="5FEC97B3">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5" w:hRule="atLeast"/>
        </w:trPr>
        <w:tc>
          <w:tcPr>
            <w:tcW w:w="624" w:type="pct"/>
            <w:vMerge w:val="continue"/>
            <w:tcBorders>
              <w:left w:val="nil"/>
            </w:tcBorders>
            <w:shd w:val="clear" w:color="auto" w:fill="FFFFFF"/>
            <w:noWrap w:val="0"/>
            <w:vAlign w:val="center"/>
          </w:tcPr>
          <w:p w14:paraId="7D512362">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808" w:type="pct"/>
            <w:vMerge w:val="continue"/>
            <w:shd w:val="clear" w:color="auto" w:fill="FFFFFF"/>
            <w:noWrap w:val="0"/>
            <w:vAlign w:val="center"/>
          </w:tcPr>
          <w:p w14:paraId="00F42628">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720" w:type="pct"/>
            <w:vMerge w:val="continue"/>
            <w:shd w:val="clear" w:color="auto" w:fill="FFFFFF"/>
            <w:noWrap w:val="0"/>
            <w:vAlign w:val="center"/>
          </w:tcPr>
          <w:p w14:paraId="476CA88C">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1290" w:type="pct"/>
            <w:shd w:val="clear" w:color="auto" w:fill="FFFFFF"/>
            <w:noWrap w:val="0"/>
            <w:vAlign w:val="center"/>
          </w:tcPr>
          <w:p w14:paraId="568F54BB">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人民生活水平</w:t>
            </w:r>
          </w:p>
        </w:tc>
        <w:tc>
          <w:tcPr>
            <w:tcW w:w="747" w:type="pct"/>
            <w:shd w:val="clear" w:color="auto" w:fill="FFFFFF"/>
            <w:noWrap w:val="0"/>
            <w:vAlign w:val="center"/>
          </w:tcPr>
          <w:p w14:paraId="4480786F">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w:t>
            </w:r>
          </w:p>
        </w:tc>
        <w:tc>
          <w:tcPr>
            <w:tcW w:w="809" w:type="pct"/>
            <w:tcBorders>
              <w:right w:val="nil"/>
            </w:tcBorders>
            <w:shd w:val="clear" w:color="auto" w:fill="FFFFFF"/>
            <w:noWrap w:val="0"/>
            <w:vAlign w:val="center"/>
          </w:tcPr>
          <w:p w14:paraId="618269A3">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+2C</w:t>
            </w:r>
          </w:p>
        </w:tc>
      </w:tr>
      <w:tr w14:paraId="6C3AF2A3">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vMerge w:val="continue"/>
            <w:tcBorders>
              <w:left w:val="nil"/>
            </w:tcBorders>
            <w:shd w:val="clear" w:color="auto" w:fill="FFFFFF"/>
            <w:noWrap w:val="0"/>
            <w:vAlign w:val="center"/>
          </w:tcPr>
          <w:p w14:paraId="06BE5F8C">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808" w:type="pct"/>
            <w:vMerge w:val="continue"/>
            <w:shd w:val="clear" w:color="auto" w:fill="FFFFFF"/>
            <w:noWrap w:val="0"/>
            <w:vAlign w:val="center"/>
          </w:tcPr>
          <w:p w14:paraId="172E4358">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2010" w:type="pct"/>
            <w:gridSpan w:val="2"/>
            <w:shd w:val="clear" w:color="auto" w:fill="FFFFFF"/>
            <w:noWrap w:val="0"/>
            <w:vAlign w:val="center"/>
          </w:tcPr>
          <w:p w14:paraId="7BDE200A">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景观资源</w:t>
            </w:r>
          </w:p>
        </w:tc>
        <w:tc>
          <w:tcPr>
            <w:tcW w:w="747" w:type="pct"/>
            <w:shd w:val="clear" w:color="auto" w:fill="FFFFFF"/>
            <w:noWrap w:val="0"/>
            <w:vAlign w:val="center"/>
          </w:tcPr>
          <w:p w14:paraId="2E39C110">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-1D</w:t>
            </w:r>
          </w:p>
        </w:tc>
        <w:tc>
          <w:tcPr>
            <w:tcW w:w="809" w:type="pct"/>
            <w:tcBorders>
              <w:right w:val="nil"/>
            </w:tcBorders>
            <w:shd w:val="clear" w:color="auto" w:fill="FFFFFF"/>
            <w:noWrap w:val="0"/>
            <w:vAlign w:val="center"/>
          </w:tcPr>
          <w:p w14:paraId="76F9CEF9">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+2C</w:t>
            </w:r>
          </w:p>
        </w:tc>
      </w:tr>
      <w:tr w14:paraId="13506F4A">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vMerge w:val="continue"/>
            <w:tcBorders>
              <w:left w:val="nil"/>
            </w:tcBorders>
            <w:shd w:val="clear" w:color="auto" w:fill="FFFFFF"/>
            <w:noWrap w:val="0"/>
            <w:vAlign w:val="center"/>
          </w:tcPr>
          <w:p w14:paraId="15B63EF0">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808" w:type="pct"/>
            <w:shd w:val="clear" w:color="auto" w:fill="FFFFFF"/>
            <w:noWrap w:val="0"/>
            <w:vAlign w:val="center"/>
          </w:tcPr>
          <w:p w14:paraId="7357E9BF">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环境敏感区</w:t>
            </w:r>
          </w:p>
        </w:tc>
        <w:tc>
          <w:tcPr>
            <w:tcW w:w="2010" w:type="pct"/>
            <w:gridSpan w:val="2"/>
            <w:shd w:val="clear" w:color="auto" w:fill="FFFFFF"/>
            <w:noWrap w:val="0"/>
            <w:vAlign w:val="center"/>
          </w:tcPr>
          <w:p w14:paraId="51F4382E">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生态保护红线</w:t>
            </w:r>
          </w:p>
        </w:tc>
        <w:tc>
          <w:tcPr>
            <w:tcW w:w="747" w:type="pct"/>
            <w:shd w:val="clear" w:color="auto" w:fill="FFFFFF"/>
            <w:noWrap w:val="0"/>
            <w:vAlign w:val="center"/>
          </w:tcPr>
          <w:p w14:paraId="3ED5F221">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-1D</w:t>
            </w:r>
          </w:p>
        </w:tc>
        <w:tc>
          <w:tcPr>
            <w:tcW w:w="809" w:type="pct"/>
            <w:tcBorders>
              <w:right w:val="nil"/>
            </w:tcBorders>
            <w:shd w:val="clear" w:color="auto" w:fill="FFFFFF"/>
            <w:noWrap w:val="0"/>
            <w:vAlign w:val="center"/>
          </w:tcPr>
          <w:p w14:paraId="0E3A1440">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+1C</w:t>
            </w:r>
          </w:p>
        </w:tc>
      </w:tr>
      <w:tr w14:paraId="45D886F4">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vMerge w:val="continue"/>
            <w:tcBorders>
              <w:left w:val="nil"/>
            </w:tcBorders>
            <w:shd w:val="clear" w:color="auto" w:fill="FFFFFF"/>
            <w:noWrap w:val="0"/>
            <w:vAlign w:val="center"/>
          </w:tcPr>
          <w:p w14:paraId="399AAEE7">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808" w:type="pct"/>
            <w:vMerge w:val="restart"/>
            <w:shd w:val="clear" w:color="auto" w:fill="FFFFFF"/>
            <w:noWrap w:val="0"/>
            <w:vAlign w:val="center"/>
          </w:tcPr>
          <w:p w14:paraId="3431BBAF">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环境空气</w:t>
            </w:r>
          </w:p>
        </w:tc>
        <w:tc>
          <w:tcPr>
            <w:tcW w:w="2010" w:type="pct"/>
            <w:gridSpan w:val="2"/>
            <w:shd w:val="clear" w:color="auto" w:fill="FFFFFF"/>
            <w:noWrap w:val="0"/>
            <w:vAlign w:val="center"/>
          </w:tcPr>
          <w:p w14:paraId="3DF08092">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扬尘</w:t>
            </w:r>
          </w:p>
        </w:tc>
        <w:tc>
          <w:tcPr>
            <w:tcW w:w="747" w:type="pct"/>
            <w:shd w:val="clear" w:color="auto" w:fill="FFFFFF"/>
            <w:noWrap w:val="0"/>
            <w:vAlign w:val="center"/>
          </w:tcPr>
          <w:p w14:paraId="2496CF5C">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-1D</w:t>
            </w:r>
          </w:p>
        </w:tc>
        <w:tc>
          <w:tcPr>
            <w:tcW w:w="809" w:type="pct"/>
            <w:tcBorders>
              <w:right w:val="nil"/>
            </w:tcBorders>
            <w:shd w:val="clear" w:color="auto" w:fill="FFFFFF"/>
            <w:noWrap w:val="0"/>
            <w:vAlign w:val="center"/>
          </w:tcPr>
          <w:p w14:paraId="673E981C">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-1C</w:t>
            </w:r>
          </w:p>
        </w:tc>
      </w:tr>
      <w:tr w14:paraId="55FD36F4">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vMerge w:val="continue"/>
            <w:tcBorders>
              <w:left w:val="nil"/>
            </w:tcBorders>
            <w:shd w:val="clear" w:color="auto" w:fill="FFFFFF"/>
            <w:noWrap w:val="0"/>
            <w:vAlign w:val="center"/>
          </w:tcPr>
          <w:p w14:paraId="44567554">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808" w:type="pct"/>
            <w:vMerge w:val="continue"/>
            <w:tcBorders>
              <w:bottom w:val="single" w:color="000000" w:sz="4" w:space="0"/>
            </w:tcBorders>
            <w:shd w:val="clear" w:color="auto" w:fill="FFFFFF"/>
            <w:noWrap w:val="0"/>
            <w:vAlign w:val="center"/>
          </w:tcPr>
          <w:p w14:paraId="2B64B3F1">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2010" w:type="pct"/>
            <w:gridSpan w:val="2"/>
            <w:tcBorders>
              <w:bottom w:val="single" w:color="000000" w:sz="4" w:space="0"/>
            </w:tcBorders>
            <w:shd w:val="clear" w:color="auto" w:fill="FFFFFF"/>
            <w:noWrap w:val="0"/>
            <w:vAlign w:val="center"/>
          </w:tcPr>
          <w:p w14:paraId="04A14B75">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饮食油烟</w:t>
            </w:r>
          </w:p>
        </w:tc>
        <w:tc>
          <w:tcPr>
            <w:tcW w:w="747" w:type="pct"/>
            <w:tcBorders>
              <w:bottom w:val="single" w:color="000000" w:sz="4" w:space="0"/>
            </w:tcBorders>
            <w:shd w:val="clear" w:color="auto" w:fill="FFFFFF"/>
            <w:noWrap w:val="0"/>
            <w:vAlign w:val="center"/>
          </w:tcPr>
          <w:p w14:paraId="09FC9B77">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w:t>
            </w:r>
          </w:p>
        </w:tc>
        <w:tc>
          <w:tcPr>
            <w:tcW w:w="809" w:type="pct"/>
            <w:tcBorders>
              <w:bottom w:val="single" w:color="000000" w:sz="4" w:space="0"/>
              <w:right w:val="nil"/>
            </w:tcBorders>
            <w:shd w:val="clear" w:color="auto" w:fill="FFFFFF"/>
            <w:noWrap w:val="0"/>
            <w:vAlign w:val="center"/>
          </w:tcPr>
          <w:p w14:paraId="34A0391D">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-1C</w:t>
            </w:r>
          </w:p>
        </w:tc>
      </w:tr>
      <w:tr w14:paraId="0E9DEDB5">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vMerge w:val="continue"/>
            <w:tcBorders>
              <w:left w:val="nil"/>
              <w:right w:val="single" w:color="000000" w:sz="4" w:space="0"/>
            </w:tcBorders>
            <w:shd w:val="clear" w:color="auto" w:fill="FFFFFF"/>
            <w:noWrap w:val="0"/>
            <w:vAlign w:val="center"/>
          </w:tcPr>
          <w:p w14:paraId="09E4454C">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2818" w:type="pct"/>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CF34DB">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声环境</w:t>
            </w:r>
          </w:p>
        </w:tc>
        <w:tc>
          <w:tcPr>
            <w:tcW w:w="74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AAA6BE">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-1D</w:t>
            </w:r>
          </w:p>
        </w:tc>
        <w:tc>
          <w:tcPr>
            <w:tcW w:w="809" w:type="pct"/>
            <w:tcBorders>
              <w:top w:val="single" w:color="000000" w:sz="4" w:space="0"/>
              <w:left w:val="single" w:color="000000" w:sz="4" w:space="0"/>
              <w:bottom w:val="single" w:color="000000" w:sz="4" w:space="0"/>
              <w:right w:val="nil"/>
            </w:tcBorders>
            <w:shd w:val="clear" w:color="auto" w:fill="FFFFFF"/>
            <w:noWrap w:val="0"/>
            <w:vAlign w:val="center"/>
          </w:tcPr>
          <w:p w14:paraId="662DE7A0">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-1C</w:t>
            </w:r>
          </w:p>
        </w:tc>
      </w:tr>
      <w:tr w14:paraId="19E9ADA7">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vMerge w:val="continue"/>
            <w:tcBorders>
              <w:left w:val="nil"/>
              <w:right w:val="single" w:color="000000" w:sz="4" w:space="0"/>
            </w:tcBorders>
            <w:shd w:val="clear" w:color="auto" w:fill="FFFFFF"/>
            <w:noWrap w:val="0"/>
            <w:vAlign w:val="center"/>
          </w:tcPr>
          <w:p w14:paraId="62A6B8F9">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2818" w:type="pct"/>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D659F7">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土壤环境</w:t>
            </w:r>
          </w:p>
        </w:tc>
        <w:tc>
          <w:tcPr>
            <w:tcW w:w="74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EEB003">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-1D</w:t>
            </w:r>
          </w:p>
        </w:tc>
        <w:tc>
          <w:tcPr>
            <w:tcW w:w="809" w:type="pct"/>
            <w:tcBorders>
              <w:top w:val="single" w:color="000000" w:sz="4" w:space="0"/>
              <w:left w:val="single" w:color="000000" w:sz="4" w:space="0"/>
              <w:bottom w:val="single" w:color="000000" w:sz="4" w:space="0"/>
              <w:right w:val="nil"/>
            </w:tcBorders>
            <w:shd w:val="clear" w:color="auto" w:fill="FFFFFF"/>
            <w:noWrap w:val="0"/>
            <w:vAlign w:val="center"/>
          </w:tcPr>
          <w:p w14:paraId="72A68B9A">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-1C</w:t>
            </w:r>
          </w:p>
        </w:tc>
      </w:tr>
      <w:tr w14:paraId="1F1F2018">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624" w:type="pct"/>
            <w:vMerge w:val="continue"/>
            <w:tcBorders>
              <w:left w:val="nil"/>
              <w:right w:val="single" w:color="000000" w:sz="4" w:space="0"/>
            </w:tcBorders>
            <w:shd w:val="clear" w:color="auto" w:fill="FFFFFF"/>
            <w:noWrap w:val="0"/>
            <w:vAlign w:val="center"/>
          </w:tcPr>
          <w:p w14:paraId="049F412D">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p>
        </w:tc>
        <w:tc>
          <w:tcPr>
            <w:tcW w:w="2818" w:type="pct"/>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D1508C">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固体废弃物</w:t>
            </w:r>
          </w:p>
        </w:tc>
        <w:tc>
          <w:tcPr>
            <w:tcW w:w="74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7312D0">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-1D</w:t>
            </w:r>
          </w:p>
        </w:tc>
        <w:tc>
          <w:tcPr>
            <w:tcW w:w="809" w:type="pct"/>
            <w:tcBorders>
              <w:top w:val="single" w:color="000000" w:sz="4" w:space="0"/>
              <w:left w:val="single" w:color="000000" w:sz="4" w:space="0"/>
              <w:bottom w:val="single" w:color="000000" w:sz="4" w:space="0"/>
              <w:right w:val="nil"/>
            </w:tcBorders>
            <w:shd w:val="clear" w:color="auto" w:fill="FFFFFF"/>
            <w:noWrap w:val="0"/>
            <w:vAlign w:val="center"/>
          </w:tcPr>
          <w:p w14:paraId="5B6AA368">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eastAsia" w:ascii="Times New Roman" w:hAnsi="Times New Roman" w:eastAsia="宋体" w:cs="Times New Roman"/>
                <w:b w:val="0"/>
                <w:color w:val="000000"/>
                <w:lang w:val="en-US" w:eastAsia="zh-CN"/>
              </w:rPr>
              <w:t>-1C</w:t>
            </w:r>
          </w:p>
        </w:tc>
      </w:tr>
      <w:tr w14:paraId="421455BF">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5000" w:type="pct"/>
            <w:gridSpan w:val="6"/>
            <w:vMerge w:val="restart"/>
            <w:tcBorders>
              <w:left w:val="nil"/>
              <w:right w:val="nil"/>
            </w:tcBorders>
            <w:shd w:val="clear" w:color="auto" w:fill="FFFFFF"/>
            <w:noWrap w:val="0"/>
            <w:vAlign w:val="center"/>
          </w:tcPr>
          <w:p w14:paraId="77E2E4C0">
            <w:pPr>
              <w:pStyle w:val="101"/>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color w:val="000000"/>
                <w:lang w:val="en-US" w:eastAsia="zh-CN"/>
              </w:rPr>
            </w:pPr>
            <w:r>
              <w:rPr>
                <w:rFonts w:hint="default" w:ascii="Times New Roman" w:hAnsi="Times New Roman" w:eastAsia="宋体" w:cs="Times New Roman"/>
                <w:b w:val="0"/>
                <w:color w:val="000000"/>
                <w:lang w:val="en-US" w:eastAsia="zh-CN"/>
              </w:rPr>
              <w:t>备注：1、表中“＋”表示有利影响，“-”表示不利影响；2、表中数字表示影响的相对程度，“1”表示影响较小，“2”表示影响中等，“3”表示影响较大；3、表中“D”表示短期影响，“C”表示长期影响；</w:t>
            </w:r>
            <w:r>
              <w:rPr>
                <w:rFonts w:hint="eastAsia" w:ascii="Times New Roman" w:hAnsi="Times New Roman" w:eastAsia="宋体" w:cs="Times New Roman"/>
                <w:b w:val="0"/>
                <w:color w:val="000000"/>
                <w:lang w:val="en-US" w:eastAsia="zh-CN"/>
              </w:rPr>
              <w:t>4</w:t>
            </w:r>
            <w:r>
              <w:rPr>
                <w:rFonts w:hint="default" w:ascii="Times New Roman" w:hAnsi="Times New Roman" w:eastAsia="宋体" w:cs="Times New Roman"/>
                <w:b w:val="0"/>
                <w:color w:val="000000"/>
                <w:lang w:val="en-US" w:eastAsia="zh-CN"/>
              </w:rPr>
              <w:t>、“R”表示可逆，“I”表示不可逆。</w:t>
            </w:r>
          </w:p>
        </w:tc>
      </w:tr>
      <w:tr w14:paraId="131BE37F">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5000" w:type="pct"/>
            <w:gridSpan w:val="6"/>
            <w:vMerge w:val="continue"/>
            <w:tcBorders>
              <w:left w:val="nil"/>
              <w:right w:val="nil"/>
            </w:tcBorders>
            <w:shd w:val="clear" w:color="auto" w:fill="FFFFFF"/>
            <w:noWrap w:val="0"/>
            <w:vAlign w:val="center"/>
          </w:tcPr>
          <w:p w14:paraId="231407A1">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i w:val="0"/>
                <w:iCs w:val="0"/>
                <w:color w:val="000000"/>
                <w:sz w:val="20"/>
                <w:szCs w:val="20"/>
                <w:u w:val="none"/>
              </w:rPr>
            </w:pPr>
          </w:p>
        </w:tc>
      </w:tr>
      <w:tr w14:paraId="4769CBFB">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5000" w:type="pct"/>
            <w:gridSpan w:val="6"/>
            <w:vMerge w:val="continue"/>
            <w:tcBorders>
              <w:left w:val="nil"/>
              <w:bottom w:val="single" w:color="000000" w:sz="12" w:space="0"/>
              <w:right w:val="nil"/>
            </w:tcBorders>
            <w:shd w:val="clear" w:color="auto" w:fill="FFFFFF"/>
            <w:noWrap w:val="0"/>
            <w:vAlign w:val="center"/>
          </w:tcPr>
          <w:p w14:paraId="4EE40930">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b w:val="0"/>
                <w:i w:val="0"/>
                <w:iCs w:val="0"/>
                <w:color w:val="000000"/>
                <w:sz w:val="20"/>
                <w:szCs w:val="20"/>
                <w:u w:val="none"/>
              </w:rPr>
            </w:pPr>
          </w:p>
        </w:tc>
      </w:tr>
    </w:tbl>
    <w:p w14:paraId="4DE4AC6D">
      <w:pPr>
        <w:pStyle w:val="5"/>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b w:val="0"/>
          <w:bCs w:val="0"/>
          <w:color w:val="000000"/>
          <w:kern w:val="2"/>
          <w:sz w:val="24"/>
          <w:szCs w:val="24"/>
          <w:lang w:val="en-US" w:eastAsia="zh-CN" w:bidi="ar-SA"/>
        </w:rPr>
      </w:pPr>
      <w:bookmarkStart w:id="67" w:name="_Toc20573"/>
      <w:r>
        <w:rPr>
          <w:rFonts w:hint="default" w:ascii="Times New Roman" w:hAnsi="Times New Roman" w:eastAsia="宋体" w:cs="Times New Roman"/>
          <w:b w:val="0"/>
          <w:bCs w:val="0"/>
          <w:color w:val="000000"/>
          <w:kern w:val="2"/>
          <w:sz w:val="24"/>
          <w:szCs w:val="24"/>
          <w:lang w:val="en-US" w:eastAsia="zh-CN" w:bidi="ar-SA"/>
        </w:rPr>
        <w:t>1.3.2环境影响评价因子筛选</w:t>
      </w:r>
      <w:bookmarkEnd w:id="67"/>
    </w:p>
    <w:p w14:paraId="26000B5A">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通过对项目区域的环境现状调查，结合环境影响因素识别，依据《环境影响评价技术导则生态影响》（HJ19-2022）附录A对生态影响评价因子进行初步的筛选，评价因子筛选结果见表2。</w:t>
      </w:r>
    </w:p>
    <w:p w14:paraId="0F20488B">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
          <w:color w:val="000000"/>
          <w:kern w:val="0"/>
          <w:sz w:val="21"/>
          <w:szCs w:val="24"/>
          <w:lang w:val="en-US" w:eastAsia="zh-CN" w:bidi="ar-SA"/>
        </w:rPr>
        <w:t>表2    生态影响评价因子筛选表</w:t>
      </w:r>
    </w:p>
    <w:tbl>
      <w:tblPr>
        <w:tblStyle w:val="33"/>
        <w:tblW w:w="8519"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87"/>
        <w:gridCol w:w="1963"/>
        <w:gridCol w:w="2949"/>
        <w:gridCol w:w="1200"/>
        <w:gridCol w:w="1120"/>
      </w:tblGrid>
      <w:tr w14:paraId="567373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7" w:type="dxa"/>
            <w:tcBorders>
              <w:bottom w:val="single" w:color="auto" w:sz="12" w:space="0"/>
            </w:tcBorders>
            <w:shd w:val="clear" w:color="auto" w:fill="FFFFFF"/>
            <w:vAlign w:val="center"/>
          </w:tcPr>
          <w:p w14:paraId="1720AD4C">
            <w:pPr>
              <w:pStyle w:val="101"/>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sz w:val="21"/>
                <w:szCs w:val="21"/>
                <w:lang w:val="en-US" w:eastAsia="zh-CN"/>
              </w:rPr>
              <w:t>受影响对象</w:t>
            </w:r>
          </w:p>
        </w:tc>
        <w:tc>
          <w:tcPr>
            <w:tcW w:w="1963" w:type="dxa"/>
            <w:tcBorders>
              <w:bottom w:val="single" w:color="auto" w:sz="12" w:space="0"/>
            </w:tcBorders>
            <w:shd w:val="clear" w:color="auto" w:fill="FFFFFF"/>
            <w:vAlign w:val="center"/>
          </w:tcPr>
          <w:p w14:paraId="0438DDC6">
            <w:pPr>
              <w:pStyle w:val="101"/>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ascii="Times New Roman" w:hAnsi="Times New Roman" w:eastAsia="宋体" w:cs="Times New Roman"/>
                <w:b w:val="0"/>
                <w:color w:val="000000"/>
                <w:sz w:val="21"/>
                <w:szCs w:val="21"/>
                <w:lang w:val="en-US" w:eastAsia="zh-CN"/>
              </w:rPr>
              <w:t>评价因子</w:t>
            </w:r>
          </w:p>
        </w:tc>
        <w:tc>
          <w:tcPr>
            <w:tcW w:w="2949" w:type="dxa"/>
            <w:tcBorders>
              <w:bottom w:val="single" w:color="auto" w:sz="12" w:space="0"/>
            </w:tcBorders>
            <w:shd w:val="clear" w:color="auto" w:fill="FFFFFF"/>
            <w:vAlign w:val="center"/>
          </w:tcPr>
          <w:p w14:paraId="1894D275">
            <w:pPr>
              <w:pStyle w:val="101"/>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ascii="Times New Roman" w:hAnsi="Times New Roman" w:eastAsia="宋体" w:cs="Times New Roman"/>
                <w:b w:val="0"/>
                <w:color w:val="000000"/>
                <w:sz w:val="21"/>
                <w:szCs w:val="21"/>
                <w:lang w:val="en-US" w:eastAsia="zh-CN"/>
              </w:rPr>
              <w:t>工作内容及影响方式</w:t>
            </w:r>
          </w:p>
        </w:tc>
        <w:tc>
          <w:tcPr>
            <w:tcW w:w="1200" w:type="dxa"/>
            <w:tcBorders>
              <w:bottom w:val="single" w:color="auto" w:sz="12" w:space="0"/>
            </w:tcBorders>
            <w:shd w:val="clear" w:color="auto" w:fill="FFFFFF"/>
            <w:vAlign w:val="center"/>
          </w:tcPr>
          <w:p w14:paraId="55CC886C">
            <w:pPr>
              <w:pStyle w:val="101"/>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ascii="Times New Roman" w:hAnsi="Times New Roman" w:eastAsia="宋体" w:cs="Times New Roman"/>
                <w:b w:val="0"/>
                <w:color w:val="000000"/>
                <w:sz w:val="21"/>
                <w:szCs w:val="21"/>
                <w:lang w:val="en-US" w:eastAsia="zh-CN"/>
              </w:rPr>
              <w:t>影响性质</w:t>
            </w:r>
          </w:p>
        </w:tc>
        <w:tc>
          <w:tcPr>
            <w:tcW w:w="1120" w:type="dxa"/>
            <w:tcBorders>
              <w:bottom w:val="single" w:color="auto" w:sz="12" w:space="0"/>
            </w:tcBorders>
            <w:shd w:val="clear" w:color="auto" w:fill="FFFFFF"/>
            <w:vAlign w:val="center"/>
          </w:tcPr>
          <w:p w14:paraId="27E6A4B0">
            <w:pPr>
              <w:pStyle w:val="101"/>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ascii="Times New Roman" w:hAnsi="Times New Roman" w:eastAsia="宋体" w:cs="Times New Roman"/>
                <w:b w:val="0"/>
                <w:color w:val="000000"/>
                <w:sz w:val="21"/>
                <w:szCs w:val="21"/>
                <w:lang w:val="en-US" w:eastAsia="zh-CN"/>
              </w:rPr>
              <w:t>影响程度</w:t>
            </w:r>
          </w:p>
        </w:tc>
      </w:tr>
      <w:tr w14:paraId="099BF5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12" w:space="0"/>
              <w:tl2br w:val="nil"/>
              <w:tr2bl w:val="nil"/>
            </w:tcBorders>
            <w:shd w:val="clear" w:color="auto" w:fill="auto"/>
            <w:vAlign w:val="center"/>
          </w:tcPr>
          <w:p w14:paraId="4D0DF7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Style w:val="35"/>
                <w:rFonts w:ascii="宋体" w:hAnsi="宋体" w:eastAsia="宋体" w:cs="宋体"/>
                <w:b w:val="0"/>
                <w:bCs/>
                <w:kern w:val="0"/>
                <w:sz w:val="21"/>
                <w:szCs w:val="21"/>
                <w:lang w:val="en-US" w:eastAsia="zh-CN" w:bidi="ar"/>
              </w:rPr>
              <w:t>物种</w:t>
            </w:r>
          </w:p>
        </w:tc>
        <w:tc>
          <w:tcPr>
            <w:tcW w:w="1963" w:type="dxa"/>
            <w:tcBorders>
              <w:top w:val="single" w:color="auto" w:sz="12" w:space="0"/>
              <w:tl2br w:val="nil"/>
              <w:tr2bl w:val="nil"/>
            </w:tcBorders>
            <w:shd w:val="clear" w:color="auto" w:fill="auto"/>
            <w:vAlign w:val="center"/>
          </w:tcPr>
          <w:p w14:paraId="1325C4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物种种群数量、空间分布范围、觅食繁殖行为、栖息活跃度、珍稀保护物种受扰情况</w:t>
            </w:r>
          </w:p>
        </w:tc>
        <w:tc>
          <w:tcPr>
            <w:tcW w:w="2949" w:type="dxa"/>
            <w:tcBorders>
              <w:top w:val="single" w:color="auto" w:sz="12" w:space="0"/>
              <w:tl2br w:val="nil"/>
              <w:tr2bl w:val="nil"/>
            </w:tcBorders>
            <w:shd w:val="clear" w:color="auto" w:fill="auto"/>
            <w:vAlign w:val="center"/>
          </w:tcPr>
          <w:p w14:paraId="287C39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Style w:val="35"/>
                <w:rFonts w:hint="eastAsia" w:ascii="宋体" w:hAnsi="宋体" w:cs="宋体"/>
                <w:b/>
                <w:bCs w:val="0"/>
                <w:kern w:val="0"/>
                <w:sz w:val="21"/>
                <w:szCs w:val="21"/>
                <w:lang w:val="en-US" w:eastAsia="zh-CN" w:bidi="ar"/>
              </w:rPr>
              <w:t>施工</w:t>
            </w:r>
            <w:r>
              <w:rPr>
                <w:rStyle w:val="35"/>
                <w:rFonts w:ascii="宋体" w:hAnsi="宋体" w:eastAsia="宋体" w:cs="宋体"/>
                <w:b/>
                <w:bCs w:val="0"/>
                <w:kern w:val="0"/>
                <w:sz w:val="21"/>
                <w:szCs w:val="21"/>
                <w:lang w:val="en-US" w:eastAsia="zh-CN" w:bidi="ar"/>
              </w:rPr>
              <w:t>期</w:t>
            </w:r>
            <w:r>
              <w:rPr>
                <w:rFonts w:ascii="宋体" w:hAnsi="宋体" w:eastAsia="宋体" w:cs="宋体"/>
                <w:b/>
                <w:bCs w:val="0"/>
                <w:kern w:val="0"/>
                <w:sz w:val="21"/>
                <w:szCs w:val="21"/>
                <w:lang w:val="en-US" w:eastAsia="zh-CN" w:bidi="ar"/>
              </w:rPr>
              <w:t>：</w:t>
            </w:r>
            <w:r>
              <w:rPr>
                <w:rFonts w:ascii="宋体" w:hAnsi="宋体" w:eastAsia="宋体" w:cs="宋体"/>
                <w:b w:val="0"/>
                <w:bCs/>
                <w:kern w:val="0"/>
                <w:sz w:val="21"/>
                <w:szCs w:val="21"/>
                <w:lang w:val="en-US" w:eastAsia="zh-CN" w:bidi="ar"/>
              </w:rPr>
              <w:t>场地开挖铲除原生灌草，施工噪声、</w:t>
            </w:r>
            <w:r>
              <w:rPr>
                <w:rFonts w:hint="eastAsia" w:ascii="宋体" w:hAnsi="宋体" w:eastAsia="宋体" w:cs="宋体"/>
                <w:b w:val="0"/>
                <w:bCs/>
                <w:kern w:val="0"/>
                <w:sz w:val="21"/>
                <w:szCs w:val="21"/>
                <w:lang w:val="en-US" w:eastAsia="zh-CN" w:bidi="ar"/>
              </w:rPr>
              <w:t>机械振动</w:t>
            </w:r>
            <w:r>
              <w:rPr>
                <w:rFonts w:ascii="宋体" w:hAnsi="宋体" w:eastAsia="宋体" w:cs="宋体"/>
                <w:b w:val="0"/>
                <w:bCs/>
                <w:kern w:val="0"/>
                <w:sz w:val="21"/>
                <w:szCs w:val="21"/>
                <w:lang w:val="en-US" w:eastAsia="zh-CN" w:bidi="ar"/>
              </w:rPr>
              <w:t>、人员活动惊扰马鹿、啮齿类、山地鸟类；</w:t>
            </w:r>
            <w:r>
              <w:rPr>
                <w:rStyle w:val="35"/>
                <w:rFonts w:ascii="宋体" w:hAnsi="宋体" w:eastAsia="宋体" w:cs="宋体"/>
                <w:b/>
                <w:bCs w:val="0"/>
                <w:kern w:val="0"/>
                <w:sz w:val="21"/>
                <w:szCs w:val="21"/>
                <w:lang w:val="en-US" w:eastAsia="zh-CN" w:bidi="ar"/>
              </w:rPr>
              <w:t>运营期</w:t>
            </w:r>
            <w:r>
              <w:rPr>
                <w:rFonts w:ascii="宋体" w:hAnsi="宋体" w:eastAsia="宋体" w:cs="宋体"/>
                <w:b/>
                <w:bCs w:val="0"/>
                <w:kern w:val="0"/>
                <w:sz w:val="21"/>
                <w:szCs w:val="21"/>
                <w:lang w:val="en-US" w:eastAsia="zh-CN" w:bidi="ar"/>
              </w:rPr>
              <w:t>：</w:t>
            </w:r>
            <w:r>
              <w:rPr>
                <w:rFonts w:ascii="宋体" w:hAnsi="宋体" w:eastAsia="宋体" w:cs="宋体"/>
                <w:b w:val="0"/>
                <w:bCs/>
                <w:kern w:val="0"/>
                <w:sz w:val="21"/>
                <w:szCs w:val="21"/>
                <w:lang w:val="en-US" w:eastAsia="zh-CN" w:bidi="ar"/>
              </w:rPr>
              <w:t>游客喧闹、车流、夜间亮化光污染、垃圾投喂改变动物习性，游客采摘踩踏乡土植物，频繁人流侵入地质公园原生栖息空间</w:t>
            </w:r>
          </w:p>
        </w:tc>
        <w:tc>
          <w:tcPr>
            <w:tcW w:w="1200" w:type="dxa"/>
            <w:tcBorders>
              <w:top w:val="single" w:color="auto" w:sz="12" w:space="0"/>
              <w:tl2br w:val="nil"/>
              <w:tr2bl w:val="nil"/>
            </w:tcBorders>
            <w:shd w:val="clear" w:color="auto" w:fill="auto"/>
            <w:vAlign w:val="center"/>
          </w:tcPr>
          <w:p w14:paraId="56BACB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短期可逆（施工）、长期累积间接影响（运营）</w:t>
            </w:r>
          </w:p>
        </w:tc>
        <w:tc>
          <w:tcPr>
            <w:tcW w:w="1120" w:type="dxa"/>
            <w:tcBorders>
              <w:top w:val="single" w:color="auto" w:sz="12" w:space="0"/>
              <w:tl2br w:val="nil"/>
              <w:tr2bl w:val="nil"/>
            </w:tcBorders>
            <w:shd w:val="clear" w:color="auto" w:fill="auto"/>
            <w:vAlign w:val="center"/>
          </w:tcPr>
          <w:p w14:paraId="780201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Style w:val="35"/>
                <w:rFonts w:ascii="宋体" w:hAnsi="宋体" w:eastAsia="宋体" w:cs="宋体"/>
                <w:b w:val="0"/>
                <w:bCs/>
                <w:kern w:val="0"/>
                <w:sz w:val="21"/>
                <w:szCs w:val="21"/>
                <w:lang w:val="en-US" w:eastAsia="zh-CN" w:bidi="ar"/>
              </w:rPr>
              <w:t>中等偏强（地质公园敏感约束）</w:t>
            </w:r>
          </w:p>
        </w:tc>
      </w:tr>
      <w:tr w14:paraId="676F64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7" w:type="dxa"/>
            <w:tcBorders>
              <w:tl2br w:val="nil"/>
              <w:tr2bl w:val="nil"/>
            </w:tcBorders>
            <w:shd w:val="clear" w:color="auto" w:fill="auto"/>
            <w:vAlign w:val="center"/>
          </w:tcPr>
          <w:p w14:paraId="2F5BBB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Style w:val="35"/>
                <w:rFonts w:ascii="宋体" w:hAnsi="宋体" w:eastAsia="宋体" w:cs="宋体"/>
                <w:b w:val="0"/>
                <w:bCs/>
                <w:kern w:val="0"/>
                <w:sz w:val="21"/>
                <w:szCs w:val="21"/>
                <w:lang w:val="en-US" w:eastAsia="zh-CN" w:bidi="ar"/>
              </w:rPr>
              <w:t>生物群落</w:t>
            </w:r>
          </w:p>
        </w:tc>
        <w:tc>
          <w:tcPr>
            <w:tcW w:w="1963" w:type="dxa"/>
            <w:tcBorders>
              <w:tl2br w:val="nil"/>
              <w:tr2bl w:val="nil"/>
            </w:tcBorders>
            <w:shd w:val="clear" w:color="auto" w:fill="auto"/>
            <w:vAlign w:val="center"/>
          </w:tcPr>
          <w:p w14:paraId="77E101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植物群落类型、物种组成、优势种、群落盖度、群落完整性、群落结构稳定性</w:t>
            </w:r>
          </w:p>
        </w:tc>
        <w:tc>
          <w:tcPr>
            <w:tcW w:w="2949" w:type="dxa"/>
            <w:tcBorders>
              <w:tl2br w:val="nil"/>
              <w:tr2bl w:val="nil"/>
            </w:tcBorders>
            <w:shd w:val="clear" w:color="auto" w:fill="auto"/>
            <w:vAlign w:val="center"/>
          </w:tcPr>
          <w:p w14:paraId="00349D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永久建筑占用原有山地植物群落；临时占地碾压退化；污水渗漏、庭院外来绿化苗木入侵改变周边群落结构，原生山地灌草群落碎片化</w:t>
            </w:r>
          </w:p>
        </w:tc>
        <w:tc>
          <w:tcPr>
            <w:tcW w:w="1200" w:type="dxa"/>
            <w:tcBorders>
              <w:tl2br w:val="nil"/>
              <w:tr2bl w:val="nil"/>
            </w:tcBorders>
            <w:shd w:val="clear" w:color="auto" w:fill="auto"/>
            <w:vAlign w:val="center"/>
          </w:tcPr>
          <w:p w14:paraId="0C5814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局部不可逆、累积性影响</w:t>
            </w:r>
          </w:p>
        </w:tc>
        <w:tc>
          <w:tcPr>
            <w:tcW w:w="1120" w:type="dxa"/>
            <w:tcBorders>
              <w:tl2br w:val="nil"/>
              <w:tr2bl w:val="nil"/>
            </w:tcBorders>
            <w:shd w:val="clear" w:color="auto" w:fill="auto"/>
            <w:vAlign w:val="center"/>
          </w:tcPr>
          <w:p w14:paraId="4CFD9B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中等</w:t>
            </w:r>
          </w:p>
        </w:tc>
      </w:tr>
      <w:tr w14:paraId="01746D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7" w:type="dxa"/>
            <w:tcBorders>
              <w:tl2br w:val="nil"/>
              <w:tr2bl w:val="nil"/>
            </w:tcBorders>
            <w:shd w:val="clear" w:color="auto" w:fill="auto"/>
            <w:vAlign w:val="center"/>
          </w:tcPr>
          <w:p w14:paraId="2330FE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Style w:val="35"/>
                <w:rFonts w:ascii="宋体" w:hAnsi="宋体" w:eastAsia="宋体" w:cs="宋体"/>
                <w:b w:val="0"/>
                <w:bCs/>
                <w:kern w:val="0"/>
                <w:sz w:val="21"/>
                <w:szCs w:val="21"/>
                <w:lang w:val="en-US" w:eastAsia="zh-CN" w:bidi="ar"/>
              </w:rPr>
              <w:t>生态系统</w:t>
            </w:r>
          </w:p>
        </w:tc>
        <w:tc>
          <w:tcPr>
            <w:tcW w:w="1963" w:type="dxa"/>
            <w:tcBorders>
              <w:tl2br w:val="nil"/>
              <w:tr2bl w:val="nil"/>
            </w:tcBorders>
            <w:shd w:val="clear" w:color="auto" w:fill="auto"/>
            <w:vAlign w:val="center"/>
          </w:tcPr>
          <w:p w14:paraId="4B966B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植被覆盖度、地上生物量、坡面土壤结皮完整性、水源涵养功能、生态系统抗扰动稳定性、生态系统完整性</w:t>
            </w:r>
          </w:p>
        </w:tc>
        <w:tc>
          <w:tcPr>
            <w:tcW w:w="2949" w:type="dxa"/>
            <w:tcBorders>
              <w:tl2br w:val="nil"/>
              <w:tr2bl w:val="nil"/>
            </w:tcBorders>
            <w:shd w:val="clear" w:color="auto" w:fill="auto"/>
            <w:vAlign w:val="center"/>
          </w:tcPr>
          <w:p w14:paraId="3BCB2E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场地平整清除坡面植被，破坏天山北坡山地水土保持结皮，加剧水土流失；民宿取水降低坡面土壤含水率，生活污水入渗引发局部土壤盐碱化，削弱地质公园水源涵养核心生态功能；扰动地质遗迹依附生态基底</w:t>
            </w:r>
          </w:p>
        </w:tc>
        <w:tc>
          <w:tcPr>
            <w:tcW w:w="1200" w:type="dxa"/>
            <w:tcBorders>
              <w:tl2br w:val="nil"/>
              <w:tr2bl w:val="nil"/>
            </w:tcBorders>
            <w:shd w:val="clear" w:color="auto" w:fill="auto"/>
            <w:vAlign w:val="center"/>
          </w:tcPr>
          <w:p w14:paraId="2C6F75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局部不可逆、长期持续性影响</w:t>
            </w:r>
          </w:p>
        </w:tc>
        <w:tc>
          <w:tcPr>
            <w:tcW w:w="1120" w:type="dxa"/>
            <w:tcBorders>
              <w:tl2br w:val="nil"/>
              <w:tr2bl w:val="nil"/>
            </w:tcBorders>
            <w:shd w:val="clear" w:color="auto" w:fill="auto"/>
            <w:vAlign w:val="center"/>
          </w:tcPr>
          <w:p w14:paraId="58A923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Style w:val="35"/>
                <w:rFonts w:ascii="宋体" w:hAnsi="宋体" w:eastAsia="宋体" w:cs="宋体"/>
                <w:b w:val="0"/>
                <w:bCs/>
                <w:kern w:val="0"/>
                <w:sz w:val="21"/>
                <w:szCs w:val="21"/>
                <w:lang w:val="en-US" w:eastAsia="zh-CN" w:bidi="ar"/>
              </w:rPr>
              <w:t>中等偏强</w:t>
            </w:r>
          </w:p>
        </w:tc>
      </w:tr>
      <w:tr w14:paraId="02DBB1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7" w:type="dxa"/>
            <w:tcBorders>
              <w:tl2br w:val="nil"/>
              <w:tr2bl w:val="nil"/>
            </w:tcBorders>
            <w:shd w:val="clear" w:color="auto" w:fill="auto"/>
            <w:vAlign w:val="center"/>
          </w:tcPr>
          <w:p w14:paraId="7D509B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Style w:val="35"/>
                <w:rFonts w:ascii="宋体" w:hAnsi="宋体" w:eastAsia="宋体" w:cs="宋体"/>
                <w:b w:val="0"/>
                <w:bCs/>
                <w:kern w:val="0"/>
                <w:sz w:val="21"/>
                <w:szCs w:val="21"/>
                <w:lang w:val="en-US" w:eastAsia="zh-CN" w:bidi="ar"/>
              </w:rPr>
              <w:t>生物多样性</w:t>
            </w:r>
          </w:p>
        </w:tc>
        <w:tc>
          <w:tcPr>
            <w:tcW w:w="1963" w:type="dxa"/>
            <w:tcBorders>
              <w:tl2br w:val="nil"/>
              <w:tr2bl w:val="nil"/>
            </w:tcBorders>
            <w:shd w:val="clear" w:color="auto" w:fill="auto"/>
            <w:vAlign w:val="center"/>
          </w:tcPr>
          <w:p w14:paraId="612BE2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物种丰富度、群落均匀度、生境斑块连通性、生境破碎化程度、迁徙通道连通性</w:t>
            </w:r>
          </w:p>
        </w:tc>
        <w:tc>
          <w:tcPr>
            <w:tcW w:w="2949" w:type="dxa"/>
            <w:tcBorders>
              <w:tl2br w:val="nil"/>
              <w:tr2bl w:val="nil"/>
            </w:tcBorders>
            <w:shd w:val="clear" w:color="auto" w:fill="auto"/>
            <w:vAlign w:val="center"/>
          </w:tcPr>
          <w:p w14:paraId="64915A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建筑、内部道路分割连续生境，阻隔小型野生动物横向迁徙廊道；人为长期扰动降低区域物种多样性，地质公园原生生境斑块破碎度提升</w:t>
            </w:r>
          </w:p>
        </w:tc>
        <w:tc>
          <w:tcPr>
            <w:tcW w:w="1200" w:type="dxa"/>
            <w:tcBorders>
              <w:tl2br w:val="nil"/>
              <w:tr2bl w:val="nil"/>
            </w:tcBorders>
            <w:shd w:val="clear" w:color="auto" w:fill="auto"/>
            <w:vAlign w:val="center"/>
          </w:tcPr>
          <w:p w14:paraId="232F3D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长期、累积、间接影响</w:t>
            </w:r>
          </w:p>
        </w:tc>
        <w:tc>
          <w:tcPr>
            <w:tcW w:w="1120" w:type="dxa"/>
            <w:tcBorders>
              <w:tl2br w:val="nil"/>
              <w:tr2bl w:val="nil"/>
            </w:tcBorders>
            <w:shd w:val="clear" w:color="auto" w:fill="auto"/>
            <w:vAlign w:val="center"/>
          </w:tcPr>
          <w:p w14:paraId="0CEFF0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中等</w:t>
            </w:r>
          </w:p>
        </w:tc>
      </w:tr>
      <w:tr w14:paraId="4BC376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7" w:type="dxa"/>
            <w:tcBorders>
              <w:tl2br w:val="nil"/>
              <w:tr2bl w:val="nil"/>
            </w:tcBorders>
            <w:shd w:val="clear" w:color="auto" w:fill="auto"/>
            <w:vAlign w:val="center"/>
          </w:tcPr>
          <w:p w14:paraId="587A58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Style w:val="35"/>
                <w:rFonts w:ascii="宋体" w:hAnsi="宋体" w:eastAsia="宋体" w:cs="宋体"/>
                <w:b w:val="0"/>
                <w:bCs/>
                <w:kern w:val="0"/>
                <w:sz w:val="21"/>
                <w:szCs w:val="21"/>
                <w:lang w:val="en-US" w:eastAsia="zh-CN" w:bidi="ar"/>
              </w:rPr>
              <w:t>生境质量</w:t>
            </w:r>
          </w:p>
        </w:tc>
        <w:tc>
          <w:tcPr>
            <w:tcW w:w="1963" w:type="dxa"/>
            <w:tcBorders>
              <w:tl2br w:val="nil"/>
              <w:tr2bl w:val="nil"/>
            </w:tcBorders>
            <w:shd w:val="clear" w:color="auto" w:fill="auto"/>
            <w:vAlign w:val="center"/>
          </w:tcPr>
          <w:p w14:paraId="64BC33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生境面积保有量、生境完整性、土壤理化指标、区域地下水/山泉水水位、坡面稳定性</w:t>
            </w:r>
          </w:p>
        </w:tc>
        <w:tc>
          <w:tcPr>
            <w:tcW w:w="2949" w:type="dxa"/>
            <w:tcBorders>
              <w:tl2br w:val="nil"/>
              <w:tr2bl w:val="nil"/>
            </w:tcBorders>
            <w:shd w:val="clear" w:color="auto" w:fill="auto"/>
            <w:vAlign w:val="center"/>
          </w:tcPr>
          <w:p w14:paraId="17155C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占地直接造成原生栖息地永久丧失；长期取水引发局部水位下降；化粪池、污水设施防渗失效渗漏改变土壤盐分、养分结构；开挖扰动边坡稳定性，存在地质遗迹垮塌风险</w:t>
            </w:r>
          </w:p>
        </w:tc>
        <w:tc>
          <w:tcPr>
            <w:tcW w:w="1200" w:type="dxa"/>
            <w:tcBorders>
              <w:tl2br w:val="nil"/>
              <w:tr2bl w:val="nil"/>
            </w:tcBorders>
            <w:shd w:val="clear" w:color="auto" w:fill="auto"/>
            <w:vAlign w:val="center"/>
          </w:tcPr>
          <w:p w14:paraId="3E4F32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长期、间接累积影响</w:t>
            </w:r>
          </w:p>
        </w:tc>
        <w:tc>
          <w:tcPr>
            <w:tcW w:w="1120" w:type="dxa"/>
            <w:tcBorders>
              <w:tl2br w:val="nil"/>
              <w:tr2bl w:val="nil"/>
            </w:tcBorders>
            <w:shd w:val="clear" w:color="auto" w:fill="auto"/>
            <w:vAlign w:val="center"/>
          </w:tcPr>
          <w:p w14:paraId="2898F5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中等偏强</w:t>
            </w:r>
          </w:p>
        </w:tc>
      </w:tr>
      <w:tr w14:paraId="013569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7" w:type="dxa"/>
            <w:tcBorders>
              <w:tl2br w:val="nil"/>
              <w:tr2bl w:val="nil"/>
            </w:tcBorders>
            <w:shd w:val="clear" w:color="auto" w:fill="auto"/>
            <w:vAlign w:val="center"/>
          </w:tcPr>
          <w:p w14:paraId="2CF7FD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Style w:val="35"/>
                <w:rFonts w:ascii="宋体" w:hAnsi="宋体" w:eastAsia="宋体" w:cs="宋体"/>
                <w:b w:val="0"/>
                <w:bCs/>
                <w:kern w:val="0"/>
                <w:sz w:val="21"/>
                <w:szCs w:val="21"/>
                <w:lang w:val="en-US" w:eastAsia="zh-CN" w:bidi="ar"/>
              </w:rPr>
              <w:t>水土流失/地质灾害</w:t>
            </w:r>
          </w:p>
        </w:tc>
        <w:tc>
          <w:tcPr>
            <w:tcW w:w="1963" w:type="dxa"/>
            <w:tcBorders>
              <w:tl2br w:val="nil"/>
              <w:tr2bl w:val="nil"/>
            </w:tcBorders>
            <w:shd w:val="clear" w:color="auto" w:fill="auto"/>
            <w:vAlign w:val="center"/>
          </w:tcPr>
          <w:p w14:paraId="092708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土壤侵蚀模数</w:t>
            </w:r>
            <w:r>
              <w:rPr>
                <w:rFonts w:hint="eastAsia" w:ascii="宋体" w:hAnsi="宋体" w:eastAsia="宋体" w:cs="宋体"/>
                <w:b w:val="0"/>
                <w:bCs/>
                <w:kern w:val="0"/>
                <w:sz w:val="21"/>
                <w:szCs w:val="21"/>
                <w:lang w:val="en-US" w:eastAsia="zh-CN" w:bidi="ar"/>
              </w:rPr>
              <w:t>、</w:t>
            </w:r>
            <w:r>
              <w:rPr>
                <w:rFonts w:ascii="宋体" w:hAnsi="宋体" w:eastAsia="宋体" w:cs="宋体"/>
                <w:b w:val="0"/>
                <w:bCs/>
                <w:kern w:val="0"/>
                <w:sz w:val="21"/>
                <w:szCs w:val="21"/>
                <w:lang w:val="en-US" w:eastAsia="zh-CN" w:bidi="ar"/>
              </w:rPr>
              <w:t>裸露坡面面积、水力/风力侵蚀强度、边坡稳定性、地质遗迹完整性</w:t>
            </w:r>
          </w:p>
        </w:tc>
        <w:tc>
          <w:tcPr>
            <w:tcW w:w="2949" w:type="dxa"/>
            <w:tcBorders>
              <w:tl2br w:val="nil"/>
              <w:tr2bl w:val="nil"/>
            </w:tcBorders>
            <w:shd w:val="clear" w:color="auto" w:fill="auto"/>
            <w:vAlign w:val="center"/>
          </w:tcPr>
          <w:p w14:paraId="27A63D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土石方开挖、堆土形成裸露边坡，降雨引发面蚀、沟蚀；扰动陡坡面诱发崩塌、小型泥石流；施工开挖、人为踩踏损毁</w:t>
            </w:r>
            <w:r>
              <w:rPr>
                <w:rStyle w:val="35"/>
                <w:rFonts w:ascii="宋体" w:hAnsi="宋体" w:eastAsia="宋体" w:cs="宋体"/>
                <w:b w:val="0"/>
                <w:bCs/>
                <w:kern w:val="0"/>
                <w:sz w:val="21"/>
                <w:szCs w:val="21"/>
                <w:lang w:val="en-US" w:eastAsia="zh-CN" w:bidi="ar"/>
              </w:rPr>
              <w:t>天山天池地质露头、层理构造等地质保护遗迹</w:t>
            </w:r>
          </w:p>
        </w:tc>
        <w:tc>
          <w:tcPr>
            <w:tcW w:w="1200" w:type="dxa"/>
            <w:tcBorders>
              <w:tl2br w:val="nil"/>
              <w:tr2bl w:val="nil"/>
            </w:tcBorders>
            <w:shd w:val="clear" w:color="auto" w:fill="auto"/>
            <w:vAlign w:val="center"/>
          </w:tcPr>
          <w:p w14:paraId="441850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短期可控，潜在长期地质生态风险</w:t>
            </w:r>
          </w:p>
        </w:tc>
        <w:tc>
          <w:tcPr>
            <w:tcW w:w="1120" w:type="dxa"/>
            <w:tcBorders>
              <w:tl2br w:val="nil"/>
              <w:tr2bl w:val="nil"/>
            </w:tcBorders>
            <w:shd w:val="clear" w:color="auto" w:fill="auto"/>
            <w:vAlign w:val="center"/>
          </w:tcPr>
          <w:p w14:paraId="554FD1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Style w:val="35"/>
                <w:rFonts w:ascii="宋体" w:hAnsi="宋体" w:eastAsia="宋体" w:cs="宋体"/>
                <w:b w:val="0"/>
                <w:bCs/>
                <w:kern w:val="0"/>
                <w:sz w:val="21"/>
                <w:szCs w:val="21"/>
                <w:lang w:val="en-US" w:eastAsia="zh-CN" w:bidi="ar"/>
              </w:rPr>
              <w:t>中等偏强（地质公园管控重点）</w:t>
            </w:r>
          </w:p>
        </w:tc>
      </w:tr>
      <w:tr w14:paraId="2C8084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7" w:type="dxa"/>
            <w:tcBorders>
              <w:tl2br w:val="nil"/>
              <w:tr2bl w:val="nil"/>
            </w:tcBorders>
            <w:shd w:val="clear" w:color="auto" w:fill="auto"/>
            <w:vAlign w:val="center"/>
          </w:tcPr>
          <w:p w14:paraId="1C5743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Style w:val="35"/>
                <w:rFonts w:ascii="宋体" w:hAnsi="宋体" w:eastAsia="宋体" w:cs="宋体"/>
                <w:b w:val="0"/>
                <w:bCs/>
                <w:kern w:val="0"/>
                <w:sz w:val="21"/>
                <w:szCs w:val="21"/>
                <w:lang w:val="en-US" w:eastAsia="zh-CN" w:bidi="ar"/>
              </w:rPr>
              <w:t>景观格局（地质公园风貌）</w:t>
            </w:r>
          </w:p>
        </w:tc>
        <w:tc>
          <w:tcPr>
            <w:tcW w:w="1963" w:type="dxa"/>
            <w:tcBorders>
              <w:tl2br w:val="nil"/>
              <w:tr2bl w:val="nil"/>
            </w:tcBorders>
            <w:shd w:val="clear" w:color="auto" w:fill="auto"/>
            <w:vAlign w:val="center"/>
          </w:tcPr>
          <w:p w14:paraId="6A1FBF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景观破碎度、自然景观协调性、斑块连通性、地质遗迹景观完整性、山地天际线协调性</w:t>
            </w:r>
          </w:p>
        </w:tc>
        <w:tc>
          <w:tcPr>
            <w:tcW w:w="2949" w:type="dxa"/>
            <w:tcBorders>
              <w:tl2br w:val="nil"/>
              <w:tr2bl w:val="nil"/>
            </w:tcBorders>
            <w:shd w:val="clear" w:color="auto" w:fill="auto"/>
            <w:vAlign w:val="center"/>
          </w:tcPr>
          <w:p w14:paraId="3FD94D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人工民宿建筑、硬质铺装、广告牌、夜间亮化设施改变花儿沟原有山地自然风貌，割裂地质遗迹连续景观界面，与天山天池整体风景名胜景观管控要求存在不协调，降低景观整体性</w:t>
            </w:r>
          </w:p>
        </w:tc>
        <w:tc>
          <w:tcPr>
            <w:tcW w:w="1200" w:type="dxa"/>
            <w:tcBorders>
              <w:tl2br w:val="nil"/>
              <w:tr2bl w:val="nil"/>
            </w:tcBorders>
            <w:shd w:val="clear" w:color="auto" w:fill="auto"/>
            <w:vAlign w:val="center"/>
          </w:tcPr>
          <w:p w14:paraId="740D83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局部长期不可逆</w:t>
            </w:r>
          </w:p>
        </w:tc>
        <w:tc>
          <w:tcPr>
            <w:tcW w:w="1120" w:type="dxa"/>
            <w:tcBorders>
              <w:tl2br w:val="nil"/>
              <w:tr2bl w:val="nil"/>
            </w:tcBorders>
            <w:shd w:val="clear" w:color="auto" w:fill="auto"/>
            <w:vAlign w:val="center"/>
          </w:tcPr>
          <w:p w14:paraId="600A8A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
                <w:sz w:val="21"/>
                <w:szCs w:val="21"/>
                <w:lang w:val="en-US" w:eastAsia="zh-CN" w:bidi="ar-SA"/>
              </w:rPr>
            </w:pPr>
            <w:r>
              <w:rPr>
                <w:rFonts w:ascii="宋体" w:hAnsi="宋体" w:eastAsia="宋体" w:cs="宋体"/>
                <w:b w:val="0"/>
                <w:bCs/>
                <w:kern w:val="0"/>
                <w:sz w:val="21"/>
                <w:szCs w:val="21"/>
                <w:lang w:val="en-US" w:eastAsia="zh-CN" w:bidi="ar"/>
              </w:rPr>
              <w:t>中等</w:t>
            </w:r>
          </w:p>
        </w:tc>
      </w:tr>
    </w:tbl>
    <w:p w14:paraId="531A0F90">
      <w:pPr>
        <w:keepNext w:val="0"/>
        <w:keepLines w:val="0"/>
        <w:pageBreakBefore w:val="0"/>
        <w:widowControl w:val="0"/>
        <w:kinsoku/>
        <w:wordWrap/>
        <w:overflowPunct/>
        <w:topLinePunct w:val="0"/>
        <w:autoSpaceDE/>
        <w:autoSpaceDN/>
        <w:bidi w:val="0"/>
        <w:adjustRightInd/>
        <w:snapToGrid w:val="0"/>
        <w:spacing w:line="240" w:lineRule="auto"/>
        <w:ind w:left="0" w:right="0" w:firstLine="422" w:firstLineChars="200"/>
        <w:jc w:val="center"/>
        <w:textAlignment w:val="auto"/>
        <w:rPr>
          <w:rFonts w:hint="default" w:ascii="Times New Roman" w:hAnsi="Times New Roman" w:eastAsia="宋体" w:cs="Times New Roman"/>
          <w:b/>
          <w:color w:val="000000"/>
          <w:kern w:val="0"/>
          <w:sz w:val="21"/>
          <w:szCs w:val="24"/>
          <w:lang w:val="en-US" w:eastAsia="zh-CN" w:bidi="ar-SA"/>
        </w:rPr>
      </w:pPr>
    </w:p>
    <w:p w14:paraId="75290379">
      <w:pPr>
        <w:pStyle w:val="4"/>
        <w:pageBreakBefore w:val="0"/>
        <w:widowControl w:val="0"/>
        <w:numPr>
          <w:ilvl w:val="1"/>
          <w:numId w:val="0"/>
        </w:numPr>
        <w:kinsoku/>
        <w:wordWrap/>
        <w:overflowPunct/>
        <w:topLinePunct w:val="0"/>
        <w:autoSpaceDE/>
        <w:autoSpaceDN/>
        <w:bidi w:val="0"/>
        <w:snapToGrid w:val="0"/>
        <w:spacing w:before="0" w:beforeLines="0" w:after="0" w:afterLines="0" w:line="360" w:lineRule="auto"/>
        <w:jc w:val="both"/>
        <w:textAlignment w:val="auto"/>
        <w:rPr>
          <w:rFonts w:hint="default" w:ascii="Times New Roman" w:hAnsi="Times New Roman" w:eastAsia="宋体" w:cs="Times New Roman"/>
          <w:color w:val="000000"/>
          <w:sz w:val="24"/>
          <w:szCs w:val="24"/>
          <w:lang w:val="en-US" w:eastAsia="zh-CN"/>
        </w:rPr>
      </w:pPr>
      <w:bookmarkStart w:id="68" w:name="_Toc30071"/>
      <w:bookmarkStart w:id="69" w:name="_Toc14127"/>
      <w:bookmarkStart w:id="70" w:name="_Toc25938"/>
      <w:r>
        <w:rPr>
          <w:rFonts w:hint="default" w:ascii="Times New Roman" w:hAnsi="Times New Roman" w:eastAsia="宋体" w:cs="Times New Roman"/>
          <w:color w:val="000000"/>
          <w:sz w:val="24"/>
          <w:szCs w:val="24"/>
          <w:lang w:val="en-US" w:eastAsia="zh-CN"/>
        </w:rPr>
        <w:t>1.4评价等级及评价范围</w:t>
      </w:r>
      <w:bookmarkEnd w:id="68"/>
      <w:bookmarkEnd w:id="69"/>
      <w:bookmarkEnd w:id="70"/>
    </w:p>
    <w:p w14:paraId="37A3351D">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outlineLvl w:val="2"/>
        <w:rPr>
          <w:rFonts w:hint="default" w:ascii="Times New Roman" w:hAnsi="Times New Roman" w:eastAsia="宋体" w:cs="Times New Roman"/>
          <w:color w:val="000000"/>
          <w:sz w:val="24"/>
          <w:szCs w:val="24"/>
          <w:lang w:val="en-US" w:eastAsia="zh-CN"/>
        </w:rPr>
      </w:pPr>
      <w:bookmarkStart w:id="71" w:name="_Toc24357"/>
      <w:r>
        <w:rPr>
          <w:rFonts w:hint="default" w:ascii="Times New Roman" w:hAnsi="Times New Roman" w:eastAsia="宋体" w:cs="Times New Roman"/>
          <w:color w:val="000000"/>
          <w:sz w:val="24"/>
          <w:szCs w:val="24"/>
          <w:lang w:val="en-US" w:eastAsia="zh-CN"/>
        </w:rPr>
        <w:t>1.4.1评价等级</w:t>
      </w:r>
      <w:bookmarkEnd w:id="71"/>
    </w:p>
    <w:p w14:paraId="23F3EA67">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根据《环境影响评价技术导则生态环境》（HJ19-2022）评价等级判定，依据建设项目影响区域的生态敏感性和影响程度，评价等级划分为一级、二级和三级。按以下原则进行判定：</w:t>
      </w:r>
    </w:p>
    <w:p w14:paraId="46325BED">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（1）涉及国家公园、自然保护区、世界自然遗产、重要生境时，评价等级为一级；</w:t>
      </w:r>
    </w:p>
    <w:p w14:paraId="481828ED">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（2）涉及自然公园时，评价等级为二级；</w:t>
      </w:r>
    </w:p>
    <w:p w14:paraId="582836B8">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（3）涉及生态保护红线时，评价等级不低于二级；</w:t>
      </w:r>
    </w:p>
    <w:p w14:paraId="651BB8B0">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（4）根据HJ2.3判断属于水文要素影响型且地表水评价等级不低于二级的建设项目，生态影响评价等级不低于二级；</w:t>
      </w:r>
    </w:p>
    <w:p w14:paraId="48EE9B7E">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（5）根据HJ610、HJ964判断地下水水位或土壤影响范围内分布有天然林、公益林、湿地等生态保护目标的建设项目，生态影响评价等级不低于二级；（6）当工程占地规模大于20km</w:t>
      </w:r>
      <w:r>
        <w:rPr>
          <w:rFonts w:hint="default" w:ascii="Times New Roman" w:hAnsi="Times New Roman" w:eastAsia="宋体" w:cs="Times New Roman"/>
          <w:color w:val="000000"/>
          <w:sz w:val="24"/>
          <w:szCs w:val="24"/>
          <w:vertAlign w:val="superscript"/>
          <w:lang w:val="en-US" w:eastAsia="zh-CN"/>
        </w:rPr>
        <w:t>2</w:t>
      </w:r>
      <w:r>
        <w:rPr>
          <w:rFonts w:hint="default" w:ascii="Times New Roman" w:hAnsi="Times New Roman" w:eastAsia="宋体" w:cs="Times New Roman"/>
          <w:color w:val="000000"/>
          <w:sz w:val="24"/>
          <w:szCs w:val="24"/>
          <w:lang w:val="en-US" w:eastAsia="zh-CN"/>
        </w:rPr>
        <w:t>时（包括永久和临时占用陆域和水域），评价等级不低于二级；改扩建项目的占地范围以新增占地（包括陆域和水域〉确定；</w:t>
      </w:r>
    </w:p>
    <w:p w14:paraId="3DB7CE58">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（7）除本条（1）（2）（3）（4）（5）（6）以外的情况，评价等级为三级；</w:t>
      </w:r>
    </w:p>
    <w:p w14:paraId="274CBE7C">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（8）当评价等级判定同时符合上述多种情况时，应采用其中最高的评价等级。</w:t>
      </w:r>
    </w:p>
    <w:p w14:paraId="36A2BBCE">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项目涉及</w:t>
      </w:r>
      <w:r>
        <w:rPr>
          <w:rFonts w:hint="eastAsia" w:ascii="Times New Roman" w:hAnsi="Times New Roman" w:eastAsia="宋体" w:cs="Times New Roman"/>
          <w:color w:val="000000"/>
          <w:sz w:val="24"/>
          <w:szCs w:val="24"/>
          <w:lang w:val="en-US" w:eastAsia="zh-CN"/>
        </w:rPr>
        <w:t>新疆天山天池国家地质公园</w:t>
      </w:r>
      <w:r>
        <w:rPr>
          <w:rFonts w:hint="default" w:ascii="Times New Roman" w:hAnsi="Times New Roman" w:eastAsia="宋体" w:cs="Times New Roman"/>
          <w:color w:val="000000"/>
          <w:sz w:val="24"/>
          <w:szCs w:val="24"/>
          <w:lang w:val="en-US" w:eastAsia="zh-CN"/>
        </w:rPr>
        <w:t>，综合论证项目评价工作等级为二级。</w:t>
      </w:r>
    </w:p>
    <w:p w14:paraId="18551F15">
      <w:pPr>
        <w:pStyle w:val="5"/>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b w:val="0"/>
          <w:bCs w:val="0"/>
          <w:color w:val="000000"/>
          <w:kern w:val="2"/>
          <w:sz w:val="24"/>
          <w:szCs w:val="24"/>
          <w:lang w:val="en-US" w:eastAsia="zh-CN" w:bidi="ar-SA"/>
        </w:rPr>
      </w:pPr>
      <w:bookmarkStart w:id="72" w:name="_Toc9349"/>
      <w:r>
        <w:rPr>
          <w:rFonts w:hint="default" w:ascii="Times New Roman" w:hAnsi="Times New Roman" w:eastAsia="宋体" w:cs="Times New Roman"/>
          <w:b w:val="0"/>
          <w:bCs w:val="0"/>
          <w:color w:val="000000"/>
          <w:kern w:val="2"/>
          <w:sz w:val="24"/>
          <w:szCs w:val="24"/>
          <w:lang w:val="en-US" w:eastAsia="zh-CN" w:bidi="ar-SA"/>
        </w:rPr>
        <w:t>1.4.2评价范围</w:t>
      </w:r>
      <w:bookmarkEnd w:id="72"/>
    </w:p>
    <w:p w14:paraId="1B82AEA1">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根据《环境影响评价技术导则 生态环境》（HJ19-2022）的要求，生态评价范围应涵盖评价项目全部活动的直接影响区域和间接影响区域，根据生态单元和地理单元分布，本项目生态评价范围</w:t>
      </w:r>
      <w:r>
        <w:rPr>
          <w:rFonts w:hint="eastAsia" w:ascii="Times New Roman" w:hAnsi="Times New Roman" w:eastAsia="宋体" w:cs="Times New Roman"/>
          <w:color w:val="000000"/>
          <w:sz w:val="24"/>
          <w:szCs w:val="24"/>
          <w:lang w:val="en-US" w:eastAsia="zh-CN"/>
        </w:rPr>
        <w:t>北</w:t>
      </w:r>
      <w:r>
        <w:rPr>
          <w:rFonts w:hint="default" w:ascii="Times New Roman" w:hAnsi="Times New Roman" w:eastAsia="宋体" w:cs="Times New Roman"/>
          <w:color w:val="000000"/>
          <w:sz w:val="24"/>
          <w:szCs w:val="24"/>
          <w:lang w:val="en-US" w:eastAsia="zh-CN"/>
        </w:rPr>
        <w:t>侧</w:t>
      </w:r>
      <w:r>
        <w:rPr>
          <w:rFonts w:hint="eastAsia" w:ascii="Times New Roman" w:hAnsi="Times New Roman" w:eastAsia="宋体" w:cs="Times New Roman"/>
          <w:color w:val="000000"/>
          <w:sz w:val="24"/>
          <w:szCs w:val="24"/>
          <w:lang w:val="en-US" w:eastAsia="zh-CN"/>
        </w:rPr>
        <w:t>、南侧、东侧</w:t>
      </w:r>
      <w:r>
        <w:rPr>
          <w:rFonts w:hint="default" w:ascii="Times New Roman" w:hAnsi="Times New Roman" w:eastAsia="宋体" w:cs="Times New Roman"/>
          <w:color w:val="000000"/>
          <w:sz w:val="24"/>
          <w:szCs w:val="24"/>
          <w:lang w:val="en-US" w:eastAsia="zh-CN"/>
        </w:rPr>
        <w:t>占地区外延500m的区域范围。</w:t>
      </w:r>
    </w:p>
    <w:p w14:paraId="358F0A91">
      <w:pPr>
        <w:pStyle w:val="4"/>
        <w:pageBreakBefore w:val="0"/>
        <w:widowControl w:val="0"/>
        <w:numPr>
          <w:ilvl w:val="1"/>
          <w:numId w:val="0"/>
        </w:numPr>
        <w:kinsoku/>
        <w:wordWrap/>
        <w:overflowPunct/>
        <w:topLinePunct w:val="0"/>
        <w:autoSpaceDE/>
        <w:autoSpaceDN/>
        <w:bidi w:val="0"/>
        <w:snapToGrid w:val="0"/>
        <w:spacing w:before="0" w:beforeLines="0" w:after="0" w:afterLines="0" w:line="360" w:lineRule="auto"/>
        <w:jc w:val="both"/>
        <w:textAlignment w:val="auto"/>
        <w:rPr>
          <w:rFonts w:hint="default" w:ascii="Times New Roman" w:hAnsi="Times New Roman" w:eastAsia="宋体" w:cs="Times New Roman"/>
          <w:color w:val="000000"/>
          <w:sz w:val="24"/>
          <w:szCs w:val="24"/>
          <w:lang w:val="en-US" w:eastAsia="zh-CN"/>
        </w:rPr>
      </w:pPr>
      <w:bookmarkStart w:id="73" w:name="_Toc25868"/>
      <w:bookmarkStart w:id="74" w:name="_Toc10694"/>
      <w:bookmarkStart w:id="75" w:name="_Toc28595"/>
      <w:r>
        <w:rPr>
          <w:rFonts w:hint="default" w:ascii="Times New Roman" w:hAnsi="Times New Roman" w:eastAsia="宋体" w:cs="Times New Roman"/>
          <w:color w:val="000000"/>
          <w:sz w:val="24"/>
          <w:szCs w:val="24"/>
          <w:lang w:val="en-US" w:eastAsia="zh-CN"/>
        </w:rPr>
        <w:t>1.5评价时段</w:t>
      </w:r>
      <w:bookmarkEnd w:id="73"/>
      <w:bookmarkEnd w:id="74"/>
      <w:bookmarkEnd w:id="75"/>
    </w:p>
    <w:p w14:paraId="09839C65">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根据本项目建设性质、主要建设内容和特点，本次评价时段主要为</w:t>
      </w:r>
      <w:r>
        <w:rPr>
          <w:rFonts w:hint="eastAsia" w:ascii="Times New Roman" w:hAnsi="Times New Roman" w:eastAsia="宋体" w:cs="Times New Roman"/>
          <w:color w:val="000000"/>
          <w:sz w:val="24"/>
          <w:szCs w:val="24"/>
          <w:lang w:val="en-US" w:eastAsia="zh-CN"/>
        </w:rPr>
        <w:t>施工期、</w:t>
      </w:r>
      <w:r>
        <w:rPr>
          <w:rFonts w:hint="default" w:ascii="Times New Roman" w:hAnsi="Times New Roman" w:eastAsia="宋体" w:cs="Times New Roman"/>
          <w:color w:val="000000"/>
          <w:sz w:val="24"/>
          <w:szCs w:val="24"/>
          <w:lang w:val="en-US" w:eastAsia="zh-CN"/>
        </w:rPr>
        <w:t>运营期。</w:t>
      </w:r>
    </w:p>
    <w:p w14:paraId="616D179F">
      <w:pPr>
        <w:pStyle w:val="4"/>
        <w:pageBreakBefore w:val="0"/>
        <w:widowControl w:val="0"/>
        <w:numPr>
          <w:ilvl w:val="1"/>
          <w:numId w:val="0"/>
        </w:numPr>
        <w:kinsoku/>
        <w:wordWrap/>
        <w:overflowPunct/>
        <w:topLinePunct w:val="0"/>
        <w:autoSpaceDE/>
        <w:autoSpaceDN/>
        <w:bidi w:val="0"/>
        <w:snapToGrid w:val="0"/>
        <w:spacing w:before="0" w:beforeLines="0" w:after="0" w:afterLines="0" w:line="360" w:lineRule="auto"/>
        <w:jc w:val="both"/>
        <w:textAlignment w:val="auto"/>
        <w:rPr>
          <w:rFonts w:hint="default" w:ascii="Times New Roman" w:hAnsi="Times New Roman" w:eastAsia="宋体" w:cs="Times New Roman"/>
          <w:color w:val="000000"/>
          <w:sz w:val="24"/>
          <w:szCs w:val="24"/>
          <w:lang w:val="en-US" w:eastAsia="zh-CN"/>
        </w:rPr>
      </w:pPr>
      <w:bookmarkStart w:id="76" w:name="_Toc20329"/>
      <w:bookmarkStart w:id="77" w:name="_Toc13812"/>
      <w:bookmarkStart w:id="78" w:name="_Toc4692"/>
      <w:r>
        <w:rPr>
          <w:rFonts w:hint="default" w:ascii="Times New Roman" w:hAnsi="Times New Roman" w:eastAsia="宋体" w:cs="Times New Roman"/>
          <w:color w:val="000000"/>
          <w:sz w:val="24"/>
          <w:szCs w:val="24"/>
          <w:lang w:val="en-US" w:eastAsia="zh-CN"/>
        </w:rPr>
        <w:t>1.6评价工作重点</w:t>
      </w:r>
      <w:bookmarkEnd w:id="76"/>
      <w:bookmarkEnd w:id="77"/>
      <w:bookmarkEnd w:id="78"/>
    </w:p>
    <w:p w14:paraId="7D0F11AB">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highlight w:val="yellow"/>
          <w:lang w:val="en-US" w:eastAsia="zh-CN"/>
        </w:rPr>
      </w:pPr>
      <w:r>
        <w:rPr>
          <w:rFonts w:hint="default" w:ascii="Times New Roman" w:hAnsi="Times New Roman" w:eastAsia="宋体" w:cs="Times New Roman"/>
          <w:color w:val="000000"/>
          <w:sz w:val="24"/>
          <w:szCs w:val="24"/>
          <w:lang w:val="en-US" w:eastAsia="zh-CN"/>
        </w:rPr>
        <w:t>项目区域生态环境敏感，涉及</w:t>
      </w:r>
      <w:r>
        <w:rPr>
          <w:rFonts w:hint="eastAsia" w:ascii="Times New Roman" w:hAnsi="Times New Roman" w:eastAsia="宋体" w:cs="Times New Roman"/>
          <w:color w:val="000000"/>
          <w:sz w:val="24"/>
          <w:szCs w:val="24"/>
          <w:lang w:val="en-US" w:eastAsia="zh-CN"/>
        </w:rPr>
        <w:t>新疆天山天池国家地质公园</w:t>
      </w:r>
      <w:r>
        <w:rPr>
          <w:rFonts w:hint="default" w:ascii="Times New Roman" w:hAnsi="Times New Roman" w:eastAsia="宋体" w:cs="Times New Roman"/>
          <w:color w:val="000000"/>
          <w:sz w:val="24"/>
          <w:szCs w:val="24"/>
          <w:lang w:val="en-US" w:eastAsia="zh-CN"/>
        </w:rPr>
        <w:t>，本次评价将分析</w:t>
      </w:r>
      <w:r>
        <w:rPr>
          <w:rFonts w:hint="eastAsia" w:ascii="Times New Roman" w:hAnsi="Times New Roman" w:eastAsia="宋体" w:cs="Times New Roman"/>
          <w:color w:val="000000"/>
          <w:sz w:val="24"/>
          <w:szCs w:val="24"/>
          <w:lang w:val="en-US" w:eastAsia="zh-CN"/>
        </w:rPr>
        <w:t>施工期、</w:t>
      </w:r>
      <w:r>
        <w:rPr>
          <w:rFonts w:hint="default" w:ascii="Times New Roman" w:hAnsi="Times New Roman" w:eastAsia="宋体" w:cs="Times New Roman"/>
          <w:color w:val="000000"/>
          <w:sz w:val="24"/>
          <w:szCs w:val="24"/>
          <w:lang w:val="en-US" w:eastAsia="zh-CN"/>
        </w:rPr>
        <w:t>运营期环境影响评价，工程占地对项目评价范围内天然植被的破坏等生态影响。</w:t>
      </w:r>
    </w:p>
    <w:p w14:paraId="2F63632F">
      <w:pPr>
        <w:pStyle w:val="3"/>
        <w:keepLines w:val="0"/>
        <w:pageBreakBefore w:val="0"/>
        <w:widowControl w:val="0"/>
        <w:kinsoku/>
        <w:wordWrap/>
        <w:topLinePunct w:val="0"/>
        <w:autoSpaceDE/>
        <w:autoSpaceDN/>
        <w:bidi w:val="0"/>
        <w:snapToGrid w:val="0"/>
        <w:spacing w:before="0" w:beforeAutospacing="0" w:after="0" w:afterAutospacing="0" w:line="360" w:lineRule="auto"/>
        <w:ind w:left="0" w:leftChars="0" w:firstLine="0" w:firstLineChars="0"/>
        <w:textAlignment w:val="auto"/>
        <w:rPr>
          <w:rFonts w:hint="default" w:ascii="Times New Roman" w:hAnsi="Times New Roman" w:eastAsia="宋体" w:cs="Times New Roman"/>
          <w:b/>
          <w:bCs/>
          <w:color w:val="000000"/>
          <w:sz w:val="28"/>
          <w:szCs w:val="28"/>
          <w:lang w:val="en-US" w:eastAsia="zh-CN"/>
        </w:rPr>
      </w:pPr>
      <w:bookmarkStart w:id="79" w:name="_Toc4160"/>
      <w:bookmarkStart w:id="80" w:name="_Toc10139"/>
      <w:bookmarkStart w:id="81" w:name="_Toc6425"/>
      <w:bookmarkStart w:id="82" w:name="_Toc32372"/>
      <w:r>
        <w:rPr>
          <w:rFonts w:hint="eastAsia" w:eastAsia="宋体" w:cs="Times New Roman"/>
          <w:b/>
          <w:bCs/>
          <w:color w:val="000000"/>
          <w:sz w:val="28"/>
          <w:szCs w:val="28"/>
          <w:lang w:val="en-US" w:eastAsia="zh-CN"/>
        </w:rPr>
        <w:t>2.</w:t>
      </w:r>
      <w:r>
        <w:rPr>
          <w:rFonts w:hint="default" w:ascii="Times New Roman" w:hAnsi="Times New Roman" w:eastAsia="宋体" w:cs="Times New Roman"/>
          <w:b/>
          <w:bCs/>
          <w:color w:val="000000"/>
          <w:sz w:val="28"/>
          <w:szCs w:val="28"/>
          <w:lang w:val="en-US" w:eastAsia="zh-CN"/>
        </w:rPr>
        <w:t>生态环境现状调查与评价</w:t>
      </w:r>
      <w:bookmarkEnd w:id="79"/>
      <w:bookmarkEnd w:id="80"/>
      <w:bookmarkEnd w:id="81"/>
      <w:bookmarkEnd w:id="82"/>
    </w:p>
    <w:p w14:paraId="13B2FFD9">
      <w:pPr>
        <w:pStyle w:val="4"/>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360" w:lineRule="auto"/>
        <w:ind w:leftChars="0"/>
        <w:textAlignment w:val="auto"/>
        <w:outlineLvl w:val="1"/>
        <w:rPr>
          <w:rFonts w:hint="default" w:ascii="Times New Roman" w:hAnsi="Times New Roman" w:eastAsia="宋体" w:cs="Times New Roman"/>
          <w:color w:val="000000"/>
          <w:sz w:val="24"/>
          <w:szCs w:val="24"/>
          <w:highlight w:val="none"/>
          <w:lang w:val="en-US" w:eastAsia="zh-CN"/>
        </w:rPr>
      </w:pPr>
      <w:bookmarkStart w:id="83" w:name="_Toc2871"/>
      <w:bookmarkStart w:id="84" w:name="_Toc3111"/>
      <w:bookmarkStart w:id="85" w:name="_Toc20344"/>
      <w:bookmarkStart w:id="86" w:name="_Toc23354"/>
      <w:bookmarkStart w:id="87" w:name="_Toc11663"/>
      <w:r>
        <w:rPr>
          <w:rFonts w:hint="default" w:ascii="Times New Roman" w:hAnsi="Times New Roman" w:eastAsia="宋体" w:cs="Times New Roman"/>
          <w:color w:val="000000"/>
          <w:sz w:val="24"/>
          <w:szCs w:val="24"/>
          <w:highlight w:val="none"/>
          <w:lang w:val="en-US" w:eastAsia="zh-CN"/>
        </w:rPr>
        <w:t>2.1主体功能区规划</w:t>
      </w:r>
      <w:bookmarkEnd w:id="83"/>
      <w:bookmarkEnd w:id="84"/>
      <w:bookmarkEnd w:id="85"/>
      <w:bookmarkEnd w:id="86"/>
      <w:bookmarkEnd w:id="87"/>
    </w:p>
    <w:p w14:paraId="071AE92D">
      <w:pPr>
        <w:keepNext w:val="0"/>
        <w:keepLines w:val="0"/>
        <w:pageBreakBefore w:val="0"/>
        <w:widowControl/>
        <w:suppressLineNumbers w:val="0"/>
        <w:shd w:val="clear" w:color="auto" w:fill="auto"/>
        <w:kinsoku/>
        <w:wordWrap/>
        <w:overflowPunct/>
        <w:topLinePunct w:val="0"/>
        <w:autoSpaceDE/>
        <w:autoSpaceDN/>
        <w:bidi w:val="0"/>
        <w:adjustRightInd/>
        <w:snapToGrid w:val="0"/>
        <w:ind w:left="0" w:leftChars="0" w:firstLine="480" w:firstLineChars="200"/>
        <w:jc w:val="both"/>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kern w:val="0"/>
          <w:sz w:val="24"/>
          <w:szCs w:val="24"/>
          <w:highlight w:val="none"/>
          <w:lang w:val="en-US" w:eastAsia="zh-CN" w:bidi="ar"/>
        </w:rPr>
        <w:t>根据《新疆维吾尔自治区主体功能区规划》，根据国家对主体功能区规划编制的要求，结合新疆独特的自然地理状况和新时期跨越式发展的需要，本规划将新疆国土空间划分为重点开发区域、限制开发区域和禁止开发区域3类主体功能区；按开发内容分为城市化地区、农产品生产区和重点生态功能区；按层级分为国家和自治区两个层面。</w:t>
      </w:r>
    </w:p>
    <w:p w14:paraId="0174C274">
      <w:pPr>
        <w:keepNext w:val="0"/>
        <w:keepLines w:val="0"/>
        <w:pageBreakBefore w:val="0"/>
        <w:widowControl/>
        <w:suppressLineNumbers w:val="0"/>
        <w:shd w:val="clear" w:color="auto" w:fill="auto"/>
        <w:kinsoku/>
        <w:wordWrap/>
        <w:overflowPunct/>
        <w:topLinePunct w:val="0"/>
        <w:autoSpaceDE/>
        <w:autoSpaceDN/>
        <w:bidi w:val="0"/>
        <w:adjustRightInd/>
        <w:snapToGrid w:val="0"/>
        <w:ind w:firstLine="480"/>
        <w:jc w:val="both"/>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kern w:val="0"/>
          <w:sz w:val="24"/>
          <w:szCs w:val="24"/>
          <w:highlight w:val="none"/>
          <w:lang w:val="en-US" w:eastAsia="zh-CN" w:bidi="ar"/>
        </w:rPr>
        <w:t>拟建项目所在的阜康市位于国家层面重点开发区，国家层面重点开发区域是对全国区域经济协调发展具有重大意义的城市化地区，是支撑全国经济增长的重要增长极。该区域的功能定位为：该区域的功能定位是：我国面向中亚、西亚地区对外开放的陆路交通枢纽和重要门户，全国重要的能源基地，我国进口资源的国际大通道，西北地区重要的国际商贸中心、物流中心和对外合作加工基地，石油天然气化工、煤电、煤化工、机电工业及纺织工业基地。推进乌昌一体化建设，提升贸易枢纽功能和制造业功能，建设西北地区重要的国际商贸中心、制造业中心、出口商品加工基地，将乌昌地区打造为西北地区新型城镇化和新型工业化的核心载体。发展壮大石河子、克拉玛依、奎屯、博乐、伊宁、五家渠、阜康、吐鲁番、哈密等节点城市。</w:t>
      </w:r>
    </w:p>
    <w:p w14:paraId="2E9246D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kern w:val="0"/>
          <w:sz w:val="24"/>
          <w:szCs w:val="24"/>
          <w:highlight w:val="none"/>
          <w:lang w:val="en-US" w:eastAsia="zh-CN" w:bidi="ar"/>
        </w:rPr>
        <w:t>项目属于</w:t>
      </w:r>
      <w:r>
        <w:rPr>
          <w:rFonts w:hint="default" w:ascii="Times New Roman" w:hAnsi="Times New Roman" w:eastAsia="宋体" w:cs="Times New Roman"/>
          <w:sz w:val="24"/>
          <w:szCs w:val="24"/>
        </w:rPr>
        <w:t>旅游基础设施建设</w:t>
      </w:r>
      <w:r>
        <w:rPr>
          <w:rFonts w:hint="default" w:ascii="Times New Roman" w:hAnsi="Times New Roman" w:eastAsia="宋体" w:cs="Times New Roman"/>
          <w:snapToGrid w:val="0"/>
          <w:color w:val="000000"/>
          <w:kern w:val="0"/>
          <w:highlight w:val="none"/>
          <w:lang w:val="en-US" w:eastAsia="zh-CN"/>
        </w:rPr>
        <w:t>项目</w:t>
      </w:r>
      <w:r>
        <w:rPr>
          <w:rFonts w:hint="default" w:ascii="Times New Roman" w:hAnsi="Times New Roman" w:eastAsia="宋体" w:cs="Times New Roman"/>
          <w:color w:val="000000"/>
          <w:kern w:val="0"/>
          <w:sz w:val="24"/>
          <w:szCs w:val="24"/>
          <w:highlight w:val="none"/>
          <w:lang w:val="en-US" w:eastAsia="zh-CN" w:bidi="ar"/>
        </w:rPr>
        <w:t>，项目</w:t>
      </w:r>
      <w:r>
        <w:rPr>
          <w:rFonts w:hint="eastAsia" w:ascii="Times New Roman" w:hAnsi="Times New Roman" w:eastAsia="宋体" w:cs="Times New Roman"/>
          <w:color w:val="000000"/>
          <w:kern w:val="0"/>
          <w:sz w:val="24"/>
          <w:szCs w:val="24"/>
          <w:highlight w:val="none"/>
          <w:lang w:val="en-US" w:eastAsia="zh-CN" w:bidi="ar"/>
        </w:rPr>
        <w:t>施工</w:t>
      </w:r>
      <w:r>
        <w:rPr>
          <w:rFonts w:ascii="宋体" w:hAnsi="宋体" w:eastAsia="宋体" w:cs="宋体"/>
          <w:sz w:val="24"/>
          <w:szCs w:val="24"/>
        </w:rPr>
        <w:t>期、运营期全面落实水土保持、植被保护、污水管控、地质遗迹保护、人为扰动管控等生态环保措施</w:t>
      </w:r>
      <w:r>
        <w:rPr>
          <w:rFonts w:hint="default" w:ascii="Times New Roman" w:hAnsi="Times New Roman" w:eastAsia="宋体" w:cs="Times New Roman"/>
          <w:color w:val="000000"/>
          <w:kern w:val="0"/>
          <w:sz w:val="24"/>
          <w:szCs w:val="24"/>
          <w:highlight w:val="none"/>
          <w:lang w:val="en-US" w:eastAsia="zh-CN" w:bidi="ar"/>
        </w:rPr>
        <w:t>。因此项目建设</w:t>
      </w:r>
      <w:r>
        <w:rPr>
          <w:rFonts w:hint="eastAsia" w:ascii="Times New Roman" w:hAnsi="Times New Roman" w:eastAsia="宋体" w:cs="Times New Roman"/>
          <w:color w:val="000000"/>
          <w:kern w:val="0"/>
          <w:sz w:val="24"/>
          <w:szCs w:val="24"/>
          <w:highlight w:val="none"/>
          <w:lang w:val="en-US" w:eastAsia="zh-CN" w:bidi="ar"/>
        </w:rPr>
        <w:t>符合</w:t>
      </w:r>
      <w:r>
        <w:rPr>
          <w:rFonts w:hint="default" w:ascii="Times New Roman" w:hAnsi="Times New Roman" w:eastAsia="宋体" w:cs="Times New Roman"/>
          <w:color w:val="000000"/>
          <w:kern w:val="0"/>
          <w:sz w:val="24"/>
          <w:szCs w:val="24"/>
          <w:highlight w:val="none"/>
          <w:lang w:val="en-US" w:eastAsia="zh-CN" w:bidi="ar"/>
        </w:rPr>
        <w:t>《新疆维吾尔自治区主体功能区规划》</w:t>
      </w:r>
      <w:r>
        <w:rPr>
          <w:rFonts w:hint="eastAsia" w:ascii="Times New Roman" w:hAnsi="Times New Roman" w:eastAsia="宋体" w:cs="Times New Roman"/>
          <w:color w:val="000000"/>
          <w:kern w:val="0"/>
          <w:sz w:val="24"/>
          <w:szCs w:val="24"/>
          <w:highlight w:val="none"/>
          <w:lang w:val="en-US" w:eastAsia="zh-CN" w:bidi="ar"/>
        </w:rPr>
        <w:t>的相关要求</w:t>
      </w:r>
      <w:r>
        <w:rPr>
          <w:rFonts w:hint="default" w:ascii="Times New Roman" w:hAnsi="Times New Roman" w:eastAsia="宋体" w:cs="Times New Roman"/>
          <w:color w:val="000000"/>
          <w:kern w:val="0"/>
          <w:sz w:val="24"/>
          <w:szCs w:val="24"/>
          <w:highlight w:val="none"/>
          <w:lang w:val="en-US" w:eastAsia="zh-CN" w:bidi="ar"/>
        </w:rPr>
        <w:t>。</w:t>
      </w:r>
    </w:p>
    <w:p w14:paraId="1E781CA0">
      <w:pPr>
        <w:pStyle w:val="4"/>
        <w:pageBreakBefore w:val="0"/>
        <w:widowControl w:val="0"/>
        <w:numPr>
          <w:ilvl w:val="1"/>
          <w:numId w:val="0"/>
        </w:numPr>
        <w:kinsoku/>
        <w:wordWrap/>
        <w:overflowPunct/>
        <w:topLinePunct w:val="0"/>
        <w:autoSpaceDE/>
        <w:autoSpaceDN/>
        <w:bidi w:val="0"/>
        <w:snapToGrid w:val="0"/>
        <w:spacing w:before="0" w:beforeLines="0" w:after="0" w:afterLines="0" w:line="360" w:lineRule="auto"/>
        <w:jc w:val="both"/>
        <w:textAlignment w:val="auto"/>
        <w:rPr>
          <w:rFonts w:hint="default" w:ascii="Times New Roman" w:hAnsi="Times New Roman" w:eastAsia="宋体" w:cs="Times New Roman"/>
          <w:color w:val="000000"/>
          <w:sz w:val="24"/>
          <w:szCs w:val="24"/>
          <w:lang w:val="en-US" w:eastAsia="zh-CN"/>
        </w:rPr>
      </w:pPr>
      <w:bookmarkStart w:id="88" w:name="_Toc8734"/>
      <w:bookmarkStart w:id="89" w:name="_Toc25916"/>
      <w:bookmarkStart w:id="90" w:name="_Toc10826"/>
      <w:r>
        <w:rPr>
          <w:rFonts w:hint="default" w:ascii="Times New Roman" w:hAnsi="Times New Roman" w:eastAsia="宋体" w:cs="Times New Roman"/>
          <w:color w:val="000000"/>
          <w:sz w:val="24"/>
          <w:szCs w:val="24"/>
          <w:lang w:val="en-US" w:eastAsia="zh-CN"/>
        </w:rPr>
        <w:t>2.2生态功能区划</w:t>
      </w:r>
      <w:bookmarkEnd w:id="88"/>
      <w:bookmarkEnd w:id="89"/>
      <w:bookmarkEnd w:id="90"/>
    </w:p>
    <w:p w14:paraId="2E2823D8">
      <w:pPr>
        <w:keepNext w:val="0"/>
        <w:keepLines w:val="0"/>
        <w:pageBreakBefore w:val="0"/>
        <w:widowControl/>
        <w:suppressLineNumbers w:val="0"/>
        <w:kinsoku/>
        <w:wordWrap/>
        <w:overflowPunct/>
        <w:topLinePunct w:val="0"/>
        <w:autoSpaceDE/>
        <w:autoSpaceDN/>
        <w:bidi w:val="0"/>
        <w:adjustRightInd/>
        <w:snapToGrid w:val="0"/>
        <w:ind w:firstLine="480"/>
        <w:jc w:val="both"/>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本项目位于阜康市，根据《新疆维吾尔自治区生态功能区划》，项目区属于“Ⅲ天山山地干旱草原—针叶林生态区——Ⅲ1天山北坡森林、草原水源涵养生态亚区——32．天山北坡东段博格达峰及天池自然景观保护生态功能区”，生态功能区特征见表3。</w:t>
      </w:r>
    </w:p>
    <w:p w14:paraId="2616382C">
      <w:pPr>
        <w:pStyle w:val="87"/>
        <w:keepNext w:val="0"/>
        <w:keepLines w:val="0"/>
        <w:pageBreakBefore w:val="0"/>
        <w:widowControl w:val="0"/>
        <w:kinsoku/>
        <w:wordWrap/>
        <w:overflowPunct/>
        <w:topLinePunct/>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val="0"/>
          <w:color w:val="000000"/>
          <w:sz w:val="21"/>
          <w:szCs w:val="21"/>
          <w:highlight w:val="none"/>
        </w:rPr>
      </w:pPr>
    </w:p>
    <w:p w14:paraId="099AAE01">
      <w:pPr>
        <w:pStyle w:val="87"/>
        <w:keepNext w:val="0"/>
        <w:keepLines w:val="0"/>
        <w:pageBreakBefore w:val="0"/>
        <w:widowControl w:val="0"/>
        <w:kinsoku/>
        <w:wordWrap/>
        <w:overflowPunct/>
        <w:topLinePunct/>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val="0"/>
          <w:color w:val="000000"/>
          <w:sz w:val="21"/>
          <w:szCs w:val="21"/>
          <w:highlight w:val="none"/>
        </w:rPr>
      </w:pPr>
      <w:r>
        <w:rPr>
          <w:rFonts w:hint="default" w:ascii="Times New Roman" w:hAnsi="Times New Roman" w:eastAsia="宋体" w:cs="Times New Roman"/>
          <w:b/>
          <w:bCs w:val="0"/>
          <w:color w:val="000000"/>
          <w:sz w:val="21"/>
          <w:szCs w:val="21"/>
          <w:highlight w:val="none"/>
        </w:rPr>
        <w:t>表</w:t>
      </w:r>
      <w:r>
        <w:rPr>
          <w:rFonts w:hint="default" w:ascii="Times New Roman" w:hAnsi="Times New Roman" w:eastAsia="宋体" w:cs="Times New Roman"/>
          <w:b/>
          <w:bCs w:val="0"/>
          <w:color w:val="000000"/>
          <w:sz w:val="21"/>
          <w:szCs w:val="21"/>
          <w:highlight w:val="none"/>
          <w:lang w:val="en-US" w:eastAsia="zh-CN"/>
        </w:rPr>
        <w:t>3</w:t>
      </w:r>
      <w:r>
        <w:rPr>
          <w:rFonts w:hint="default" w:ascii="Times New Roman" w:hAnsi="Times New Roman" w:eastAsia="宋体" w:cs="Times New Roman"/>
          <w:b/>
          <w:bCs w:val="0"/>
          <w:color w:val="000000"/>
          <w:sz w:val="21"/>
          <w:szCs w:val="21"/>
          <w:highlight w:val="none"/>
        </w:rPr>
        <w:t xml:space="preserve">     区域生态功能区划简表</w:t>
      </w:r>
    </w:p>
    <w:tbl>
      <w:tblPr>
        <w:tblStyle w:val="3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51"/>
        <w:gridCol w:w="1317"/>
        <w:gridCol w:w="6251"/>
      </w:tblGrid>
      <w:tr w14:paraId="0B1B18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58" w:type="pct"/>
            <w:vMerge w:val="restart"/>
            <w:noWrap w:val="0"/>
            <w:vAlign w:val="center"/>
          </w:tcPr>
          <w:p w14:paraId="31262CE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r>
              <w:rPr>
                <w:rFonts w:hint="default" w:ascii="Times New Roman" w:hAnsi="Times New Roman" w:eastAsia="宋体" w:cs="Times New Roman"/>
                <w:b w:val="0"/>
                <w:bCs w:val="0"/>
                <w:snapToGrid w:val="0"/>
                <w:color w:val="000000"/>
                <w:kern w:val="0"/>
                <w:sz w:val="21"/>
                <w:szCs w:val="21"/>
                <w:highlight w:val="none"/>
              </w:rPr>
              <w:t>生态功能分区单元</w:t>
            </w:r>
          </w:p>
        </w:tc>
        <w:tc>
          <w:tcPr>
            <w:tcW w:w="772" w:type="pct"/>
            <w:noWrap w:val="0"/>
            <w:vAlign w:val="center"/>
          </w:tcPr>
          <w:p w14:paraId="76622D2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r>
              <w:rPr>
                <w:rFonts w:hint="default" w:ascii="Times New Roman" w:hAnsi="Times New Roman" w:eastAsia="宋体" w:cs="Times New Roman"/>
                <w:b w:val="0"/>
                <w:bCs w:val="0"/>
                <w:snapToGrid w:val="0"/>
                <w:color w:val="000000"/>
                <w:kern w:val="0"/>
                <w:sz w:val="21"/>
                <w:szCs w:val="21"/>
                <w:highlight w:val="none"/>
              </w:rPr>
              <w:t>生态区</w:t>
            </w:r>
          </w:p>
        </w:tc>
        <w:tc>
          <w:tcPr>
            <w:tcW w:w="3668" w:type="pct"/>
            <w:noWrap w:val="0"/>
            <w:vAlign w:val="center"/>
          </w:tcPr>
          <w:p w14:paraId="341972B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r>
              <w:rPr>
                <w:rFonts w:hint="default" w:ascii="Times New Roman" w:hAnsi="Times New Roman" w:eastAsia="宋体" w:cs="Times New Roman"/>
                <w:b w:val="0"/>
                <w:bCs w:val="0"/>
                <w:snapToGrid w:val="0"/>
                <w:color w:val="000000"/>
                <w:kern w:val="0"/>
                <w:sz w:val="21"/>
                <w:szCs w:val="21"/>
                <w:highlight w:val="none"/>
              </w:rPr>
              <w:t>Ⅲ天山山地干旱草原—针叶林生态区</w:t>
            </w:r>
          </w:p>
        </w:tc>
      </w:tr>
      <w:tr w14:paraId="371CA1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8" w:type="pct"/>
            <w:vMerge w:val="continue"/>
            <w:noWrap w:val="0"/>
            <w:vAlign w:val="center"/>
          </w:tcPr>
          <w:p w14:paraId="3E84C74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p>
        </w:tc>
        <w:tc>
          <w:tcPr>
            <w:tcW w:w="772" w:type="pct"/>
            <w:noWrap w:val="0"/>
            <w:vAlign w:val="center"/>
          </w:tcPr>
          <w:p w14:paraId="1F9F983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r>
              <w:rPr>
                <w:rFonts w:hint="default" w:ascii="Times New Roman" w:hAnsi="Times New Roman" w:eastAsia="宋体" w:cs="Times New Roman"/>
                <w:b w:val="0"/>
                <w:bCs w:val="0"/>
                <w:snapToGrid w:val="0"/>
                <w:color w:val="000000"/>
                <w:kern w:val="0"/>
                <w:sz w:val="21"/>
                <w:szCs w:val="21"/>
                <w:highlight w:val="none"/>
              </w:rPr>
              <w:t>生态亚区</w:t>
            </w:r>
          </w:p>
        </w:tc>
        <w:tc>
          <w:tcPr>
            <w:tcW w:w="3668" w:type="pct"/>
            <w:noWrap w:val="0"/>
            <w:vAlign w:val="center"/>
          </w:tcPr>
          <w:p w14:paraId="18B471B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r>
              <w:rPr>
                <w:rFonts w:hint="default" w:ascii="Times New Roman" w:hAnsi="Times New Roman" w:eastAsia="宋体" w:cs="Times New Roman"/>
                <w:b w:val="0"/>
                <w:bCs w:val="0"/>
                <w:snapToGrid w:val="0"/>
                <w:color w:val="000000"/>
                <w:kern w:val="0"/>
                <w:sz w:val="21"/>
                <w:szCs w:val="21"/>
                <w:highlight w:val="none"/>
              </w:rPr>
              <w:t>Ⅲ1天山北坡森林、草原水源涵养生态亚区</w:t>
            </w:r>
          </w:p>
        </w:tc>
      </w:tr>
      <w:tr w14:paraId="573A42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18" w:hRule="atLeast"/>
          <w:jc w:val="center"/>
        </w:trPr>
        <w:tc>
          <w:tcPr>
            <w:tcW w:w="558" w:type="pct"/>
            <w:vMerge w:val="continue"/>
            <w:noWrap w:val="0"/>
            <w:vAlign w:val="center"/>
          </w:tcPr>
          <w:p w14:paraId="785381E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p>
        </w:tc>
        <w:tc>
          <w:tcPr>
            <w:tcW w:w="772" w:type="pct"/>
            <w:noWrap w:val="0"/>
            <w:vAlign w:val="center"/>
          </w:tcPr>
          <w:p w14:paraId="0749B86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r>
              <w:rPr>
                <w:rFonts w:hint="default" w:ascii="Times New Roman" w:hAnsi="Times New Roman" w:eastAsia="宋体" w:cs="Times New Roman"/>
                <w:b w:val="0"/>
                <w:bCs w:val="0"/>
                <w:snapToGrid w:val="0"/>
                <w:color w:val="000000"/>
                <w:kern w:val="0"/>
                <w:sz w:val="21"/>
                <w:szCs w:val="21"/>
                <w:highlight w:val="none"/>
              </w:rPr>
              <w:t>生态功能区</w:t>
            </w:r>
          </w:p>
        </w:tc>
        <w:tc>
          <w:tcPr>
            <w:tcW w:w="3668" w:type="pct"/>
            <w:noWrap w:val="0"/>
            <w:vAlign w:val="center"/>
          </w:tcPr>
          <w:p w14:paraId="6AB92CF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kern w:val="0"/>
                <w:sz w:val="21"/>
                <w:szCs w:val="21"/>
                <w:highlight w:val="none"/>
              </w:rPr>
            </w:pPr>
            <w:r>
              <w:rPr>
                <w:rFonts w:hint="eastAsia" w:cs="Times New Roman"/>
                <w:b w:val="0"/>
                <w:bCs w:val="0"/>
                <w:snapToGrid w:val="0"/>
                <w:color w:val="000000"/>
                <w:kern w:val="0"/>
                <w:sz w:val="21"/>
                <w:szCs w:val="21"/>
                <w:highlight w:val="none"/>
                <w:lang w:eastAsia="zh-CN"/>
              </w:rPr>
              <w:t>32.</w:t>
            </w:r>
            <w:r>
              <w:rPr>
                <w:rFonts w:hint="default" w:ascii="Times New Roman" w:hAnsi="Times New Roman" w:eastAsia="宋体" w:cs="Times New Roman"/>
                <w:b w:val="0"/>
                <w:bCs w:val="0"/>
                <w:snapToGrid w:val="0"/>
                <w:color w:val="000000"/>
                <w:kern w:val="0"/>
                <w:sz w:val="21"/>
                <w:szCs w:val="21"/>
                <w:highlight w:val="none"/>
              </w:rPr>
              <w:t>天山北坡东段博格达峰及天池自然景观保护生态功能区</w:t>
            </w:r>
          </w:p>
        </w:tc>
      </w:tr>
      <w:tr w14:paraId="59CFB1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331" w:type="pct"/>
            <w:gridSpan w:val="2"/>
            <w:noWrap w:val="0"/>
            <w:vAlign w:val="center"/>
          </w:tcPr>
          <w:p w14:paraId="3B2104E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主要生态服务功能</w:t>
            </w:r>
          </w:p>
        </w:tc>
        <w:tc>
          <w:tcPr>
            <w:tcW w:w="3668" w:type="pct"/>
            <w:noWrap w:val="0"/>
            <w:vAlign w:val="center"/>
          </w:tcPr>
          <w:p w14:paraId="3174916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水源涵养、水文调蓄、景观多样性与</w:t>
            </w:r>
            <w:r>
              <w:rPr>
                <w:rFonts w:hint="default" w:ascii="Times New Roman" w:hAnsi="Times New Roman" w:eastAsia="宋体" w:cs="Times New Roman"/>
                <w:snapToGrid w:val="0"/>
                <w:color w:val="000000"/>
                <w:kern w:val="0"/>
                <w:sz w:val="21"/>
                <w:szCs w:val="21"/>
                <w:highlight w:val="none"/>
                <w:lang w:eastAsia="zh-CN"/>
              </w:rPr>
              <w:t>生物多样性保护</w:t>
            </w:r>
            <w:r>
              <w:rPr>
                <w:rFonts w:hint="default" w:ascii="Times New Roman" w:hAnsi="Times New Roman" w:eastAsia="宋体" w:cs="Times New Roman"/>
                <w:snapToGrid w:val="0"/>
                <w:color w:val="000000"/>
                <w:kern w:val="0"/>
                <w:sz w:val="21"/>
                <w:szCs w:val="21"/>
                <w:highlight w:val="none"/>
              </w:rPr>
              <w:t>、旅游</w:t>
            </w:r>
          </w:p>
        </w:tc>
      </w:tr>
      <w:tr w14:paraId="45B5BB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1" w:type="pct"/>
            <w:gridSpan w:val="2"/>
            <w:noWrap w:val="0"/>
            <w:vAlign w:val="center"/>
          </w:tcPr>
          <w:p w14:paraId="7193016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主要生态环境问题</w:t>
            </w:r>
          </w:p>
        </w:tc>
        <w:tc>
          <w:tcPr>
            <w:tcW w:w="3668" w:type="pct"/>
            <w:noWrap w:val="0"/>
            <w:vAlign w:val="center"/>
          </w:tcPr>
          <w:p w14:paraId="5E06AEE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旅游建设引起景观及水质破坏与污染、森林过伐、草场退化、水土流失</w:t>
            </w:r>
          </w:p>
        </w:tc>
      </w:tr>
      <w:tr w14:paraId="763F0C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331" w:type="pct"/>
            <w:gridSpan w:val="2"/>
            <w:noWrap w:val="0"/>
            <w:vAlign w:val="center"/>
          </w:tcPr>
          <w:p w14:paraId="686A800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生态敏感因子敏感程度</w:t>
            </w:r>
          </w:p>
        </w:tc>
        <w:tc>
          <w:tcPr>
            <w:tcW w:w="3668" w:type="pct"/>
            <w:noWrap w:val="0"/>
            <w:vAlign w:val="center"/>
          </w:tcPr>
          <w:p w14:paraId="0DF24F7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color w:val="000000"/>
                <w:sz w:val="21"/>
                <w:szCs w:val="21"/>
              </w:rPr>
              <w:t>生物多样性和生境极度敏感，土壤侵蚀、土地沙漠化、土壤盐渍化不敏感</w:t>
            </w:r>
          </w:p>
        </w:tc>
      </w:tr>
      <w:tr w14:paraId="019FA4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331" w:type="pct"/>
            <w:gridSpan w:val="2"/>
            <w:noWrap w:val="0"/>
            <w:vAlign w:val="center"/>
          </w:tcPr>
          <w:p w14:paraId="0BDC4ED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保护目标</w:t>
            </w:r>
          </w:p>
        </w:tc>
        <w:tc>
          <w:tcPr>
            <w:tcW w:w="3668" w:type="pct"/>
            <w:noWrap w:val="0"/>
            <w:vAlign w:val="center"/>
          </w:tcPr>
          <w:p w14:paraId="7EAFD5B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color w:val="000000"/>
                <w:sz w:val="21"/>
                <w:szCs w:val="21"/>
              </w:rPr>
              <w:t>保护高山冰川和湖泊、保护山地森林和草原、保护高山雪莲</w:t>
            </w:r>
          </w:p>
        </w:tc>
      </w:tr>
      <w:tr w14:paraId="367695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331" w:type="pct"/>
            <w:gridSpan w:val="2"/>
            <w:noWrap w:val="0"/>
            <w:vAlign w:val="center"/>
          </w:tcPr>
          <w:p w14:paraId="5C58D52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保护措施</w:t>
            </w:r>
          </w:p>
        </w:tc>
        <w:tc>
          <w:tcPr>
            <w:tcW w:w="3668" w:type="pct"/>
            <w:noWrap w:val="0"/>
            <w:vAlign w:val="center"/>
          </w:tcPr>
          <w:p w14:paraId="69D5924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color w:val="000000"/>
                <w:sz w:val="21"/>
                <w:szCs w:val="21"/>
              </w:rPr>
              <w:t>合理规划旅游景点建设与规范旅游、风景区禁牧、综合治理三工河</w:t>
            </w:r>
          </w:p>
        </w:tc>
      </w:tr>
      <w:tr w14:paraId="2DFA0A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331" w:type="pct"/>
            <w:gridSpan w:val="2"/>
            <w:noWrap w:val="0"/>
            <w:vAlign w:val="center"/>
          </w:tcPr>
          <w:p w14:paraId="3F7037D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snapToGrid w:val="0"/>
                <w:color w:val="000000"/>
                <w:kern w:val="0"/>
                <w:sz w:val="21"/>
                <w:szCs w:val="21"/>
                <w:highlight w:val="none"/>
              </w:rPr>
              <w:t>发展方向</w:t>
            </w:r>
          </w:p>
        </w:tc>
        <w:tc>
          <w:tcPr>
            <w:tcW w:w="3668" w:type="pct"/>
            <w:noWrap w:val="0"/>
            <w:vAlign w:val="center"/>
          </w:tcPr>
          <w:p w14:paraId="5667577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color w:val="000000"/>
                <w:kern w:val="0"/>
                <w:sz w:val="21"/>
                <w:szCs w:val="21"/>
                <w:highlight w:val="none"/>
              </w:rPr>
            </w:pPr>
            <w:r>
              <w:rPr>
                <w:rFonts w:hint="default" w:ascii="Times New Roman" w:hAnsi="Times New Roman" w:eastAsia="宋体" w:cs="Times New Roman"/>
                <w:color w:val="000000"/>
                <w:sz w:val="21"/>
                <w:szCs w:val="21"/>
              </w:rPr>
              <w:t>加强保护与管理，建好国际人与生物圈保护示范区</w:t>
            </w:r>
          </w:p>
        </w:tc>
      </w:tr>
    </w:tbl>
    <w:p w14:paraId="2D57849A">
      <w:pPr>
        <w:pStyle w:val="4"/>
        <w:pageBreakBefore w:val="0"/>
        <w:widowControl w:val="0"/>
        <w:numPr>
          <w:ilvl w:val="1"/>
          <w:numId w:val="0"/>
        </w:numPr>
        <w:kinsoku/>
        <w:wordWrap/>
        <w:overflowPunct/>
        <w:topLinePunct w:val="0"/>
        <w:autoSpaceDE/>
        <w:autoSpaceDN/>
        <w:bidi w:val="0"/>
        <w:snapToGrid w:val="0"/>
        <w:spacing w:before="0" w:beforeLines="0" w:after="0" w:afterLines="0" w:line="360" w:lineRule="auto"/>
        <w:jc w:val="both"/>
        <w:textAlignment w:val="auto"/>
        <w:rPr>
          <w:rFonts w:hint="default" w:ascii="Times New Roman" w:hAnsi="Times New Roman" w:eastAsia="宋体" w:cs="Times New Roman"/>
          <w:color w:val="000000"/>
          <w:sz w:val="24"/>
          <w:szCs w:val="24"/>
          <w:lang w:val="en-US" w:eastAsia="zh-CN"/>
        </w:rPr>
      </w:pPr>
      <w:bookmarkStart w:id="91" w:name="_Toc13417"/>
      <w:bookmarkStart w:id="92" w:name="_Toc15120"/>
      <w:bookmarkStart w:id="93" w:name="_Toc13409"/>
      <w:r>
        <w:rPr>
          <w:rFonts w:hint="default" w:ascii="Times New Roman" w:hAnsi="Times New Roman" w:eastAsia="宋体" w:cs="Times New Roman"/>
          <w:color w:val="000000"/>
          <w:sz w:val="24"/>
          <w:szCs w:val="24"/>
          <w:lang w:val="en-US" w:eastAsia="zh-CN"/>
        </w:rPr>
        <w:t>2.3生态现状调查</w:t>
      </w:r>
      <w:bookmarkEnd w:id="91"/>
      <w:bookmarkEnd w:id="92"/>
      <w:bookmarkEnd w:id="93"/>
    </w:p>
    <w:p w14:paraId="7B9D417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80" w:firstLineChars="200"/>
        <w:jc w:val="both"/>
        <w:textAlignment w:val="auto"/>
        <w:outlineLvl w:val="9"/>
        <w:rPr>
          <w:rFonts w:hint="default" w:ascii="Times New Roman" w:hAnsi="Times New Roman" w:eastAsia="宋体" w:cs="Times New Roman"/>
          <w:b w:val="0"/>
          <w:bCs w:val="0"/>
          <w:color w:val="000000"/>
          <w:kern w:val="2"/>
          <w:sz w:val="24"/>
          <w:szCs w:val="24"/>
          <w:lang w:val="en-US" w:eastAsia="zh-CN" w:bidi="ar-SA"/>
        </w:rPr>
      </w:pPr>
      <w:r>
        <w:rPr>
          <w:rFonts w:hint="default" w:ascii="Times New Roman" w:hAnsi="Times New Roman" w:eastAsia="宋体" w:cs="Times New Roman"/>
          <w:b w:val="0"/>
          <w:bCs w:val="0"/>
          <w:color w:val="000000"/>
          <w:kern w:val="2"/>
          <w:sz w:val="24"/>
          <w:szCs w:val="24"/>
          <w:lang w:val="en-US" w:eastAsia="zh-CN" w:bidi="ar-SA"/>
        </w:rPr>
        <w:t>根据《环境影响评价技术导则 生态环境》（HJ19-2022）中7.3生态现状调查要求。本次生态现状调查引用位于项目区</w:t>
      </w:r>
      <w:bookmarkStart w:id="94" w:name="_Toc11917"/>
      <w:bookmarkStart w:id="95" w:name="_Toc12147"/>
      <w:bookmarkStart w:id="96" w:name="_Toc24448"/>
      <w:bookmarkStart w:id="97" w:name="_Toc8309"/>
      <w:bookmarkStart w:id="98" w:name="_Toc29770"/>
      <w:r>
        <w:rPr>
          <w:rFonts w:hint="default" w:ascii="Times New Roman" w:hAnsi="Times New Roman" w:eastAsia="宋体" w:cs="Times New Roman"/>
          <w:b w:val="0"/>
          <w:bCs w:val="0"/>
          <w:color w:val="000000"/>
          <w:kern w:val="2"/>
          <w:sz w:val="24"/>
          <w:szCs w:val="24"/>
          <w:lang w:val="en-US" w:eastAsia="zh-CN" w:bidi="ar-SA"/>
        </w:rPr>
        <w:t>东</w:t>
      </w:r>
      <w:r>
        <w:rPr>
          <w:rFonts w:hint="eastAsia" w:ascii="Times New Roman" w:hAnsi="Times New Roman" w:eastAsia="宋体" w:cs="Times New Roman"/>
          <w:b w:val="0"/>
          <w:bCs w:val="0"/>
          <w:color w:val="000000"/>
          <w:kern w:val="2"/>
          <w:sz w:val="24"/>
          <w:szCs w:val="24"/>
          <w:lang w:val="en-US" w:eastAsia="zh-CN" w:bidi="ar-SA"/>
        </w:rPr>
        <w:t>南</w:t>
      </w:r>
      <w:r>
        <w:rPr>
          <w:rFonts w:hint="default" w:ascii="Times New Roman" w:hAnsi="Times New Roman" w:eastAsia="宋体" w:cs="Times New Roman"/>
          <w:b w:val="0"/>
          <w:bCs w:val="0"/>
          <w:color w:val="000000"/>
          <w:kern w:val="2"/>
          <w:sz w:val="24"/>
          <w:szCs w:val="24"/>
          <w:lang w:val="en-US" w:eastAsia="zh-CN" w:bidi="ar-SA"/>
        </w:rPr>
        <w:t>侧</w:t>
      </w:r>
      <w:r>
        <w:rPr>
          <w:rFonts w:hint="eastAsia" w:ascii="Times New Roman" w:hAnsi="Times New Roman" w:eastAsia="宋体" w:cs="Times New Roman"/>
          <w:b w:val="0"/>
          <w:bCs w:val="0"/>
          <w:color w:val="000000"/>
          <w:kern w:val="2"/>
          <w:sz w:val="24"/>
          <w:szCs w:val="24"/>
          <w:lang w:val="en-US" w:eastAsia="zh-CN" w:bidi="ar-SA"/>
        </w:rPr>
        <w:t>5</w:t>
      </w:r>
      <w:r>
        <w:rPr>
          <w:rFonts w:hint="default" w:ascii="Times New Roman" w:hAnsi="Times New Roman" w:eastAsia="宋体" w:cs="Times New Roman"/>
          <w:b w:val="0"/>
          <w:bCs w:val="0"/>
          <w:color w:val="000000"/>
          <w:kern w:val="2"/>
          <w:sz w:val="24"/>
          <w:szCs w:val="24"/>
          <w:lang w:val="en-US" w:eastAsia="zh-CN" w:bidi="ar-SA"/>
        </w:rPr>
        <w:t>km处《阜康国有林管理局新建三工管护所项目》</w:t>
      </w:r>
      <w:bookmarkEnd w:id="94"/>
      <w:bookmarkEnd w:id="95"/>
      <w:bookmarkEnd w:id="96"/>
      <w:bookmarkEnd w:id="97"/>
      <w:bookmarkEnd w:id="98"/>
      <w:r>
        <w:rPr>
          <w:rFonts w:hint="default" w:ascii="Times New Roman" w:hAnsi="Times New Roman" w:eastAsia="宋体" w:cs="Times New Roman"/>
          <w:b w:val="0"/>
          <w:bCs w:val="0"/>
          <w:color w:val="000000"/>
          <w:kern w:val="2"/>
          <w:sz w:val="24"/>
          <w:szCs w:val="24"/>
          <w:lang w:val="en-US" w:eastAsia="zh-CN" w:bidi="ar-SA"/>
        </w:rPr>
        <w:t>生态现状资料。该项目已于2025年12月31日取得昌吉州生态环境局批复，批复文号：昌州环评〔2025〕296号。该项目与本项目属于同一区域，地形地貌、生态系统相似，具有引用的时效性、可行性。</w:t>
      </w:r>
    </w:p>
    <w:p w14:paraId="7F4AFC3F">
      <w:pPr>
        <w:pStyle w:val="4"/>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360" w:lineRule="auto"/>
        <w:ind w:leftChars="0"/>
        <w:textAlignment w:val="auto"/>
        <w:outlineLvl w:val="2"/>
        <w:rPr>
          <w:rFonts w:hint="default" w:ascii="Times New Roman" w:hAnsi="Times New Roman" w:eastAsia="宋体" w:cs="Times New Roman"/>
          <w:b w:val="0"/>
          <w:bCs/>
          <w:color w:val="000000"/>
          <w:sz w:val="24"/>
          <w:szCs w:val="24"/>
          <w:highlight w:val="none"/>
          <w:lang w:val="en-US" w:eastAsia="zh-CN"/>
        </w:rPr>
      </w:pPr>
      <w:bookmarkStart w:id="99" w:name="_Toc20140"/>
      <w:bookmarkStart w:id="100" w:name="_Toc31224"/>
      <w:bookmarkStart w:id="101" w:name="_Toc7995"/>
      <w:r>
        <w:rPr>
          <w:rFonts w:hint="default" w:ascii="Times New Roman" w:hAnsi="Times New Roman" w:eastAsia="宋体" w:cs="Times New Roman"/>
          <w:b w:val="0"/>
          <w:bCs/>
          <w:color w:val="000000"/>
          <w:sz w:val="24"/>
          <w:szCs w:val="24"/>
          <w:highlight w:val="none"/>
          <w:lang w:val="en-US" w:eastAsia="zh-CN"/>
        </w:rPr>
        <w:t>2.3.1评价区土地利用现状</w:t>
      </w:r>
      <w:bookmarkEnd w:id="99"/>
      <w:bookmarkEnd w:id="100"/>
      <w:bookmarkEnd w:id="101"/>
    </w:p>
    <w:p w14:paraId="71D0664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（1）评价区土地利用类型面积和比例</w:t>
      </w:r>
    </w:p>
    <w:p w14:paraId="72E63F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本项目位于</w:t>
      </w:r>
      <w:r>
        <w:rPr>
          <w:rFonts w:hint="default" w:ascii="Times New Roman" w:hAnsi="Times New Roman" w:eastAsia="宋体" w:cs="Times New Roman"/>
          <w:color w:val="000000"/>
          <w:szCs w:val="21"/>
          <w:highlight w:val="none"/>
          <w:lang w:val="en-US" w:eastAsia="zh-CN"/>
        </w:rPr>
        <w:t>阜康市三工河哈萨克乡花儿沟村</w:t>
      </w:r>
      <w:r>
        <w:rPr>
          <w:rFonts w:hint="default" w:ascii="Times New Roman" w:hAnsi="Times New Roman" w:eastAsia="宋体" w:cs="Times New Roman"/>
          <w:b w:val="0"/>
          <w:bCs w:val="0"/>
          <w:color w:val="000000"/>
          <w:kern w:val="0"/>
          <w:sz w:val="24"/>
          <w:szCs w:val="24"/>
          <w:highlight w:val="none"/>
          <w:lang w:val="en-US" w:eastAsia="zh-CN"/>
        </w:rPr>
        <w:t>，评价区土地利用现状调查是在卫片解译的基础上，参考《土地利用现状分类》（GB/T21010-2017），结合国土三调数据进行分析，项目评价区土地利用类型现状主要为草地。</w:t>
      </w:r>
    </w:p>
    <w:p w14:paraId="262AD4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本项目评价区土地利用类型现状详见表4，评价区土地利用类型现状图详见图1。</w:t>
      </w:r>
    </w:p>
    <w:p w14:paraId="46667F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b/>
          <w:bCs/>
          <w:color w:val="000000"/>
          <w:kern w:val="0"/>
          <w:sz w:val="21"/>
          <w:szCs w:val="21"/>
          <w:highlight w:val="none"/>
          <w:lang w:val="en-US" w:eastAsia="zh-CN"/>
        </w:rPr>
        <w:t>表4  评价区土地利用类型一览表</w:t>
      </w:r>
    </w:p>
    <w:tbl>
      <w:tblPr>
        <w:tblStyle w:val="33"/>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755"/>
        <w:gridCol w:w="965"/>
        <w:gridCol w:w="2229"/>
        <w:gridCol w:w="1421"/>
        <w:gridCol w:w="1421"/>
      </w:tblGrid>
      <w:tr w14:paraId="322B57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86" w:type="dxa"/>
            <w:gridSpan w:val="2"/>
            <w:tcBorders>
              <w:tl2br w:val="nil"/>
              <w:tr2bl w:val="nil"/>
            </w:tcBorders>
            <w:noWrap w:val="0"/>
            <w:vAlign w:val="center"/>
          </w:tcPr>
          <w:p w14:paraId="27792E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一级类</w:t>
            </w:r>
          </w:p>
        </w:tc>
        <w:tc>
          <w:tcPr>
            <w:tcW w:w="3194" w:type="dxa"/>
            <w:gridSpan w:val="2"/>
            <w:tcBorders>
              <w:tl2br w:val="nil"/>
              <w:tr2bl w:val="nil"/>
            </w:tcBorders>
            <w:noWrap w:val="0"/>
            <w:vAlign w:val="center"/>
          </w:tcPr>
          <w:p w14:paraId="6B9083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二级类</w:t>
            </w:r>
          </w:p>
        </w:tc>
        <w:tc>
          <w:tcPr>
            <w:tcW w:w="1421" w:type="dxa"/>
            <w:vMerge w:val="restart"/>
            <w:tcBorders>
              <w:tl2br w:val="nil"/>
              <w:tr2bl w:val="nil"/>
            </w:tcBorders>
            <w:noWrap w:val="0"/>
            <w:vAlign w:val="center"/>
          </w:tcPr>
          <w:p w14:paraId="096560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面积（hm</w:t>
            </w:r>
            <w:r>
              <w:rPr>
                <w:rFonts w:hint="default" w:ascii="Times New Roman" w:hAnsi="Times New Roman" w:eastAsia="宋体" w:cs="Times New Roman"/>
                <w:b w:val="0"/>
                <w:bCs w:val="0"/>
                <w:color w:val="000000"/>
                <w:kern w:val="0"/>
                <w:sz w:val="21"/>
                <w:szCs w:val="21"/>
                <w:highlight w:val="none"/>
                <w:vertAlign w:val="superscript"/>
                <w:lang w:val="en-US" w:eastAsia="zh-CN"/>
              </w:rPr>
              <w:t>2</w:t>
            </w:r>
            <w:r>
              <w:rPr>
                <w:rFonts w:hint="default" w:ascii="Times New Roman" w:hAnsi="Times New Roman" w:eastAsia="宋体" w:cs="Times New Roman"/>
                <w:b w:val="0"/>
                <w:bCs w:val="0"/>
                <w:color w:val="000000"/>
                <w:kern w:val="0"/>
                <w:sz w:val="21"/>
                <w:szCs w:val="21"/>
                <w:highlight w:val="none"/>
                <w:vertAlign w:val="baseline"/>
                <w:lang w:val="en-US" w:eastAsia="zh-CN"/>
              </w:rPr>
              <w:t>）</w:t>
            </w:r>
          </w:p>
        </w:tc>
        <w:tc>
          <w:tcPr>
            <w:tcW w:w="1421" w:type="dxa"/>
            <w:vMerge w:val="restart"/>
            <w:tcBorders>
              <w:tl2br w:val="nil"/>
              <w:tr2bl w:val="nil"/>
            </w:tcBorders>
            <w:noWrap w:val="0"/>
            <w:vAlign w:val="center"/>
          </w:tcPr>
          <w:p w14:paraId="050D26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比例（%）</w:t>
            </w:r>
          </w:p>
        </w:tc>
      </w:tr>
      <w:tr w14:paraId="6AEA46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1" w:type="dxa"/>
            <w:tcBorders>
              <w:tl2br w:val="nil"/>
              <w:tr2bl w:val="nil"/>
            </w:tcBorders>
            <w:noWrap w:val="0"/>
            <w:vAlign w:val="center"/>
          </w:tcPr>
          <w:p w14:paraId="5926BF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编码</w:t>
            </w:r>
          </w:p>
        </w:tc>
        <w:tc>
          <w:tcPr>
            <w:tcW w:w="1755" w:type="dxa"/>
            <w:tcBorders>
              <w:tl2br w:val="nil"/>
              <w:tr2bl w:val="nil"/>
            </w:tcBorders>
            <w:noWrap w:val="0"/>
            <w:vAlign w:val="center"/>
          </w:tcPr>
          <w:p w14:paraId="5A6EF7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名称</w:t>
            </w:r>
          </w:p>
        </w:tc>
        <w:tc>
          <w:tcPr>
            <w:tcW w:w="965" w:type="dxa"/>
            <w:tcBorders>
              <w:tl2br w:val="nil"/>
              <w:tr2bl w:val="nil"/>
            </w:tcBorders>
            <w:noWrap w:val="0"/>
            <w:vAlign w:val="center"/>
          </w:tcPr>
          <w:p w14:paraId="5F344E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编码</w:t>
            </w:r>
          </w:p>
        </w:tc>
        <w:tc>
          <w:tcPr>
            <w:tcW w:w="2229" w:type="dxa"/>
            <w:tcBorders>
              <w:tl2br w:val="nil"/>
              <w:tr2bl w:val="nil"/>
            </w:tcBorders>
            <w:noWrap w:val="0"/>
            <w:vAlign w:val="center"/>
          </w:tcPr>
          <w:p w14:paraId="07A998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名称</w:t>
            </w:r>
          </w:p>
        </w:tc>
        <w:tc>
          <w:tcPr>
            <w:tcW w:w="1421" w:type="dxa"/>
            <w:vMerge w:val="continue"/>
            <w:tcBorders>
              <w:tl2br w:val="nil"/>
              <w:tr2bl w:val="nil"/>
            </w:tcBorders>
            <w:noWrap w:val="0"/>
            <w:vAlign w:val="center"/>
          </w:tcPr>
          <w:p w14:paraId="0B3253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rPr>
            </w:pPr>
          </w:p>
        </w:tc>
        <w:tc>
          <w:tcPr>
            <w:tcW w:w="1421" w:type="dxa"/>
            <w:vMerge w:val="continue"/>
            <w:tcBorders>
              <w:tl2br w:val="nil"/>
              <w:tr2bl w:val="nil"/>
            </w:tcBorders>
            <w:noWrap w:val="0"/>
            <w:vAlign w:val="center"/>
          </w:tcPr>
          <w:p w14:paraId="74B963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vertAlign w:val="baseline"/>
                <w:lang w:val="en-US" w:eastAsia="zh-CN"/>
              </w:rPr>
            </w:pPr>
          </w:p>
        </w:tc>
      </w:tr>
      <w:tr w14:paraId="47ED09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1" w:type="dxa"/>
            <w:tcBorders>
              <w:tl2br w:val="nil"/>
              <w:tr2bl w:val="nil"/>
            </w:tcBorders>
            <w:noWrap w:val="0"/>
            <w:vAlign w:val="center"/>
          </w:tcPr>
          <w:p w14:paraId="72C6D0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vertAlign w:val="baseline"/>
                <w:lang w:val="en-US" w:eastAsia="zh-CN"/>
              </w:rPr>
              <w:t>03</w:t>
            </w:r>
          </w:p>
        </w:tc>
        <w:tc>
          <w:tcPr>
            <w:tcW w:w="1755" w:type="dxa"/>
            <w:tcBorders>
              <w:tl2br w:val="nil"/>
              <w:tr2bl w:val="nil"/>
            </w:tcBorders>
            <w:noWrap w:val="0"/>
            <w:vAlign w:val="center"/>
          </w:tcPr>
          <w:p w14:paraId="666F2B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vertAlign w:val="baseline"/>
                <w:lang w:val="en-US" w:eastAsia="zh-CN"/>
              </w:rPr>
              <w:t>林地</w:t>
            </w:r>
          </w:p>
        </w:tc>
        <w:tc>
          <w:tcPr>
            <w:tcW w:w="965" w:type="dxa"/>
            <w:tcBorders>
              <w:tl2br w:val="nil"/>
              <w:tr2bl w:val="nil"/>
            </w:tcBorders>
            <w:noWrap w:val="0"/>
            <w:vAlign w:val="center"/>
          </w:tcPr>
          <w:p w14:paraId="76EC97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vertAlign w:val="baseline"/>
                <w:lang w:val="en-US" w:eastAsia="zh-CN"/>
              </w:rPr>
              <w:t>0301</w:t>
            </w:r>
          </w:p>
        </w:tc>
        <w:tc>
          <w:tcPr>
            <w:tcW w:w="2229" w:type="dxa"/>
            <w:tcBorders>
              <w:tl2br w:val="nil"/>
              <w:tr2bl w:val="nil"/>
            </w:tcBorders>
            <w:noWrap w:val="0"/>
            <w:vAlign w:val="center"/>
          </w:tcPr>
          <w:p w14:paraId="50CCB4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vertAlign w:val="baseline"/>
                <w:lang w:val="en-US" w:eastAsia="zh-CN"/>
              </w:rPr>
              <w:t>乔木林地</w:t>
            </w:r>
          </w:p>
        </w:tc>
        <w:tc>
          <w:tcPr>
            <w:tcW w:w="1421" w:type="dxa"/>
            <w:tcBorders>
              <w:tl2br w:val="nil"/>
              <w:tr2bl w:val="nil"/>
            </w:tcBorders>
            <w:noWrap w:val="0"/>
            <w:vAlign w:val="center"/>
          </w:tcPr>
          <w:p w14:paraId="759932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12.93</w:t>
            </w:r>
          </w:p>
        </w:tc>
        <w:tc>
          <w:tcPr>
            <w:tcW w:w="1421" w:type="dxa"/>
            <w:tcBorders>
              <w:tl2br w:val="nil"/>
              <w:tr2bl w:val="nil"/>
            </w:tcBorders>
            <w:noWrap w:val="0"/>
            <w:vAlign w:val="center"/>
          </w:tcPr>
          <w:p w14:paraId="684BE7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25.75</w:t>
            </w:r>
          </w:p>
        </w:tc>
      </w:tr>
      <w:tr w14:paraId="72F183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1" w:type="dxa"/>
            <w:tcBorders>
              <w:tl2br w:val="nil"/>
              <w:tr2bl w:val="nil"/>
            </w:tcBorders>
            <w:noWrap w:val="0"/>
            <w:vAlign w:val="center"/>
          </w:tcPr>
          <w:p w14:paraId="0F8A85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SA"/>
              </w:rPr>
            </w:pPr>
            <w:r>
              <w:rPr>
                <w:rFonts w:hint="default" w:ascii="Times New Roman" w:hAnsi="Times New Roman" w:eastAsia="宋体" w:cs="Times New Roman"/>
                <w:color w:val="000000"/>
                <w:kern w:val="0"/>
                <w:sz w:val="21"/>
                <w:szCs w:val="21"/>
                <w:highlight w:val="none"/>
                <w:vertAlign w:val="baseline"/>
                <w:lang w:val="en-US" w:eastAsia="zh-CN"/>
              </w:rPr>
              <w:t>04</w:t>
            </w:r>
          </w:p>
        </w:tc>
        <w:tc>
          <w:tcPr>
            <w:tcW w:w="1755" w:type="dxa"/>
            <w:tcBorders>
              <w:tl2br w:val="nil"/>
              <w:tr2bl w:val="nil"/>
            </w:tcBorders>
            <w:noWrap w:val="0"/>
            <w:vAlign w:val="center"/>
          </w:tcPr>
          <w:p w14:paraId="17353D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SA"/>
              </w:rPr>
            </w:pPr>
            <w:r>
              <w:rPr>
                <w:rFonts w:hint="default" w:ascii="Times New Roman" w:hAnsi="Times New Roman" w:eastAsia="宋体" w:cs="Times New Roman"/>
                <w:color w:val="000000"/>
                <w:kern w:val="0"/>
                <w:sz w:val="21"/>
                <w:szCs w:val="21"/>
                <w:highlight w:val="none"/>
                <w:vertAlign w:val="baseline"/>
                <w:lang w:val="en-US" w:eastAsia="zh-CN"/>
              </w:rPr>
              <w:t>草地</w:t>
            </w:r>
          </w:p>
        </w:tc>
        <w:tc>
          <w:tcPr>
            <w:tcW w:w="965" w:type="dxa"/>
            <w:tcBorders>
              <w:tl2br w:val="nil"/>
              <w:tr2bl w:val="nil"/>
            </w:tcBorders>
            <w:noWrap w:val="0"/>
            <w:vAlign w:val="center"/>
          </w:tcPr>
          <w:p w14:paraId="7279E4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SA"/>
              </w:rPr>
            </w:pPr>
            <w:r>
              <w:rPr>
                <w:rFonts w:hint="default" w:ascii="Times New Roman" w:hAnsi="Times New Roman" w:eastAsia="宋体" w:cs="Times New Roman"/>
                <w:color w:val="000000"/>
                <w:kern w:val="0"/>
                <w:sz w:val="21"/>
                <w:szCs w:val="21"/>
                <w:highlight w:val="none"/>
                <w:vertAlign w:val="baseline"/>
                <w:lang w:val="en-US" w:eastAsia="zh-CN"/>
              </w:rPr>
              <w:t>0401</w:t>
            </w:r>
          </w:p>
        </w:tc>
        <w:tc>
          <w:tcPr>
            <w:tcW w:w="2229" w:type="dxa"/>
            <w:tcBorders>
              <w:tl2br w:val="nil"/>
              <w:tr2bl w:val="nil"/>
            </w:tcBorders>
            <w:noWrap w:val="0"/>
            <w:vAlign w:val="center"/>
          </w:tcPr>
          <w:p w14:paraId="306A2B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SA"/>
              </w:rPr>
            </w:pPr>
            <w:r>
              <w:rPr>
                <w:rFonts w:hint="default" w:ascii="Times New Roman" w:hAnsi="Times New Roman" w:eastAsia="宋体" w:cs="Times New Roman"/>
                <w:color w:val="000000"/>
                <w:kern w:val="0"/>
                <w:sz w:val="21"/>
                <w:szCs w:val="21"/>
                <w:highlight w:val="none"/>
                <w:vertAlign w:val="baseline"/>
                <w:lang w:val="en-US" w:eastAsia="zh-CN"/>
              </w:rPr>
              <w:t>天然牧草地</w:t>
            </w:r>
          </w:p>
        </w:tc>
        <w:tc>
          <w:tcPr>
            <w:tcW w:w="1421" w:type="dxa"/>
            <w:tcBorders>
              <w:tl2br w:val="nil"/>
              <w:tr2bl w:val="nil"/>
            </w:tcBorders>
            <w:noWrap w:val="0"/>
            <w:vAlign w:val="center"/>
          </w:tcPr>
          <w:p w14:paraId="649BF5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11.33</w:t>
            </w:r>
          </w:p>
        </w:tc>
        <w:tc>
          <w:tcPr>
            <w:tcW w:w="1421" w:type="dxa"/>
            <w:tcBorders>
              <w:tl2br w:val="nil"/>
              <w:tr2bl w:val="nil"/>
            </w:tcBorders>
            <w:noWrap w:val="0"/>
            <w:vAlign w:val="center"/>
          </w:tcPr>
          <w:p w14:paraId="5DA748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22.58</w:t>
            </w:r>
          </w:p>
        </w:tc>
      </w:tr>
      <w:tr w14:paraId="09F128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1" w:type="dxa"/>
            <w:tcBorders>
              <w:tl2br w:val="nil"/>
              <w:tr2bl w:val="nil"/>
            </w:tcBorders>
            <w:noWrap w:val="0"/>
            <w:vAlign w:val="center"/>
          </w:tcPr>
          <w:p w14:paraId="3DC4D8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w:t>
            </w:r>
          </w:p>
        </w:tc>
        <w:tc>
          <w:tcPr>
            <w:tcW w:w="1755" w:type="dxa"/>
            <w:tcBorders>
              <w:tl2br w:val="nil"/>
              <w:tr2bl w:val="nil"/>
            </w:tcBorders>
            <w:noWrap w:val="0"/>
            <w:vAlign w:val="center"/>
          </w:tcPr>
          <w:p w14:paraId="5AB627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w:t>
            </w:r>
          </w:p>
        </w:tc>
        <w:tc>
          <w:tcPr>
            <w:tcW w:w="965" w:type="dxa"/>
            <w:tcBorders>
              <w:tl2br w:val="nil"/>
              <w:tr2bl w:val="nil"/>
            </w:tcBorders>
            <w:noWrap w:val="0"/>
            <w:vAlign w:val="center"/>
          </w:tcPr>
          <w:p w14:paraId="441327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0702</w:t>
            </w:r>
          </w:p>
        </w:tc>
        <w:tc>
          <w:tcPr>
            <w:tcW w:w="2229" w:type="dxa"/>
            <w:tcBorders>
              <w:tl2br w:val="nil"/>
              <w:tr2bl w:val="nil"/>
            </w:tcBorders>
            <w:noWrap w:val="0"/>
            <w:vAlign w:val="center"/>
          </w:tcPr>
          <w:p w14:paraId="6BD443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农村宅基地</w:t>
            </w:r>
          </w:p>
        </w:tc>
        <w:tc>
          <w:tcPr>
            <w:tcW w:w="1421" w:type="dxa"/>
            <w:tcBorders>
              <w:tl2br w:val="nil"/>
              <w:tr2bl w:val="nil"/>
            </w:tcBorders>
            <w:noWrap w:val="0"/>
            <w:vAlign w:val="center"/>
          </w:tcPr>
          <w:p w14:paraId="7B96EB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0.45</w:t>
            </w:r>
          </w:p>
        </w:tc>
        <w:tc>
          <w:tcPr>
            <w:tcW w:w="1421" w:type="dxa"/>
            <w:tcBorders>
              <w:tl2br w:val="nil"/>
              <w:tr2bl w:val="nil"/>
            </w:tcBorders>
            <w:noWrap w:val="0"/>
            <w:vAlign w:val="center"/>
          </w:tcPr>
          <w:p w14:paraId="6B5AE7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0.91</w:t>
            </w:r>
          </w:p>
        </w:tc>
      </w:tr>
      <w:tr w14:paraId="582A62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1" w:type="dxa"/>
            <w:tcBorders>
              <w:tl2br w:val="nil"/>
              <w:tr2bl w:val="nil"/>
            </w:tcBorders>
            <w:noWrap w:val="0"/>
            <w:vAlign w:val="center"/>
          </w:tcPr>
          <w:p w14:paraId="306F25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w:t>
            </w:r>
          </w:p>
        </w:tc>
        <w:tc>
          <w:tcPr>
            <w:tcW w:w="1755" w:type="dxa"/>
            <w:tcBorders>
              <w:tl2br w:val="nil"/>
              <w:tr2bl w:val="nil"/>
            </w:tcBorders>
            <w:noWrap w:val="0"/>
            <w:vAlign w:val="center"/>
          </w:tcPr>
          <w:p w14:paraId="70993C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w:t>
            </w:r>
          </w:p>
        </w:tc>
        <w:tc>
          <w:tcPr>
            <w:tcW w:w="965" w:type="dxa"/>
            <w:tcBorders>
              <w:tl2br w:val="nil"/>
              <w:tr2bl w:val="nil"/>
            </w:tcBorders>
            <w:noWrap w:val="0"/>
            <w:vAlign w:val="center"/>
          </w:tcPr>
          <w:p w14:paraId="451CFA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0201</w:t>
            </w:r>
          </w:p>
        </w:tc>
        <w:tc>
          <w:tcPr>
            <w:tcW w:w="2229" w:type="dxa"/>
            <w:tcBorders>
              <w:tl2br w:val="nil"/>
              <w:tr2bl w:val="nil"/>
            </w:tcBorders>
            <w:noWrap w:val="0"/>
            <w:vAlign w:val="center"/>
          </w:tcPr>
          <w:p w14:paraId="0E7420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果园</w:t>
            </w:r>
          </w:p>
        </w:tc>
        <w:tc>
          <w:tcPr>
            <w:tcW w:w="1421" w:type="dxa"/>
            <w:tcBorders>
              <w:tl2br w:val="nil"/>
              <w:tr2bl w:val="nil"/>
            </w:tcBorders>
            <w:noWrap w:val="0"/>
            <w:vAlign w:val="center"/>
          </w:tcPr>
          <w:p w14:paraId="398F24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4.68</w:t>
            </w:r>
          </w:p>
        </w:tc>
        <w:tc>
          <w:tcPr>
            <w:tcW w:w="1421" w:type="dxa"/>
            <w:tcBorders>
              <w:tl2br w:val="nil"/>
              <w:tr2bl w:val="nil"/>
            </w:tcBorders>
            <w:noWrap w:val="0"/>
            <w:vAlign w:val="center"/>
          </w:tcPr>
          <w:p w14:paraId="17D26D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9.33</w:t>
            </w:r>
          </w:p>
        </w:tc>
      </w:tr>
      <w:tr w14:paraId="1C525C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1" w:type="dxa"/>
            <w:tcBorders>
              <w:tl2br w:val="nil"/>
              <w:tr2bl w:val="nil"/>
            </w:tcBorders>
            <w:noWrap w:val="0"/>
            <w:vAlign w:val="center"/>
          </w:tcPr>
          <w:p w14:paraId="2459AA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12</w:t>
            </w:r>
          </w:p>
        </w:tc>
        <w:tc>
          <w:tcPr>
            <w:tcW w:w="1755" w:type="dxa"/>
            <w:tcBorders>
              <w:tl2br w:val="nil"/>
              <w:tr2bl w:val="nil"/>
            </w:tcBorders>
            <w:noWrap w:val="0"/>
            <w:vAlign w:val="center"/>
          </w:tcPr>
          <w:p w14:paraId="15F2FF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其他土地</w:t>
            </w:r>
          </w:p>
        </w:tc>
        <w:tc>
          <w:tcPr>
            <w:tcW w:w="965" w:type="dxa"/>
            <w:tcBorders>
              <w:tl2br w:val="nil"/>
              <w:tr2bl w:val="nil"/>
            </w:tcBorders>
            <w:noWrap w:val="0"/>
            <w:vAlign w:val="center"/>
          </w:tcPr>
          <w:p w14:paraId="0250DA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1206</w:t>
            </w:r>
          </w:p>
        </w:tc>
        <w:tc>
          <w:tcPr>
            <w:tcW w:w="2229" w:type="dxa"/>
            <w:tcBorders>
              <w:tl2br w:val="nil"/>
              <w:tr2bl w:val="nil"/>
            </w:tcBorders>
            <w:noWrap w:val="0"/>
            <w:vAlign w:val="center"/>
          </w:tcPr>
          <w:p w14:paraId="23B1D3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裸土地</w:t>
            </w:r>
          </w:p>
        </w:tc>
        <w:tc>
          <w:tcPr>
            <w:tcW w:w="1421" w:type="dxa"/>
            <w:tcBorders>
              <w:tl2br w:val="nil"/>
              <w:tr2bl w:val="nil"/>
            </w:tcBorders>
            <w:noWrap w:val="0"/>
            <w:vAlign w:val="center"/>
          </w:tcPr>
          <w:p w14:paraId="189424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20.79</w:t>
            </w:r>
          </w:p>
        </w:tc>
        <w:tc>
          <w:tcPr>
            <w:tcW w:w="1421" w:type="dxa"/>
            <w:tcBorders>
              <w:tl2br w:val="nil"/>
              <w:tr2bl w:val="nil"/>
            </w:tcBorders>
            <w:noWrap w:val="0"/>
            <w:vAlign w:val="center"/>
          </w:tcPr>
          <w:p w14:paraId="7213F4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eastAsia" w:ascii="Times New Roman" w:hAnsi="Times New Roman" w:eastAsia="宋体" w:cs="Times New Roman"/>
                <w:color w:val="000000"/>
                <w:kern w:val="0"/>
                <w:sz w:val="21"/>
                <w:szCs w:val="21"/>
                <w:highlight w:val="none"/>
                <w:vertAlign w:val="baseline"/>
                <w:lang w:val="en-US" w:eastAsia="zh-CN"/>
              </w:rPr>
              <w:t>41.43</w:t>
            </w:r>
          </w:p>
        </w:tc>
      </w:tr>
      <w:tr w14:paraId="5EB113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80" w:type="dxa"/>
            <w:gridSpan w:val="4"/>
            <w:tcBorders>
              <w:tl2br w:val="nil"/>
              <w:tr2bl w:val="nil"/>
            </w:tcBorders>
            <w:noWrap w:val="0"/>
            <w:vAlign w:val="center"/>
          </w:tcPr>
          <w:p w14:paraId="76C5B2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vertAlign w:val="baseline"/>
                <w:lang w:val="en-US" w:eastAsia="zh-CN"/>
              </w:rPr>
              <w:t>合计</w:t>
            </w:r>
          </w:p>
        </w:tc>
        <w:tc>
          <w:tcPr>
            <w:tcW w:w="1421" w:type="dxa"/>
            <w:tcBorders>
              <w:tl2br w:val="nil"/>
              <w:tr2bl w:val="nil"/>
            </w:tcBorders>
            <w:noWrap w:val="0"/>
            <w:vAlign w:val="center"/>
          </w:tcPr>
          <w:p w14:paraId="3BB146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SA"/>
              </w:rPr>
            </w:pPr>
            <w:r>
              <w:rPr>
                <w:rFonts w:hint="eastAsia" w:ascii="Times New Roman" w:hAnsi="Times New Roman" w:eastAsia="宋体" w:cs="Times New Roman"/>
                <w:color w:val="000000"/>
                <w:kern w:val="0"/>
                <w:sz w:val="21"/>
                <w:szCs w:val="21"/>
                <w:highlight w:val="none"/>
                <w:vertAlign w:val="baseline"/>
                <w:lang w:val="en-US" w:eastAsia="zh-CN" w:bidi="ar-SA"/>
              </w:rPr>
              <w:t>50.17</w:t>
            </w:r>
          </w:p>
        </w:tc>
        <w:tc>
          <w:tcPr>
            <w:tcW w:w="1421" w:type="dxa"/>
            <w:tcBorders>
              <w:tl2br w:val="nil"/>
              <w:tr2bl w:val="nil"/>
            </w:tcBorders>
            <w:noWrap w:val="0"/>
            <w:vAlign w:val="center"/>
          </w:tcPr>
          <w:p w14:paraId="4E3390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bidi="ar-SA"/>
              </w:rPr>
            </w:pPr>
            <w:r>
              <w:rPr>
                <w:rFonts w:hint="eastAsia" w:ascii="Times New Roman" w:hAnsi="Times New Roman" w:eastAsia="宋体" w:cs="Times New Roman"/>
                <w:color w:val="000000"/>
                <w:kern w:val="0"/>
                <w:sz w:val="21"/>
                <w:szCs w:val="21"/>
                <w:highlight w:val="none"/>
                <w:vertAlign w:val="baseline"/>
                <w:lang w:val="en-US" w:eastAsia="zh-CN" w:bidi="ar-SA"/>
              </w:rPr>
              <w:t>100</w:t>
            </w:r>
          </w:p>
        </w:tc>
      </w:tr>
    </w:tbl>
    <w:p w14:paraId="0F2973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由上表可知，评价区以裸土地为主，面积为</w:t>
      </w:r>
      <w:r>
        <w:rPr>
          <w:rFonts w:hint="eastAsia" w:ascii="Times New Roman" w:hAnsi="Times New Roman" w:eastAsia="宋体" w:cs="Times New Roman"/>
          <w:b w:val="0"/>
          <w:bCs w:val="0"/>
          <w:color w:val="000000"/>
          <w:kern w:val="0"/>
          <w:sz w:val="24"/>
          <w:szCs w:val="24"/>
          <w:highlight w:val="none"/>
          <w:lang w:val="en-US" w:eastAsia="zh-CN"/>
        </w:rPr>
        <w:t>20.79</w:t>
      </w:r>
      <w:r>
        <w:rPr>
          <w:rFonts w:hint="default" w:ascii="Times New Roman" w:hAnsi="Times New Roman" w:eastAsia="宋体" w:cs="Times New Roman"/>
          <w:b w:val="0"/>
          <w:bCs w:val="0"/>
          <w:color w:val="000000"/>
          <w:kern w:val="0"/>
          <w:sz w:val="24"/>
          <w:szCs w:val="24"/>
          <w:highlight w:val="none"/>
          <w:lang w:val="en-US" w:eastAsia="zh-CN"/>
        </w:rPr>
        <w:t>hm</w:t>
      </w:r>
      <w:r>
        <w:rPr>
          <w:rFonts w:hint="default" w:ascii="Times New Roman" w:hAnsi="Times New Roman" w:eastAsia="宋体" w:cs="Times New Roman"/>
          <w:b w:val="0"/>
          <w:bCs w:val="0"/>
          <w:color w:val="000000"/>
          <w:kern w:val="0"/>
          <w:sz w:val="24"/>
          <w:szCs w:val="24"/>
          <w:highlight w:val="none"/>
          <w:vertAlign w:val="superscript"/>
          <w:lang w:val="en-US" w:eastAsia="zh-CN"/>
        </w:rPr>
        <w:t>2</w:t>
      </w:r>
      <w:r>
        <w:rPr>
          <w:rFonts w:hint="default" w:ascii="Times New Roman" w:hAnsi="Times New Roman" w:eastAsia="宋体" w:cs="Times New Roman"/>
          <w:b w:val="0"/>
          <w:bCs w:val="0"/>
          <w:color w:val="000000"/>
          <w:kern w:val="0"/>
          <w:sz w:val="24"/>
          <w:szCs w:val="24"/>
          <w:highlight w:val="none"/>
          <w:lang w:val="en-US" w:eastAsia="zh-CN"/>
        </w:rPr>
        <w:t>，占评价区总面积</w:t>
      </w:r>
      <w:r>
        <w:rPr>
          <w:rFonts w:hint="eastAsia" w:ascii="Times New Roman" w:hAnsi="Times New Roman" w:eastAsia="宋体" w:cs="Times New Roman"/>
          <w:b w:val="0"/>
          <w:bCs w:val="0"/>
          <w:color w:val="000000"/>
          <w:kern w:val="0"/>
          <w:sz w:val="24"/>
          <w:szCs w:val="24"/>
          <w:highlight w:val="none"/>
          <w:lang w:val="en-US" w:eastAsia="zh-CN"/>
        </w:rPr>
        <w:t>41.43</w:t>
      </w:r>
      <w:r>
        <w:rPr>
          <w:rFonts w:hint="default" w:ascii="Times New Roman" w:hAnsi="Times New Roman" w:eastAsia="宋体" w:cs="Times New Roman"/>
          <w:b w:val="0"/>
          <w:bCs w:val="0"/>
          <w:color w:val="000000"/>
          <w:kern w:val="0"/>
          <w:sz w:val="24"/>
          <w:szCs w:val="24"/>
          <w:highlight w:val="none"/>
          <w:lang w:val="en-US" w:eastAsia="zh-CN"/>
        </w:rPr>
        <w:t>%；其次为林地，占地面积为</w:t>
      </w:r>
      <w:r>
        <w:rPr>
          <w:rFonts w:hint="eastAsia" w:ascii="Times New Roman" w:hAnsi="Times New Roman" w:eastAsia="宋体" w:cs="Times New Roman"/>
          <w:b w:val="0"/>
          <w:bCs w:val="0"/>
          <w:color w:val="000000"/>
          <w:kern w:val="0"/>
          <w:sz w:val="24"/>
          <w:szCs w:val="24"/>
          <w:highlight w:val="none"/>
          <w:lang w:val="en-US" w:eastAsia="zh-CN"/>
        </w:rPr>
        <w:t>12.93</w:t>
      </w:r>
      <w:r>
        <w:rPr>
          <w:rFonts w:hint="default" w:ascii="Times New Roman" w:hAnsi="Times New Roman" w:eastAsia="宋体" w:cs="Times New Roman"/>
          <w:b w:val="0"/>
          <w:bCs w:val="0"/>
          <w:color w:val="000000"/>
          <w:kern w:val="0"/>
          <w:sz w:val="24"/>
          <w:szCs w:val="24"/>
          <w:highlight w:val="none"/>
          <w:lang w:val="en-US" w:eastAsia="zh-CN"/>
        </w:rPr>
        <w:t>hm</w:t>
      </w:r>
      <w:r>
        <w:rPr>
          <w:rFonts w:hint="default" w:ascii="Times New Roman" w:hAnsi="Times New Roman" w:eastAsia="宋体" w:cs="Times New Roman"/>
          <w:b w:val="0"/>
          <w:bCs w:val="0"/>
          <w:color w:val="000000"/>
          <w:kern w:val="0"/>
          <w:sz w:val="24"/>
          <w:szCs w:val="24"/>
          <w:highlight w:val="none"/>
          <w:vertAlign w:val="superscript"/>
          <w:lang w:val="en-US" w:eastAsia="zh-CN"/>
        </w:rPr>
        <w:t>2</w:t>
      </w:r>
      <w:r>
        <w:rPr>
          <w:rFonts w:hint="default" w:ascii="Times New Roman" w:hAnsi="Times New Roman" w:eastAsia="宋体" w:cs="Times New Roman"/>
          <w:b w:val="0"/>
          <w:bCs w:val="0"/>
          <w:color w:val="000000"/>
          <w:kern w:val="0"/>
          <w:sz w:val="24"/>
          <w:szCs w:val="24"/>
          <w:highlight w:val="none"/>
          <w:lang w:val="en-US" w:eastAsia="zh-CN"/>
        </w:rPr>
        <w:t>，占评价区总面积</w:t>
      </w:r>
      <w:r>
        <w:rPr>
          <w:rFonts w:hint="eastAsia" w:ascii="Times New Roman" w:hAnsi="Times New Roman" w:eastAsia="宋体" w:cs="Times New Roman"/>
          <w:b w:val="0"/>
          <w:bCs w:val="0"/>
          <w:color w:val="000000"/>
          <w:kern w:val="0"/>
          <w:sz w:val="24"/>
          <w:szCs w:val="24"/>
          <w:highlight w:val="none"/>
          <w:lang w:val="en-US" w:eastAsia="zh-CN"/>
        </w:rPr>
        <w:t>25.75</w:t>
      </w:r>
      <w:r>
        <w:rPr>
          <w:rFonts w:hint="default" w:ascii="Times New Roman" w:hAnsi="Times New Roman" w:eastAsia="宋体" w:cs="Times New Roman"/>
          <w:b w:val="0"/>
          <w:bCs w:val="0"/>
          <w:color w:val="000000"/>
          <w:kern w:val="0"/>
          <w:sz w:val="24"/>
          <w:szCs w:val="24"/>
          <w:highlight w:val="none"/>
          <w:lang w:val="en-US" w:eastAsia="zh-CN"/>
        </w:rPr>
        <w:t>%</w:t>
      </w:r>
      <w:r>
        <w:rPr>
          <w:rFonts w:hint="default" w:ascii="Times New Roman" w:hAnsi="Times New Roman" w:eastAsia="宋体" w:cs="Times New Roman"/>
          <w:b w:val="0"/>
          <w:bCs w:val="0"/>
          <w:color w:val="000000"/>
          <w:kern w:val="0"/>
          <w:sz w:val="24"/>
          <w:szCs w:val="24"/>
          <w:highlight w:val="none"/>
          <w:vertAlign w:val="baseline"/>
          <w:lang w:val="en-US" w:eastAsia="zh-CN"/>
        </w:rPr>
        <w:t>。</w:t>
      </w:r>
    </w:p>
    <w:p w14:paraId="7F3D949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color w:val="000000"/>
          <w:kern w:val="0"/>
          <w:sz w:val="24"/>
          <w:szCs w:val="24"/>
          <w:highlight w:val="none"/>
          <w:lang w:val="en-US" w:eastAsia="zh-CN"/>
        </w:rPr>
      </w:pPr>
      <w:r>
        <w:rPr>
          <w:rFonts w:hint="default" w:ascii="Times New Roman" w:hAnsi="Times New Roman" w:eastAsia="宋体" w:cs="Times New Roman"/>
          <w:b/>
          <w:bCs/>
          <w:color w:val="000000"/>
          <w:sz w:val="24"/>
          <w:szCs w:val="24"/>
          <w:lang w:val="en-US" w:eastAsia="zh-CN"/>
        </w:rPr>
        <w:drawing>
          <wp:inline distT="0" distB="0" distL="114300" distR="114300">
            <wp:extent cx="5273040" cy="4081145"/>
            <wp:effectExtent l="0" t="0" r="3810" b="14605"/>
            <wp:docPr id="12" name="图片 38" descr="e375dadfebc2b1746d2012f75ee0d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8" descr="e375dadfebc2b1746d2012f75ee0d187"/>
                    <pic:cNvPicPr>
                      <a:picLocks noChangeAspect="1"/>
                    </pic:cNvPicPr>
                  </pic:nvPicPr>
                  <pic:blipFill>
                    <a:blip r:embed="rId37"/>
                    <a:stretch>
                      <a:fillRect/>
                    </a:stretch>
                  </pic:blipFill>
                  <pic:spPr>
                    <a:xfrm>
                      <a:off x="0" y="0"/>
                      <a:ext cx="5273040" cy="4081145"/>
                    </a:xfrm>
                    <a:prstGeom prst="rect">
                      <a:avLst/>
                    </a:prstGeom>
                    <a:noFill/>
                    <a:ln>
                      <a:noFill/>
                    </a:ln>
                  </pic:spPr>
                </pic:pic>
              </a:graphicData>
            </a:graphic>
          </wp:inline>
        </w:drawing>
      </w:r>
      <w:r>
        <w:rPr>
          <w:rFonts w:hint="default" w:ascii="Times New Roman" w:hAnsi="Times New Roman" w:eastAsia="宋体" w:cs="Times New Roman"/>
          <w:b/>
          <w:bCs/>
          <w:color w:val="000000"/>
          <w:kern w:val="0"/>
          <w:sz w:val="24"/>
          <w:szCs w:val="24"/>
          <w:highlight w:val="none"/>
          <w:lang w:val="en-US" w:eastAsia="zh-CN"/>
        </w:rPr>
        <w:t>图1</w:t>
      </w:r>
      <w:r>
        <w:rPr>
          <w:rFonts w:hint="default" w:ascii="Times New Roman" w:hAnsi="Times New Roman" w:eastAsia="宋体" w:cs="Times New Roman"/>
          <w:b/>
          <w:bCs/>
          <w:color w:val="000000"/>
          <w:kern w:val="0"/>
          <w:sz w:val="24"/>
          <w:szCs w:val="24"/>
          <w:highlight w:val="none"/>
        </w:rPr>
        <w:t xml:space="preserve"> </w:t>
      </w:r>
      <w:r>
        <w:rPr>
          <w:rFonts w:hint="default" w:ascii="Times New Roman" w:hAnsi="Times New Roman" w:eastAsia="宋体" w:cs="Times New Roman"/>
          <w:b/>
          <w:bCs/>
          <w:color w:val="000000"/>
          <w:kern w:val="0"/>
          <w:sz w:val="24"/>
          <w:szCs w:val="24"/>
          <w:highlight w:val="none"/>
          <w:lang w:val="en-US" w:eastAsia="zh-CN"/>
        </w:rPr>
        <w:t xml:space="preserve"> </w:t>
      </w:r>
      <w:r>
        <w:rPr>
          <w:rFonts w:hint="default" w:ascii="Times New Roman" w:hAnsi="Times New Roman" w:eastAsia="宋体" w:cs="Times New Roman"/>
          <w:b/>
          <w:bCs/>
          <w:color w:val="000000"/>
          <w:kern w:val="0"/>
          <w:sz w:val="24"/>
          <w:szCs w:val="24"/>
          <w:highlight w:val="none"/>
        </w:rPr>
        <w:t xml:space="preserve"> 本项目评价区土地利用类型图</w:t>
      </w:r>
    </w:p>
    <w:p w14:paraId="5DD6DEC3">
      <w:pPr>
        <w:pStyle w:val="4"/>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360" w:lineRule="auto"/>
        <w:ind w:leftChars="0"/>
        <w:textAlignment w:val="auto"/>
        <w:outlineLvl w:val="2"/>
        <w:rPr>
          <w:rFonts w:hint="default" w:ascii="Times New Roman" w:hAnsi="Times New Roman" w:eastAsia="宋体" w:cs="Times New Roman"/>
          <w:b w:val="0"/>
          <w:bCs/>
          <w:color w:val="000000"/>
          <w:sz w:val="24"/>
          <w:szCs w:val="24"/>
          <w:highlight w:val="none"/>
          <w:lang w:val="en-US" w:eastAsia="zh-CN"/>
        </w:rPr>
      </w:pPr>
      <w:bookmarkStart w:id="102" w:name="_Toc16392"/>
      <w:bookmarkStart w:id="103" w:name="_Toc7655"/>
      <w:bookmarkStart w:id="104" w:name="_Toc10823"/>
      <w:r>
        <w:rPr>
          <w:rFonts w:hint="default" w:ascii="Times New Roman" w:hAnsi="Times New Roman" w:eastAsia="宋体" w:cs="Times New Roman"/>
          <w:b w:val="0"/>
          <w:bCs/>
          <w:color w:val="000000"/>
          <w:sz w:val="24"/>
          <w:szCs w:val="24"/>
          <w:highlight w:val="none"/>
          <w:lang w:val="en-US" w:eastAsia="zh-CN"/>
        </w:rPr>
        <w:t>2.3.</w:t>
      </w:r>
      <w:r>
        <w:rPr>
          <w:rFonts w:hint="eastAsia" w:ascii="Times New Roman" w:hAnsi="Times New Roman" w:eastAsia="宋体" w:cs="Times New Roman"/>
          <w:b w:val="0"/>
          <w:bCs/>
          <w:color w:val="000000"/>
          <w:sz w:val="24"/>
          <w:szCs w:val="24"/>
          <w:highlight w:val="none"/>
          <w:lang w:val="en-US" w:eastAsia="zh-CN"/>
        </w:rPr>
        <w:t>2</w:t>
      </w:r>
      <w:r>
        <w:rPr>
          <w:rFonts w:hint="default" w:ascii="Times New Roman" w:hAnsi="Times New Roman" w:eastAsia="宋体" w:cs="Times New Roman"/>
          <w:b w:val="0"/>
          <w:bCs/>
          <w:color w:val="000000"/>
          <w:sz w:val="24"/>
          <w:szCs w:val="24"/>
          <w:highlight w:val="none"/>
          <w:lang w:val="en-US" w:eastAsia="zh-CN"/>
        </w:rPr>
        <w:t>评价区植被现状及分析</w:t>
      </w:r>
      <w:bookmarkEnd w:id="102"/>
      <w:bookmarkEnd w:id="103"/>
      <w:bookmarkEnd w:id="104"/>
    </w:p>
    <w:p w14:paraId="7B78D9BC">
      <w:pPr>
        <w:pStyle w:val="6"/>
        <w:keepNext/>
        <w:keepLines/>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left="480" w:leftChars="0"/>
        <w:textAlignment w:val="auto"/>
        <w:outlineLvl w:val="3"/>
        <w:rPr>
          <w:rFonts w:hint="default" w:ascii="Times New Roman" w:hAnsi="Times New Roman" w:eastAsia="宋体" w:cs="Times New Roman"/>
          <w:b w:val="0"/>
          <w:bCs/>
          <w:color w:val="000000"/>
          <w:sz w:val="24"/>
          <w:szCs w:val="21"/>
          <w:lang w:val="en-US" w:eastAsia="zh-CN"/>
        </w:rPr>
      </w:pPr>
      <w:bookmarkStart w:id="105" w:name="_Toc10299"/>
      <w:bookmarkStart w:id="106" w:name="_Toc14988"/>
      <w:r>
        <w:rPr>
          <w:rFonts w:hint="default" w:ascii="Times New Roman" w:hAnsi="Times New Roman" w:eastAsia="宋体" w:cs="Times New Roman"/>
          <w:b w:val="0"/>
          <w:bCs/>
          <w:color w:val="000000"/>
          <w:sz w:val="24"/>
          <w:szCs w:val="21"/>
          <w:lang w:val="en-US" w:eastAsia="zh-CN"/>
        </w:rPr>
        <w:t>2.3.</w:t>
      </w:r>
      <w:r>
        <w:rPr>
          <w:rFonts w:hint="eastAsia" w:ascii="Times New Roman" w:hAnsi="Times New Roman" w:eastAsia="宋体" w:cs="Times New Roman"/>
          <w:b w:val="0"/>
          <w:bCs/>
          <w:color w:val="000000"/>
          <w:sz w:val="24"/>
          <w:szCs w:val="21"/>
          <w:lang w:val="en-US" w:eastAsia="zh-CN"/>
        </w:rPr>
        <w:t>2</w:t>
      </w:r>
      <w:r>
        <w:rPr>
          <w:rFonts w:hint="default" w:ascii="Times New Roman" w:hAnsi="Times New Roman" w:eastAsia="宋体" w:cs="Times New Roman"/>
          <w:b w:val="0"/>
          <w:bCs/>
          <w:color w:val="000000"/>
          <w:sz w:val="24"/>
          <w:szCs w:val="21"/>
          <w:lang w:val="en-US" w:eastAsia="zh-CN"/>
        </w:rPr>
        <w:t>.1调查基本情况</w:t>
      </w:r>
      <w:bookmarkEnd w:id="105"/>
      <w:bookmarkEnd w:id="106"/>
    </w:p>
    <w:p w14:paraId="0FD9A047">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（1）调查时间</w:t>
      </w:r>
    </w:p>
    <w:p w14:paraId="43A55186">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生态调查人员于2025年7月对评价范围内生态现状植物植被部分进行了现场实地调查。</w:t>
      </w:r>
    </w:p>
    <w:p w14:paraId="0EFC1003">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（2）调查范围</w:t>
      </w:r>
    </w:p>
    <w:p w14:paraId="37ED5BB3">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本次植物现状调查范围为评价区及其周边区域，根据生态单元和地理单元分布，由于评价区域外有高陡山坡等形成的天然隔离地貌，因此，本次评价在进行生态环境现状调查工作时，调查范围取天然隔离地貌为界的区域范围。</w:t>
      </w:r>
    </w:p>
    <w:p w14:paraId="445EBE22">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（3）调查内容及方法</w:t>
      </w:r>
    </w:p>
    <w:p w14:paraId="7C04DAF8">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在对调查区域陆生生物资源历年资料检索分析的基础上，根据调查方案确定施工方案及考察时间，进行现场调查。实地调查采取样线调查与样方调查相结合的方法，确定调查区域的植物种类、植被类型及珍稀濒危植物的生存状况等，记录植物的科、属、种名，形态特征、生境、海拔、经纬度。</w:t>
      </w:r>
    </w:p>
    <w:p w14:paraId="1653F799">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1）样方布点原则</w:t>
      </w:r>
    </w:p>
    <w:p w14:paraId="5C2A8E8A">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在对评价范围的植被进行样方调查中，遵循以下原则：</w:t>
      </w:r>
    </w:p>
    <w:p w14:paraId="2CF566DB">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①在本项目调查区域的范围设置样地，并考虑区域布点的均匀性和代表性；</w:t>
      </w:r>
    </w:p>
    <w:p w14:paraId="3CB5B998">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②所选取的样地植被为评价范围分布较普遍的类型；</w:t>
      </w:r>
    </w:p>
    <w:p w14:paraId="43B484B5">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③样地的设置避免对同一种植被进行反复设点，特别重要的植被、植物变化较大的情况进行增加设点；</w:t>
      </w:r>
    </w:p>
    <w:p w14:paraId="0DFF6616">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④尽量避免非取样误差，避免选择路边易到之处。两人以上进行观察记录，消除主观因素。</w:t>
      </w:r>
    </w:p>
    <w:p w14:paraId="46D56654">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以上原则保证了样地的布置具有代表性，调查结果的植被中包括绝大部分主要常见植被类型。</w:t>
      </w:r>
    </w:p>
    <w:p w14:paraId="542B53DA">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2）样方调查方法</w:t>
      </w:r>
    </w:p>
    <w:p w14:paraId="6FEB99CD">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样方调查采用样地记录法，乔木群落布设5个样方，样方面积为20m×20m；灌木群落布设5个样方，样方面积为10m×10m；草本群落布设6个样方，样方面积为1m×1m，记录样地内的所有植物种类，并利用GPS确定样方位置。</w:t>
      </w:r>
    </w:p>
    <w:p w14:paraId="7D365392">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3）调查内容</w:t>
      </w:r>
    </w:p>
    <w:p w14:paraId="7C88FF20">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①生境因子的基本状况，包括地理位置、经纬度、坡度、坡向、海拔、一般的地形特征、小地形、岩石状况、土壤情况、枯枝落叶层厚度、干扰情况等。</w:t>
      </w:r>
    </w:p>
    <w:p w14:paraId="68FC069E">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②记录群落外貌、群落内所有的维管植物种类。</w:t>
      </w:r>
    </w:p>
    <w:p w14:paraId="12294D6E">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③对高度3m以上的乔木进行每木检尺，记录物种名、胸径、高度，并调查乔木的郁闭度。</w:t>
      </w:r>
    </w:p>
    <w:p w14:paraId="3D4EF8BF">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④灌木（含树高小于3m的乔木树种和木质层间植物）种及灌木层盖度、平均高度。</w:t>
      </w:r>
    </w:p>
    <w:p w14:paraId="7B843D5C">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⑤草本（含草质层间植物）种及草本层盖度、平均高度。</w:t>
      </w:r>
    </w:p>
    <w:p w14:paraId="69068B1F">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⑥该地区植物种类。</w:t>
      </w:r>
    </w:p>
    <w:p w14:paraId="013D85D1">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⑦乔木种演替及其更新情况。</w:t>
      </w:r>
    </w:p>
    <w:p w14:paraId="7524E5BF">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综上所述，本项目评价区植物调查样方基本情况详见表</w:t>
      </w:r>
      <w:r>
        <w:rPr>
          <w:rFonts w:hint="eastAsia" w:cs="Times New Roman"/>
          <w:b w:val="0"/>
          <w:bCs w:val="0"/>
          <w:color w:val="000000"/>
          <w:kern w:val="0"/>
          <w:sz w:val="24"/>
          <w:szCs w:val="24"/>
          <w:highlight w:val="none"/>
          <w:lang w:val="en-US" w:eastAsia="zh-CN"/>
        </w:rPr>
        <w:t>5</w:t>
      </w:r>
      <w:r>
        <w:rPr>
          <w:rFonts w:hint="default" w:ascii="Times New Roman" w:hAnsi="Times New Roman" w:eastAsia="宋体" w:cs="Times New Roman"/>
          <w:b w:val="0"/>
          <w:bCs w:val="0"/>
          <w:color w:val="000000"/>
          <w:kern w:val="0"/>
          <w:sz w:val="24"/>
          <w:szCs w:val="24"/>
          <w:highlight w:val="none"/>
          <w:lang w:val="en-US" w:eastAsia="zh-CN"/>
        </w:rPr>
        <w:t>，评价区植物调查样方分布图详见图</w:t>
      </w:r>
      <w:r>
        <w:rPr>
          <w:rFonts w:hint="eastAsia" w:cs="Times New Roman"/>
          <w:b w:val="0"/>
          <w:bCs w:val="0"/>
          <w:color w:val="000000"/>
          <w:kern w:val="0"/>
          <w:sz w:val="24"/>
          <w:szCs w:val="24"/>
          <w:highlight w:val="none"/>
          <w:lang w:val="en-US" w:eastAsia="zh-CN"/>
        </w:rPr>
        <w:t>2</w:t>
      </w:r>
      <w:r>
        <w:rPr>
          <w:rFonts w:hint="default" w:ascii="Times New Roman" w:hAnsi="Times New Roman" w:eastAsia="宋体" w:cs="Times New Roman"/>
          <w:b w:val="0"/>
          <w:bCs w:val="0"/>
          <w:color w:val="000000"/>
          <w:kern w:val="0"/>
          <w:sz w:val="24"/>
          <w:szCs w:val="24"/>
          <w:highlight w:val="none"/>
          <w:lang w:val="en-US" w:eastAsia="zh-CN"/>
        </w:rPr>
        <w:t>。</w:t>
      </w:r>
    </w:p>
    <w:p w14:paraId="3D2CCC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表</w:t>
      </w:r>
      <w:r>
        <w:rPr>
          <w:rFonts w:hint="eastAsia" w:cs="Times New Roman"/>
          <w:b/>
          <w:bCs/>
          <w:color w:val="000000"/>
          <w:kern w:val="0"/>
          <w:sz w:val="21"/>
          <w:szCs w:val="21"/>
          <w:highlight w:val="none"/>
          <w:lang w:val="en-US" w:eastAsia="zh-CN"/>
        </w:rPr>
        <w:t>5</w:t>
      </w:r>
      <w:r>
        <w:rPr>
          <w:rFonts w:hint="default" w:ascii="Times New Roman" w:hAnsi="Times New Roman" w:eastAsia="宋体" w:cs="Times New Roman"/>
          <w:b/>
          <w:bCs/>
          <w:color w:val="000000"/>
          <w:kern w:val="0"/>
          <w:sz w:val="21"/>
          <w:szCs w:val="21"/>
          <w:highlight w:val="none"/>
          <w:lang w:val="en-US" w:eastAsia="zh-CN"/>
        </w:rPr>
        <w:t xml:space="preserve">    评价区植物调查样方基本情况一览表</w:t>
      </w:r>
    </w:p>
    <w:tbl>
      <w:tblPr>
        <w:tblStyle w:val="3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1788"/>
        <w:gridCol w:w="1642"/>
        <w:gridCol w:w="1850"/>
        <w:gridCol w:w="1850"/>
      </w:tblGrid>
      <w:tr w14:paraId="28BB04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815" w:type="pct"/>
            <w:tcBorders>
              <w:tl2br w:val="nil"/>
              <w:tr2bl w:val="nil"/>
            </w:tcBorders>
            <w:noWrap w:val="0"/>
            <w:vAlign w:val="center"/>
          </w:tcPr>
          <w:p w14:paraId="5FAD0B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样方编号</w:t>
            </w:r>
          </w:p>
        </w:tc>
        <w:tc>
          <w:tcPr>
            <w:tcW w:w="1049" w:type="pct"/>
            <w:tcBorders>
              <w:tl2br w:val="nil"/>
              <w:tr2bl w:val="nil"/>
            </w:tcBorders>
            <w:noWrap w:val="0"/>
            <w:vAlign w:val="center"/>
          </w:tcPr>
          <w:p w14:paraId="4C059D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植被类型</w:t>
            </w:r>
          </w:p>
        </w:tc>
        <w:tc>
          <w:tcPr>
            <w:tcW w:w="963" w:type="pct"/>
            <w:tcBorders>
              <w:tl2br w:val="nil"/>
              <w:tr2bl w:val="nil"/>
            </w:tcBorders>
            <w:noWrap w:val="0"/>
            <w:vAlign w:val="center"/>
          </w:tcPr>
          <w:p w14:paraId="07F138A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样方面积</w:t>
            </w:r>
          </w:p>
        </w:tc>
        <w:tc>
          <w:tcPr>
            <w:tcW w:w="1085" w:type="pct"/>
            <w:tcBorders>
              <w:tl2br w:val="nil"/>
              <w:tr2bl w:val="nil"/>
            </w:tcBorders>
            <w:noWrap w:val="0"/>
            <w:vAlign w:val="center"/>
          </w:tcPr>
          <w:p w14:paraId="32A258C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经度</w:t>
            </w:r>
          </w:p>
        </w:tc>
        <w:tc>
          <w:tcPr>
            <w:tcW w:w="1085" w:type="pct"/>
            <w:tcBorders>
              <w:tl2br w:val="nil"/>
              <w:tr2bl w:val="nil"/>
            </w:tcBorders>
            <w:noWrap w:val="0"/>
            <w:vAlign w:val="center"/>
          </w:tcPr>
          <w:p w14:paraId="0698277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纬度</w:t>
            </w:r>
          </w:p>
        </w:tc>
      </w:tr>
      <w:tr w14:paraId="3DED5F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4E2352F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1</w:t>
            </w:r>
          </w:p>
        </w:tc>
        <w:tc>
          <w:tcPr>
            <w:tcW w:w="1049" w:type="pct"/>
            <w:tcBorders>
              <w:tl2br w:val="nil"/>
              <w:tr2bl w:val="nil"/>
            </w:tcBorders>
            <w:noWrap w:val="0"/>
            <w:vAlign w:val="center"/>
          </w:tcPr>
          <w:p w14:paraId="36F6E0F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落叶阔叶林</w:t>
            </w:r>
          </w:p>
        </w:tc>
        <w:tc>
          <w:tcPr>
            <w:tcW w:w="963" w:type="pct"/>
            <w:tcBorders>
              <w:tl2br w:val="nil"/>
              <w:tr2bl w:val="nil"/>
            </w:tcBorders>
            <w:noWrap w:val="0"/>
            <w:vAlign w:val="center"/>
          </w:tcPr>
          <w:p w14:paraId="64363EA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20m×20m</w:t>
            </w:r>
          </w:p>
        </w:tc>
        <w:tc>
          <w:tcPr>
            <w:tcW w:w="1085" w:type="pct"/>
            <w:tcBorders>
              <w:tl2br w:val="nil"/>
              <w:tr2bl w:val="nil"/>
            </w:tcBorders>
            <w:noWrap w:val="0"/>
            <w:vAlign w:val="center"/>
          </w:tcPr>
          <w:p w14:paraId="4354219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88°04'22.1496"</w:t>
            </w:r>
          </w:p>
        </w:tc>
        <w:tc>
          <w:tcPr>
            <w:tcW w:w="1085" w:type="pct"/>
            <w:tcBorders>
              <w:tl2br w:val="nil"/>
              <w:tr2bl w:val="nil"/>
            </w:tcBorders>
            <w:noWrap w:val="0"/>
            <w:vAlign w:val="center"/>
          </w:tcPr>
          <w:p w14:paraId="7AEFB35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43°58'58.3850"</w:t>
            </w:r>
          </w:p>
        </w:tc>
      </w:tr>
      <w:tr w14:paraId="63E991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0268C01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2</w:t>
            </w:r>
          </w:p>
        </w:tc>
        <w:tc>
          <w:tcPr>
            <w:tcW w:w="1049" w:type="pct"/>
            <w:tcBorders>
              <w:tl2br w:val="nil"/>
              <w:tr2bl w:val="nil"/>
            </w:tcBorders>
            <w:noWrap w:val="0"/>
            <w:vAlign w:val="center"/>
          </w:tcPr>
          <w:p w14:paraId="66B5216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落叶阔叶林</w:t>
            </w:r>
          </w:p>
        </w:tc>
        <w:tc>
          <w:tcPr>
            <w:tcW w:w="963" w:type="pct"/>
            <w:tcBorders>
              <w:tl2br w:val="nil"/>
              <w:tr2bl w:val="nil"/>
            </w:tcBorders>
            <w:noWrap w:val="0"/>
            <w:vAlign w:val="center"/>
          </w:tcPr>
          <w:p w14:paraId="68C4668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20m×20m</w:t>
            </w:r>
          </w:p>
        </w:tc>
        <w:tc>
          <w:tcPr>
            <w:tcW w:w="1085" w:type="pct"/>
            <w:tcBorders>
              <w:tl2br w:val="nil"/>
              <w:tr2bl w:val="nil"/>
            </w:tcBorders>
            <w:noWrap w:val="0"/>
            <w:vAlign w:val="center"/>
          </w:tcPr>
          <w:p w14:paraId="635D65D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88°04'29.6576"</w:t>
            </w:r>
          </w:p>
        </w:tc>
        <w:tc>
          <w:tcPr>
            <w:tcW w:w="1085" w:type="pct"/>
            <w:tcBorders>
              <w:tl2br w:val="nil"/>
              <w:tr2bl w:val="nil"/>
            </w:tcBorders>
            <w:noWrap w:val="0"/>
            <w:vAlign w:val="center"/>
          </w:tcPr>
          <w:p w14:paraId="17C3EC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43°58'46.3999"</w:t>
            </w:r>
          </w:p>
        </w:tc>
      </w:tr>
      <w:tr w14:paraId="719359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5384DB5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3</w:t>
            </w:r>
          </w:p>
        </w:tc>
        <w:tc>
          <w:tcPr>
            <w:tcW w:w="1049" w:type="pct"/>
            <w:tcBorders>
              <w:tl2br w:val="nil"/>
              <w:tr2bl w:val="nil"/>
            </w:tcBorders>
            <w:noWrap w:val="0"/>
            <w:vAlign w:val="center"/>
          </w:tcPr>
          <w:p w14:paraId="367A72B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落叶阔叶林</w:t>
            </w:r>
          </w:p>
        </w:tc>
        <w:tc>
          <w:tcPr>
            <w:tcW w:w="963" w:type="pct"/>
            <w:tcBorders>
              <w:tl2br w:val="nil"/>
              <w:tr2bl w:val="nil"/>
            </w:tcBorders>
            <w:noWrap w:val="0"/>
            <w:vAlign w:val="center"/>
          </w:tcPr>
          <w:p w14:paraId="4E133F4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20m×20m</w:t>
            </w:r>
          </w:p>
        </w:tc>
        <w:tc>
          <w:tcPr>
            <w:tcW w:w="1085" w:type="pct"/>
            <w:tcBorders>
              <w:tl2br w:val="nil"/>
              <w:tr2bl w:val="nil"/>
            </w:tcBorders>
            <w:noWrap w:val="0"/>
            <w:vAlign w:val="center"/>
          </w:tcPr>
          <w:p w14:paraId="6EA8298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88°04'35.9976"</w:t>
            </w:r>
          </w:p>
        </w:tc>
        <w:tc>
          <w:tcPr>
            <w:tcW w:w="1085" w:type="pct"/>
            <w:tcBorders>
              <w:tl2br w:val="nil"/>
              <w:tr2bl w:val="nil"/>
            </w:tcBorders>
            <w:noWrap w:val="0"/>
            <w:vAlign w:val="center"/>
          </w:tcPr>
          <w:p w14:paraId="7B17F3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43°58'30.1854"</w:t>
            </w:r>
          </w:p>
        </w:tc>
      </w:tr>
      <w:tr w14:paraId="1AC629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76A3AF3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4</w:t>
            </w:r>
          </w:p>
        </w:tc>
        <w:tc>
          <w:tcPr>
            <w:tcW w:w="1049" w:type="pct"/>
            <w:tcBorders>
              <w:tl2br w:val="nil"/>
              <w:tr2bl w:val="nil"/>
            </w:tcBorders>
            <w:noWrap w:val="0"/>
            <w:vAlign w:val="center"/>
          </w:tcPr>
          <w:p w14:paraId="7C175B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落叶阔叶林</w:t>
            </w:r>
          </w:p>
        </w:tc>
        <w:tc>
          <w:tcPr>
            <w:tcW w:w="963" w:type="pct"/>
            <w:tcBorders>
              <w:tl2br w:val="nil"/>
              <w:tr2bl w:val="nil"/>
            </w:tcBorders>
            <w:noWrap w:val="0"/>
            <w:vAlign w:val="center"/>
          </w:tcPr>
          <w:p w14:paraId="482C18A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20m×20m</w:t>
            </w:r>
          </w:p>
        </w:tc>
        <w:tc>
          <w:tcPr>
            <w:tcW w:w="1085" w:type="pct"/>
            <w:tcBorders>
              <w:tl2br w:val="nil"/>
              <w:tr2bl w:val="nil"/>
            </w:tcBorders>
            <w:noWrap w:val="0"/>
            <w:vAlign w:val="center"/>
          </w:tcPr>
          <w:p w14:paraId="7D9A23C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88°04'10.0134"</w:t>
            </w:r>
          </w:p>
        </w:tc>
        <w:tc>
          <w:tcPr>
            <w:tcW w:w="1085" w:type="pct"/>
            <w:tcBorders>
              <w:tl2br w:val="nil"/>
              <w:tr2bl w:val="nil"/>
            </w:tcBorders>
            <w:noWrap w:val="0"/>
            <w:vAlign w:val="center"/>
          </w:tcPr>
          <w:p w14:paraId="220B5EE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43°59'12.3710"</w:t>
            </w:r>
          </w:p>
        </w:tc>
      </w:tr>
      <w:tr w14:paraId="6B088A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1D54ED9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5</w:t>
            </w:r>
          </w:p>
        </w:tc>
        <w:tc>
          <w:tcPr>
            <w:tcW w:w="1049" w:type="pct"/>
            <w:tcBorders>
              <w:tl2br w:val="nil"/>
              <w:tr2bl w:val="nil"/>
            </w:tcBorders>
            <w:noWrap w:val="0"/>
            <w:vAlign w:val="center"/>
          </w:tcPr>
          <w:p w14:paraId="22C5EAD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落叶阔叶林</w:t>
            </w:r>
          </w:p>
        </w:tc>
        <w:tc>
          <w:tcPr>
            <w:tcW w:w="963" w:type="pct"/>
            <w:tcBorders>
              <w:tl2br w:val="nil"/>
              <w:tr2bl w:val="nil"/>
            </w:tcBorders>
            <w:noWrap w:val="0"/>
            <w:vAlign w:val="center"/>
          </w:tcPr>
          <w:p w14:paraId="2E039C4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20m×20m</w:t>
            </w:r>
          </w:p>
        </w:tc>
        <w:tc>
          <w:tcPr>
            <w:tcW w:w="1085" w:type="pct"/>
            <w:tcBorders>
              <w:tl2br w:val="nil"/>
              <w:tr2bl w:val="nil"/>
            </w:tcBorders>
            <w:noWrap w:val="0"/>
            <w:vAlign w:val="center"/>
          </w:tcPr>
          <w:p w14:paraId="5E9D56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88°04'00.6532"</w:t>
            </w:r>
          </w:p>
        </w:tc>
        <w:tc>
          <w:tcPr>
            <w:tcW w:w="1085" w:type="pct"/>
            <w:tcBorders>
              <w:tl2br w:val="nil"/>
              <w:tr2bl w:val="nil"/>
            </w:tcBorders>
            <w:noWrap w:val="0"/>
            <w:vAlign w:val="center"/>
          </w:tcPr>
          <w:p w14:paraId="38B234D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43°59'26.8956"</w:t>
            </w:r>
          </w:p>
        </w:tc>
      </w:tr>
      <w:tr w14:paraId="4830FE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08EC229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6</w:t>
            </w:r>
          </w:p>
        </w:tc>
        <w:tc>
          <w:tcPr>
            <w:tcW w:w="1049" w:type="pct"/>
            <w:tcBorders>
              <w:tl2br w:val="nil"/>
              <w:tr2bl w:val="nil"/>
            </w:tcBorders>
            <w:noWrap w:val="0"/>
            <w:vAlign w:val="center"/>
          </w:tcPr>
          <w:p w14:paraId="6650BB1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落叶阔叶灌丛</w:t>
            </w:r>
          </w:p>
        </w:tc>
        <w:tc>
          <w:tcPr>
            <w:tcW w:w="963" w:type="pct"/>
            <w:tcBorders>
              <w:tl2br w:val="nil"/>
              <w:tr2bl w:val="nil"/>
            </w:tcBorders>
            <w:noWrap w:val="0"/>
            <w:vAlign w:val="center"/>
          </w:tcPr>
          <w:p w14:paraId="6412D18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10m×10m</w:t>
            </w:r>
          </w:p>
        </w:tc>
        <w:tc>
          <w:tcPr>
            <w:tcW w:w="1085" w:type="pct"/>
            <w:tcBorders>
              <w:tl2br w:val="nil"/>
              <w:tr2bl w:val="nil"/>
            </w:tcBorders>
            <w:noWrap w:val="0"/>
            <w:vAlign w:val="center"/>
          </w:tcPr>
          <w:p w14:paraId="53C8749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88°03'51.1456"</w:t>
            </w:r>
          </w:p>
        </w:tc>
        <w:tc>
          <w:tcPr>
            <w:tcW w:w="1085" w:type="pct"/>
            <w:tcBorders>
              <w:tl2br w:val="nil"/>
              <w:tr2bl w:val="nil"/>
            </w:tcBorders>
            <w:noWrap w:val="0"/>
            <w:vAlign w:val="center"/>
          </w:tcPr>
          <w:p w14:paraId="12885E9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43°59'24.8983"</w:t>
            </w:r>
          </w:p>
        </w:tc>
      </w:tr>
      <w:tr w14:paraId="4D604B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34D0B07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7</w:t>
            </w:r>
          </w:p>
        </w:tc>
        <w:tc>
          <w:tcPr>
            <w:tcW w:w="1049" w:type="pct"/>
            <w:tcBorders>
              <w:tl2br w:val="nil"/>
              <w:tr2bl w:val="nil"/>
            </w:tcBorders>
            <w:noWrap w:val="0"/>
            <w:vAlign w:val="center"/>
          </w:tcPr>
          <w:p w14:paraId="184FD2A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default" w:ascii="Times New Roman" w:hAnsi="Times New Roman" w:eastAsia="宋体" w:cs="Times New Roman"/>
                <w:color w:val="000000"/>
                <w:sz w:val="21"/>
                <w:szCs w:val="21"/>
                <w:highlight w:val="none"/>
                <w:vertAlign w:val="baseline"/>
                <w:lang w:val="en-US" w:eastAsia="zh-CN"/>
              </w:rPr>
              <w:t>落叶阔叶灌丛</w:t>
            </w:r>
          </w:p>
        </w:tc>
        <w:tc>
          <w:tcPr>
            <w:tcW w:w="963" w:type="pct"/>
            <w:tcBorders>
              <w:tl2br w:val="nil"/>
              <w:tr2bl w:val="nil"/>
            </w:tcBorders>
            <w:noWrap w:val="0"/>
            <w:vAlign w:val="center"/>
          </w:tcPr>
          <w:p w14:paraId="782504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10m×10m</w:t>
            </w:r>
          </w:p>
        </w:tc>
        <w:tc>
          <w:tcPr>
            <w:tcW w:w="1085" w:type="pct"/>
            <w:tcBorders>
              <w:tl2br w:val="nil"/>
              <w:tr2bl w:val="nil"/>
            </w:tcBorders>
            <w:noWrap w:val="0"/>
            <w:vAlign w:val="center"/>
          </w:tcPr>
          <w:p w14:paraId="310E41E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88°03'58.1768"</w:t>
            </w:r>
          </w:p>
        </w:tc>
        <w:tc>
          <w:tcPr>
            <w:tcW w:w="1085" w:type="pct"/>
            <w:tcBorders>
              <w:tl2br w:val="nil"/>
              <w:tr2bl w:val="nil"/>
            </w:tcBorders>
            <w:noWrap w:val="0"/>
            <w:vAlign w:val="center"/>
          </w:tcPr>
          <w:p w14:paraId="6CA2901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43°59'16.2136"</w:t>
            </w:r>
          </w:p>
        </w:tc>
      </w:tr>
      <w:tr w14:paraId="4E8630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61D082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8</w:t>
            </w:r>
          </w:p>
        </w:tc>
        <w:tc>
          <w:tcPr>
            <w:tcW w:w="1049" w:type="pct"/>
            <w:tcBorders>
              <w:tl2br w:val="nil"/>
              <w:tr2bl w:val="nil"/>
            </w:tcBorders>
            <w:noWrap w:val="0"/>
            <w:vAlign w:val="center"/>
          </w:tcPr>
          <w:p w14:paraId="2498D0D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default" w:ascii="Times New Roman" w:hAnsi="Times New Roman" w:eastAsia="宋体" w:cs="Times New Roman"/>
                <w:color w:val="000000"/>
                <w:sz w:val="21"/>
                <w:szCs w:val="21"/>
                <w:highlight w:val="none"/>
                <w:vertAlign w:val="baseline"/>
                <w:lang w:val="en-US" w:eastAsia="zh-CN"/>
              </w:rPr>
              <w:t>落叶阔叶灌丛</w:t>
            </w:r>
          </w:p>
        </w:tc>
        <w:tc>
          <w:tcPr>
            <w:tcW w:w="963" w:type="pct"/>
            <w:tcBorders>
              <w:tl2br w:val="nil"/>
              <w:tr2bl w:val="nil"/>
            </w:tcBorders>
            <w:noWrap w:val="0"/>
            <w:vAlign w:val="center"/>
          </w:tcPr>
          <w:p w14:paraId="6A6A586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10m×10m</w:t>
            </w:r>
          </w:p>
        </w:tc>
        <w:tc>
          <w:tcPr>
            <w:tcW w:w="1085" w:type="pct"/>
            <w:tcBorders>
              <w:tl2br w:val="nil"/>
              <w:tr2bl w:val="nil"/>
            </w:tcBorders>
            <w:noWrap w:val="0"/>
            <w:vAlign w:val="center"/>
          </w:tcPr>
          <w:p w14:paraId="2BCCDC7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88°04'09.8969"</w:t>
            </w:r>
          </w:p>
        </w:tc>
        <w:tc>
          <w:tcPr>
            <w:tcW w:w="1085" w:type="pct"/>
            <w:tcBorders>
              <w:tl2br w:val="nil"/>
              <w:tr2bl w:val="nil"/>
            </w:tcBorders>
            <w:noWrap w:val="0"/>
            <w:vAlign w:val="center"/>
          </w:tcPr>
          <w:p w14:paraId="0DFF7B2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43°59'04.0388"</w:t>
            </w:r>
          </w:p>
        </w:tc>
      </w:tr>
      <w:tr w14:paraId="6505CB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1303818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9</w:t>
            </w:r>
          </w:p>
        </w:tc>
        <w:tc>
          <w:tcPr>
            <w:tcW w:w="1049" w:type="pct"/>
            <w:tcBorders>
              <w:tl2br w:val="nil"/>
              <w:tr2bl w:val="nil"/>
            </w:tcBorders>
            <w:noWrap w:val="0"/>
            <w:vAlign w:val="center"/>
          </w:tcPr>
          <w:p w14:paraId="61264DE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default" w:ascii="Times New Roman" w:hAnsi="Times New Roman" w:eastAsia="宋体" w:cs="Times New Roman"/>
                <w:color w:val="000000"/>
                <w:sz w:val="21"/>
                <w:szCs w:val="21"/>
                <w:highlight w:val="none"/>
                <w:vertAlign w:val="baseline"/>
                <w:lang w:val="en-US" w:eastAsia="zh-CN"/>
              </w:rPr>
              <w:t>落叶阔叶灌丛</w:t>
            </w:r>
          </w:p>
        </w:tc>
        <w:tc>
          <w:tcPr>
            <w:tcW w:w="963" w:type="pct"/>
            <w:tcBorders>
              <w:tl2br w:val="nil"/>
              <w:tr2bl w:val="nil"/>
            </w:tcBorders>
            <w:noWrap w:val="0"/>
            <w:vAlign w:val="center"/>
          </w:tcPr>
          <w:p w14:paraId="3CCA058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10m×10m</w:t>
            </w:r>
          </w:p>
        </w:tc>
        <w:tc>
          <w:tcPr>
            <w:tcW w:w="1085" w:type="pct"/>
            <w:tcBorders>
              <w:tl2br w:val="nil"/>
              <w:tr2bl w:val="nil"/>
            </w:tcBorders>
            <w:noWrap w:val="0"/>
            <w:vAlign w:val="center"/>
          </w:tcPr>
          <w:p w14:paraId="15DA867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88°04'18.0764"</w:t>
            </w:r>
          </w:p>
        </w:tc>
        <w:tc>
          <w:tcPr>
            <w:tcW w:w="1085" w:type="pct"/>
            <w:tcBorders>
              <w:tl2br w:val="nil"/>
              <w:tr2bl w:val="nil"/>
            </w:tcBorders>
            <w:noWrap w:val="0"/>
            <w:vAlign w:val="center"/>
          </w:tcPr>
          <w:p w14:paraId="21B7CBD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43°58'54.5374"</w:t>
            </w:r>
          </w:p>
        </w:tc>
      </w:tr>
      <w:tr w14:paraId="60AE91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4D64433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10</w:t>
            </w:r>
          </w:p>
        </w:tc>
        <w:tc>
          <w:tcPr>
            <w:tcW w:w="1049" w:type="pct"/>
            <w:tcBorders>
              <w:tl2br w:val="nil"/>
              <w:tr2bl w:val="nil"/>
            </w:tcBorders>
            <w:noWrap w:val="0"/>
            <w:vAlign w:val="center"/>
          </w:tcPr>
          <w:p w14:paraId="3F8D1F8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default" w:ascii="Times New Roman" w:hAnsi="Times New Roman" w:eastAsia="宋体" w:cs="Times New Roman"/>
                <w:color w:val="000000"/>
                <w:sz w:val="21"/>
                <w:szCs w:val="21"/>
                <w:highlight w:val="none"/>
                <w:vertAlign w:val="baseline"/>
                <w:lang w:val="en-US" w:eastAsia="zh-CN"/>
              </w:rPr>
              <w:t>落叶阔叶灌丛</w:t>
            </w:r>
          </w:p>
        </w:tc>
        <w:tc>
          <w:tcPr>
            <w:tcW w:w="963" w:type="pct"/>
            <w:tcBorders>
              <w:tl2br w:val="nil"/>
              <w:tr2bl w:val="nil"/>
            </w:tcBorders>
            <w:noWrap w:val="0"/>
            <w:vAlign w:val="center"/>
          </w:tcPr>
          <w:p w14:paraId="251CE49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10m×10m</w:t>
            </w:r>
          </w:p>
        </w:tc>
        <w:tc>
          <w:tcPr>
            <w:tcW w:w="1085" w:type="pct"/>
            <w:tcBorders>
              <w:tl2br w:val="nil"/>
              <w:tr2bl w:val="nil"/>
            </w:tcBorders>
            <w:noWrap w:val="0"/>
            <w:vAlign w:val="center"/>
          </w:tcPr>
          <w:p w14:paraId="3C4577E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88°04'28.4583"</w:t>
            </w:r>
          </w:p>
        </w:tc>
        <w:tc>
          <w:tcPr>
            <w:tcW w:w="1085" w:type="pct"/>
            <w:tcBorders>
              <w:tl2br w:val="nil"/>
              <w:tr2bl w:val="nil"/>
            </w:tcBorders>
            <w:noWrap w:val="0"/>
            <w:vAlign w:val="center"/>
          </w:tcPr>
          <w:p w14:paraId="5CDD7B7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43°58'35.5655"</w:t>
            </w:r>
          </w:p>
        </w:tc>
      </w:tr>
      <w:tr w14:paraId="1DD90B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197AE5B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11</w:t>
            </w:r>
          </w:p>
        </w:tc>
        <w:tc>
          <w:tcPr>
            <w:tcW w:w="1049" w:type="pct"/>
            <w:tcBorders>
              <w:tl2br w:val="nil"/>
              <w:tr2bl w:val="nil"/>
            </w:tcBorders>
            <w:noWrap w:val="0"/>
            <w:vAlign w:val="center"/>
          </w:tcPr>
          <w:p w14:paraId="4D98697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草原</w:t>
            </w:r>
          </w:p>
        </w:tc>
        <w:tc>
          <w:tcPr>
            <w:tcW w:w="963" w:type="pct"/>
            <w:tcBorders>
              <w:tl2br w:val="nil"/>
              <w:tr2bl w:val="nil"/>
            </w:tcBorders>
            <w:noWrap w:val="0"/>
            <w:vAlign w:val="center"/>
          </w:tcPr>
          <w:p w14:paraId="34878F6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1m×1m</w:t>
            </w:r>
          </w:p>
        </w:tc>
        <w:tc>
          <w:tcPr>
            <w:tcW w:w="1085" w:type="pct"/>
            <w:tcBorders>
              <w:tl2br w:val="nil"/>
              <w:tr2bl w:val="nil"/>
            </w:tcBorders>
            <w:noWrap w:val="0"/>
            <w:vAlign w:val="center"/>
          </w:tcPr>
          <w:p w14:paraId="49BCA1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88°03'30.5492"</w:t>
            </w:r>
          </w:p>
        </w:tc>
        <w:tc>
          <w:tcPr>
            <w:tcW w:w="1085" w:type="pct"/>
            <w:tcBorders>
              <w:tl2br w:val="nil"/>
              <w:tr2bl w:val="nil"/>
            </w:tcBorders>
            <w:noWrap w:val="0"/>
            <w:vAlign w:val="center"/>
          </w:tcPr>
          <w:p w14:paraId="7DA1161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43°59'21.1928"</w:t>
            </w:r>
          </w:p>
        </w:tc>
      </w:tr>
      <w:tr w14:paraId="442A03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5B8E242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12</w:t>
            </w:r>
          </w:p>
        </w:tc>
        <w:tc>
          <w:tcPr>
            <w:tcW w:w="1049" w:type="pct"/>
            <w:tcBorders>
              <w:tl2br w:val="nil"/>
              <w:tr2bl w:val="nil"/>
            </w:tcBorders>
            <w:noWrap w:val="0"/>
            <w:vAlign w:val="center"/>
          </w:tcPr>
          <w:p w14:paraId="757ED9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草原</w:t>
            </w:r>
          </w:p>
        </w:tc>
        <w:tc>
          <w:tcPr>
            <w:tcW w:w="963" w:type="pct"/>
            <w:tcBorders>
              <w:tl2br w:val="nil"/>
              <w:tr2bl w:val="nil"/>
            </w:tcBorders>
            <w:noWrap w:val="0"/>
            <w:vAlign w:val="center"/>
          </w:tcPr>
          <w:p w14:paraId="346D35B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1m×1m</w:t>
            </w:r>
          </w:p>
        </w:tc>
        <w:tc>
          <w:tcPr>
            <w:tcW w:w="1085" w:type="pct"/>
            <w:tcBorders>
              <w:tl2br w:val="nil"/>
              <w:tr2bl w:val="nil"/>
            </w:tcBorders>
            <w:noWrap w:val="0"/>
            <w:vAlign w:val="center"/>
          </w:tcPr>
          <w:p w14:paraId="26FEAA8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88°03'33.7989"</w:t>
            </w:r>
          </w:p>
        </w:tc>
        <w:tc>
          <w:tcPr>
            <w:tcW w:w="1085" w:type="pct"/>
            <w:tcBorders>
              <w:tl2br w:val="nil"/>
              <w:tr2bl w:val="nil"/>
            </w:tcBorders>
            <w:noWrap w:val="0"/>
            <w:vAlign w:val="center"/>
          </w:tcPr>
          <w:p w14:paraId="2AE7E8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43°59'00.2025"</w:t>
            </w:r>
          </w:p>
        </w:tc>
      </w:tr>
      <w:tr w14:paraId="1F5F16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7C2842F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13</w:t>
            </w:r>
          </w:p>
        </w:tc>
        <w:tc>
          <w:tcPr>
            <w:tcW w:w="1049" w:type="pct"/>
            <w:tcBorders>
              <w:tl2br w:val="nil"/>
              <w:tr2bl w:val="nil"/>
            </w:tcBorders>
            <w:noWrap w:val="0"/>
            <w:vAlign w:val="center"/>
          </w:tcPr>
          <w:p w14:paraId="0990423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草原</w:t>
            </w:r>
          </w:p>
        </w:tc>
        <w:tc>
          <w:tcPr>
            <w:tcW w:w="963" w:type="pct"/>
            <w:tcBorders>
              <w:tl2br w:val="nil"/>
              <w:tr2bl w:val="nil"/>
            </w:tcBorders>
            <w:noWrap w:val="0"/>
            <w:vAlign w:val="center"/>
          </w:tcPr>
          <w:p w14:paraId="36547D4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1m×1m</w:t>
            </w:r>
          </w:p>
        </w:tc>
        <w:tc>
          <w:tcPr>
            <w:tcW w:w="1085" w:type="pct"/>
            <w:tcBorders>
              <w:tl2br w:val="nil"/>
              <w:tr2bl w:val="nil"/>
            </w:tcBorders>
            <w:noWrap w:val="0"/>
            <w:vAlign w:val="center"/>
          </w:tcPr>
          <w:p w14:paraId="42B819E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88°04'40.6964"</w:t>
            </w:r>
          </w:p>
        </w:tc>
        <w:tc>
          <w:tcPr>
            <w:tcW w:w="1085" w:type="pct"/>
            <w:tcBorders>
              <w:tl2br w:val="nil"/>
              <w:tr2bl w:val="nil"/>
            </w:tcBorders>
            <w:noWrap w:val="0"/>
            <w:vAlign w:val="center"/>
          </w:tcPr>
          <w:p w14:paraId="25F1BE7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43°58'57.2725"</w:t>
            </w:r>
          </w:p>
        </w:tc>
      </w:tr>
      <w:tr w14:paraId="2B1C03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63E78F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14</w:t>
            </w:r>
          </w:p>
        </w:tc>
        <w:tc>
          <w:tcPr>
            <w:tcW w:w="1049" w:type="pct"/>
            <w:tcBorders>
              <w:tl2br w:val="nil"/>
              <w:tr2bl w:val="nil"/>
            </w:tcBorders>
            <w:noWrap w:val="0"/>
            <w:vAlign w:val="center"/>
          </w:tcPr>
          <w:p w14:paraId="5242BD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草原</w:t>
            </w:r>
          </w:p>
        </w:tc>
        <w:tc>
          <w:tcPr>
            <w:tcW w:w="963" w:type="pct"/>
            <w:tcBorders>
              <w:tl2br w:val="nil"/>
              <w:tr2bl w:val="nil"/>
            </w:tcBorders>
            <w:noWrap w:val="0"/>
            <w:vAlign w:val="center"/>
          </w:tcPr>
          <w:p w14:paraId="12C56CD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1m×1m</w:t>
            </w:r>
          </w:p>
        </w:tc>
        <w:tc>
          <w:tcPr>
            <w:tcW w:w="1085" w:type="pct"/>
            <w:tcBorders>
              <w:tl2br w:val="nil"/>
              <w:tr2bl w:val="nil"/>
            </w:tcBorders>
            <w:noWrap w:val="0"/>
            <w:vAlign w:val="center"/>
          </w:tcPr>
          <w:p w14:paraId="7161D14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88°04'14.5361"</w:t>
            </w:r>
          </w:p>
        </w:tc>
        <w:tc>
          <w:tcPr>
            <w:tcW w:w="1085" w:type="pct"/>
            <w:tcBorders>
              <w:tl2br w:val="nil"/>
              <w:tr2bl w:val="nil"/>
            </w:tcBorders>
            <w:noWrap w:val="0"/>
            <w:vAlign w:val="center"/>
          </w:tcPr>
          <w:p w14:paraId="5D8B695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43°58'26.8252"</w:t>
            </w:r>
          </w:p>
        </w:tc>
      </w:tr>
      <w:tr w14:paraId="749498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2BA6BB3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15</w:t>
            </w:r>
          </w:p>
        </w:tc>
        <w:tc>
          <w:tcPr>
            <w:tcW w:w="1049" w:type="pct"/>
            <w:tcBorders>
              <w:tl2br w:val="nil"/>
              <w:tr2bl w:val="nil"/>
            </w:tcBorders>
            <w:noWrap w:val="0"/>
            <w:vAlign w:val="center"/>
          </w:tcPr>
          <w:p w14:paraId="6F3109D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草原</w:t>
            </w:r>
          </w:p>
        </w:tc>
        <w:tc>
          <w:tcPr>
            <w:tcW w:w="963" w:type="pct"/>
            <w:tcBorders>
              <w:tl2br w:val="nil"/>
              <w:tr2bl w:val="nil"/>
            </w:tcBorders>
            <w:noWrap w:val="0"/>
            <w:vAlign w:val="center"/>
          </w:tcPr>
          <w:p w14:paraId="4C4379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1m×1m</w:t>
            </w:r>
          </w:p>
        </w:tc>
        <w:tc>
          <w:tcPr>
            <w:tcW w:w="1085" w:type="pct"/>
            <w:tcBorders>
              <w:tl2br w:val="nil"/>
              <w:tr2bl w:val="nil"/>
            </w:tcBorders>
            <w:noWrap w:val="0"/>
            <w:vAlign w:val="center"/>
          </w:tcPr>
          <w:p w14:paraId="5FA2374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88°04'00.2639"</w:t>
            </w:r>
          </w:p>
        </w:tc>
        <w:tc>
          <w:tcPr>
            <w:tcW w:w="1085" w:type="pct"/>
            <w:tcBorders>
              <w:tl2br w:val="nil"/>
              <w:tr2bl w:val="nil"/>
            </w:tcBorders>
            <w:noWrap w:val="0"/>
            <w:vAlign w:val="center"/>
          </w:tcPr>
          <w:p w14:paraId="04585F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43°58'42.3599"</w:t>
            </w:r>
          </w:p>
        </w:tc>
      </w:tr>
      <w:tr w14:paraId="71666E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5" w:type="pct"/>
            <w:tcBorders>
              <w:tl2br w:val="nil"/>
              <w:tr2bl w:val="nil"/>
            </w:tcBorders>
            <w:noWrap w:val="0"/>
            <w:vAlign w:val="center"/>
          </w:tcPr>
          <w:p w14:paraId="19B3628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16</w:t>
            </w:r>
          </w:p>
        </w:tc>
        <w:tc>
          <w:tcPr>
            <w:tcW w:w="1049" w:type="pct"/>
            <w:tcBorders>
              <w:tl2br w:val="nil"/>
              <w:tr2bl w:val="nil"/>
            </w:tcBorders>
            <w:noWrap w:val="0"/>
            <w:vAlign w:val="center"/>
          </w:tcPr>
          <w:p w14:paraId="59EC7C6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草原</w:t>
            </w:r>
          </w:p>
        </w:tc>
        <w:tc>
          <w:tcPr>
            <w:tcW w:w="963" w:type="pct"/>
            <w:tcBorders>
              <w:tl2br w:val="nil"/>
              <w:tr2bl w:val="nil"/>
            </w:tcBorders>
            <w:noWrap w:val="0"/>
            <w:vAlign w:val="center"/>
          </w:tcPr>
          <w:p w14:paraId="616579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1m×1m</w:t>
            </w:r>
          </w:p>
        </w:tc>
        <w:tc>
          <w:tcPr>
            <w:tcW w:w="1085" w:type="pct"/>
            <w:tcBorders>
              <w:tl2br w:val="nil"/>
              <w:tr2bl w:val="nil"/>
            </w:tcBorders>
            <w:noWrap w:val="0"/>
            <w:vAlign w:val="center"/>
          </w:tcPr>
          <w:p w14:paraId="3243B26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88°04'42.1838"</w:t>
            </w:r>
          </w:p>
        </w:tc>
        <w:tc>
          <w:tcPr>
            <w:tcW w:w="1085" w:type="pct"/>
            <w:tcBorders>
              <w:tl2br w:val="nil"/>
              <w:tr2bl w:val="nil"/>
            </w:tcBorders>
            <w:noWrap w:val="0"/>
            <w:vAlign w:val="center"/>
          </w:tcPr>
          <w:p w14:paraId="69C8D2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43°58'40.3031"</w:t>
            </w:r>
          </w:p>
        </w:tc>
      </w:tr>
    </w:tbl>
    <w:p w14:paraId="1E967B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highlight w:val="none"/>
        </w:rPr>
      </w:pPr>
    </w:p>
    <w:p w14:paraId="12A351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color w:val="000000"/>
          <w:highlight w:val="none"/>
        </w:rPr>
        <w:drawing>
          <wp:inline distT="0" distB="0" distL="114300" distR="114300">
            <wp:extent cx="5273040" cy="3107690"/>
            <wp:effectExtent l="0" t="0" r="3810" b="1651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38"/>
                    <a:stretch>
                      <a:fillRect/>
                    </a:stretch>
                  </pic:blipFill>
                  <pic:spPr>
                    <a:xfrm>
                      <a:off x="0" y="0"/>
                      <a:ext cx="5273040" cy="3107690"/>
                    </a:xfrm>
                    <a:prstGeom prst="rect">
                      <a:avLst/>
                    </a:prstGeom>
                    <a:noFill/>
                    <a:ln>
                      <a:noFill/>
                    </a:ln>
                  </pic:spPr>
                </pic:pic>
              </a:graphicData>
            </a:graphic>
          </wp:inline>
        </w:drawing>
      </w:r>
    </w:p>
    <w:p w14:paraId="5A2B8094">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center"/>
        <w:textAlignment w:val="auto"/>
        <w:rPr>
          <w:rFonts w:hint="default" w:ascii="Times New Roman" w:hAnsi="Times New Roman" w:eastAsia="宋体" w:cs="Times New Roman"/>
          <w:b/>
          <w:bCs/>
          <w:color w:val="000000"/>
          <w:kern w:val="0"/>
          <w:sz w:val="24"/>
          <w:szCs w:val="24"/>
          <w:highlight w:val="none"/>
          <w:lang w:val="en-US" w:eastAsia="zh-CN"/>
        </w:rPr>
      </w:pPr>
      <w:r>
        <w:rPr>
          <w:rFonts w:hint="default" w:ascii="Times New Roman" w:hAnsi="Times New Roman" w:eastAsia="宋体" w:cs="Times New Roman"/>
          <w:b/>
          <w:bCs/>
          <w:color w:val="000000"/>
          <w:kern w:val="0"/>
          <w:sz w:val="24"/>
          <w:szCs w:val="24"/>
          <w:highlight w:val="none"/>
          <w:lang w:val="en-US" w:eastAsia="zh-CN"/>
        </w:rPr>
        <w:t>图</w:t>
      </w:r>
      <w:r>
        <w:rPr>
          <w:rFonts w:hint="eastAsia" w:cs="Times New Roman"/>
          <w:b/>
          <w:bCs/>
          <w:color w:val="000000"/>
          <w:kern w:val="0"/>
          <w:sz w:val="24"/>
          <w:szCs w:val="24"/>
          <w:highlight w:val="none"/>
          <w:lang w:val="en-US" w:eastAsia="zh-CN"/>
        </w:rPr>
        <w:t>2</w:t>
      </w:r>
      <w:r>
        <w:rPr>
          <w:rFonts w:hint="default" w:ascii="Times New Roman" w:hAnsi="Times New Roman" w:eastAsia="宋体" w:cs="Times New Roman"/>
          <w:b/>
          <w:bCs/>
          <w:color w:val="000000"/>
          <w:kern w:val="0"/>
          <w:sz w:val="24"/>
          <w:szCs w:val="24"/>
          <w:highlight w:val="none"/>
          <w:lang w:val="en-US" w:eastAsia="zh-CN"/>
        </w:rPr>
        <w:t xml:space="preserve">   植物调查样方分布图</w:t>
      </w:r>
    </w:p>
    <w:p w14:paraId="6AA1A4D3">
      <w:pPr>
        <w:pStyle w:val="6"/>
        <w:keepNext/>
        <w:keepLines/>
        <w:pageBreakBefore w:val="0"/>
        <w:widowControl w:val="0"/>
        <w:numPr>
          <w:ilvl w:val="3"/>
          <w:numId w:val="0"/>
        </w:numPr>
        <w:kinsoku/>
        <w:wordWrap/>
        <w:overflowPunct/>
        <w:topLinePunct w:val="0"/>
        <w:autoSpaceDE/>
        <w:autoSpaceDN/>
        <w:bidi w:val="0"/>
        <w:adjustRightInd/>
        <w:snapToGrid w:val="0"/>
        <w:spacing w:before="0" w:beforeLines="0" w:beforeAutospacing="0" w:after="0" w:afterLines="0" w:afterAutospacing="0" w:line="360" w:lineRule="auto"/>
        <w:ind w:left="0" w:leftChars="0" w:firstLine="480" w:firstLineChars="200"/>
        <w:textAlignment w:val="auto"/>
        <w:outlineLvl w:val="3"/>
        <w:rPr>
          <w:rFonts w:hint="default" w:ascii="Times New Roman" w:hAnsi="Times New Roman" w:eastAsia="宋体" w:cs="Times New Roman"/>
          <w:b w:val="0"/>
          <w:bCs/>
          <w:color w:val="000000"/>
          <w:sz w:val="24"/>
          <w:szCs w:val="21"/>
          <w:lang w:val="en-US" w:eastAsia="zh-CN"/>
        </w:rPr>
      </w:pPr>
      <w:bookmarkStart w:id="107" w:name="_Toc20826"/>
      <w:bookmarkStart w:id="108" w:name="_Toc13895"/>
      <w:r>
        <w:rPr>
          <w:rFonts w:hint="default" w:ascii="Times New Roman" w:hAnsi="Times New Roman" w:eastAsia="宋体" w:cs="Times New Roman"/>
          <w:b w:val="0"/>
          <w:bCs/>
          <w:color w:val="000000"/>
          <w:sz w:val="24"/>
          <w:szCs w:val="21"/>
          <w:lang w:val="en-US" w:eastAsia="zh-CN"/>
        </w:rPr>
        <w:t>2.3.2.2植物种类</w:t>
      </w:r>
      <w:bookmarkEnd w:id="107"/>
      <w:bookmarkEnd w:id="108"/>
    </w:p>
    <w:p w14:paraId="77F7D0BE">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（1）植物种类统计</w:t>
      </w:r>
    </w:p>
    <w:p w14:paraId="6248DDE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通过评价范围内植物的实地调查，结合相关文献统计评价区域维管植物种类，确定评价区域维管束植物名录。据调查统计，在评价区域维管束植物15科27属35种。其中蕨类植物1科1属2种，被子植物14科26属33种。评价区维管束植物统计情况详见表</w:t>
      </w:r>
      <w:r>
        <w:rPr>
          <w:rFonts w:hint="eastAsia" w:cs="Times New Roman"/>
          <w:b w:val="0"/>
          <w:bCs w:val="0"/>
          <w:color w:val="000000"/>
          <w:kern w:val="0"/>
          <w:sz w:val="24"/>
          <w:szCs w:val="24"/>
          <w:highlight w:val="none"/>
          <w:lang w:val="en-US" w:eastAsia="zh-CN"/>
        </w:rPr>
        <w:t>6</w:t>
      </w:r>
      <w:r>
        <w:rPr>
          <w:rFonts w:hint="default" w:ascii="Times New Roman" w:hAnsi="Times New Roman" w:eastAsia="宋体" w:cs="Times New Roman"/>
          <w:b w:val="0"/>
          <w:bCs w:val="0"/>
          <w:color w:val="000000"/>
          <w:kern w:val="0"/>
          <w:sz w:val="24"/>
          <w:szCs w:val="24"/>
          <w:highlight w:val="none"/>
          <w:lang w:val="en-US" w:eastAsia="zh-CN"/>
        </w:rPr>
        <w:t>，评价区植物名录详见表</w:t>
      </w:r>
      <w:r>
        <w:rPr>
          <w:rFonts w:hint="eastAsia" w:cs="Times New Roman"/>
          <w:b w:val="0"/>
          <w:bCs w:val="0"/>
          <w:color w:val="000000"/>
          <w:kern w:val="0"/>
          <w:sz w:val="24"/>
          <w:szCs w:val="24"/>
          <w:highlight w:val="none"/>
          <w:lang w:val="en-US" w:eastAsia="zh-CN"/>
        </w:rPr>
        <w:t>7</w:t>
      </w:r>
      <w:r>
        <w:rPr>
          <w:rFonts w:hint="default" w:ascii="Times New Roman" w:hAnsi="Times New Roman" w:eastAsia="宋体" w:cs="Times New Roman"/>
          <w:b w:val="0"/>
          <w:bCs w:val="0"/>
          <w:color w:val="000000"/>
          <w:kern w:val="0"/>
          <w:sz w:val="24"/>
          <w:szCs w:val="24"/>
          <w:highlight w:val="none"/>
          <w:lang w:val="en-US" w:eastAsia="zh-CN"/>
        </w:rPr>
        <w:t>。</w:t>
      </w:r>
    </w:p>
    <w:p w14:paraId="4775E61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表</w:t>
      </w:r>
      <w:r>
        <w:rPr>
          <w:rFonts w:hint="eastAsia" w:cs="Times New Roman"/>
          <w:b/>
          <w:bCs/>
          <w:color w:val="000000"/>
          <w:kern w:val="0"/>
          <w:sz w:val="21"/>
          <w:szCs w:val="21"/>
          <w:highlight w:val="none"/>
          <w:lang w:val="en-US" w:eastAsia="zh-CN"/>
        </w:rPr>
        <w:t>6</w:t>
      </w:r>
      <w:r>
        <w:rPr>
          <w:rFonts w:hint="default" w:ascii="Times New Roman" w:hAnsi="Times New Roman" w:eastAsia="宋体" w:cs="Times New Roman"/>
          <w:b/>
          <w:bCs/>
          <w:color w:val="000000"/>
          <w:kern w:val="0"/>
          <w:sz w:val="21"/>
          <w:szCs w:val="21"/>
          <w:highlight w:val="none"/>
          <w:lang w:val="en-US" w:eastAsia="zh-CN"/>
        </w:rPr>
        <w:t xml:space="preserve">   评价区维管束植物统计一览表</w:t>
      </w:r>
    </w:p>
    <w:tbl>
      <w:tblPr>
        <w:tblStyle w:val="3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648"/>
        <w:gridCol w:w="1258"/>
        <w:gridCol w:w="2306"/>
        <w:gridCol w:w="2307"/>
      </w:tblGrid>
      <w:tr w14:paraId="531455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1554" w:type="pct"/>
            <w:tcBorders>
              <w:tl2br w:val="nil"/>
              <w:tr2bl w:val="nil"/>
            </w:tcBorders>
            <w:noWrap w:val="0"/>
            <w:vAlign w:val="center"/>
          </w:tcPr>
          <w:p w14:paraId="07C531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植物分类</w:t>
            </w:r>
          </w:p>
        </w:tc>
        <w:tc>
          <w:tcPr>
            <w:tcW w:w="738" w:type="pct"/>
            <w:tcBorders>
              <w:tl2br w:val="nil"/>
              <w:tr2bl w:val="nil"/>
            </w:tcBorders>
            <w:noWrap w:val="0"/>
            <w:vAlign w:val="center"/>
          </w:tcPr>
          <w:p w14:paraId="3EA7B0A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科</w:t>
            </w:r>
          </w:p>
        </w:tc>
        <w:tc>
          <w:tcPr>
            <w:tcW w:w="1353" w:type="pct"/>
            <w:tcBorders>
              <w:tl2br w:val="nil"/>
              <w:tr2bl w:val="nil"/>
            </w:tcBorders>
            <w:noWrap w:val="0"/>
            <w:vAlign w:val="center"/>
          </w:tcPr>
          <w:p w14:paraId="61A75F0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属</w:t>
            </w:r>
          </w:p>
        </w:tc>
        <w:tc>
          <w:tcPr>
            <w:tcW w:w="1354" w:type="pct"/>
            <w:tcBorders>
              <w:tl2br w:val="nil"/>
              <w:tr2bl w:val="nil"/>
            </w:tcBorders>
            <w:noWrap w:val="0"/>
            <w:vAlign w:val="center"/>
          </w:tcPr>
          <w:p w14:paraId="00A5AB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种</w:t>
            </w:r>
          </w:p>
        </w:tc>
      </w:tr>
      <w:tr w14:paraId="22413F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54" w:type="pct"/>
            <w:tcBorders>
              <w:tl2br w:val="nil"/>
              <w:tr2bl w:val="nil"/>
            </w:tcBorders>
            <w:noWrap w:val="0"/>
            <w:vAlign w:val="center"/>
          </w:tcPr>
          <w:p w14:paraId="6F71B2E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蕨类植物</w:t>
            </w:r>
          </w:p>
        </w:tc>
        <w:tc>
          <w:tcPr>
            <w:tcW w:w="738" w:type="pct"/>
            <w:tcBorders>
              <w:tl2br w:val="nil"/>
              <w:tr2bl w:val="nil"/>
            </w:tcBorders>
            <w:noWrap w:val="0"/>
            <w:vAlign w:val="center"/>
          </w:tcPr>
          <w:p w14:paraId="09E1370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1</w:t>
            </w:r>
          </w:p>
        </w:tc>
        <w:tc>
          <w:tcPr>
            <w:tcW w:w="1353" w:type="pct"/>
            <w:tcBorders>
              <w:tl2br w:val="nil"/>
              <w:tr2bl w:val="nil"/>
            </w:tcBorders>
            <w:noWrap w:val="0"/>
            <w:vAlign w:val="center"/>
          </w:tcPr>
          <w:p w14:paraId="0739EC1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1</w:t>
            </w:r>
          </w:p>
        </w:tc>
        <w:tc>
          <w:tcPr>
            <w:tcW w:w="1354" w:type="pct"/>
            <w:tcBorders>
              <w:tl2br w:val="nil"/>
              <w:tr2bl w:val="nil"/>
            </w:tcBorders>
            <w:noWrap w:val="0"/>
            <w:vAlign w:val="center"/>
          </w:tcPr>
          <w:p w14:paraId="1B19052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2</w:t>
            </w:r>
          </w:p>
        </w:tc>
      </w:tr>
      <w:tr w14:paraId="4E98D1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54" w:type="pct"/>
            <w:tcBorders>
              <w:tl2br w:val="nil"/>
              <w:tr2bl w:val="nil"/>
            </w:tcBorders>
            <w:noWrap w:val="0"/>
            <w:vAlign w:val="center"/>
          </w:tcPr>
          <w:p w14:paraId="34EC211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被子植物</w:t>
            </w:r>
          </w:p>
        </w:tc>
        <w:tc>
          <w:tcPr>
            <w:tcW w:w="738" w:type="pct"/>
            <w:tcBorders>
              <w:tl2br w:val="nil"/>
              <w:tr2bl w:val="nil"/>
            </w:tcBorders>
            <w:noWrap w:val="0"/>
            <w:vAlign w:val="center"/>
          </w:tcPr>
          <w:p w14:paraId="1C95E4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14</w:t>
            </w:r>
          </w:p>
        </w:tc>
        <w:tc>
          <w:tcPr>
            <w:tcW w:w="1353" w:type="pct"/>
            <w:tcBorders>
              <w:tl2br w:val="nil"/>
              <w:tr2bl w:val="nil"/>
            </w:tcBorders>
            <w:noWrap w:val="0"/>
            <w:vAlign w:val="center"/>
          </w:tcPr>
          <w:p w14:paraId="0782B37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26</w:t>
            </w:r>
          </w:p>
        </w:tc>
        <w:tc>
          <w:tcPr>
            <w:tcW w:w="1354" w:type="pct"/>
            <w:tcBorders>
              <w:tl2br w:val="nil"/>
              <w:tr2bl w:val="nil"/>
            </w:tcBorders>
            <w:noWrap w:val="0"/>
            <w:vAlign w:val="center"/>
          </w:tcPr>
          <w:p w14:paraId="5E79F33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33</w:t>
            </w:r>
          </w:p>
        </w:tc>
      </w:tr>
      <w:tr w14:paraId="602E2E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54" w:type="pct"/>
            <w:tcBorders>
              <w:tl2br w:val="nil"/>
              <w:tr2bl w:val="nil"/>
            </w:tcBorders>
            <w:noWrap w:val="0"/>
            <w:vAlign w:val="center"/>
          </w:tcPr>
          <w:p w14:paraId="321FD8A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合计</w:t>
            </w:r>
          </w:p>
        </w:tc>
        <w:tc>
          <w:tcPr>
            <w:tcW w:w="738" w:type="pct"/>
            <w:tcBorders>
              <w:tl2br w:val="nil"/>
              <w:tr2bl w:val="nil"/>
            </w:tcBorders>
            <w:noWrap w:val="0"/>
            <w:vAlign w:val="center"/>
          </w:tcPr>
          <w:p w14:paraId="05A29C4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fldChar w:fldCharType="begin"/>
            </w:r>
            <w:r>
              <w:rPr>
                <w:rFonts w:hint="default" w:ascii="Times New Roman" w:hAnsi="Times New Roman" w:eastAsia="宋体" w:cs="Times New Roman"/>
                <w:color w:val="000000"/>
                <w:sz w:val="21"/>
                <w:szCs w:val="21"/>
                <w:highlight w:val="none"/>
                <w:vertAlign w:val="baseline"/>
                <w:lang w:val="en-US" w:eastAsia="zh-CN"/>
              </w:rPr>
              <w:instrText xml:space="preserve"> = sum(B2:B3) \* MERGEFORMAT </w:instrText>
            </w:r>
            <w:r>
              <w:rPr>
                <w:rFonts w:hint="default" w:ascii="Times New Roman" w:hAnsi="Times New Roman" w:eastAsia="宋体" w:cs="Times New Roman"/>
                <w:color w:val="000000"/>
                <w:sz w:val="21"/>
                <w:szCs w:val="21"/>
                <w:highlight w:val="none"/>
                <w:vertAlign w:val="baseline"/>
                <w:lang w:val="en-US" w:eastAsia="zh-CN"/>
              </w:rPr>
              <w:fldChar w:fldCharType="separate"/>
            </w:r>
            <w:r>
              <w:rPr>
                <w:rFonts w:hint="default" w:ascii="Times New Roman" w:hAnsi="Times New Roman" w:eastAsia="宋体" w:cs="Times New Roman"/>
                <w:color w:val="000000"/>
                <w:sz w:val="21"/>
                <w:szCs w:val="21"/>
                <w:highlight w:val="none"/>
                <w:vertAlign w:val="baseline"/>
                <w:lang w:val="en-US" w:eastAsia="zh-CN"/>
              </w:rPr>
              <w:t>15</w:t>
            </w:r>
            <w:r>
              <w:rPr>
                <w:rFonts w:hint="default" w:ascii="Times New Roman" w:hAnsi="Times New Roman" w:eastAsia="宋体" w:cs="Times New Roman"/>
                <w:color w:val="000000"/>
                <w:sz w:val="21"/>
                <w:szCs w:val="21"/>
                <w:highlight w:val="none"/>
                <w:vertAlign w:val="baseline"/>
                <w:lang w:val="en-US" w:eastAsia="zh-CN"/>
              </w:rPr>
              <w:fldChar w:fldCharType="end"/>
            </w:r>
          </w:p>
        </w:tc>
        <w:tc>
          <w:tcPr>
            <w:tcW w:w="1353" w:type="pct"/>
            <w:tcBorders>
              <w:tl2br w:val="nil"/>
              <w:tr2bl w:val="nil"/>
            </w:tcBorders>
            <w:noWrap w:val="0"/>
            <w:vAlign w:val="center"/>
          </w:tcPr>
          <w:p w14:paraId="4C80EE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fldChar w:fldCharType="begin"/>
            </w:r>
            <w:r>
              <w:rPr>
                <w:rFonts w:hint="default" w:ascii="Times New Roman" w:hAnsi="Times New Roman" w:eastAsia="宋体" w:cs="Times New Roman"/>
                <w:i w:val="0"/>
                <w:iCs w:val="0"/>
                <w:color w:val="000000"/>
                <w:sz w:val="21"/>
                <w:szCs w:val="21"/>
                <w:highlight w:val="none"/>
                <w:vertAlign w:val="baseline"/>
                <w:lang w:val="en-US" w:eastAsia="zh-CN"/>
              </w:rPr>
              <w:instrText xml:space="preserve"> = sum(C2:C3) \* MERGEFORMAT </w:instrText>
            </w:r>
            <w:r>
              <w:rPr>
                <w:rFonts w:hint="default" w:ascii="Times New Roman" w:hAnsi="Times New Roman" w:eastAsia="宋体" w:cs="Times New Roman"/>
                <w:i w:val="0"/>
                <w:iCs w:val="0"/>
                <w:color w:val="000000"/>
                <w:sz w:val="21"/>
                <w:szCs w:val="21"/>
                <w:highlight w:val="none"/>
                <w:vertAlign w:val="baseline"/>
                <w:lang w:val="en-US" w:eastAsia="zh-CN"/>
              </w:rPr>
              <w:fldChar w:fldCharType="separate"/>
            </w:r>
            <w:r>
              <w:rPr>
                <w:rFonts w:hint="default" w:ascii="Times New Roman" w:hAnsi="Times New Roman" w:eastAsia="宋体" w:cs="Times New Roman"/>
                <w:i w:val="0"/>
                <w:iCs w:val="0"/>
                <w:color w:val="000000"/>
                <w:sz w:val="21"/>
                <w:szCs w:val="21"/>
                <w:highlight w:val="none"/>
                <w:vertAlign w:val="baseline"/>
                <w:lang w:val="en-US" w:eastAsia="zh-CN"/>
              </w:rPr>
              <w:t>27</w:t>
            </w:r>
            <w:r>
              <w:rPr>
                <w:rFonts w:hint="default" w:ascii="Times New Roman" w:hAnsi="Times New Roman" w:eastAsia="宋体" w:cs="Times New Roman"/>
                <w:i w:val="0"/>
                <w:iCs w:val="0"/>
                <w:color w:val="000000"/>
                <w:sz w:val="21"/>
                <w:szCs w:val="21"/>
                <w:highlight w:val="none"/>
                <w:vertAlign w:val="baseline"/>
                <w:lang w:val="en-US" w:eastAsia="zh-CN"/>
              </w:rPr>
              <w:fldChar w:fldCharType="end"/>
            </w:r>
          </w:p>
        </w:tc>
        <w:tc>
          <w:tcPr>
            <w:tcW w:w="1354" w:type="pct"/>
            <w:tcBorders>
              <w:tl2br w:val="nil"/>
              <w:tr2bl w:val="nil"/>
            </w:tcBorders>
            <w:noWrap w:val="0"/>
            <w:vAlign w:val="center"/>
          </w:tcPr>
          <w:p w14:paraId="275AD5B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fldChar w:fldCharType="begin"/>
            </w:r>
            <w:r>
              <w:rPr>
                <w:rFonts w:hint="default" w:ascii="Times New Roman" w:hAnsi="Times New Roman" w:eastAsia="宋体" w:cs="Times New Roman"/>
                <w:i w:val="0"/>
                <w:iCs w:val="0"/>
                <w:color w:val="000000"/>
                <w:sz w:val="21"/>
                <w:szCs w:val="21"/>
                <w:highlight w:val="none"/>
                <w:vertAlign w:val="baseline"/>
                <w:lang w:val="en-US" w:eastAsia="zh-CN"/>
              </w:rPr>
              <w:instrText xml:space="preserve"> = sum(D2:D3) \* MERGEFORMAT </w:instrText>
            </w:r>
            <w:r>
              <w:rPr>
                <w:rFonts w:hint="default" w:ascii="Times New Roman" w:hAnsi="Times New Roman" w:eastAsia="宋体" w:cs="Times New Roman"/>
                <w:i w:val="0"/>
                <w:iCs w:val="0"/>
                <w:color w:val="000000"/>
                <w:sz w:val="21"/>
                <w:szCs w:val="21"/>
                <w:highlight w:val="none"/>
                <w:vertAlign w:val="baseline"/>
                <w:lang w:val="en-US" w:eastAsia="zh-CN"/>
              </w:rPr>
              <w:fldChar w:fldCharType="separate"/>
            </w:r>
            <w:r>
              <w:rPr>
                <w:rFonts w:hint="default" w:ascii="Times New Roman" w:hAnsi="Times New Roman" w:eastAsia="宋体" w:cs="Times New Roman"/>
                <w:i w:val="0"/>
                <w:iCs w:val="0"/>
                <w:color w:val="000000"/>
                <w:sz w:val="21"/>
                <w:szCs w:val="21"/>
                <w:highlight w:val="none"/>
                <w:vertAlign w:val="baseline"/>
                <w:lang w:val="en-US" w:eastAsia="zh-CN"/>
              </w:rPr>
              <w:t>35</w:t>
            </w:r>
            <w:r>
              <w:rPr>
                <w:rFonts w:hint="default" w:ascii="Times New Roman" w:hAnsi="Times New Roman" w:eastAsia="宋体" w:cs="Times New Roman"/>
                <w:i w:val="0"/>
                <w:iCs w:val="0"/>
                <w:color w:val="000000"/>
                <w:sz w:val="21"/>
                <w:szCs w:val="21"/>
                <w:highlight w:val="none"/>
                <w:vertAlign w:val="baseline"/>
                <w:lang w:val="en-US" w:eastAsia="zh-CN"/>
              </w:rPr>
              <w:fldChar w:fldCharType="end"/>
            </w:r>
          </w:p>
        </w:tc>
      </w:tr>
    </w:tbl>
    <w:p w14:paraId="30D05E5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rPr>
      </w:pPr>
    </w:p>
    <w:p w14:paraId="3BEE174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表</w:t>
      </w:r>
      <w:r>
        <w:rPr>
          <w:rFonts w:hint="eastAsia" w:cs="Times New Roman"/>
          <w:b/>
          <w:bCs/>
          <w:color w:val="000000"/>
          <w:kern w:val="0"/>
          <w:sz w:val="21"/>
          <w:szCs w:val="21"/>
          <w:highlight w:val="none"/>
          <w:lang w:val="en-US" w:eastAsia="zh-CN"/>
        </w:rPr>
        <w:t>7</w:t>
      </w:r>
      <w:r>
        <w:rPr>
          <w:rFonts w:hint="default" w:ascii="Times New Roman" w:hAnsi="Times New Roman" w:eastAsia="宋体" w:cs="Times New Roman"/>
          <w:b/>
          <w:bCs/>
          <w:color w:val="000000"/>
          <w:kern w:val="0"/>
          <w:sz w:val="21"/>
          <w:szCs w:val="21"/>
          <w:highlight w:val="none"/>
          <w:lang w:val="en-US" w:eastAsia="zh-CN"/>
        </w:rPr>
        <w:t xml:space="preserve">    评价区域植物名录一览表</w:t>
      </w:r>
    </w:p>
    <w:tbl>
      <w:tblPr>
        <w:tblStyle w:val="3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1360"/>
        <w:gridCol w:w="1324"/>
        <w:gridCol w:w="1725"/>
        <w:gridCol w:w="3162"/>
      </w:tblGrid>
      <w:tr w14:paraId="30C373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556" w:type="pct"/>
            <w:tcBorders>
              <w:tl2br w:val="nil"/>
              <w:tr2bl w:val="nil"/>
            </w:tcBorders>
            <w:noWrap w:val="0"/>
            <w:vAlign w:val="center"/>
          </w:tcPr>
          <w:p w14:paraId="2997656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序号</w:t>
            </w:r>
          </w:p>
        </w:tc>
        <w:tc>
          <w:tcPr>
            <w:tcW w:w="798" w:type="pct"/>
            <w:tcBorders>
              <w:tl2br w:val="nil"/>
              <w:tr2bl w:val="nil"/>
            </w:tcBorders>
            <w:noWrap w:val="0"/>
            <w:vAlign w:val="center"/>
          </w:tcPr>
          <w:p w14:paraId="4BB3E2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科</w:t>
            </w:r>
          </w:p>
        </w:tc>
        <w:tc>
          <w:tcPr>
            <w:tcW w:w="777" w:type="pct"/>
            <w:tcBorders>
              <w:tl2br w:val="nil"/>
              <w:tr2bl w:val="nil"/>
            </w:tcBorders>
            <w:noWrap w:val="0"/>
            <w:vAlign w:val="center"/>
          </w:tcPr>
          <w:p w14:paraId="6A5411A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属</w:t>
            </w:r>
          </w:p>
        </w:tc>
        <w:tc>
          <w:tcPr>
            <w:tcW w:w="1012" w:type="pct"/>
            <w:tcBorders>
              <w:tl2br w:val="nil"/>
              <w:tr2bl w:val="nil"/>
            </w:tcBorders>
            <w:noWrap w:val="0"/>
            <w:vAlign w:val="center"/>
          </w:tcPr>
          <w:p w14:paraId="48F4E4C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种</w:t>
            </w:r>
          </w:p>
        </w:tc>
        <w:tc>
          <w:tcPr>
            <w:tcW w:w="1855" w:type="pct"/>
            <w:tcBorders>
              <w:tl2br w:val="nil"/>
              <w:tr2bl w:val="nil"/>
            </w:tcBorders>
            <w:noWrap w:val="0"/>
            <w:vAlign w:val="center"/>
          </w:tcPr>
          <w:p w14:paraId="0EA1CFC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拉丁名</w:t>
            </w:r>
          </w:p>
        </w:tc>
      </w:tr>
      <w:tr w14:paraId="747BB5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1548507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798" w:type="pct"/>
            <w:vMerge w:val="restart"/>
            <w:tcBorders>
              <w:tl2br w:val="nil"/>
              <w:tr2bl w:val="nil"/>
            </w:tcBorders>
            <w:noWrap w:val="0"/>
            <w:vAlign w:val="center"/>
          </w:tcPr>
          <w:p w14:paraId="01FC95C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菊科</w:t>
            </w:r>
          </w:p>
        </w:tc>
        <w:tc>
          <w:tcPr>
            <w:tcW w:w="777" w:type="pct"/>
            <w:tcBorders>
              <w:tl2br w:val="nil"/>
              <w:tr2bl w:val="nil"/>
            </w:tcBorders>
            <w:noWrap w:val="0"/>
            <w:vAlign w:val="center"/>
          </w:tcPr>
          <w:p w14:paraId="03E5F5D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蒿属</w:t>
            </w:r>
          </w:p>
        </w:tc>
        <w:tc>
          <w:tcPr>
            <w:tcW w:w="1012" w:type="pct"/>
            <w:tcBorders>
              <w:tl2br w:val="nil"/>
              <w:tr2bl w:val="nil"/>
            </w:tcBorders>
            <w:noWrap w:val="0"/>
            <w:vAlign w:val="center"/>
          </w:tcPr>
          <w:p w14:paraId="588C2D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中亚苦蒿</w:t>
            </w:r>
          </w:p>
        </w:tc>
        <w:tc>
          <w:tcPr>
            <w:tcW w:w="1855" w:type="pct"/>
            <w:tcBorders>
              <w:tl2br w:val="nil"/>
              <w:tr2bl w:val="nil"/>
            </w:tcBorders>
            <w:noWrap w:val="0"/>
            <w:vAlign w:val="center"/>
          </w:tcPr>
          <w:p w14:paraId="1D0E651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Artemisiaabsinthiun</w:t>
            </w:r>
          </w:p>
        </w:tc>
      </w:tr>
      <w:tr w14:paraId="2AEEA2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2F608AA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w:t>
            </w:r>
          </w:p>
        </w:tc>
        <w:tc>
          <w:tcPr>
            <w:tcW w:w="798" w:type="pct"/>
            <w:vMerge w:val="continue"/>
            <w:tcBorders>
              <w:tl2br w:val="nil"/>
              <w:tr2bl w:val="nil"/>
            </w:tcBorders>
            <w:noWrap w:val="0"/>
            <w:vAlign w:val="center"/>
          </w:tcPr>
          <w:p w14:paraId="5BFA8D3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777" w:type="pct"/>
            <w:tcBorders>
              <w:tl2br w:val="nil"/>
              <w:tr2bl w:val="nil"/>
            </w:tcBorders>
            <w:noWrap w:val="0"/>
            <w:vAlign w:val="center"/>
          </w:tcPr>
          <w:p w14:paraId="3CA4748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蒿属</w:t>
            </w:r>
          </w:p>
        </w:tc>
        <w:tc>
          <w:tcPr>
            <w:tcW w:w="1012" w:type="pct"/>
            <w:tcBorders>
              <w:tl2br w:val="nil"/>
              <w:tr2bl w:val="nil"/>
            </w:tcBorders>
            <w:noWrap w:val="0"/>
            <w:vAlign w:val="center"/>
          </w:tcPr>
          <w:p w14:paraId="4D8593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冷蒿</w:t>
            </w:r>
          </w:p>
        </w:tc>
        <w:tc>
          <w:tcPr>
            <w:tcW w:w="1855" w:type="pct"/>
            <w:tcBorders>
              <w:tl2br w:val="nil"/>
              <w:tr2bl w:val="nil"/>
            </w:tcBorders>
            <w:noWrap w:val="0"/>
            <w:vAlign w:val="center"/>
          </w:tcPr>
          <w:p w14:paraId="784A280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Artemisiafrigida</w:t>
            </w:r>
          </w:p>
        </w:tc>
      </w:tr>
      <w:tr w14:paraId="05A9FB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483F9D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3</w:t>
            </w:r>
          </w:p>
        </w:tc>
        <w:tc>
          <w:tcPr>
            <w:tcW w:w="798" w:type="pct"/>
            <w:vMerge w:val="continue"/>
            <w:tcBorders>
              <w:tl2br w:val="nil"/>
              <w:tr2bl w:val="nil"/>
            </w:tcBorders>
            <w:noWrap w:val="0"/>
            <w:vAlign w:val="center"/>
          </w:tcPr>
          <w:p w14:paraId="1DBF8F7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777" w:type="pct"/>
            <w:tcBorders>
              <w:tl2br w:val="nil"/>
              <w:tr2bl w:val="nil"/>
            </w:tcBorders>
            <w:noWrap w:val="0"/>
            <w:vAlign w:val="center"/>
          </w:tcPr>
          <w:p w14:paraId="0C710CE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蒿属</w:t>
            </w:r>
          </w:p>
        </w:tc>
        <w:tc>
          <w:tcPr>
            <w:tcW w:w="1012" w:type="pct"/>
            <w:tcBorders>
              <w:tl2br w:val="nil"/>
              <w:tr2bl w:val="nil"/>
            </w:tcBorders>
            <w:noWrap w:val="0"/>
            <w:vAlign w:val="center"/>
          </w:tcPr>
          <w:p w14:paraId="45FC6C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猪毛蒿</w:t>
            </w:r>
          </w:p>
        </w:tc>
        <w:tc>
          <w:tcPr>
            <w:tcW w:w="1855" w:type="pct"/>
            <w:tcBorders>
              <w:tl2br w:val="nil"/>
              <w:tr2bl w:val="nil"/>
            </w:tcBorders>
            <w:noWrap w:val="0"/>
            <w:vAlign w:val="center"/>
          </w:tcPr>
          <w:p w14:paraId="6564F3F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Artemisia scoparia Waldst.et Kit.</w:t>
            </w:r>
          </w:p>
        </w:tc>
      </w:tr>
      <w:tr w14:paraId="34ECB4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2844E97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4</w:t>
            </w:r>
          </w:p>
        </w:tc>
        <w:tc>
          <w:tcPr>
            <w:tcW w:w="798" w:type="pct"/>
            <w:vMerge w:val="continue"/>
            <w:tcBorders>
              <w:tl2br w:val="nil"/>
              <w:tr2bl w:val="nil"/>
            </w:tcBorders>
            <w:noWrap w:val="0"/>
            <w:vAlign w:val="center"/>
          </w:tcPr>
          <w:p w14:paraId="3486139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777" w:type="pct"/>
            <w:tcBorders>
              <w:tl2br w:val="nil"/>
              <w:tr2bl w:val="nil"/>
            </w:tcBorders>
            <w:noWrap w:val="0"/>
            <w:vAlign w:val="center"/>
          </w:tcPr>
          <w:p w14:paraId="6D4144D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蒿属</w:t>
            </w:r>
          </w:p>
        </w:tc>
        <w:tc>
          <w:tcPr>
            <w:tcW w:w="1012" w:type="pct"/>
            <w:tcBorders>
              <w:tl2br w:val="nil"/>
              <w:tr2bl w:val="nil"/>
            </w:tcBorders>
            <w:noWrap w:val="0"/>
            <w:vAlign w:val="center"/>
          </w:tcPr>
          <w:p w14:paraId="5B5A94F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野艾蒿</w:t>
            </w:r>
          </w:p>
        </w:tc>
        <w:tc>
          <w:tcPr>
            <w:tcW w:w="1855" w:type="pct"/>
            <w:tcBorders>
              <w:tl2br w:val="nil"/>
              <w:tr2bl w:val="nil"/>
            </w:tcBorders>
            <w:noWrap w:val="0"/>
            <w:vAlign w:val="center"/>
          </w:tcPr>
          <w:p w14:paraId="4902B4E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Artemisialavandulifolia</w:t>
            </w:r>
          </w:p>
        </w:tc>
      </w:tr>
      <w:tr w14:paraId="0020D6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042A73E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5</w:t>
            </w:r>
          </w:p>
        </w:tc>
        <w:tc>
          <w:tcPr>
            <w:tcW w:w="798" w:type="pct"/>
            <w:vMerge w:val="restart"/>
            <w:tcBorders>
              <w:tl2br w:val="nil"/>
              <w:tr2bl w:val="nil"/>
            </w:tcBorders>
            <w:noWrap w:val="0"/>
            <w:vAlign w:val="center"/>
          </w:tcPr>
          <w:p w14:paraId="6A820FA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豆科</w:t>
            </w:r>
          </w:p>
        </w:tc>
        <w:tc>
          <w:tcPr>
            <w:tcW w:w="777" w:type="pct"/>
            <w:tcBorders>
              <w:tl2br w:val="nil"/>
              <w:tr2bl w:val="nil"/>
            </w:tcBorders>
            <w:noWrap w:val="0"/>
            <w:vAlign w:val="center"/>
          </w:tcPr>
          <w:p w14:paraId="5FFAC60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草木樨属</w:t>
            </w:r>
          </w:p>
        </w:tc>
        <w:tc>
          <w:tcPr>
            <w:tcW w:w="1012" w:type="pct"/>
            <w:tcBorders>
              <w:tl2br w:val="nil"/>
              <w:tr2bl w:val="nil"/>
            </w:tcBorders>
            <w:noWrap w:val="0"/>
            <w:vAlign w:val="center"/>
          </w:tcPr>
          <w:p w14:paraId="48964C7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草木樨</w:t>
            </w:r>
          </w:p>
        </w:tc>
        <w:tc>
          <w:tcPr>
            <w:tcW w:w="1855" w:type="pct"/>
            <w:tcBorders>
              <w:tl2br w:val="nil"/>
              <w:tr2bl w:val="nil"/>
            </w:tcBorders>
            <w:noWrap w:val="0"/>
            <w:vAlign w:val="center"/>
          </w:tcPr>
          <w:p w14:paraId="7279B78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Melilotusofficinalis</w:t>
            </w:r>
          </w:p>
        </w:tc>
      </w:tr>
      <w:tr w14:paraId="6909A3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32117E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6</w:t>
            </w:r>
          </w:p>
        </w:tc>
        <w:tc>
          <w:tcPr>
            <w:tcW w:w="798" w:type="pct"/>
            <w:vMerge w:val="continue"/>
            <w:tcBorders>
              <w:tl2br w:val="nil"/>
              <w:tr2bl w:val="nil"/>
            </w:tcBorders>
            <w:noWrap w:val="0"/>
            <w:vAlign w:val="center"/>
          </w:tcPr>
          <w:p w14:paraId="2F50DF8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58803FA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苜蓿属</w:t>
            </w:r>
          </w:p>
        </w:tc>
        <w:tc>
          <w:tcPr>
            <w:tcW w:w="1012" w:type="pct"/>
            <w:tcBorders>
              <w:tl2br w:val="nil"/>
              <w:tr2bl w:val="nil"/>
            </w:tcBorders>
            <w:noWrap w:val="0"/>
            <w:vAlign w:val="center"/>
          </w:tcPr>
          <w:p w14:paraId="41C1B5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天山苜蓿</w:t>
            </w:r>
          </w:p>
        </w:tc>
        <w:tc>
          <w:tcPr>
            <w:tcW w:w="1855" w:type="pct"/>
            <w:tcBorders>
              <w:tl2br w:val="nil"/>
              <w:tr2bl w:val="nil"/>
            </w:tcBorders>
            <w:noWrap w:val="0"/>
            <w:vAlign w:val="center"/>
          </w:tcPr>
          <w:p w14:paraId="1727303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Medicago tianschanica Vass.</w:t>
            </w:r>
          </w:p>
        </w:tc>
      </w:tr>
      <w:tr w14:paraId="5886A4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0B3AE1A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7</w:t>
            </w:r>
          </w:p>
        </w:tc>
        <w:tc>
          <w:tcPr>
            <w:tcW w:w="798" w:type="pct"/>
            <w:vMerge w:val="continue"/>
            <w:tcBorders>
              <w:tl2br w:val="nil"/>
              <w:tr2bl w:val="nil"/>
            </w:tcBorders>
            <w:noWrap w:val="0"/>
            <w:vAlign w:val="center"/>
          </w:tcPr>
          <w:p w14:paraId="64F024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6F69267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苜蓿属</w:t>
            </w:r>
          </w:p>
        </w:tc>
        <w:tc>
          <w:tcPr>
            <w:tcW w:w="1012" w:type="pct"/>
            <w:tcBorders>
              <w:tl2br w:val="nil"/>
              <w:tr2bl w:val="nil"/>
            </w:tcBorders>
            <w:noWrap w:val="0"/>
            <w:vAlign w:val="center"/>
          </w:tcPr>
          <w:p w14:paraId="63F87EA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黄花苜蓿</w:t>
            </w:r>
          </w:p>
        </w:tc>
        <w:tc>
          <w:tcPr>
            <w:tcW w:w="1855" w:type="pct"/>
            <w:tcBorders>
              <w:tl2br w:val="nil"/>
              <w:tr2bl w:val="nil"/>
            </w:tcBorders>
            <w:noWrap w:val="0"/>
            <w:vAlign w:val="center"/>
          </w:tcPr>
          <w:p w14:paraId="7EBB66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Medicago falcata L.</w:t>
            </w:r>
          </w:p>
        </w:tc>
      </w:tr>
      <w:tr w14:paraId="45AAC5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09C427E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8</w:t>
            </w:r>
          </w:p>
        </w:tc>
        <w:tc>
          <w:tcPr>
            <w:tcW w:w="798" w:type="pct"/>
            <w:vMerge w:val="restart"/>
            <w:tcBorders>
              <w:tl2br w:val="nil"/>
              <w:tr2bl w:val="nil"/>
            </w:tcBorders>
            <w:noWrap w:val="0"/>
            <w:vAlign w:val="center"/>
          </w:tcPr>
          <w:p w14:paraId="6B1D0F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禾本科</w:t>
            </w:r>
          </w:p>
        </w:tc>
        <w:tc>
          <w:tcPr>
            <w:tcW w:w="777" w:type="pct"/>
            <w:tcBorders>
              <w:tl2br w:val="nil"/>
              <w:tr2bl w:val="nil"/>
            </w:tcBorders>
            <w:noWrap w:val="0"/>
            <w:vAlign w:val="center"/>
          </w:tcPr>
          <w:p w14:paraId="73A21E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黍属</w:t>
            </w:r>
          </w:p>
        </w:tc>
        <w:tc>
          <w:tcPr>
            <w:tcW w:w="1012" w:type="pct"/>
            <w:tcBorders>
              <w:tl2br w:val="nil"/>
              <w:tr2bl w:val="nil"/>
            </w:tcBorders>
            <w:noWrap w:val="0"/>
            <w:vAlign w:val="center"/>
          </w:tcPr>
          <w:p w14:paraId="59852CD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柳枝稷</w:t>
            </w:r>
          </w:p>
        </w:tc>
        <w:tc>
          <w:tcPr>
            <w:tcW w:w="1855" w:type="pct"/>
            <w:tcBorders>
              <w:tl2br w:val="nil"/>
              <w:tr2bl w:val="nil"/>
            </w:tcBorders>
            <w:noWrap w:val="0"/>
            <w:vAlign w:val="center"/>
          </w:tcPr>
          <w:p w14:paraId="0FF0587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Panicumvirgatum</w:t>
            </w:r>
          </w:p>
        </w:tc>
      </w:tr>
      <w:tr w14:paraId="61F179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6825AFC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9</w:t>
            </w:r>
          </w:p>
        </w:tc>
        <w:tc>
          <w:tcPr>
            <w:tcW w:w="798" w:type="pct"/>
            <w:vMerge w:val="continue"/>
            <w:tcBorders>
              <w:tl2br w:val="nil"/>
              <w:tr2bl w:val="nil"/>
            </w:tcBorders>
            <w:noWrap w:val="0"/>
            <w:vAlign w:val="center"/>
          </w:tcPr>
          <w:p w14:paraId="581A27E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369A45F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雀麦属</w:t>
            </w:r>
          </w:p>
        </w:tc>
        <w:tc>
          <w:tcPr>
            <w:tcW w:w="1012" w:type="pct"/>
            <w:tcBorders>
              <w:tl2br w:val="nil"/>
              <w:tr2bl w:val="nil"/>
            </w:tcBorders>
            <w:noWrap w:val="0"/>
            <w:vAlign w:val="center"/>
          </w:tcPr>
          <w:p w14:paraId="41F5C8C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无芒雀麦</w:t>
            </w:r>
          </w:p>
        </w:tc>
        <w:tc>
          <w:tcPr>
            <w:tcW w:w="1855" w:type="pct"/>
            <w:tcBorders>
              <w:tl2br w:val="nil"/>
              <w:tr2bl w:val="nil"/>
            </w:tcBorders>
            <w:noWrap w:val="0"/>
            <w:vAlign w:val="center"/>
          </w:tcPr>
          <w:p w14:paraId="432BF19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Bromus inermis Leyss.</w:t>
            </w:r>
          </w:p>
        </w:tc>
      </w:tr>
      <w:tr w14:paraId="567150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5098136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10</w:t>
            </w:r>
          </w:p>
        </w:tc>
        <w:tc>
          <w:tcPr>
            <w:tcW w:w="798" w:type="pct"/>
            <w:vMerge w:val="continue"/>
            <w:tcBorders>
              <w:tl2br w:val="nil"/>
              <w:tr2bl w:val="nil"/>
            </w:tcBorders>
            <w:noWrap w:val="0"/>
            <w:vAlign w:val="center"/>
          </w:tcPr>
          <w:p w14:paraId="7E701B6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6AD5E95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针茅属</w:t>
            </w:r>
          </w:p>
        </w:tc>
        <w:tc>
          <w:tcPr>
            <w:tcW w:w="1012" w:type="pct"/>
            <w:tcBorders>
              <w:tl2br w:val="nil"/>
              <w:tr2bl w:val="nil"/>
            </w:tcBorders>
            <w:noWrap w:val="0"/>
            <w:vAlign w:val="center"/>
          </w:tcPr>
          <w:p w14:paraId="7EB6772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针茅</w:t>
            </w:r>
          </w:p>
        </w:tc>
        <w:tc>
          <w:tcPr>
            <w:tcW w:w="1855" w:type="pct"/>
            <w:tcBorders>
              <w:tl2br w:val="nil"/>
              <w:tr2bl w:val="nil"/>
            </w:tcBorders>
            <w:noWrap w:val="0"/>
            <w:vAlign w:val="center"/>
          </w:tcPr>
          <w:p w14:paraId="015E0AF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Stipa capillata L.</w:t>
            </w:r>
          </w:p>
        </w:tc>
      </w:tr>
      <w:tr w14:paraId="4A45F4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028449F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11</w:t>
            </w:r>
          </w:p>
        </w:tc>
        <w:tc>
          <w:tcPr>
            <w:tcW w:w="798" w:type="pct"/>
            <w:vMerge w:val="continue"/>
            <w:tcBorders>
              <w:tl2br w:val="nil"/>
              <w:tr2bl w:val="nil"/>
            </w:tcBorders>
            <w:noWrap w:val="0"/>
            <w:vAlign w:val="center"/>
          </w:tcPr>
          <w:p w14:paraId="1BDB237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05A4240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羊茅属</w:t>
            </w:r>
          </w:p>
        </w:tc>
        <w:tc>
          <w:tcPr>
            <w:tcW w:w="1012" w:type="pct"/>
            <w:tcBorders>
              <w:tl2br w:val="nil"/>
              <w:tr2bl w:val="nil"/>
            </w:tcBorders>
            <w:noWrap w:val="0"/>
            <w:vAlign w:val="center"/>
          </w:tcPr>
          <w:p w14:paraId="3D4BAB1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羊茅</w:t>
            </w:r>
          </w:p>
        </w:tc>
        <w:tc>
          <w:tcPr>
            <w:tcW w:w="1855" w:type="pct"/>
            <w:tcBorders>
              <w:tl2br w:val="nil"/>
              <w:tr2bl w:val="nil"/>
            </w:tcBorders>
            <w:noWrap w:val="0"/>
            <w:vAlign w:val="center"/>
          </w:tcPr>
          <w:p w14:paraId="59B265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Festuca ovina L.</w:t>
            </w:r>
          </w:p>
        </w:tc>
      </w:tr>
      <w:tr w14:paraId="740E1F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5973195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12</w:t>
            </w:r>
          </w:p>
        </w:tc>
        <w:tc>
          <w:tcPr>
            <w:tcW w:w="798" w:type="pct"/>
            <w:vMerge w:val="continue"/>
            <w:tcBorders>
              <w:tl2br w:val="nil"/>
              <w:tr2bl w:val="nil"/>
            </w:tcBorders>
            <w:noWrap w:val="0"/>
            <w:vAlign w:val="center"/>
          </w:tcPr>
          <w:p w14:paraId="4F4790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2A657A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雀麦属</w:t>
            </w:r>
          </w:p>
        </w:tc>
        <w:tc>
          <w:tcPr>
            <w:tcW w:w="1012" w:type="pct"/>
            <w:tcBorders>
              <w:tl2br w:val="nil"/>
              <w:tr2bl w:val="nil"/>
            </w:tcBorders>
            <w:noWrap w:val="0"/>
            <w:vAlign w:val="center"/>
          </w:tcPr>
          <w:p w14:paraId="68D61DC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雀麦</w:t>
            </w:r>
          </w:p>
        </w:tc>
        <w:tc>
          <w:tcPr>
            <w:tcW w:w="1855" w:type="pct"/>
            <w:tcBorders>
              <w:tl2br w:val="nil"/>
              <w:tr2bl w:val="nil"/>
            </w:tcBorders>
            <w:noWrap w:val="0"/>
            <w:vAlign w:val="center"/>
          </w:tcPr>
          <w:p w14:paraId="675270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Bromus japornicus Thunb.</w:t>
            </w:r>
          </w:p>
        </w:tc>
      </w:tr>
      <w:tr w14:paraId="32008E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75D0D74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13</w:t>
            </w:r>
          </w:p>
        </w:tc>
        <w:tc>
          <w:tcPr>
            <w:tcW w:w="798" w:type="pct"/>
            <w:vMerge w:val="continue"/>
            <w:tcBorders>
              <w:tl2br w:val="nil"/>
              <w:tr2bl w:val="nil"/>
            </w:tcBorders>
            <w:noWrap w:val="0"/>
            <w:vAlign w:val="center"/>
          </w:tcPr>
          <w:p w14:paraId="1AA9F3F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7674926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冰草属</w:t>
            </w:r>
          </w:p>
        </w:tc>
        <w:tc>
          <w:tcPr>
            <w:tcW w:w="1012" w:type="pct"/>
            <w:tcBorders>
              <w:tl2br w:val="nil"/>
              <w:tr2bl w:val="nil"/>
            </w:tcBorders>
            <w:noWrap w:val="0"/>
            <w:vAlign w:val="center"/>
          </w:tcPr>
          <w:p w14:paraId="3ED78D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冰草</w:t>
            </w:r>
          </w:p>
        </w:tc>
        <w:tc>
          <w:tcPr>
            <w:tcW w:w="1855" w:type="pct"/>
            <w:tcBorders>
              <w:tl2br w:val="nil"/>
              <w:tr2bl w:val="nil"/>
            </w:tcBorders>
            <w:noWrap w:val="0"/>
            <w:vAlign w:val="center"/>
          </w:tcPr>
          <w:p w14:paraId="7F50152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Agropyron cristatum（L.）Beauv.</w:t>
            </w:r>
          </w:p>
        </w:tc>
      </w:tr>
      <w:tr w14:paraId="75DA9E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505D3CF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14</w:t>
            </w:r>
          </w:p>
        </w:tc>
        <w:tc>
          <w:tcPr>
            <w:tcW w:w="798" w:type="pct"/>
            <w:vMerge w:val="continue"/>
            <w:tcBorders>
              <w:tl2br w:val="nil"/>
              <w:tr2bl w:val="nil"/>
            </w:tcBorders>
            <w:noWrap w:val="0"/>
            <w:vAlign w:val="center"/>
          </w:tcPr>
          <w:p w14:paraId="23A61D1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38D6D47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芨芨草属</w:t>
            </w:r>
          </w:p>
        </w:tc>
        <w:tc>
          <w:tcPr>
            <w:tcW w:w="1012" w:type="pct"/>
            <w:tcBorders>
              <w:tl2br w:val="nil"/>
              <w:tr2bl w:val="nil"/>
            </w:tcBorders>
            <w:noWrap w:val="0"/>
            <w:vAlign w:val="center"/>
          </w:tcPr>
          <w:p w14:paraId="5ABCE9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芨芨草</w:t>
            </w:r>
          </w:p>
        </w:tc>
        <w:tc>
          <w:tcPr>
            <w:tcW w:w="1855" w:type="pct"/>
            <w:tcBorders>
              <w:tl2br w:val="nil"/>
              <w:tr2bl w:val="nil"/>
            </w:tcBorders>
            <w:noWrap w:val="0"/>
            <w:vAlign w:val="center"/>
          </w:tcPr>
          <w:p w14:paraId="0A10570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Achnatherum splendens（Trin.）Nevski</w:t>
            </w:r>
          </w:p>
        </w:tc>
      </w:tr>
      <w:tr w14:paraId="7126E5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3211E80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15</w:t>
            </w:r>
          </w:p>
        </w:tc>
        <w:tc>
          <w:tcPr>
            <w:tcW w:w="798" w:type="pct"/>
            <w:tcBorders>
              <w:tl2br w:val="nil"/>
              <w:tr2bl w:val="nil"/>
            </w:tcBorders>
            <w:noWrap w:val="0"/>
            <w:vAlign w:val="center"/>
          </w:tcPr>
          <w:p w14:paraId="619263D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榆科</w:t>
            </w:r>
          </w:p>
        </w:tc>
        <w:tc>
          <w:tcPr>
            <w:tcW w:w="777" w:type="pct"/>
            <w:tcBorders>
              <w:tl2br w:val="nil"/>
              <w:tr2bl w:val="nil"/>
            </w:tcBorders>
            <w:noWrap w:val="0"/>
            <w:vAlign w:val="center"/>
          </w:tcPr>
          <w:p w14:paraId="6533D9C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榆属</w:t>
            </w:r>
          </w:p>
        </w:tc>
        <w:tc>
          <w:tcPr>
            <w:tcW w:w="1012" w:type="pct"/>
            <w:tcBorders>
              <w:tl2br w:val="nil"/>
              <w:tr2bl w:val="nil"/>
            </w:tcBorders>
            <w:noWrap w:val="0"/>
            <w:vAlign w:val="center"/>
          </w:tcPr>
          <w:p w14:paraId="2E98327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白榆</w:t>
            </w:r>
          </w:p>
        </w:tc>
        <w:tc>
          <w:tcPr>
            <w:tcW w:w="1855" w:type="pct"/>
            <w:tcBorders>
              <w:tl2br w:val="nil"/>
              <w:tr2bl w:val="nil"/>
            </w:tcBorders>
            <w:noWrap w:val="0"/>
            <w:vAlign w:val="center"/>
          </w:tcPr>
          <w:p w14:paraId="157923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Ulmus pumila L.</w:t>
            </w:r>
          </w:p>
        </w:tc>
      </w:tr>
      <w:tr w14:paraId="7FF337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21C5A9A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16</w:t>
            </w:r>
          </w:p>
        </w:tc>
        <w:tc>
          <w:tcPr>
            <w:tcW w:w="798" w:type="pct"/>
            <w:tcBorders>
              <w:tl2br w:val="nil"/>
              <w:tr2bl w:val="nil"/>
            </w:tcBorders>
            <w:noWrap w:val="0"/>
            <w:vAlign w:val="center"/>
          </w:tcPr>
          <w:p w14:paraId="5218238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杨柳科</w:t>
            </w:r>
          </w:p>
        </w:tc>
        <w:tc>
          <w:tcPr>
            <w:tcW w:w="777" w:type="pct"/>
            <w:tcBorders>
              <w:tl2br w:val="nil"/>
              <w:tr2bl w:val="nil"/>
            </w:tcBorders>
            <w:noWrap w:val="0"/>
            <w:vAlign w:val="center"/>
          </w:tcPr>
          <w:p w14:paraId="2B5C137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杨属</w:t>
            </w:r>
          </w:p>
        </w:tc>
        <w:tc>
          <w:tcPr>
            <w:tcW w:w="1012" w:type="pct"/>
            <w:tcBorders>
              <w:tl2br w:val="nil"/>
              <w:tr2bl w:val="nil"/>
            </w:tcBorders>
            <w:noWrap w:val="0"/>
            <w:vAlign w:val="center"/>
          </w:tcPr>
          <w:p w14:paraId="478E390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白杨</w:t>
            </w:r>
          </w:p>
        </w:tc>
        <w:tc>
          <w:tcPr>
            <w:tcW w:w="1855" w:type="pct"/>
            <w:tcBorders>
              <w:tl2br w:val="nil"/>
              <w:tr2bl w:val="nil"/>
            </w:tcBorders>
            <w:noWrap w:val="0"/>
            <w:vAlign w:val="center"/>
          </w:tcPr>
          <w:p w14:paraId="03F9511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PopulusL.</w:t>
            </w:r>
          </w:p>
        </w:tc>
      </w:tr>
      <w:tr w14:paraId="173435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665CAA8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17</w:t>
            </w:r>
          </w:p>
        </w:tc>
        <w:tc>
          <w:tcPr>
            <w:tcW w:w="798" w:type="pct"/>
            <w:tcBorders>
              <w:tl2br w:val="nil"/>
              <w:tr2bl w:val="nil"/>
            </w:tcBorders>
            <w:noWrap w:val="0"/>
            <w:vAlign w:val="center"/>
          </w:tcPr>
          <w:p w14:paraId="55F2F8B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桦木科</w:t>
            </w:r>
          </w:p>
        </w:tc>
        <w:tc>
          <w:tcPr>
            <w:tcW w:w="777" w:type="pct"/>
            <w:tcBorders>
              <w:tl2br w:val="nil"/>
              <w:tr2bl w:val="nil"/>
            </w:tcBorders>
            <w:noWrap w:val="0"/>
            <w:vAlign w:val="center"/>
          </w:tcPr>
          <w:p w14:paraId="089F56A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桦木属</w:t>
            </w:r>
          </w:p>
        </w:tc>
        <w:tc>
          <w:tcPr>
            <w:tcW w:w="1012" w:type="pct"/>
            <w:tcBorders>
              <w:tl2br w:val="nil"/>
              <w:tr2bl w:val="nil"/>
            </w:tcBorders>
            <w:noWrap w:val="0"/>
            <w:vAlign w:val="center"/>
          </w:tcPr>
          <w:p w14:paraId="5F1D433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白桦</w:t>
            </w:r>
          </w:p>
        </w:tc>
        <w:tc>
          <w:tcPr>
            <w:tcW w:w="1855" w:type="pct"/>
            <w:tcBorders>
              <w:tl2br w:val="nil"/>
              <w:tr2bl w:val="nil"/>
            </w:tcBorders>
            <w:noWrap w:val="0"/>
            <w:vAlign w:val="center"/>
          </w:tcPr>
          <w:p w14:paraId="3E92780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Betula platyphylla Sukaczev</w:t>
            </w:r>
          </w:p>
        </w:tc>
      </w:tr>
      <w:tr w14:paraId="4F0AF8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141BBA7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18</w:t>
            </w:r>
          </w:p>
        </w:tc>
        <w:tc>
          <w:tcPr>
            <w:tcW w:w="798" w:type="pct"/>
            <w:vMerge w:val="restart"/>
            <w:tcBorders>
              <w:tl2br w:val="nil"/>
              <w:tr2bl w:val="nil"/>
            </w:tcBorders>
            <w:noWrap w:val="0"/>
            <w:vAlign w:val="center"/>
          </w:tcPr>
          <w:p w14:paraId="519AA6B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蔷薇科</w:t>
            </w:r>
          </w:p>
        </w:tc>
        <w:tc>
          <w:tcPr>
            <w:tcW w:w="777" w:type="pct"/>
            <w:tcBorders>
              <w:tl2br w:val="nil"/>
              <w:tr2bl w:val="nil"/>
            </w:tcBorders>
            <w:noWrap w:val="0"/>
            <w:vAlign w:val="center"/>
          </w:tcPr>
          <w:p w14:paraId="0690739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蔷薇属</w:t>
            </w:r>
          </w:p>
        </w:tc>
        <w:tc>
          <w:tcPr>
            <w:tcW w:w="1012" w:type="pct"/>
            <w:tcBorders>
              <w:tl2br w:val="nil"/>
              <w:tr2bl w:val="nil"/>
            </w:tcBorders>
            <w:noWrap w:val="0"/>
            <w:vAlign w:val="center"/>
          </w:tcPr>
          <w:p w14:paraId="5F98C18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宽刺蔷薇</w:t>
            </w:r>
          </w:p>
        </w:tc>
        <w:tc>
          <w:tcPr>
            <w:tcW w:w="1855" w:type="pct"/>
            <w:tcBorders>
              <w:tl2br w:val="nil"/>
              <w:tr2bl w:val="nil"/>
            </w:tcBorders>
            <w:noWrap w:val="0"/>
            <w:vAlign w:val="center"/>
          </w:tcPr>
          <w:p w14:paraId="06C8196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Rosa platyacantha Schernk</w:t>
            </w:r>
          </w:p>
        </w:tc>
      </w:tr>
      <w:tr w14:paraId="617914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53B8EFB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19</w:t>
            </w:r>
          </w:p>
        </w:tc>
        <w:tc>
          <w:tcPr>
            <w:tcW w:w="798" w:type="pct"/>
            <w:vMerge w:val="continue"/>
            <w:tcBorders>
              <w:tl2br w:val="nil"/>
              <w:tr2bl w:val="nil"/>
            </w:tcBorders>
            <w:noWrap w:val="0"/>
            <w:vAlign w:val="center"/>
          </w:tcPr>
          <w:p w14:paraId="5786333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6D7AE31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蔷薇属</w:t>
            </w:r>
          </w:p>
        </w:tc>
        <w:tc>
          <w:tcPr>
            <w:tcW w:w="1012" w:type="pct"/>
            <w:tcBorders>
              <w:tl2br w:val="nil"/>
              <w:tr2bl w:val="nil"/>
            </w:tcBorders>
            <w:noWrap w:val="0"/>
            <w:vAlign w:val="center"/>
          </w:tcPr>
          <w:p w14:paraId="22D2008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疏花蔷薇</w:t>
            </w:r>
          </w:p>
        </w:tc>
        <w:tc>
          <w:tcPr>
            <w:tcW w:w="1855" w:type="pct"/>
            <w:tcBorders>
              <w:tl2br w:val="nil"/>
              <w:tr2bl w:val="nil"/>
            </w:tcBorders>
            <w:noWrap w:val="0"/>
            <w:vAlign w:val="center"/>
          </w:tcPr>
          <w:p w14:paraId="635E8DD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Rosa laxa Retz.</w:t>
            </w:r>
          </w:p>
        </w:tc>
      </w:tr>
      <w:tr w14:paraId="124CD7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612B61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20</w:t>
            </w:r>
          </w:p>
        </w:tc>
        <w:tc>
          <w:tcPr>
            <w:tcW w:w="798" w:type="pct"/>
            <w:vMerge w:val="continue"/>
            <w:tcBorders>
              <w:tl2br w:val="nil"/>
              <w:tr2bl w:val="nil"/>
            </w:tcBorders>
            <w:noWrap w:val="0"/>
            <w:vAlign w:val="center"/>
          </w:tcPr>
          <w:p w14:paraId="2EE870F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0C77FD0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绣线菊属</w:t>
            </w:r>
          </w:p>
        </w:tc>
        <w:tc>
          <w:tcPr>
            <w:tcW w:w="1012" w:type="pct"/>
            <w:tcBorders>
              <w:tl2br w:val="nil"/>
              <w:tr2bl w:val="nil"/>
            </w:tcBorders>
            <w:noWrap w:val="0"/>
            <w:vAlign w:val="center"/>
          </w:tcPr>
          <w:p w14:paraId="12455E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金丝桃叶绣线菊</w:t>
            </w:r>
          </w:p>
        </w:tc>
        <w:tc>
          <w:tcPr>
            <w:tcW w:w="1855" w:type="pct"/>
            <w:tcBorders>
              <w:tl2br w:val="nil"/>
              <w:tr2bl w:val="nil"/>
            </w:tcBorders>
            <w:noWrap w:val="0"/>
            <w:vAlign w:val="center"/>
          </w:tcPr>
          <w:p w14:paraId="0AB1D09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Spiraea hypericifolia L.</w:t>
            </w:r>
          </w:p>
        </w:tc>
      </w:tr>
      <w:tr w14:paraId="488399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56536F2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21</w:t>
            </w:r>
          </w:p>
        </w:tc>
        <w:tc>
          <w:tcPr>
            <w:tcW w:w="798" w:type="pct"/>
            <w:vMerge w:val="continue"/>
            <w:tcBorders>
              <w:tl2br w:val="nil"/>
              <w:tr2bl w:val="nil"/>
            </w:tcBorders>
            <w:noWrap w:val="0"/>
            <w:vAlign w:val="center"/>
          </w:tcPr>
          <w:p w14:paraId="58B8B53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2E1C6E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委陵菜属</w:t>
            </w:r>
          </w:p>
        </w:tc>
        <w:tc>
          <w:tcPr>
            <w:tcW w:w="1012" w:type="pct"/>
            <w:tcBorders>
              <w:tl2br w:val="nil"/>
              <w:tr2bl w:val="nil"/>
            </w:tcBorders>
            <w:noWrap w:val="0"/>
            <w:vAlign w:val="center"/>
          </w:tcPr>
          <w:p w14:paraId="6D2B4EB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鹅绒委陵菜</w:t>
            </w:r>
          </w:p>
        </w:tc>
        <w:tc>
          <w:tcPr>
            <w:tcW w:w="1855" w:type="pct"/>
            <w:tcBorders>
              <w:tl2br w:val="nil"/>
              <w:tr2bl w:val="nil"/>
            </w:tcBorders>
            <w:noWrap w:val="0"/>
            <w:vAlign w:val="center"/>
          </w:tcPr>
          <w:p w14:paraId="370FA9F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Potentilla anserina L.</w:t>
            </w:r>
          </w:p>
        </w:tc>
      </w:tr>
      <w:tr w14:paraId="7C00A1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42C3BA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22</w:t>
            </w:r>
          </w:p>
        </w:tc>
        <w:tc>
          <w:tcPr>
            <w:tcW w:w="798" w:type="pct"/>
            <w:vMerge w:val="continue"/>
            <w:tcBorders>
              <w:tl2br w:val="nil"/>
              <w:tr2bl w:val="nil"/>
            </w:tcBorders>
            <w:noWrap w:val="0"/>
            <w:vAlign w:val="center"/>
          </w:tcPr>
          <w:p w14:paraId="0682AD9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6A2B7A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委陵菜属</w:t>
            </w:r>
          </w:p>
        </w:tc>
        <w:tc>
          <w:tcPr>
            <w:tcW w:w="1012" w:type="pct"/>
            <w:tcBorders>
              <w:tl2br w:val="nil"/>
              <w:tr2bl w:val="nil"/>
            </w:tcBorders>
            <w:noWrap w:val="0"/>
            <w:vAlign w:val="center"/>
          </w:tcPr>
          <w:p w14:paraId="3719010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多裂委陵菜</w:t>
            </w:r>
          </w:p>
        </w:tc>
        <w:tc>
          <w:tcPr>
            <w:tcW w:w="1855" w:type="pct"/>
            <w:tcBorders>
              <w:tl2br w:val="nil"/>
              <w:tr2bl w:val="nil"/>
            </w:tcBorders>
            <w:noWrap w:val="0"/>
            <w:vAlign w:val="center"/>
          </w:tcPr>
          <w:p w14:paraId="4E25806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Potentilla multifida L.</w:t>
            </w:r>
          </w:p>
        </w:tc>
      </w:tr>
      <w:tr w14:paraId="441A9A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3897544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23</w:t>
            </w:r>
          </w:p>
        </w:tc>
        <w:tc>
          <w:tcPr>
            <w:tcW w:w="798" w:type="pct"/>
            <w:tcBorders>
              <w:tl2br w:val="nil"/>
              <w:tr2bl w:val="nil"/>
            </w:tcBorders>
            <w:noWrap w:val="0"/>
            <w:vAlign w:val="center"/>
          </w:tcPr>
          <w:p w14:paraId="4488214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小檗科</w:t>
            </w:r>
          </w:p>
        </w:tc>
        <w:tc>
          <w:tcPr>
            <w:tcW w:w="777" w:type="pct"/>
            <w:tcBorders>
              <w:tl2br w:val="nil"/>
              <w:tr2bl w:val="nil"/>
            </w:tcBorders>
            <w:noWrap w:val="0"/>
            <w:vAlign w:val="center"/>
          </w:tcPr>
          <w:p w14:paraId="513BBCC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小檗属</w:t>
            </w:r>
          </w:p>
        </w:tc>
        <w:tc>
          <w:tcPr>
            <w:tcW w:w="1012" w:type="pct"/>
            <w:tcBorders>
              <w:tl2br w:val="nil"/>
              <w:tr2bl w:val="nil"/>
            </w:tcBorders>
            <w:noWrap w:val="0"/>
            <w:vAlign w:val="center"/>
          </w:tcPr>
          <w:p w14:paraId="5AF219C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黑果小檗</w:t>
            </w:r>
          </w:p>
        </w:tc>
        <w:tc>
          <w:tcPr>
            <w:tcW w:w="1855" w:type="pct"/>
            <w:tcBorders>
              <w:tl2br w:val="nil"/>
              <w:tr2bl w:val="nil"/>
            </w:tcBorders>
            <w:noWrap w:val="0"/>
            <w:vAlign w:val="center"/>
          </w:tcPr>
          <w:p w14:paraId="0263EE1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Berberis heteropoda Schrenk</w:t>
            </w:r>
          </w:p>
        </w:tc>
      </w:tr>
      <w:tr w14:paraId="28A4D3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338B758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24</w:t>
            </w:r>
          </w:p>
        </w:tc>
        <w:tc>
          <w:tcPr>
            <w:tcW w:w="798" w:type="pct"/>
            <w:tcBorders>
              <w:tl2br w:val="nil"/>
              <w:tr2bl w:val="nil"/>
            </w:tcBorders>
            <w:noWrap w:val="0"/>
            <w:vAlign w:val="center"/>
          </w:tcPr>
          <w:p w14:paraId="4B926A7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眼子菜科</w:t>
            </w:r>
          </w:p>
        </w:tc>
        <w:tc>
          <w:tcPr>
            <w:tcW w:w="777" w:type="pct"/>
            <w:tcBorders>
              <w:tl2br w:val="nil"/>
              <w:tr2bl w:val="nil"/>
            </w:tcBorders>
            <w:noWrap w:val="0"/>
            <w:vAlign w:val="center"/>
          </w:tcPr>
          <w:p w14:paraId="62146B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早熟禾属</w:t>
            </w:r>
          </w:p>
        </w:tc>
        <w:tc>
          <w:tcPr>
            <w:tcW w:w="1012" w:type="pct"/>
            <w:tcBorders>
              <w:tl2br w:val="nil"/>
              <w:tr2bl w:val="nil"/>
            </w:tcBorders>
            <w:noWrap w:val="0"/>
            <w:vAlign w:val="center"/>
          </w:tcPr>
          <w:p w14:paraId="6BC8FEA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早熟禾</w:t>
            </w:r>
          </w:p>
        </w:tc>
        <w:tc>
          <w:tcPr>
            <w:tcW w:w="1855" w:type="pct"/>
            <w:tcBorders>
              <w:tl2br w:val="nil"/>
              <w:tr2bl w:val="nil"/>
            </w:tcBorders>
            <w:noWrap w:val="0"/>
            <w:vAlign w:val="center"/>
          </w:tcPr>
          <w:p w14:paraId="0912285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Poa annua L.</w:t>
            </w:r>
          </w:p>
        </w:tc>
      </w:tr>
      <w:tr w14:paraId="3EA6EB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3DA67AC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25</w:t>
            </w:r>
          </w:p>
        </w:tc>
        <w:tc>
          <w:tcPr>
            <w:tcW w:w="798" w:type="pct"/>
            <w:tcBorders>
              <w:tl2br w:val="nil"/>
              <w:tr2bl w:val="nil"/>
            </w:tcBorders>
            <w:noWrap w:val="0"/>
            <w:vAlign w:val="center"/>
          </w:tcPr>
          <w:p w14:paraId="3135969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玄参科</w:t>
            </w:r>
          </w:p>
        </w:tc>
        <w:tc>
          <w:tcPr>
            <w:tcW w:w="777" w:type="pct"/>
            <w:tcBorders>
              <w:tl2br w:val="nil"/>
              <w:tr2bl w:val="nil"/>
            </w:tcBorders>
            <w:noWrap w:val="0"/>
            <w:vAlign w:val="center"/>
          </w:tcPr>
          <w:p w14:paraId="2AEFED6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毛蕊花属</w:t>
            </w:r>
          </w:p>
        </w:tc>
        <w:tc>
          <w:tcPr>
            <w:tcW w:w="1012" w:type="pct"/>
            <w:tcBorders>
              <w:tl2br w:val="nil"/>
              <w:tr2bl w:val="nil"/>
            </w:tcBorders>
            <w:noWrap w:val="0"/>
            <w:vAlign w:val="center"/>
          </w:tcPr>
          <w:p w14:paraId="02B3FA2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毛蕊花</w:t>
            </w:r>
          </w:p>
        </w:tc>
        <w:tc>
          <w:tcPr>
            <w:tcW w:w="1855" w:type="pct"/>
            <w:tcBorders>
              <w:tl2br w:val="nil"/>
              <w:tr2bl w:val="nil"/>
            </w:tcBorders>
            <w:noWrap w:val="0"/>
            <w:vAlign w:val="center"/>
          </w:tcPr>
          <w:p w14:paraId="6BD4C96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Verbascum thapsus L.</w:t>
            </w:r>
          </w:p>
        </w:tc>
      </w:tr>
      <w:tr w14:paraId="1CDDE2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255A9B0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26</w:t>
            </w:r>
          </w:p>
        </w:tc>
        <w:tc>
          <w:tcPr>
            <w:tcW w:w="798" w:type="pct"/>
            <w:tcBorders>
              <w:tl2br w:val="nil"/>
              <w:tr2bl w:val="nil"/>
            </w:tcBorders>
            <w:noWrap w:val="0"/>
            <w:vAlign w:val="center"/>
          </w:tcPr>
          <w:p w14:paraId="5959846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锦葵科</w:t>
            </w:r>
          </w:p>
        </w:tc>
        <w:tc>
          <w:tcPr>
            <w:tcW w:w="777" w:type="pct"/>
            <w:tcBorders>
              <w:tl2br w:val="nil"/>
              <w:tr2bl w:val="nil"/>
            </w:tcBorders>
            <w:noWrap w:val="0"/>
            <w:vAlign w:val="center"/>
          </w:tcPr>
          <w:p w14:paraId="6F7877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锦葵属</w:t>
            </w:r>
          </w:p>
        </w:tc>
        <w:tc>
          <w:tcPr>
            <w:tcW w:w="1012" w:type="pct"/>
            <w:tcBorders>
              <w:tl2br w:val="nil"/>
              <w:tr2bl w:val="nil"/>
            </w:tcBorders>
            <w:noWrap w:val="0"/>
            <w:vAlign w:val="center"/>
          </w:tcPr>
          <w:p w14:paraId="0A93184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圆叶锦葵</w:t>
            </w:r>
          </w:p>
        </w:tc>
        <w:tc>
          <w:tcPr>
            <w:tcW w:w="1855" w:type="pct"/>
            <w:tcBorders>
              <w:tl2br w:val="nil"/>
              <w:tr2bl w:val="nil"/>
            </w:tcBorders>
            <w:noWrap w:val="0"/>
            <w:vAlign w:val="center"/>
          </w:tcPr>
          <w:p w14:paraId="0106B9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Malva rotundifoia L.</w:t>
            </w:r>
          </w:p>
        </w:tc>
      </w:tr>
      <w:tr w14:paraId="37F8BC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6D1D0AB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27</w:t>
            </w:r>
          </w:p>
        </w:tc>
        <w:tc>
          <w:tcPr>
            <w:tcW w:w="798" w:type="pct"/>
            <w:tcBorders>
              <w:tl2br w:val="nil"/>
              <w:tr2bl w:val="nil"/>
            </w:tcBorders>
            <w:noWrap w:val="0"/>
            <w:vAlign w:val="center"/>
          </w:tcPr>
          <w:p w14:paraId="67ADA36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茜草科</w:t>
            </w:r>
          </w:p>
        </w:tc>
        <w:tc>
          <w:tcPr>
            <w:tcW w:w="777" w:type="pct"/>
            <w:tcBorders>
              <w:tl2br w:val="nil"/>
              <w:tr2bl w:val="nil"/>
            </w:tcBorders>
            <w:noWrap w:val="0"/>
            <w:vAlign w:val="center"/>
          </w:tcPr>
          <w:p w14:paraId="04A8D6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拉拉藤属</w:t>
            </w:r>
          </w:p>
        </w:tc>
        <w:tc>
          <w:tcPr>
            <w:tcW w:w="1012" w:type="pct"/>
            <w:tcBorders>
              <w:tl2br w:val="nil"/>
              <w:tr2bl w:val="nil"/>
            </w:tcBorders>
            <w:noWrap w:val="0"/>
            <w:vAlign w:val="center"/>
          </w:tcPr>
          <w:p w14:paraId="2F9B686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蓬子菜</w:t>
            </w:r>
          </w:p>
        </w:tc>
        <w:tc>
          <w:tcPr>
            <w:tcW w:w="1855" w:type="pct"/>
            <w:tcBorders>
              <w:tl2br w:val="nil"/>
              <w:tr2bl w:val="nil"/>
            </w:tcBorders>
            <w:noWrap w:val="0"/>
            <w:vAlign w:val="center"/>
          </w:tcPr>
          <w:p w14:paraId="378B3E5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Galium verum L.</w:t>
            </w:r>
          </w:p>
        </w:tc>
      </w:tr>
      <w:tr w14:paraId="6EF66D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39E4A15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28</w:t>
            </w:r>
          </w:p>
        </w:tc>
        <w:tc>
          <w:tcPr>
            <w:tcW w:w="798" w:type="pct"/>
            <w:tcBorders>
              <w:tl2br w:val="nil"/>
              <w:tr2bl w:val="nil"/>
            </w:tcBorders>
            <w:noWrap w:val="0"/>
            <w:vAlign w:val="center"/>
          </w:tcPr>
          <w:p w14:paraId="191112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唇形科</w:t>
            </w:r>
          </w:p>
        </w:tc>
        <w:tc>
          <w:tcPr>
            <w:tcW w:w="777" w:type="pct"/>
            <w:tcBorders>
              <w:tl2br w:val="nil"/>
              <w:tr2bl w:val="nil"/>
            </w:tcBorders>
            <w:noWrap w:val="0"/>
            <w:vAlign w:val="center"/>
          </w:tcPr>
          <w:p w14:paraId="5B58FF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青兰属</w:t>
            </w:r>
          </w:p>
        </w:tc>
        <w:tc>
          <w:tcPr>
            <w:tcW w:w="1012" w:type="pct"/>
            <w:tcBorders>
              <w:tl2br w:val="nil"/>
              <w:tr2bl w:val="nil"/>
            </w:tcBorders>
            <w:noWrap w:val="0"/>
            <w:vAlign w:val="center"/>
          </w:tcPr>
          <w:p w14:paraId="2A56DC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全叶青兰</w:t>
            </w:r>
          </w:p>
        </w:tc>
        <w:tc>
          <w:tcPr>
            <w:tcW w:w="1855" w:type="pct"/>
            <w:tcBorders>
              <w:tl2br w:val="nil"/>
              <w:tr2bl w:val="nil"/>
            </w:tcBorders>
            <w:noWrap w:val="0"/>
            <w:vAlign w:val="center"/>
          </w:tcPr>
          <w:p w14:paraId="68C970A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Dracocephalum integrifoium Bunge</w:t>
            </w:r>
          </w:p>
        </w:tc>
      </w:tr>
      <w:tr w14:paraId="6CFCB9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76FE0F3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29</w:t>
            </w:r>
          </w:p>
        </w:tc>
        <w:tc>
          <w:tcPr>
            <w:tcW w:w="798" w:type="pct"/>
            <w:vMerge w:val="restart"/>
            <w:tcBorders>
              <w:tl2br w:val="nil"/>
              <w:tr2bl w:val="nil"/>
            </w:tcBorders>
            <w:noWrap w:val="0"/>
            <w:vAlign w:val="center"/>
          </w:tcPr>
          <w:p w14:paraId="3AF35CF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藜科</w:t>
            </w:r>
          </w:p>
        </w:tc>
        <w:tc>
          <w:tcPr>
            <w:tcW w:w="777" w:type="pct"/>
            <w:tcBorders>
              <w:tl2br w:val="nil"/>
              <w:tr2bl w:val="nil"/>
            </w:tcBorders>
            <w:noWrap w:val="0"/>
            <w:vAlign w:val="center"/>
          </w:tcPr>
          <w:p w14:paraId="19B1EDD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驼绒藜属</w:t>
            </w:r>
          </w:p>
        </w:tc>
        <w:tc>
          <w:tcPr>
            <w:tcW w:w="1012" w:type="pct"/>
            <w:tcBorders>
              <w:tl2br w:val="nil"/>
              <w:tr2bl w:val="nil"/>
            </w:tcBorders>
            <w:noWrap w:val="0"/>
            <w:vAlign w:val="center"/>
          </w:tcPr>
          <w:p w14:paraId="6D7651E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驼绒藜</w:t>
            </w:r>
          </w:p>
        </w:tc>
        <w:tc>
          <w:tcPr>
            <w:tcW w:w="1855" w:type="pct"/>
            <w:tcBorders>
              <w:tl2br w:val="nil"/>
              <w:tr2bl w:val="nil"/>
            </w:tcBorders>
            <w:noWrap w:val="0"/>
            <w:vAlign w:val="center"/>
          </w:tcPr>
          <w:p w14:paraId="4761EE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Ceratoides latens（J.F.Gmel.）Reveal et Holmgren</w:t>
            </w:r>
          </w:p>
        </w:tc>
      </w:tr>
      <w:tr w14:paraId="64CAE6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729994F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30</w:t>
            </w:r>
          </w:p>
        </w:tc>
        <w:tc>
          <w:tcPr>
            <w:tcW w:w="798" w:type="pct"/>
            <w:vMerge w:val="continue"/>
            <w:tcBorders>
              <w:tl2br w:val="nil"/>
              <w:tr2bl w:val="nil"/>
            </w:tcBorders>
            <w:noWrap w:val="0"/>
            <w:vAlign w:val="center"/>
          </w:tcPr>
          <w:p w14:paraId="5E1FFD1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1929B4C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角果藜属</w:t>
            </w:r>
          </w:p>
        </w:tc>
        <w:tc>
          <w:tcPr>
            <w:tcW w:w="1012" w:type="pct"/>
            <w:tcBorders>
              <w:tl2br w:val="nil"/>
              <w:tr2bl w:val="nil"/>
            </w:tcBorders>
            <w:noWrap w:val="0"/>
            <w:vAlign w:val="center"/>
          </w:tcPr>
          <w:p w14:paraId="5313AF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角果藜</w:t>
            </w:r>
          </w:p>
        </w:tc>
        <w:tc>
          <w:tcPr>
            <w:tcW w:w="1855" w:type="pct"/>
            <w:tcBorders>
              <w:tl2br w:val="nil"/>
              <w:tr2bl w:val="nil"/>
            </w:tcBorders>
            <w:noWrap w:val="0"/>
            <w:vAlign w:val="center"/>
          </w:tcPr>
          <w:p w14:paraId="4CE79DE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Ceratocarpus arenarius L.</w:t>
            </w:r>
          </w:p>
        </w:tc>
      </w:tr>
      <w:tr w14:paraId="6E1A6A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7859DFF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31</w:t>
            </w:r>
          </w:p>
        </w:tc>
        <w:tc>
          <w:tcPr>
            <w:tcW w:w="798" w:type="pct"/>
            <w:vMerge w:val="continue"/>
            <w:tcBorders>
              <w:tl2br w:val="nil"/>
              <w:tr2bl w:val="nil"/>
            </w:tcBorders>
            <w:noWrap w:val="0"/>
            <w:vAlign w:val="center"/>
          </w:tcPr>
          <w:p w14:paraId="61B6869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4922DAB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叉毛蓬属</w:t>
            </w:r>
          </w:p>
        </w:tc>
        <w:tc>
          <w:tcPr>
            <w:tcW w:w="1012" w:type="pct"/>
            <w:tcBorders>
              <w:tl2br w:val="nil"/>
              <w:tr2bl w:val="nil"/>
            </w:tcBorders>
            <w:noWrap w:val="0"/>
            <w:vAlign w:val="center"/>
          </w:tcPr>
          <w:p w14:paraId="75056C2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叉毛蓬</w:t>
            </w:r>
          </w:p>
        </w:tc>
        <w:tc>
          <w:tcPr>
            <w:tcW w:w="1855" w:type="pct"/>
            <w:tcBorders>
              <w:tl2br w:val="nil"/>
              <w:tr2bl w:val="nil"/>
            </w:tcBorders>
            <w:noWrap w:val="0"/>
            <w:vAlign w:val="center"/>
          </w:tcPr>
          <w:p w14:paraId="3945D90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Petrosimonia sibirica（Pall.）Bge.</w:t>
            </w:r>
          </w:p>
        </w:tc>
      </w:tr>
      <w:tr w14:paraId="5040EF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00D84B0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32</w:t>
            </w:r>
          </w:p>
        </w:tc>
        <w:tc>
          <w:tcPr>
            <w:tcW w:w="798" w:type="pct"/>
            <w:vMerge w:val="continue"/>
            <w:tcBorders>
              <w:tl2br w:val="nil"/>
              <w:tr2bl w:val="nil"/>
            </w:tcBorders>
            <w:noWrap w:val="0"/>
            <w:vAlign w:val="center"/>
          </w:tcPr>
          <w:p w14:paraId="410807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4F282EB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地肤属</w:t>
            </w:r>
          </w:p>
        </w:tc>
        <w:tc>
          <w:tcPr>
            <w:tcW w:w="1012" w:type="pct"/>
            <w:tcBorders>
              <w:tl2br w:val="nil"/>
              <w:tr2bl w:val="nil"/>
            </w:tcBorders>
            <w:noWrap w:val="0"/>
            <w:vAlign w:val="center"/>
          </w:tcPr>
          <w:p w14:paraId="3D1A18C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木地肤</w:t>
            </w:r>
          </w:p>
        </w:tc>
        <w:tc>
          <w:tcPr>
            <w:tcW w:w="1855" w:type="pct"/>
            <w:tcBorders>
              <w:tl2br w:val="nil"/>
              <w:tr2bl w:val="nil"/>
            </w:tcBorders>
            <w:noWrap w:val="0"/>
            <w:vAlign w:val="center"/>
          </w:tcPr>
          <w:p w14:paraId="7EB05E8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Kochia prostrata L.</w:t>
            </w:r>
          </w:p>
        </w:tc>
      </w:tr>
      <w:tr w14:paraId="7EF4D0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5F2F792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33</w:t>
            </w:r>
          </w:p>
        </w:tc>
        <w:tc>
          <w:tcPr>
            <w:tcW w:w="798" w:type="pct"/>
            <w:vMerge w:val="continue"/>
            <w:tcBorders>
              <w:tl2br w:val="nil"/>
              <w:tr2bl w:val="nil"/>
            </w:tcBorders>
            <w:noWrap w:val="0"/>
            <w:vAlign w:val="center"/>
          </w:tcPr>
          <w:p w14:paraId="49160DC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7D688DB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猪毛菜属</w:t>
            </w:r>
          </w:p>
        </w:tc>
        <w:tc>
          <w:tcPr>
            <w:tcW w:w="1012" w:type="pct"/>
            <w:tcBorders>
              <w:tl2br w:val="nil"/>
              <w:tr2bl w:val="nil"/>
            </w:tcBorders>
            <w:noWrap w:val="0"/>
            <w:vAlign w:val="center"/>
          </w:tcPr>
          <w:p w14:paraId="0C9C6AA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散枝猪毛菜</w:t>
            </w:r>
          </w:p>
        </w:tc>
        <w:tc>
          <w:tcPr>
            <w:tcW w:w="1855" w:type="pct"/>
            <w:tcBorders>
              <w:tl2br w:val="nil"/>
              <w:tr2bl w:val="nil"/>
            </w:tcBorders>
            <w:noWrap w:val="0"/>
            <w:vAlign w:val="center"/>
          </w:tcPr>
          <w:p w14:paraId="0ADC10E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Salsola brachiata Pall.</w:t>
            </w:r>
          </w:p>
        </w:tc>
      </w:tr>
      <w:tr w14:paraId="35C75A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176EED4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34</w:t>
            </w:r>
          </w:p>
        </w:tc>
        <w:tc>
          <w:tcPr>
            <w:tcW w:w="798" w:type="pct"/>
            <w:vMerge w:val="restart"/>
            <w:tcBorders>
              <w:tl2br w:val="nil"/>
              <w:tr2bl w:val="nil"/>
            </w:tcBorders>
            <w:noWrap w:val="0"/>
            <w:vAlign w:val="center"/>
          </w:tcPr>
          <w:p w14:paraId="09E3F61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木贼科</w:t>
            </w:r>
          </w:p>
        </w:tc>
        <w:tc>
          <w:tcPr>
            <w:tcW w:w="777" w:type="pct"/>
            <w:tcBorders>
              <w:tl2br w:val="nil"/>
              <w:tr2bl w:val="nil"/>
            </w:tcBorders>
            <w:noWrap w:val="0"/>
            <w:vAlign w:val="center"/>
          </w:tcPr>
          <w:p w14:paraId="5013FA8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木贼属</w:t>
            </w:r>
          </w:p>
        </w:tc>
        <w:tc>
          <w:tcPr>
            <w:tcW w:w="1012" w:type="pct"/>
            <w:tcBorders>
              <w:tl2br w:val="nil"/>
              <w:tr2bl w:val="nil"/>
            </w:tcBorders>
            <w:noWrap w:val="0"/>
            <w:vAlign w:val="center"/>
          </w:tcPr>
          <w:p w14:paraId="2B56D2D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小木贼</w:t>
            </w:r>
          </w:p>
        </w:tc>
        <w:tc>
          <w:tcPr>
            <w:tcW w:w="1855" w:type="pct"/>
            <w:tcBorders>
              <w:tl2br w:val="nil"/>
              <w:tr2bl w:val="nil"/>
            </w:tcBorders>
            <w:noWrap w:val="0"/>
            <w:vAlign w:val="center"/>
          </w:tcPr>
          <w:p w14:paraId="3859A12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Equisetum scirpoides Michx.</w:t>
            </w:r>
          </w:p>
        </w:tc>
      </w:tr>
      <w:tr w14:paraId="305DA0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pct"/>
            <w:tcBorders>
              <w:tl2br w:val="nil"/>
              <w:tr2bl w:val="nil"/>
            </w:tcBorders>
            <w:noWrap w:val="0"/>
            <w:vAlign w:val="center"/>
          </w:tcPr>
          <w:p w14:paraId="42B9AF0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35</w:t>
            </w:r>
          </w:p>
        </w:tc>
        <w:tc>
          <w:tcPr>
            <w:tcW w:w="798" w:type="pct"/>
            <w:vMerge w:val="continue"/>
            <w:tcBorders>
              <w:tl2br w:val="nil"/>
              <w:tr2bl w:val="nil"/>
            </w:tcBorders>
            <w:noWrap w:val="0"/>
            <w:vAlign w:val="center"/>
          </w:tcPr>
          <w:p w14:paraId="127B477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777" w:type="pct"/>
            <w:tcBorders>
              <w:tl2br w:val="nil"/>
              <w:tr2bl w:val="nil"/>
            </w:tcBorders>
            <w:noWrap w:val="0"/>
            <w:vAlign w:val="center"/>
          </w:tcPr>
          <w:p w14:paraId="064CCC9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木贼属</w:t>
            </w:r>
          </w:p>
        </w:tc>
        <w:tc>
          <w:tcPr>
            <w:tcW w:w="1012" w:type="pct"/>
            <w:tcBorders>
              <w:tl2br w:val="nil"/>
              <w:tr2bl w:val="nil"/>
            </w:tcBorders>
            <w:noWrap w:val="0"/>
            <w:vAlign w:val="center"/>
          </w:tcPr>
          <w:p w14:paraId="16F15A3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问荆</w:t>
            </w:r>
          </w:p>
        </w:tc>
        <w:tc>
          <w:tcPr>
            <w:tcW w:w="1855" w:type="pct"/>
            <w:tcBorders>
              <w:tl2br w:val="nil"/>
              <w:tr2bl w:val="nil"/>
            </w:tcBorders>
            <w:noWrap w:val="0"/>
            <w:vAlign w:val="center"/>
          </w:tcPr>
          <w:p w14:paraId="628081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Equisetum arvense L.</w:t>
            </w:r>
          </w:p>
        </w:tc>
      </w:tr>
    </w:tbl>
    <w:p w14:paraId="514F7C4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（2）重要野生植物</w:t>
      </w:r>
    </w:p>
    <w:p w14:paraId="6997493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根据《国家重点保护野生植物名录》（2021版）和新疆维吾尔自治区人民政府关于公布的《新疆维吾尔自治区重点保护野生植物名录的通知》（新政发〔2023〕63号），评价区内无国家重点保护野生植物，评级区内无自治区级重点保护野生植物。</w:t>
      </w:r>
    </w:p>
    <w:p w14:paraId="3F5620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根据《中国生物多样性红色名录—高等植物卷（2020）》确定，评价区无极危、濒危和易危物种。</w:t>
      </w:r>
    </w:p>
    <w:p w14:paraId="48636D8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（3）古树名木</w:t>
      </w:r>
    </w:p>
    <w:p w14:paraId="1E99DE7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通过现场调查以及资料整理，评价区内无古树名木。</w:t>
      </w:r>
    </w:p>
    <w:p w14:paraId="356FF423">
      <w:pPr>
        <w:pStyle w:val="6"/>
        <w:keepNext/>
        <w:keepLines/>
        <w:pageBreakBefore w:val="0"/>
        <w:widowControl w:val="0"/>
        <w:numPr>
          <w:ilvl w:val="3"/>
          <w:numId w:val="0"/>
        </w:numPr>
        <w:kinsoku/>
        <w:wordWrap/>
        <w:overflowPunct/>
        <w:topLinePunct w:val="0"/>
        <w:autoSpaceDE/>
        <w:autoSpaceDN/>
        <w:bidi w:val="0"/>
        <w:adjustRightInd/>
        <w:snapToGrid w:val="0"/>
        <w:spacing w:before="0" w:beforeLines="0" w:beforeAutospacing="0" w:after="0" w:afterLines="0" w:afterAutospacing="0" w:line="360" w:lineRule="auto"/>
        <w:ind w:left="0" w:leftChars="0" w:firstLine="480" w:firstLineChars="200"/>
        <w:textAlignment w:val="auto"/>
        <w:outlineLvl w:val="3"/>
        <w:rPr>
          <w:rFonts w:hint="default" w:ascii="Times New Roman" w:hAnsi="Times New Roman" w:eastAsia="宋体" w:cs="Times New Roman"/>
          <w:b w:val="0"/>
          <w:bCs/>
          <w:color w:val="000000"/>
          <w:sz w:val="24"/>
          <w:szCs w:val="21"/>
          <w:lang w:val="en-US" w:eastAsia="zh-CN"/>
        </w:rPr>
      </w:pPr>
      <w:bookmarkStart w:id="109" w:name="_Toc20528"/>
      <w:bookmarkStart w:id="110" w:name="_Toc5752"/>
      <w:r>
        <w:rPr>
          <w:rFonts w:hint="default" w:ascii="Times New Roman" w:hAnsi="Times New Roman" w:eastAsia="宋体" w:cs="Times New Roman"/>
          <w:b w:val="0"/>
          <w:bCs/>
          <w:color w:val="000000"/>
          <w:sz w:val="24"/>
          <w:szCs w:val="21"/>
          <w:lang w:val="en-US" w:eastAsia="zh-CN"/>
        </w:rPr>
        <w:t>2.3.2.3植被现状</w:t>
      </w:r>
      <w:bookmarkEnd w:id="109"/>
      <w:bookmarkEnd w:id="110"/>
    </w:p>
    <w:p w14:paraId="6AEF53C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（1）植被类型</w:t>
      </w:r>
    </w:p>
    <w:p w14:paraId="08A7EA2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在样方调查的基础上，参考现有的资料和文献，根据群落的特征，比较它们之间的异同点，按照吴征镒等《中国植被》以及宋永昌《植物生态学》中对中国和新疆自然及人工植被的分类系统，划分出拟建项目评价区域不同的植被类型。其中，评价区域的自然植被共划分为3个等级，</w:t>
      </w:r>
      <w:r>
        <w:rPr>
          <w:rFonts w:hint="eastAsia" w:cs="Times New Roman"/>
          <w:b w:val="0"/>
          <w:bCs w:val="0"/>
          <w:color w:val="000000"/>
          <w:kern w:val="0"/>
          <w:sz w:val="24"/>
          <w:szCs w:val="24"/>
          <w:highlight w:val="none"/>
          <w:lang w:val="en-US" w:eastAsia="zh-CN"/>
        </w:rPr>
        <w:t>包括</w:t>
      </w:r>
      <w:r>
        <w:rPr>
          <w:rFonts w:hint="default" w:ascii="Times New Roman" w:hAnsi="Times New Roman" w:eastAsia="宋体" w:cs="Times New Roman"/>
          <w:b w:val="0"/>
          <w:bCs w:val="0"/>
          <w:color w:val="000000"/>
          <w:kern w:val="0"/>
          <w:sz w:val="24"/>
          <w:szCs w:val="24"/>
          <w:highlight w:val="none"/>
          <w:lang w:val="en-US" w:eastAsia="zh-CN"/>
        </w:rPr>
        <w:t>5个植被型组、8个植被型、10个群系。人工植被划分为一个类型，即农田植被，包括2类、2种组合。</w:t>
      </w:r>
    </w:p>
    <w:p w14:paraId="7BDCEE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表</w:t>
      </w:r>
      <w:r>
        <w:rPr>
          <w:rFonts w:hint="eastAsia" w:cs="Times New Roman"/>
          <w:b/>
          <w:bCs/>
          <w:color w:val="000000"/>
          <w:kern w:val="0"/>
          <w:sz w:val="21"/>
          <w:szCs w:val="21"/>
          <w:highlight w:val="none"/>
          <w:lang w:val="en-US" w:eastAsia="zh-CN"/>
        </w:rPr>
        <w:t>8</w:t>
      </w:r>
      <w:r>
        <w:rPr>
          <w:rFonts w:hint="default" w:ascii="Times New Roman" w:hAnsi="Times New Roman" w:eastAsia="宋体" w:cs="Times New Roman"/>
          <w:b/>
          <w:bCs/>
          <w:color w:val="000000"/>
          <w:kern w:val="0"/>
          <w:sz w:val="21"/>
          <w:szCs w:val="21"/>
          <w:highlight w:val="none"/>
          <w:lang w:val="en-US" w:eastAsia="zh-CN"/>
        </w:rPr>
        <w:t xml:space="preserve">    评价区植被类型表</w:t>
      </w:r>
    </w:p>
    <w:tbl>
      <w:tblPr>
        <w:tblStyle w:val="3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36"/>
        <w:gridCol w:w="1704"/>
        <w:gridCol w:w="3046"/>
        <w:gridCol w:w="2133"/>
      </w:tblGrid>
      <w:tr w14:paraId="04EB6A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0" w:type="pct"/>
            <w:tcBorders>
              <w:tl2br w:val="nil"/>
              <w:tr2bl w:val="nil"/>
            </w:tcBorders>
            <w:noWrap w:val="0"/>
            <w:vAlign w:val="center"/>
          </w:tcPr>
          <w:p w14:paraId="065483D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植被系列</w:t>
            </w:r>
          </w:p>
        </w:tc>
        <w:tc>
          <w:tcPr>
            <w:tcW w:w="1000" w:type="pct"/>
            <w:tcBorders>
              <w:tl2br w:val="nil"/>
              <w:tr2bl w:val="nil"/>
            </w:tcBorders>
            <w:noWrap w:val="0"/>
            <w:vAlign w:val="center"/>
          </w:tcPr>
          <w:p w14:paraId="13A1F48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植被型</w:t>
            </w:r>
          </w:p>
        </w:tc>
        <w:tc>
          <w:tcPr>
            <w:tcW w:w="1787" w:type="pct"/>
            <w:tcBorders>
              <w:tl2br w:val="nil"/>
              <w:tr2bl w:val="nil"/>
            </w:tcBorders>
            <w:noWrap w:val="0"/>
            <w:vAlign w:val="center"/>
          </w:tcPr>
          <w:p w14:paraId="5751524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植被亚型</w:t>
            </w:r>
          </w:p>
        </w:tc>
        <w:tc>
          <w:tcPr>
            <w:tcW w:w="1251" w:type="pct"/>
            <w:tcBorders>
              <w:tl2br w:val="nil"/>
              <w:tr2bl w:val="nil"/>
            </w:tcBorders>
            <w:noWrap w:val="0"/>
            <w:vAlign w:val="center"/>
          </w:tcPr>
          <w:p w14:paraId="72EA4EF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群系</w:t>
            </w:r>
          </w:p>
        </w:tc>
      </w:tr>
      <w:tr w14:paraId="7F4B1C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0" w:type="pct"/>
            <w:vMerge w:val="restart"/>
            <w:tcBorders>
              <w:tl2br w:val="nil"/>
              <w:tr2bl w:val="nil"/>
            </w:tcBorders>
            <w:noWrap w:val="0"/>
            <w:vAlign w:val="center"/>
          </w:tcPr>
          <w:p w14:paraId="054FB63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自然植被</w:t>
            </w:r>
          </w:p>
        </w:tc>
        <w:tc>
          <w:tcPr>
            <w:tcW w:w="1000" w:type="pct"/>
            <w:vMerge w:val="restart"/>
            <w:tcBorders>
              <w:tl2br w:val="nil"/>
              <w:tr2bl w:val="nil"/>
            </w:tcBorders>
            <w:noWrap w:val="0"/>
            <w:vAlign w:val="center"/>
          </w:tcPr>
          <w:p w14:paraId="29E6F5D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落叶阔叶林</w:t>
            </w:r>
          </w:p>
        </w:tc>
        <w:tc>
          <w:tcPr>
            <w:tcW w:w="1787" w:type="pct"/>
            <w:tcBorders>
              <w:tl2br w:val="nil"/>
              <w:tr2bl w:val="nil"/>
            </w:tcBorders>
            <w:noWrap w:val="0"/>
            <w:vAlign w:val="center"/>
          </w:tcPr>
          <w:p w14:paraId="6C2E21B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河谷落叶阔叶林</w:t>
            </w:r>
          </w:p>
        </w:tc>
        <w:tc>
          <w:tcPr>
            <w:tcW w:w="1251" w:type="pct"/>
            <w:tcBorders>
              <w:tl2br w:val="nil"/>
              <w:tr2bl w:val="nil"/>
            </w:tcBorders>
            <w:noWrap w:val="0"/>
            <w:vAlign w:val="center"/>
          </w:tcPr>
          <w:p w14:paraId="4473B3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密叶杨群系</w:t>
            </w:r>
          </w:p>
        </w:tc>
      </w:tr>
      <w:tr w14:paraId="4E5E5A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0" w:type="pct"/>
            <w:vMerge w:val="continue"/>
            <w:tcBorders>
              <w:tl2br w:val="nil"/>
              <w:tr2bl w:val="nil"/>
            </w:tcBorders>
            <w:noWrap w:val="0"/>
            <w:vAlign w:val="center"/>
          </w:tcPr>
          <w:p w14:paraId="02EDAC4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1000" w:type="pct"/>
            <w:vMerge w:val="continue"/>
            <w:tcBorders>
              <w:tl2br w:val="nil"/>
              <w:tr2bl w:val="nil"/>
            </w:tcBorders>
            <w:noWrap w:val="0"/>
            <w:vAlign w:val="center"/>
          </w:tcPr>
          <w:p w14:paraId="11694CB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1787" w:type="pct"/>
            <w:tcBorders>
              <w:tl2br w:val="nil"/>
              <w:tr2bl w:val="nil"/>
            </w:tcBorders>
            <w:noWrap w:val="0"/>
            <w:vAlign w:val="center"/>
          </w:tcPr>
          <w:p w14:paraId="3649F51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荒漠河岸林</w:t>
            </w:r>
          </w:p>
        </w:tc>
        <w:tc>
          <w:tcPr>
            <w:tcW w:w="1251" w:type="pct"/>
            <w:tcBorders>
              <w:tl2br w:val="nil"/>
              <w:tr2bl w:val="nil"/>
            </w:tcBorders>
            <w:noWrap w:val="0"/>
            <w:vAlign w:val="center"/>
          </w:tcPr>
          <w:p w14:paraId="2900A3C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白榆群系</w:t>
            </w:r>
          </w:p>
        </w:tc>
      </w:tr>
      <w:tr w14:paraId="0694C7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0" w:type="pct"/>
            <w:vMerge w:val="continue"/>
            <w:tcBorders>
              <w:tl2br w:val="nil"/>
              <w:tr2bl w:val="nil"/>
            </w:tcBorders>
            <w:noWrap w:val="0"/>
            <w:vAlign w:val="center"/>
          </w:tcPr>
          <w:p w14:paraId="185D5D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1000" w:type="pct"/>
            <w:tcBorders>
              <w:tl2br w:val="nil"/>
              <w:tr2bl w:val="nil"/>
            </w:tcBorders>
            <w:noWrap w:val="0"/>
            <w:vAlign w:val="center"/>
          </w:tcPr>
          <w:p w14:paraId="61C6515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落叶阔叶灌丛</w:t>
            </w:r>
          </w:p>
        </w:tc>
        <w:tc>
          <w:tcPr>
            <w:tcW w:w="1787" w:type="pct"/>
            <w:tcBorders>
              <w:tl2br w:val="nil"/>
              <w:tr2bl w:val="nil"/>
            </w:tcBorders>
            <w:noWrap w:val="0"/>
            <w:vAlign w:val="center"/>
          </w:tcPr>
          <w:p w14:paraId="59B600E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温性落叶阔叶灌丛</w:t>
            </w:r>
          </w:p>
        </w:tc>
        <w:tc>
          <w:tcPr>
            <w:tcW w:w="1251" w:type="pct"/>
            <w:tcBorders>
              <w:tl2br w:val="nil"/>
              <w:tr2bl w:val="nil"/>
            </w:tcBorders>
            <w:noWrap w:val="0"/>
            <w:vAlign w:val="center"/>
          </w:tcPr>
          <w:p w14:paraId="60E8963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刺叶锦鸡儿群系</w:t>
            </w:r>
          </w:p>
        </w:tc>
      </w:tr>
      <w:tr w14:paraId="626E5F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0" w:type="pct"/>
            <w:vMerge w:val="continue"/>
            <w:tcBorders>
              <w:tl2br w:val="nil"/>
              <w:tr2bl w:val="nil"/>
            </w:tcBorders>
            <w:noWrap w:val="0"/>
            <w:vAlign w:val="center"/>
          </w:tcPr>
          <w:p w14:paraId="7F6D226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1000" w:type="pct"/>
            <w:tcBorders>
              <w:tl2br w:val="nil"/>
              <w:tr2bl w:val="nil"/>
            </w:tcBorders>
            <w:noWrap w:val="0"/>
            <w:vAlign w:val="center"/>
          </w:tcPr>
          <w:p w14:paraId="0EF68C9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灌丛</w:t>
            </w:r>
          </w:p>
        </w:tc>
        <w:tc>
          <w:tcPr>
            <w:tcW w:w="1787" w:type="pct"/>
            <w:tcBorders>
              <w:tl2br w:val="nil"/>
              <w:tr2bl w:val="nil"/>
            </w:tcBorders>
            <w:noWrap w:val="0"/>
            <w:vAlign w:val="center"/>
          </w:tcPr>
          <w:p w14:paraId="0C4DEDE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半灌木、矮半灌木</w:t>
            </w:r>
          </w:p>
        </w:tc>
        <w:tc>
          <w:tcPr>
            <w:tcW w:w="1251" w:type="pct"/>
            <w:tcBorders>
              <w:tl2br w:val="nil"/>
              <w:tr2bl w:val="nil"/>
            </w:tcBorders>
            <w:noWrap w:val="0"/>
            <w:vAlign w:val="center"/>
          </w:tcPr>
          <w:p w14:paraId="4CFBB1B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小蓬群系</w:t>
            </w:r>
          </w:p>
        </w:tc>
      </w:tr>
      <w:tr w14:paraId="59C6E6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0" w:type="pct"/>
            <w:vMerge w:val="continue"/>
            <w:tcBorders>
              <w:tl2br w:val="nil"/>
              <w:tr2bl w:val="nil"/>
            </w:tcBorders>
            <w:noWrap w:val="0"/>
            <w:vAlign w:val="center"/>
          </w:tcPr>
          <w:p w14:paraId="2B825B2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1000" w:type="pct"/>
            <w:tcBorders>
              <w:tl2br w:val="nil"/>
              <w:tr2bl w:val="nil"/>
            </w:tcBorders>
            <w:noWrap w:val="0"/>
            <w:vAlign w:val="center"/>
          </w:tcPr>
          <w:p w14:paraId="460B28F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草原</w:t>
            </w:r>
          </w:p>
        </w:tc>
        <w:tc>
          <w:tcPr>
            <w:tcW w:w="1787" w:type="pct"/>
            <w:tcBorders>
              <w:tl2br w:val="nil"/>
              <w:tr2bl w:val="nil"/>
            </w:tcBorders>
            <w:noWrap w:val="0"/>
            <w:vAlign w:val="center"/>
          </w:tcPr>
          <w:p w14:paraId="527FC97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典型草原</w:t>
            </w:r>
          </w:p>
        </w:tc>
        <w:tc>
          <w:tcPr>
            <w:tcW w:w="1251" w:type="pct"/>
            <w:tcBorders>
              <w:tl2br w:val="nil"/>
              <w:tr2bl w:val="nil"/>
            </w:tcBorders>
            <w:noWrap w:val="0"/>
            <w:vAlign w:val="center"/>
          </w:tcPr>
          <w:p w14:paraId="4D33EAC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针茅草原</w:t>
            </w:r>
          </w:p>
        </w:tc>
      </w:tr>
    </w:tbl>
    <w:p w14:paraId="358D17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（2）植被类型特征</w:t>
      </w:r>
    </w:p>
    <w:p w14:paraId="523837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①落叶阔叶林</w:t>
      </w:r>
    </w:p>
    <w:p w14:paraId="3A4A4E16">
      <w:pPr>
        <w:keepNext w:val="0"/>
        <w:keepLines w:val="0"/>
        <w:pageBreakBefore w:val="0"/>
        <w:widowControl w:val="0"/>
        <w:numPr>
          <w:ilvl w:val="0"/>
          <w:numId w:val="15"/>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密叶杨群系（Form. Populus talassica）</w:t>
      </w:r>
    </w:p>
    <w:p w14:paraId="3BB5FB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密叶杨为重要的涵养水源和防止水土流失的树种，是亚洲中部及中亚荒漠地区山地河谷地带广泛分布的落叶阔叶树种。该群系类型主要分布在海拔1200</w:t>
      </w:r>
      <w:r>
        <w:rPr>
          <w:rFonts w:hint="eastAsia" w:cs="Times New Roman"/>
          <w:b w:val="0"/>
          <w:bCs w:val="0"/>
          <w:color w:val="000000"/>
          <w:kern w:val="0"/>
          <w:sz w:val="24"/>
          <w:szCs w:val="24"/>
          <w:highlight w:val="none"/>
          <w:lang w:val="en-US" w:eastAsia="zh-CN"/>
        </w:rPr>
        <w:t>～</w:t>
      </w:r>
      <w:r>
        <w:rPr>
          <w:rFonts w:hint="default" w:ascii="Times New Roman" w:hAnsi="Times New Roman" w:eastAsia="宋体" w:cs="Times New Roman"/>
          <w:b w:val="0"/>
          <w:bCs w:val="0"/>
          <w:color w:val="000000"/>
          <w:kern w:val="0"/>
          <w:sz w:val="24"/>
          <w:szCs w:val="24"/>
          <w:highlight w:val="none"/>
          <w:lang w:val="en-US" w:eastAsia="zh-CN"/>
        </w:rPr>
        <w:t>2100m的山地草原至山地森林带的河谷中。其上部常随山体抬升与雪岭云杉林混交。该群落常随河呈带状分布，群落优势种密叶杨高8</w:t>
      </w:r>
      <w:r>
        <w:rPr>
          <w:rFonts w:hint="eastAsia" w:cs="Times New Roman"/>
          <w:b w:val="0"/>
          <w:bCs w:val="0"/>
          <w:color w:val="000000"/>
          <w:kern w:val="0"/>
          <w:sz w:val="24"/>
          <w:szCs w:val="24"/>
          <w:highlight w:val="none"/>
          <w:lang w:val="en-US" w:eastAsia="zh-CN"/>
        </w:rPr>
        <w:t>～</w:t>
      </w:r>
      <w:r>
        <w:rPr>
          <w:rFonts w:hint="default" w:ascii="Times New Roman" w:hAnsi="Times New Roman" w:eastAsia="宋体" w:cs="Times New Roman"/>
          <w:b w:val="0"/>
          <w:bCs w:val="0"/>
          <w:color w:val="000000"/>
          <w:kern w:val="0"/>
          <w:sz w:val="24"/>
          <w:szCs w:val="24"/>
          <w:highlight w:val="none"/>
          <w:lang w:val="en-US" w:eastAsia="zh-CN"/>
        </w:rPr>
        <w:t>12m，林冠郁闭度0.1~0.2左右。植物群落的物种较丰富，群落内除了常见的中生灌木和多年生草本外，还发育了许多湿生的草甸植被。</w:t>
      </w:r>
    </w:p>
    <w:p w14:paraId="1001679C">
      <w:pPr>
        <w:keepNext w:val="0"/>
        <w:keepLines w:val="0"/>
        <w:pageBreakBefore w:val="0"/>
        <w:widowControl w:val="0"/>
        <w:numPr>
          <w:ilvl w:val="0"/>
          <w:numId w:val="16"/>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白榆群系（Form.Ulmus pumila）</w:t>
      </w:r>
    </w:p>
    <w:p w14:paraId="6CA4768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该群系主要分布于天山天池北缘海拔800</w:t>
      </w:r>
      <w:r>
        <w:rPr>
          <w:rFonts w:hint="eastAsia" w:cs="Times New Roman"/>
          <w:b w:val="0"/>
          <w:bCs w:val="0"/>
          <w:color w:val="000000"/>
          <w:kern w:val="0"/>
          <w:sz w:val="24"/>
          <w:szCs w:val="24"/>
          <w:highlight w:val="none"/>
          <w:lang w:val="en-US" w:eastAsia="zh-CN"/>
        </w:rPr>
        <w:t>～</w:t>
      </w:r>
      <w:r>
        <w:rPr>
          <w:rFonts w:hint="default" w:ascii="Times New Roman" w:hAnsi="Times New Roman" w:eastAsia="宋体" w:cs="Times New Roman"/>
          <w:b w:val="0"/>
          <w:bCs w:val="0"/>
          <w:color w:val="000000"/>
          <w:kern w:val="0"/>
          <w:sz w:val="24"/>
          <w:szCs w:val="24"/>
          <w:highlight w:val="none"/>
          <w:lang w:val="en-US" w:eastAsia="zh-CN"/>
        </w:rPr>
        <w:t>1400m之间的河谷，与中山带河谷的杨树林相接。林下的土壤类型主要为</w:t>
      </w:r>
      <w:r>
        <w:rPr>
          <w:rFonts w:hint="eastAsia" w:cs="Times New Roman"/>
          <w:b w:val="0"/>
          <w:bCs w:val="0"/>
          <w:color w:val="000000"/>
          <w:kern w:val="0"/>
          <w:sz w:val="24"/>
          <w:szCs w:val="24"/>
          <w:highlight w:val="none"/>
          <w:lang w:val="en-US" w:eastAsia="zh-CN"/>
        </w:rPr>
        <w:t>冲积</w:t>
      </w:r>
      <w:r>
        <w:rPr>
          <w:rFonts w:hint="default" w:ascii="Times New Roman" w:hAnsi="Times New Roman" w:eastAsia="宋体" w:cs="Times New Roman"/>
          <w:b w:val="0"/>
          <w:bCs w:val="0"/>
          <w:color w:val="000000"/>
          <w:kern w:val="0"/>
          <w:sz w:val="24"/>
          <w:szCs w:val="24"/>
          <w:highlight w:val="none"/>
          <w:lang w:val="en-US" w:eastAsia="zh-CN"/>
        </w:rPr>
        <w:t xml:space="preserve">沙壤土。林冠郁闭度较小，群落内旱生中旱生的草本植物发达。常见的主要林下灌木有宽刺蔷薇（Rosaplatyacantha）、疏花蔷薇（Rosa laxa）、金丝桃叶绣线菊（Spiraea hypericifolia）、黑果小檗（Berberis heteropoda）等。草本植物主要有无芒雀麦（Bromus inermis）、早熟禾（Poa spp.）、毛蕊花（Verbascum thapsus）、圆叶锦葵（Malva rotundifo1ia）、天山苜蓿（Medicago </w:t>
      </w:r>
      <w:r>
        <w:rPr>
          <w:rFonts w:hint="default" w:ascii="Times New Roman" w:hAnsi="Times New Roman" w:eastAsia="宋体" w:cs="Times New Roman"/>
          <w:b w:val="0"/>
          <w:bCs w:val="0"/>
          <w:color w:val="000000"/>
          <w:spacing w:val="11"/>
          <w:kern w:val="0"/>
          <w:sz w:val="24"/>
          <w:szCs w:val="24"/>
          <w:highlight w:val="none"/>
          <w:lang w:val="en-US" w:eastAsia="zh-CN"/>
        </w:rPr>
        <w:t>tianschanica）、黄花苜蓿（Medicago falcata）、黄花草木樨（Melilotus officinalis）等。</w:t>
      </w:r>
    </w:p>
    <w:p w14:paraId="17A96C5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②落叶阔叶灌丛—刺叶锦鸡儿群系（Form.Caragana acanthophylla）</w:t>
      </w:r>
    </w:p>
    <w:p w14:paraId="7D61A54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该群系主要分布于海拔1200</w:t>
      </w:r>
      <w:r>
        <w:rPr>
          <w:rFonts w:hint="eastAsia" w:cs="Times New Roman"/>
          <w:b w:val="0"/>
          <w:bCs w:val="0"/>
          <w:color w:val="000000"/>
          <w:kern w:val="0"/>
          <w:sz w:val="24"/>
          <w:szCs w:val="24"/>
          <w:highlight w:val="none"/>
          <w:lang w:val="en-US" w:eastAsia="zh-CN"/>
        </w:rPr>
        <w:t>～</w:t>
      </w:r>
      <w:r>
        <w:rPr>
          <w:rFonts w:hint="default" w:ascii="Times New Roman" w:hAnsi="Times New Roman" w:eastAsia="宋体" w:cs="Times New Roman"/>
          <w:b w:val="0"/>
          <w:bCs w:val="0"/>
          <w:color w:val="000000"/>
          <w:kern w:val="0"/>
          <w:sz w:val="24"/>
          <w:szCs w:val="24"/>
          <w:highlight w:val="none"/>
          <w:lang w:val="en-US" w:eastAsia="zh-CN"/>
        </w:rPr>
        <w:t>1500m之间的前山带的阳坡和三工河河谷的砾石河漫滩上。土壤主要为山地棕钙土，群落的盖度在</w:t>
      </w:r>
      <w:r>
        <w:rPr>
          <w:rFonts w:hint="eastAsia" w:cs="Times New Roman"/>
          <w:b w:val="0"/>
          <w:bCs w:val="0"/>
          <w:color w:val="000000"/>
          <w:kern w:val="0"/>
          <w:sz w:val="24"/>
          <w:szCs w:val="24"/>
          <w:highlight w:val="none"/>
          <w:lang w:val="en-US" w:eastAsia="zh-CN"/>
        </w:rPr>
        <w:t>20％～35％</w:t>
      </w:r>
      <w:r>
        <w:rPr>
          <w:rFonts w:hint="default" w:ascii="Times New Roman" w:hAnsi="Times New Roman" w:eastAsia="宋体" w:cs="Times New Roman"/>
          <w:b w:val="0"/>
          <w:bCs w:val="0"/>
          <w:color w:val="000000"/>
          <w:kern w:val="0"/>
          <w:sz w:val="24"/>
          <w:szCs w:val="24"/>
          <w:highlight w:val="none"/>
          <w:lang w:val="en-US" w:eastAsia="zh-CN"/>
        </w:rPr>
        <w:t>之间。主要的伴生植物有猪毛蒿（Artemisia scoparia）、驼绒藜（Krascheninnikovia ceratoides）、角果藜（Ceratocarpus arenarius）、针茅（Stipa capillata）、叉毛蓬（Petrosimoniasibirica）、角果藜（Ceratocarpus arenarius）等。</w:t>
      </w:r>
    </w:p>
    <w:p w14:paraId="482734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③半灌木、矮半灌木荒漠—小蓬群系（Form. Nanophyton eriaceum）</w:t>
      </w:r>
    </w:p>
    <w:p w14:paraId="6B8FD48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小蓬群系主要分布于保护区前山带海拔600</w:t>
      </w:r>
      <w:r>
        <w:rPr>
          <w:rFonts w:hint="eastAsia" w:cs="Times New Roman"/>
          <w:b w:val="0"/>
          <w:bCs w:val="0"/>
          <w:color w:val="000000"/>
          <w:kern w:val="0"/>
          <w:sz w:val="24"/>
          <w:szCs w:val="24"/>
          <w:highlight w:val="none"/>
          <w:lang w:val="en-US" w:eastAsia="zh-CN"/>
        </w:rPr>
        <w:t>～</w:t>
      </w:r>
      <w:r>
        <w:rPr>
          <w:rFonts w:hint="default" w:ascii="Times New Roman" w:hAnsi="Times New Roman" w:eastAsia="宋体" w:cs="Times New Roman"/>
          <w:b w:val="0"/>
          <w:bCs w:val="0"/>
          <w:color w:val="000000"/>
          <w:kern w:val="0"/>
          <w:sz w:val="24"/>
          <w:szCs w:val="24"/>
          <w:highlight w:val="none"/>
          <w:lang w:val="en-US" w:eastAsia="zh-CN"/>
        </w:rPr>
        <w:t>900m之间的山麓洪积扇上。群落的土壤类型主要为沙壤土。群落内的伴生植物主要是旱生的杂类草，常见的有驼绒藜（Ceratoides latens）、木地肤（Kochia prostrate）、角果藜（Ceratocarpusarenarius）、散枝猪毛菜（Salsola brachiata）等。</w:t>
      </w:r>
    </w:p>
    <w:p w14:paraId="6E1BD7A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④典型草原—针茅草原（Form. Stipa capillata）</w:t>
      </w:r>
    </w:p>
    <w:p w14:paraId="2F0A5DE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该群系主要分布于海拔1200</w:t>
      </w:r>
      <w:r>
        <w:rPr>
          <w:rFonts w:hint="eastAsia" w:cs="Times New Roman"/>
          <w:b w:val="0"/>
          <w:bCs w:val="0"/>
          <w:color w:val="000000"/>
          <w:kern w:val="0"/>
          <w:sz w:val="24"/>
          <w:szCs w:val="24"/>
          <w:highlight w:val="none"/>
          <w:lang w:val="en-US" w:eastAsia="zh-CN"/>
        </w:rPr>
        <w:t>～</w:t>
      </w:r>
      <w:r>
        <w:rPr>
          <w:rFonts w:hint="default" w:ascii="Times New Roman" w:hAnsi="Times New Roman" w:eastAsia="宋体" w:cs="Times New Roman"/>
          <w:b w:val="0"/>
          <w:bCs w:val="0"/>
          <w:color w:val="000000"/>
          <w:kern w:val="0"/>
          <w:sz w:val="24"/>
          <w:szCs w:val="24"/>
          <w:highlight w:val="none"/>
          <w:lang w:val="en-US" w:eastAsia="zh-CN"/>
        </w:rPr>
        <w:t>1600m之间的石质山坡。群落的土壤类型为山地栗钙土。该群系类型山地草原的典型代表，群落物种组成丰富，常以禾类草为群落的建群种，旱生中旱生的杂类草散生在植物群落内。群落的主要禾类草有针茅（Stipa spp.）、羊茅（Festuca ovina）、无芒雀麦（Bromus inermis）、雀麦（Bromus japornicus）、冰草（Agropyron cristatum）、芨芨草（Achnatherumsplendens）等；主要的伴生杂草有黄花苜蓿（Medicago falcata）、鹅绒委陵菜（Potentilla anserina）、多裂委陵菜（Potentilla multifida）、蓬子菜（Galium verum）、全叶青兰（Dracocephalum integrifoium）等。</w:t>
      </w:r>
    </w:p>
    <w:p w14:paraId="1BC19EFA">
      <w:pPr>
        <w:pStyle w:val="10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本项目评价范围内植被现状及样方调查现场照片详见下图，植被类型图见图4。</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6"/>
        <w:gridCol w:w="4266"/>
      </w:tblGrid>
      <w:tr w14:paraId="49A5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00" w:type="pct"/>
            <w:noWrap w:val="0"/>
            <w:vAlign w:val="center"/>
          </w:tcPr>
          <w:p w14:paraId="65E2CD8E">
            <w:pPr>
              <w:pStyle w:val="10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highlight w:val="none"/>
                <w:vertAlign w:val="baseline"/>
                <w:lang w:val="en-US" w:eastAsia="zh-CN"/>
              </w:rPr>
            </w:pPr>
            <w:r>
              <w:rPr>
                <w:rFonts w:hint="default" w:ascii="Times New Roman" w:hAnsi="Times New Roman" w:eastAsia="宋体" w:cs="Times New Roman"/>
                <w:color w:val="000000"/>
                <w:highlight w:val="none"/>
                <w:vertAlign w:val="baseline"/>
                <w:lang w:val="en-US" w:eastAsia="zh-CN"/>
              </w:rPr>
              <w:drawing>
                <wp:inline distT="0" distB="0" distL="114300" distR="114300">
                  <wp:extent cx="2536190" cy="1901825"/>
                  <wp:effectExtent l="0" t="0" r="16510" b="3175"/>
                  <wp:docPr id="14" name="图片 1" descr="IMG_20250729_12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IMG_20250729_124144"/>
                          <pic:cNvPicPr>
                            <a:picLocks noChangeAspect="1"/>
                          </pic:cNvPicPr>
                        </pic:nvPicPr>
                        <pic:blipFill>
                          <a:blip r:embed="rId39"/>
                          <a:stretch>
                            <a:fillRect/>
                          </a:stretch>
                        </pic:blipFill>
                        <pic:spPr>
                          <a:xfrm>
                            <a:off x="0" y="0"/>
                            <a:ext cx="2536190" cy="1901825"/>
                          </a:xfrm>
                          <a:prstGeom prst="rect">
                            <a:avLst/>
                          </a:prstGeom>
                          <a:noFill/>
                          <a:ln>
                            <a:noFill/>
                          </a:ln>
                        </pic:spPr>
                      </pic:pic>
                    </a:graphicData>
                  </a:graphic>
                </wp:inline>
              </w:drawing>
            </w:r>
          </w:p>
        </w:tc>
        <w:tc>
          <w:tcPr>
            <w:tcW w:w="2500" w:type="pct"/>
            <w:noWrap w:val="0"/>
            <w:vAlign w:val="center"/>
          </w:tcPr>
          <w:p w14:paraId="605715A7">
            <w:pPr>
              <w:pStyle w:val="10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highlight w:val="none"/>
                <w:vertAlign w:val="baseline"/>
                <w:lang w:val="en-US" w:eastAsia="zh-CN"/>
              </w:rPr>
            </w:pPr>
            <w:r>
              <w:rPr>
                <w:rFonts w:hint="default" w:ascii="Times New Roman" w:hAnsi="Times New Roman" w:eastAsia="宋体" w:cs="Times New Roman"/>
                <w:color w:val="000000"/>
                <w:highlight w:val="none"/>
                <w:vertAlign w:val="baseline"/>
                <w:lang w:val="en-US" w:eastAsia="zh-CN"/>
              </w:rPr>
              <w:drawing>
                <wp:inline distT="0" distB="0" distL="114300" distR="114300">
                  <wp:extent cx="2536190" cy="1901825"/>
                  <wp:effectExtent l="0" t="0" r="16510" b="3175"/>
                  <wp:docPr id="15" name="图片 24" descr="IMG_20250729_12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4" descr="IMG_20250729_124149"/>
                          <pic:cNvPicPr>
                            <a:picLocks noChangeAspect="1"/>
                          </pic:cNvPicPr>
                        </pic:nvPicPr>
                        <pic:blipFill>
                          <a:blip r:embed="rId40"/>
                          <a:stretch>
                            <a:fillRect/>
                          </a:stretch>
                        </pic:blipFill>
                        <pic:spPr>
                          <a:xfrm>
                            <a:off x="0" y="0"/>
                            <a:ext cx="2536190" cy="1901825"/>
                          </a:xfrm>
                          <a:prstGeom prst="rect">
                            <a:avLst/>
                          </a:prstGeom>
                          <a:noFill/>
                          <a:ln>
                            <a:noFill/>
                          </a:ln>
                        </pic:spPr>
                      </pic:pic>
                    </a:graphicData>
                  </a:graphic>
                </wp:inline>
              </w:drawing>
            </w:r>
          </w:p>
        </w:tc>
      </w:tr>
      <w:tr w14:paraId="2371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center"/>
          </w:tcPr>
          <w:p w14:paraId="3F5288F1">
            <w:pPr>
              <w:pStyle w:val="10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highlight w:val="none"/>
                <w:vertAlign w:val="baseline"/>
                <w:lang w:val="en-US" w:eastAsia="zh-CN"/>
              </w:rPr>
            </w:pPr>
            <w:r>
              <w:rPr>
                <w:rFonts w:hint="default" w:ascii="Times New Roman" w:hAnsi="Times New Roman" w:eastAsia="宋体" w:cs="Times New Roman"/>
                <w:color w:val="000000"/>
                <w:highlight w:val="none"/>
                <w:vertAlign w:val="baseline"/>
                <w:lang w:val="en-US" w:eastAsia="zh-CN"/>
              </w:rPr>
              <w:drawing>
                <wp:inline distT="0" distB="0" distL="114300" distR="114300">
                  <wp:extent cx="2536190" cy="1901825"/>
                  <wp:effectExtent l="0" t="0" r="16510" b="3175"/>
                  <wp:docPr id="16" name="图片 22" descr="IMG_20250729_124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2" descr="IMG_20250729_124153"/>
                          <pic:cNvPicPr>
                            <a:picLocks noChangeAspect="1"/>
                          </pic:cNvPicPr>
                        </pic:nvPicPr>
                        <pic:blipFill>
                          <a:blip r:embed="rId41"/>
                          <a:stretch>
                            <a:fillRect/>
                          </a:stretch>
                        </pic:blipFill>
                        <pic:spPr>
                          <a:xfrm>
                            <a:off x="0" y="0"/>
                            <a:ext cx="2536190" cy="1901825"/>
                          </a:xfrm>
                          <a:prstGeom prst="rect">
                            <a:avLst/>
                          </a:prstGeom>
                          <a:noFill/>
                          <a:ln>
                            <a:noFill/>
                          </a:ln>
                        </pic:spPr>
                      </pic:pic>
                    </a:graphicData>
                  </a:graphic>
                </wp:inline>
              </w:drawing>
            </w:r>
          </w:p>
        </w:tc>
        <w:tc>
          <w:tcPr>
            <w:tcW w:w="2500" w:type="pct"/>
            <w:noWrap w:val="0"/>
            <w:vAlign w:val="center"/>
          </w:tcPr>
          <w:p w14:paraId="006062F4">
            <w:pPr>
              <w:pStyle w:val="10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highlight w:val="none"/>
                <w:vertAlign w:val="baseline"/>
                <w:lang w:val="en-US" w:eastAsia="zh-CN"/>
              </w:rPr>
            </w:pPr>
            <w:r>
              <w:rPr>
                <w:rFonts w:hint="default" w:ascii="Times New Roman" w:hAnsi="Times New Roman" w:eastAsia="宋体" w:cs="Times New Roman"/>
                <w:color w:val="000000"/>
                <w:highlight w:val="none"/>
                <w:vertAlign w:val="baseline"/>
                <w:lang w:val="en-US" w:eastAsia="zh-CN"/>
              </w:rPr>
              <w:drawing>
                <wp:inline distT="0" distB="0" distL="114300" distR="114300">
                  <wp:extent cx="2536190" cy="1901825"/>
                  <wp:effectExtent l="0" t="0" r="16510" b="3175"/>
                  <wp:docPr id="17" name="图片 4" descr="IMG_20250729_12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descr="IMG_20250729_123853"/>
                          <pic:cNvPicPr>
                            <a:picLocks noChangeAspect="1"/>
                          </pic:cNvPicPr>
                        </pic:nvPicPr>
                        <pic:blipFill>
                          <a:blip r:embed="rId42"/>
                          <a:stretch>
                            <a:fillRect/>
                          </a:stretch>
                        </pic:blipFill>
                        <pic:spPr>
                          <a:xfrm>
                            <a:off x="0" y="0"/>
                            <a:ext cx="2536190" cy="1901825"/>
                          </a:xfrm>
                          <a:prstGeom prst="rect">
                            <a:avLst/>
                          </a:prstGeom>
                          <a:noFill/>
                          <a:ln>
                            <a:noFill/>
                          </a:ln>
                        </pic:spPr>
                      </pic:pic>
                    </a:graphicData>
                  </a:graphic>
                </wp:inline>
              </w:drawing>
            </w:r>
          </w:p>
        </w:tc>
      </w:tr>
      <w:tr w14:paraId="6857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center"/>
          </w:tcPr>
          <w:p w14:paraId="47772A63">
            <w:pPr>
              <w:pStyle w:val="10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highlight w:val="none"/>
                <w:vertAlign w:val="baseline"/>
                <w:lang w:val="en-US" w:eastAsia="zh-CN"/>
              </w:rPr>
            </w:pPr>
            <w:r>
              <w:rPr>
                <w:rFonts w:hint="default" w:ascii="Times New Roman" w:hAnsi="Times New Roman" w:eastAsia="宋体" w:cs="Times New Roman"/>
                <w:color w:val="000000"/>
                <w:highlight w:val="none"/>
                <w:vertAlign w:val="baseline"/>
                <w:lang w:val="en-US" w:eastAsia="zh-CN"/>
              </w:rPr>
              <w:t>项目评价区范围内草本现状照片</w:t>
            </w:r>
          </w:p>
        </w:tc>
      </w:tr>
      <w:tr w14:paraId="0AC2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center"/>
          </w:tcPr>
          <w:p w14:paraId="77B4797C">
            <w:pPr>
              <w:pStyle w:val="10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highlight w:val="none"/>
                <w:vertAlign w:val="baseline"/>
                <w:lang w:val="en-US" w:eastAsia="zh-CN"/>
              </w:rPr>
            </w:pPr>
            <w:r>
              <w:rPr>
                <w:rFonts w:hint="default" w:ascii="Times New Roman" w:hAnsi="Times New Roman" w:eastAsia="宋体" w:cs="Times New Roman"/>
                <w:color w:val="000000"/>
                <w:highlight w:val="none"/>
                <w:vertAlign w:val="baseline"/>
                <w:lang w:val="en-US" w:eastAsia="zh-CN"/>
              </w:rPr>
              <w:drawing>
                <wp:inline distT="0" distB="0" distL="114300" distR="114300">
                  <wp:extent cx="2536190" cy="1901825"/>
                  <wp:effectExtent l="0" t="0" r="16510" b="3175"/>
                  <wp:docPr id="18" name="图片 20" descr="IMG_20250729_124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0" descr="IMG_20250729_124159"/>
                          <pic:cNvPicPr>
                            <a:picLocks noChangeAspect="1"/>
                          </pic:cNvPicPr>
                        </pic:nvPicPr>
                        <pic:blipFill>
                          <a:blip r:embed="rId43"/>
                          <a:stretch>
                            <a:fillRect/>
                          </a:stretch>
                        </pic:blipFill>
                        <pic:spPr>
                          <a:xfrm>
                            <a:off x="0" y="0"/>
                            <a:ext cx="2536190" cy="1901825"/>
                          </a:xfrm>
                          <a:prstGeom prst="rect">
                            <a:avLst/>
                          </a:prstGeom>
                          <a:noFill/>
                          <a:ln>
                            <a:noFill/>
                          </a:ln>
                        </pic:spPr>
                      </pic:pic>
                    </a:graphicData>
                  </a:graphic>
                </wp:inline>
              </w:drawing>
            </w:r>
          </w:p>
        </w:tc>
        <w:tc>
          <w:tcPr>
            <w:tcW w:w="2500" w:type="pct"/>
            <w:noWrap w:val="0"/>
            <w:vAlign w:val="center"/>
          </w:tcPr>
          <w:p w14:paraId="0898559E">
            <w:pPr>
              <w:pStyle w:val="10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highlight w:val="none"/>
                <w:vertAlign w:val="baseline"/>
                <w:lang w:val="en-US" w:eastAsia="zh-CN"/>
              </w:rPr>
            </w:pPr>
            <w:r>
              <w:rPr>
                <w:rFonts w:hint="default" w:ascii="Times New Roman" w:hAnsi="Times New Roman" w:eastAsia="宋体" w:cs="Times New Roman"/>
                <w:color w:val="000000"/>
                <w:highlight w:val="none"/>
                <w:vertAlign w:val="baseline"/>
                <w:lang w:val="en-US" w:eastAsia="zh-CN"/>
              </w:rPr>
              <w:drawing>
                <wp:inline distT="0" distB="0" distL="114300" distR="114300">
                  <wp:extent cx="2560955" cy="1920240"/>
                  <wp:effectExtent l="0" t="0" r="10795" b="3810"/>
                  <wp:docPr id="19" name="图片 6" descr="微信图片_2025-07-31_201957_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descr="微信图片_2025-07-31_201957_231"/>
                          <pic:cNvPicPr>
                            <a:picLocks noChangeAspect="1"/>
                          </pic:cNvPicPr>
                        </pic:nvPicPr>
                        <pic:blipFill>
                          <a:blip r:embed="rId44"/>
                          <a:stretch>
                            <a:fillRect/>
                          </a:stretch>
                        </pic:blipFill>
                        <pic:spPr>
                          <a:xfrm>
                            <a:off x="0" y="0"/>
                            <a:ext cx="2560955" cy="1920240"/>
                          </a:xfrm>
                          <a:prstGeom prst="rect">
                            <a:avLst/>
                          </a:prstGeom>
                          <a:noFill/>
                          <a:ln>
                            <a:noFill/>
                          </a:ln>
                        </pic:spPr>
                      </pic:pic>
                    </a:graphicData>
                  </a:graphic>
                </wp:inline>
              </w:drawing>
            </w:r>
          </w:p>
        </w:tc>
      </w:tr>
      <w:tr w14:paraId="288C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center"/>
          </w:tcPr>
          <w:p w14:paraId="01C874C2">
            <w:pPr>
              <w:pStyle w:val="10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highlight w:val="none"/>
                <w:vertAlign w:val="baseline"/>
                <w:lang w:val="en-US" w:eastAsia="zh-CN"/>
              </w:rPr>
            </w:pPr>
            <w:r>
              <w:rPr>
                <w:rFonts w:hint="default" w:ascii="Times New Roman" w:hAnsi="Times New Roman" w:eastAsia="宋体" w:cs="Times New Roman"/>
                <w:color w:val="000000"/>
                <w:highlight w:val="none"/>
                <w:vertAlign w:val="baseline"/>
                <w:lang w:val="en-US" w:eastAsia="zh-CN"/>
              </w:rPr>
              <w:t>项目评价区范围内乔木现状照片</w:t>
            </w:r>
          </w:p>
        </w:tc>
      </w:tr>
      <w:tr w14:paraId="496F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center"/>
          </w:tcPr>
          <w:p w14:paraId="5E0585CA">
            <w:pPr>
              <w:pStyle w:val="10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highlight w:val="none"/>
                <w:vertAlign w:val="baseline"/>
                <w:lang w:val="en-US" w:eastAsia="zh-CN"/>
              </w:rPr>
            </w:pPr>
            <w:r>
              <w:rPr>
                <w:rFonts w:hint="default" w:ascii="Times New Roman" w:hAnsi="Times New Roman" w:eastAsia="宋体" w:cs="Times New Roman"/>
                <w:color w:val="000000"/>
                <w:highlight w:val="none"/>
                <w:vertAlign w:val="baseline"/>
                <w:lang w:val="en-US" w:eastAsia="zh-CN"/>
              </w:rPr>
              <w:drawing>
                <wp:inline distT="0" distB="0" distL="114300" distR="114300">
                  <wp:extent cx="2536190" cy="1901825"/>
                  <wp:effectExtent l="0" t="0" r="16510" b="3175"/>
                  <wp:docPr id="20" name="图片 7" descr="IMG_20250729_123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descr="IMG_20250729_123827"/>
                          <pic:cNvPicPr>
                            <a:picLocks noChangeAspect="1"/>
                          </pic:cNvPicPr>
                        </pic:nvPicPr>
                        <pic:blipFill>
                          <a:blip r:embed="rId45"/>
                          <a:stretch>
                            <a:fillRect/>
                          </a:stretch>
                        </pic:blipFill>
                        <pic:spPr>
                          <a:xfrm>
                            <a:off x="0" y="0"/>
                            <a:ext cx="2536190" cy="1901825"/>
                          </a:xfrm>
                          <a:prstGeom prst="rect">
                            <a:avLst/>
                          </a:prstGeom>
                          <a:noFill/>
                          <a:ln>
                            <a:noFill/>
                          </a:ln>
                        </pic:spPr>
                      </pic:pic>
                    </a:graphicData>
                  </a:graphic>
                </wp:inline>
              </w:drawing>
            </w:r>
          </w:p>
        </w:tc>
        <w:tc>
          <w:tcPr>
            <w:tcW w:w="2500" w:type="pct"/>
            <w:noWrap w:val="0"/>
            <w:vAlign w:val="center"/>
          </w:tcPr>
          <w:p w14:paraId="5075CA42">
            <w:pPr>
              <w:pStyle w:val="10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highlight w:val="none"/>
                <w:vertAlign w:val="baseline"/>
                <w:lang w:val="en-US" w:eastAsia="zh-CN"/>
              </w:rPr>
            </w:pPr>
            <w:r>
              <w:rPr>
                <w:rFonts w:hint="default" w:ascii="Times New Roman" w:hAnsi="Times New Roman" w:eastAsia="宋体" w:cs="Times New Roman"/>
                <w:color w:val="000000"/>
                <w:highlight w:val="none"/>
                <w:vertAlign w:val="baseline"/>
                <w:lang w:val="en-US" w:eastAsia="zh-CN"/>
              </w:rPr>
              <w:drawing>
                <wp:inline distT="0" distB="0" distL="114300" distR="114300">
                  <wp:extent cx="2536190" cy="1901825"/>
                  <wp:effectExtent l="0" t="0" r="16510" b="3175"/>
                  <wp:docPr id="21" name="图片 8" descr="IMG_20250729_123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descr="IMG_20250729_123848"/>
                          <pic:cNvPicPr>
                            <a:picLocks noChangeAspect="1"/>
                          </pic:cNvPicPr>
                        </pic:nvPicPr>
                        <pic:blipFill>
                          <a:blip r:embed="rId46"/>
                          <a:stretch>
                            <a:fillRect/>
                          </a:stretch>
                        </pic:blipFill>
                        <pic:spPr>
                          <a:xfrm>
                            <a:off x="0" y="0"/>
                            <a:ext cx="2536190" cy="1901825"/>
                          </a:xfrm>
                          <a:prstGeom prst="rect">
                            <a:avLst/>
                          </a:prstGeom>
                          <a:noFill/>
                          <a:ln>
                            <a:noFill/>
                          </a:ln>
                        </pic:spPr>
                      </pic:pic>
                    </a:graphicData>
                  </a:graphic>
                </wp:inline>
              </w:drawing>
            </w:r>
          </w:p>
        </w:tc>
      </w:tr>
      <w:tr w14:paraId="254B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center"/>
          </w:tcPr>
          <w:p w14:paraId="2C743A46">
            <w:pPr>
              <w:pStyle w:val="10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highlight w:val="none"/>
                <w:vertAlign w:val="baseline"/>
                <w:lang w:val="en-US" w:eastAsia="zh-CN"/>
              </w:rPr>
            </w:pPr>
            <w:r>
              <w:rPr>
                <w:rFonts w:hint="default" w:ascii="Times New Roman" w:hAnsi="Times New Roman" w:eastAsia="宋体" w:cs="Times New Roman"/>
                <w:color w:val="000000"/>
                <w:highlight w:val="none"/>
                <w:vertAlign w:val="baseline"/>
                <w:lang w:val="en-US" w:eastAsia="zh-CN"/>
              </w:rPr>
              <w:drawing>
                <wp:inline distT="0" distB="0" distL="114300" distR="114300">
                  <wp:extent cx="2536190" cy="1901825"/>
                  <wp:effectExtent l="0" t="0" r="16510" b="3175"/>
                  <wp:docPr id="22" name="图片 9" descr="IMG_20250729_12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descr="IMG_20250729_124706"/>
                          <pic:cNvPicPr>
                            <a:picLocks noChangeAspect="1"/>
                          </pic:cNvPicPr>
                        </pic:nvPicPr>
                        <pic:blipFill>
                          <a:blip r:embed="rId47"/>
                          <a:stretch>
                            <a:fillRect/>
                          </a:stretch>
                        </pic:blipFill>
                        <pic:spPr>
                          <a:xfrm>
                            <a:off x="0" y="0"/>
                            <a:ext cx="2536190" cy="1901825"/>
                          </a:xfrm>
                          <a:prstGeom prst="rect">
                            <a:avLst/>
                          </a:prstGeom>
                          <a:noFill/>
                          <a:ln>
                            <a:noFill/>
                          </a:ln>
                        </pic:spPr>
                      </pic:pic>
                    </a:graphicData>
                  </a:graphic>
                </wp:inline>
              </w:drawing>
            </w:r>
          </w:p>
        </w:tc>
        <w:tc>
          <w:tcPr>
            <w:tcW w:w="2500" w:type="pct"/>
            <w:noWrap w:val="0"/>
            <w:vAlign w:val="center"/>
          </w:tcPr>
          <w:p w14:paraId="04A14F68">
            <w:pPr>
              <w:pStyle w:val="10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highlight w:val="none"/>
                <w:vertAlign w:val="baseline"/>
                <w:lang w:val="en-US" w:eastAsia="zh-CN"/>
              </w:rPr>
            </w:pPr>
            <w:r>
              <w:rPr>
                <w:rFonts w:hint="default" w:ascii="Times New Roman" w:hAnsi="Times New Roman" w:eastAsia="宋体" w:cs="Times New Roman"/>
                <w:color w:val="000000"/>
                <w:highlight w:val="none"/>
                <w:vertAlign w:val="baseline"/>
                <w:lang w:val="en-US" w:eastAsia="zh-CN"/>
              </w:rPr>
              <w:drawing>
                <wp:inline distT="0" distB="0" distL="114300" distR="114300">
                  <wp:extent cx="2560955" cy="1920240"/>
                  <wp:effectExtent l="0" t="0" r="10795" b="3810"/>
                  <wp:docPr id="23" name="图片 29" descr="微信图片_2025-07-31_201949_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9" descr="微信图片_2025-07-31_201949_839"/>
                          <pic:cNvPicPr>
                            <a:picLocks noChangeAspect="1"/>
                          </pic:cNvPicPr>
                        </pic:nvPicPr>
                        <pic:blipFill>
                          <a:blip r:embed="rId48"/>
                          <a:stretch>
                            <a:fillRect/>
                          </a:stretch>
                        </pic:blipFill>
                        <pic:spPr>
                          <a:xfrm>
                            <a:off x="0" y="0"/>
                            <a:ext cx="2560955" cy="1920240"/>
                          </a:xfrm>
                          <a:prstGeom prst="rect">
                            <a:avLst/>
                          </a:prstGeom>
                          <a:noFill/>
                          <a:ln>
                            <a:noFill/>
                          </a:ln>
                        </pic:spPr>
                      </pic:pic>
                    </a:graphicData>
                  </a:graphic>
                </wp:inline>
              </w:drawing>
            </w:r>
          </w:p>
        </w:tc>
      </w:tr>
      <w:tr w14:paraId="673A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center"/>
          </w:tcPr>
          <w:p w14:paraId="08D0BF93">
            <w:pPr>
              <w:pStyle w:val="10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highlight w:val="none"/>
                <w:vertAlign w:val="baseline"/>
                <w:lang w:val="en-US" w:eastAsia="zh-CN"/>
              </w:rPr>
            </w:pPr>
            <w:r>
              <w:rPr>
                <w:rFonts w:hint="eastAsia" w:cs="Times New Roman"/>
                <w:b/>
                <w:bCs/>
                <w:color w:val="000000"/>
                <w:highlight w:val="none"/>
                <w:lang w:val="en-US" w:eastAsia="zh-CN"/>
              </w:rPr>
              <w:t xml:space="preserve">图3   </w:t>
            </w:r>
            <w:r>
              <w:rPr>
                <w:rFonts w:hint="default" w:ascii="Times New Roman" w:hAnsi="Times New Roman" w:eastAsia="宋体" w:cs="Times New Roman"/>
                <w:b/>
                <w:bCs/>
                <w:color w:val="000000"/>
                <w:highlight w:val="none"/>
                <w:lang w:val="en-US" w:eastAsia="zh-CN"/>
              </w:rPr>
              <w:t>样方调查现场照片</w:t>
            </w:r>
          </w:p>
        </w:tc>
      </w:tr>
    </w:tbl>
    <w:p w14:paraId="19699F04">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360" w:lineRule="auto"/>
        <w:ind w:left="0" w:leftChars="0"/>
        <w:jc w:val="center"/>
        <w:textAlignment w:val="auto"/>
        <w:outlineLvl w:val="9"/>
        <w:rPr>
          <w:rFonts w:hint="default" w:ascii="Times New Roman" w:hAnsi="Times New Roman" w:eastAsia="宋体" w:cs="Times New Roman"/>
          <w:b/>
          <w:bCs/>
          <w:color w:val="000000"/>
          <w:sz w:val="24"/>
          <w:szCs w:val="24"/>
          <w:highlight w:val="none"/>
          <w:lang w:val="en-US" w:eastAsia="zh-CN"/>
        </w:rPr>
      </w:pPr>
      <w:bookmarkStart w:id="111" w:name="_Toc11862"/>
      <w:bookmarkStart w:id="112" w:name="_Toc18775"/>
      <w:r>
        <w:rPr>
          <w:rFonts w:hint="default" w:ascii="Times New Roman" w:hAnsi="Times New Roman" w:eastAsia="宋体" w:cs="Times New Roman"/>
          <w:b/>
          <w:bCs/>
          <w:color w:val="000000"/>
          <w:sz w:val="24"/>
          <w:szCs w:val="24"/>
          <w:highlight w:val="none"/>
          <w:lang w:val="en-US" w:eastAsia="zh-CN"/>
        </w:rPr>
        <w:drawing>
          <wp:inline distT="0" distB="0" distL="114300" distR="114300">
            <wp:extent cx="5273040" cy="4081145"/>
            <wp:effectExtent l="0" t="0" r="3810" b="14605"/>
            <wp:docPr id="24" name="图片 39" descr="e49a5e0f413660dce45f6619135bf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9" descr="e49a5e0f413660dce45f6619135bfc01"/>
                    <pic:cNvPicPr>
                      <a:picLocks noChangeAspect="1"/>
                    </pic:cNvPicPr>
                  </pic:nvPicPr>
                  <pic:blipFill>
                    <a:blip r:embed="rId49"/>
                    <a:stretch>
                      <a:fillRect/>
                    </a:stretch>
                  </pic:blipFill>
                  <pic:spPr>
                    <a:xfrm>
                      <a:off x="0" y="0"/>
                      <a:ext cx="5273040" cy="4081145"/>
                    </a:xfrm>
                    <a:prstGeom prst="rect">
                      <a:avLst/>
                    </a:prstGeom>
                    <a:noFill/>
                    <a:ln>
                      <a:noFill/>
                    </a:ln>
                  </pic:spPr>
                </pic:pic>
              </a:graphicData>
            </a:graphic>
          </wp:inline>
        </w:drawing>
      </w:r>
      <w:r>
        <w:rPr>
          <w:rFonts w:hint="default" w:ascii="Times New Roman" w:hAnsi="Times New Roman" w:eastAsia="宋体" w:cs="Times New Roman"/>
          <w:b/>
          <w:bCs/>
          <w:color w:val="000000"/>
          <w:sz w:val="24"/>
          <w:szCs w:val="24"/>
          <w:highlight w:val="none"/>
          <w:lang w:val="en-US" w:eastAsia="zh-CN"/>
        </w:rPr>
        <w:t>图4   植被类型图</w:t>
      </w:r>
    </w:p>
    <w:p w14:paraId="1940CE4B">
      <w:pPr>
        <w:pStyle w:val="4"/>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360" w:lineRule="auto"/>
        <w:ind w:left="0" w:leftChars="0"/>
        <w:textAlignment w:val="auto"/>
        <w:outlineLvl w:val="2"/>
        <w:rPr>
          <w:rFonts w:hint="default" w:ascii="Times New Roman" w:hAnsi="Times New Roman" w:eastAsia="宋体" w:cs="Times New Roman"/>
          <w:b w:val="0"/>
          <w:bCs/>
          <w:color w:val="000000"/>
          <w:sz w:val="24"/>
          <w:szCs w:val="24"/>
          <w:highlight w:val="none"/>
          <w:lang w:val="en-US" w:eastAsia="zh-CN"/>
        </w:rPr>
      </w:pPr>
      <w:bookmarkStart w:id="113" w:name="_Toc3322"/>
      <w:r>
        <w:rPr>
          <w:rFonts w:hint="default" w:ascii="Times New Roman" w:hAnsi="Times New Roman" w:eastAsia="宋体" w:cs="Times New Roman"/>
          <w:b w:val="0"/>
          <w:bCs/>
          <w:color w:val="000000"/>
          <w:sz w:val="24"/>
          <w:szCs w:val="24"/>
          <w:highlight w:val="none"/>
          <w:lang w:val="en-US" w:eastAsia="zh-CN"/>
        </w:rPr>
        <w:t>2.3.4评价区野生动物现状及分析</w:t>
      </w:r>
      <w:bookmarkEnd w:id="111"/>
      <w:bookmarkEnd w:id="112"/>
      <w:bookmarkEnd w:id="113"/>
    </w:p>
    <w:p w14:paraId="386381E5">
      <w:pPr>
        <w:pStyle w:val="6"/>
        <w:keepNext/>
        <w:keepLines/>
        <w:pageBreakBefore w:val="0"/>
        <w:widowControl w:val="0"/>
        <w:numPr>
          <w:ilvl w:val="0"/>
          <w:numId w:val="0"/>
        </w:numPr>
        <w:kinsoku/>
        <w:wordWrap/>
        <w:overflowPunct/>
        <w:topLinePunct w:val="0"/>
        <w:autoSpaceDE/>
        <w:autoSpaceDN/>
        <w:bidi w:val="0"/>
        <w:adjustRightInd/>
        <w:snapToGrid w:val="0"/>
        <w:spacing w:before="0" w:beforeLines="0" w:after="0" w:afterLines="0" w:line="360" w:lineRule="auto"/>
        <w:ind w:left="0" w:leftChars="0" w:firstLine="720" w:firstLineChars="300"/>
        <w:textAlignment w:val="auto"/>
        <w:outlineLvl w:val="3"/>
        <w:rPr>
          <w:rFonts w:hint="default" w:ascii="Times New Roman" w:hAnsi="Times New Roman" w:eastAsia="宋体" w:cs="Times New Roman"/>
          <w:b w:val="0"/>
          <w:bCs/>
          <w:color w:val="000000"/>
          <w:sz w:val="24"/>
          <w:szCs w:val="21"/>
          <w:lang w:val="en-US" w:eastAsia="zh-CN"/>
        </w:rPr>
      </w:pPr>
      <w:bookmarkStart w:id="114" w:name="_Toc22199"/>
      <w:bookmarkStart w:id="115" w:name="_Toc7937"/>
      <w:r>
        <w:rPr>
          <w:rFonts w:hint="default" w:ascii="Times New Roman" w:hAnsi="Times New Roman" w:eastAsia="宋体" w:cs="Times New Roman"/>
          <w:b w:val="0"/>
          <w:bCs/>
          <w:color w:val="000000"/>
          <w:sz w:val="24"/>
          <w:szCs w:val="21"/>
          <w:lang w:val="en-US" w:eastAsia="zh-CN"/>
        </w:rPr>
        <w:t>2.3.4.1调查基本情况</w:t>
      </w:r>
      <w:bookmarkEnd w:id="114"/>
      <w:bookmarkEnd w:id="115"/>
    </w:p>
    <w:p w14:paraId="238A3D5B">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（1）调查时间</w:t>
      </w:r>
    </w:p>
    <w:p w14:paraId="2722D64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调查人员于2025年2月、5月、7月、9月对评价区生态现状动物部分进行了现场实地调查。</w:t>
      </w:r>
    </w:p>
    <w:p w14:paraId="5076034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生态调查人员自2025年2月至2025年9月期间，先后开展了4次现场实地野生动物调查，合计现场调查工作时间为8个工作日。调查时间及调查情况概述如下：</w:t>
      </w:r>
    </w:p>
    <w:p w14:paraId="09A1AA6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第一次调查：2025年2月17～18日，针对评价区范围开展野生动物样线冬季调查。</w:t>
      </w:r>
    </w:p>
    <w:p w14:paraId="7DD7A4B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第二次调查：2025年5月14～15日，针对评价区范围开展野生动物样线春季调查。</w:t>
      </w:r>
    </w:p>
    <w:p w14:paraId="3CD8DE0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第三次调查：2025年7月8～9日，针对评价区范围开展野生动物样线夏季调查。</w:t>
      </w:r>
    </w:p>
    <w:p w14:paraId="5FB6997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第四次调查：2025年9月10～11日，针对评价区范围开展野生动物样线秋季调查。</w:t>
      </w:r>
    </w:p>
    <w:p w14:paraId="1294EC6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上述现场调查，结合相关资料的收集，覆盖了春、夏、秋、冬四个季节，获得了评价区野生动物繁殖期、越冬期、迁徙期的野生动物活动数据。调查时间满足导则针对一级评价区域的野生动物调查“应获得近1～2个完整年度不同季节的现状资料”的要求。</w:t>
      </w:r>
    </w:p>
    <w:p w14:paraId="62DD430D">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（2）调查范围</w:t>
      </w:r>
    </w:p>
    <w:p w14:paraId="71A53A1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本次植物现状调查范围为评价区及其周边区域，根据生态单元和地理单元分布，由于评价区域外有高陡山坡等形成的天然隔离地貌，因此，本次评价在进行生态环境现状调查工作时，调查范围取天然隔离地貌为界的区域范围。</w:t>
      </w:r>
    </w:p>
    <w:p w14:paraId="048CF6AF">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（3）调查内容</w:t>
      </w:r>
    </w:p>
    <w:p w14:paraId="5AD0844A">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调查范围内的动物种类，包括爬行类、哺乳类和鸟类的种类和分布。调查中需要重点关注具有较高保护价值或保护要求的物种，包括国家及地方重点保护野生动物名录所列的物种，《中国生物多样性红色名录》中列为极危（Critically Endangered）、濒危（Endangered）和易危（Vulnerable）的物种，国家和地方政府列入拯救保护的极小种群物种，特有种等。对于重要物种，同时调查其数量、分布、生境等信息。</w:t>
      </w:r>
    </w:p>
    <w:p w14:paraId="3C9AC5FD">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（4）调查方法</w:t>
      </w:r>
    </w:p>
    <w:p w14:paraId="0CCF0BE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在调查过程中，确定评价区域内动物的种类、资源状况及生存状况，尤其是重点保护种类。调查方法主要有样线法、访问和资料查询。爬行类活动能力相对较差，调查时主要在有水域之处及其它适合其生存的生境中采用样点法，观察其种类与数量。哺乳类主要采用现场的环境调查、野外踪迹调查，包括：足迹链、窝迹、粪便，再结合访问调查确定种类及数量等。鸟类主要采用样线法与样点法，根据生境类型及其面积的大小设计样线，抽样强度高于2%。样线法是沿着预先设计的一定路线，边走边进行观察，统计鸟类数量与名称，借助望远镜确定种类。左右肉眼能见度为这个带状样方的宽度，乘上样线长度即这个带状样方的面积。从上述调查得到的种类之中，对相关重点保护物种进行进一步调查与核实，确定其种类及数量。对有疑问动物、重点保护动物尽量采集凭证标本并拍摄照片。此外，在重点施工区域以及特殊区域（如植被好的区域）实行重点调查。</w:t>
      </w:r>
    </w:p>
    <w:p w14:paraId="15D0541A">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综上所述，本项目共布设10条样线，项目评价区动物调查样线基本情况详见表</w:t>
      </w:r>
      <w:r>
        <w:rPr>
          <w:rFonts w:hint="eastAsia" w:cs="Times New Roman"/>
          <w:b w:val="0"/>
          <w:bCs w:val="0"/>
          <w:color w:val="000000"/>
          <w:kern w:val="0"/>
          <w:sz w:val="24"/>
          <w:szCs w:val="24"/>
          <w:highlight w:val="none"/>
          <w:lang w:val="en-US" w:eastAsia="zh-CN"/>
        </w:rPr>
        <w:t>9</w:t>
      </w:r>
      <w:r>
        <w:rPr>
          <w:rFonts w:hint="default" w:ascii="Times New Roman" w:hAnsi="Times New Roman" w:eastAsia="宋体" w:cs="Times New Roman"/>
          <w:b w:val="0"/>
          <w:bCs w:val="0"/>
          <w:color w:val="000000"/>
          <w:kern w:val="0"/>
          <w:sz w:val="24"/>
          <w:szCs w:val="24"/>
          <w:highlight w:val="none"/>
          <w:lang w:val="en-US" w:eastAsia="zh-CN"/>
        </w:rPr>
        <w:t>，评价区动物调查样线分布图详见图5。</w:t>
      </w:r>
    </w:p>
    <w:p w14:paraId="471A91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表</w:t>
      </w:r>
      <w:r>
        <w:rPr>
          <w:rFonts w:hint="eastAsia" w:cs="Times New Roman"/>
          <w:b/>
          <w:bCs/>
          <w:color w:val="000000"/>
          <w:kern w:val="0"/>
          <w:sz w:val="21"/>
          <w:szCs w:val="21"/>
          <w:highlight w:val="none"/>
          <w:lang w:val="en-US" w:eastAsia="zh-CN"/>
        </w:rPr>
        <w:t>9</w:t>
      </w:r>
      <w:r>
        <w:rPr>
          <w:rFonts w:hint="default" w:ascii="Times New Roman" w:hAnsi="Times New Roman" w:eastAsia="宋体" w:cs="Times New Roman"/>
          <w:b/>
          <w:bCs/>
          <w:color w:val="000000"/>
          <w:kern w:val="0"/>
          <w:sz w:val="21"/>
          <w:szCs w:val="21"/>
          <w:highlight w:val="none"/>
          <w:lang w:val="en-US" w:eastAsia="zh-CN"/>
        </w:rPr>
        <w:t xml:space="preserve">    评价区动物样线统计表</w:t>
      </w:r>
    </w:p>
    <w:tbl>
      <w:tblPr>
        <w:tblStyle w:val="3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997"/>
        <w:gridCol w:w="696"/>
        <w:gridCol w:w="1858"/>
        <w:gridCol w:w="1858"/>
        <w:gridCol w:w="1210"/>
        <w:gridCol w:w="1058"/>
      </w:tblGrid>
      <w:tr w14:paraId="0FA570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94" w:type="pct"/>
            <w:tcBorders>
              <w:tl2br w:val="nil"/>
              <w:tr2bl w:val="nil"/>
            </w:tcBorders>
            <w:noWrap w:val="0"/>
            <w:vAlign w:val="center"/>
          </w:tcPr>
          <w:p w14:paraId="05C3276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样线</w:t>
            </w:r>
          </w:p>
          <w:p w14:paraId="7C28263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编号</w:t>
            </w:r>
          </w:p>
        </w:tc>
        <w:tc>
          <w:tcPr>
            <w:tcW w:w="585" w:type="pct"/>
            <w:tcBorders>
              <w:tl2br w:val="nil"/>
              <w:tr2bl w:val="nil"/>
            </w:tcBorders>
            <w:noWrap w:val="0"/>
            <w:vAlign w:val="center"/>
          </w:tcPr>
          <w:p w14:paraId="77D40D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样线起点</w:t>
            </w:r>
          </w:p>
        </w:tc>
        <w:tc>
          <w:tcPr>
            <w:tcW w:w="408" w:type="pct"/>
            <w:tcBorders>
              <w:tl2br w:val="nil"/>
              <w:tr2bl w:val="nil"/>
            </w:tcBorders>
            <w:noWrap w:val="0"/>
            <w:vAlign w:val="center"/>
          </w:tcPr>
          <w:p w14:paraId="7D95233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海拔</w:t>
            </w:r>
          </w:p>
        </w:tc>
        <w:tc>
          <w:tcPr>
            <w:tcW w:w="1090" w:type="pct"/>
            <w:tcBorders>
              <w:tl2br w:val="nil"/>
              <w:tr2bl w:val="nil"/>
            </w:tcBorders>
            <w:noWrap w:val="0"/>
            <w:vAlign w:val="center"/>
          </w:tcPr>
          <w:p w14:paraId="6250417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经度</w:t>
            </w:r>
          </w:p>
        </w:tc>
        <w:tc>
          <w:tcPr>
            <w:tcW w:w="1090" w:type="pct"/>
            <w:tcBorders>
              <w:tl2br w:val="nil"/>
              <w:tr2bl w:val="nil"/>
            </w:tcBorders>
            <w:noWrap w:val="0"/>
            <w:vAlign w:val="center"/>
          </w:tcPr>
          <w:p w14:paraId="57D1F2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纬度</w:t>
            </w:r>
          </w:p>
        </w:tc>
        <w:tc>
          <w:tcPr>
            <w:tcW w:w="710" w:type="pct"/>
            <w:tcBorders>
              <w:tl2br w:val="nil"/>
              <w:tr2bl w:val="nil"/>
            </w:tcBorders>
            <w:noWrap w:val="0"/>
            <w:vAlign w:val="center"/>
          </w:tcPr>
          <w:p w14:paraId="693FD11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主要生境</w:t>
            </w:r>
          </w:p>
        </w:tc>
        <w:tc>
          <w:tcPr>
            <w:tcW w:w="620" w:type="pct"/>
            <w:tcBorders>
              <w:tl2br w:val="nil"/>
              <w:tr2bl w:val="nil"/>
            </w:tcBorders>
            <w:noWrap w:val="0"/>
            <w:vAlign w:val="center"/>
          </w:tcPr>
          <w:p w14:paraId="7634717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样线长度（km）</w:t>
            </w:r>
          </w:p>
        </w:tc>
      </w:tr>
      <w:tr w14:paraId="787770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restart"/>
            <w:tcBorders>
              <w:tl2br w:val="nil"/>
              <w:tr2bl w:val="nil"/>
            </w:tcBorders>
            <w:noWrap w:val="0"/>
            <w:vAlign w:val="center"/>
          </w:tcPr>
          <w:p w14:paraId="43688C1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样线1</w:t>
            </w:r>
          </w:p>
        </w:tc>
        <w:tc>
          <w:tcPr>
            <w:tcW w:w="585" w:type="pct"/>
            <w:tcBorders>
              <w:tl2br w:val="nil"/>
              <w:tr2bl w:val="nil"/>
            </w:tcBorders>
            <w:noWrap w:val="0"/>
            <w:vAlign w:val="center"/>
          </w:tcPr>
          <w:p w14:paraId="5D5D045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起点</w:t>
            </w:r>
          </w:p>
        </w:tc>
        <w:tc>
          <w:tcPr>
            <w:tcW w:w="408" w:type="pct"/>
            <w:tcBorders>
              <w:tl2br w:val="nil"/>
              <w:tr2bl w:val="nil"/>
            </w:tcBorders>
            <w:noWrap w:val="0"/>
            <w:vAlign w:val="center"/>
          </w:tcPr>
          <w:p w14:paraId="75B895C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1099</w:t>
            </w:r>
          </w:p>
        </w:tc>
        <w:tc>
          <w:tcPr>
            <w:tcW w:w="1090" w:type="pct"/>
            <w:tcBorders>
              <w:tl2br w:val="nil"/>
              <w:tr2bl w:val="nil"/>
            </w:tcBorders>
            <w:noWrap w:val="0"/>
            <w:vAlign w:val="center"/>
          </w:tcPr>
          <w:p w14:paraId="324A979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88°03'59.9089"</w:t>
            </w:r>
          </w:p>
        </w:tc>
        <w:tc>
          <w:tcPr>
            <w:tcW w:w="1090" w:type="pct"/>
            <w:tcBorders>
              <w:tl2br w:val="nil"/>
              <w:tr2bl w:val="nil"/>
            </w:tcBorders>
            <w:noWrap w:val="0"/>
            <w:vAlign w:val="center"/>
          </w:tcPr>
          <w:p w14:paraId="31B97C3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43°59'33.4447"</w:t>
            </w:r>
          </w:p>
        </w:tc>
        <w:tc>
          <w:tcPr>
            <w:tcW w:w="710" w:type="pct"/>
            <w:vMerge w:val="restart"/>
            <w:tcBorders>
              <w:tl2br w:val="nil"/>
              <w:tr2bl w:val="nil"/>
            </w:tcBorders>
            <w:noWrap w:val="0"/>
            <w:vAlign w:val="center"/>
          </w:tcPr>
          <w:p w14:paraId="265201D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灌木、草地</w:t>
            </w:r>
          </w:p>
        </w:tc>
        <w:tc>
          <w:tcPr>
            <w:tcW w:w="620" w:type="pct"/>
            <w:vMerge w:val="restart"/>
            <w:tcBorders>
              <w:tl2br w:val="nil"/>
              <w:tr2bl w:val="nil"/>
            </w:tcBorders>
            <w:noWrap w:val="0"/>
            <w:vAlign w:val="center"/>
          </w:tcPr>
          <w:p w14:paraId="7BE5F8B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1.01</w:t>
            </w:r>
          </w:p>
        </w:tc>
      </w:tr>
      <w:tr w14:paraId="0C0712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494" w:type="pct"/>
            <w:vMerge w:val="continue"/>
            <w:tcBorders>
              <w:tl2br w:val="nil"/>
              <w:tr2bl w:val="nil"/>
            </w:tcBorders>
            <w:noWrap w:val="0"/>
            <w:vAlign w:val="center"/>
          </w:tcPr>
          <w:p w14:paraId="72A8AE5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585" w:type="pct"/>
            <w:tcBorders>
              <w:tl2br w:val="nil"/>
              <w:tr2bl w:val="nil"/>
            </w:tcBorders>
            <w:noWrap w:val="0"/>
            <w:vAlign w:val="center"/>
          </w:tcPr>
          <w:p w14:paraId="267C62C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终点</w:t>
            </w:r>
          </w:p>
        </w:tc>
        <w:tc>
          <w:tcPr>
            <w:tcW w:w="408" w:type="pct"/>
            <w:tcBorders>
              <w:tl2br w:val="nil"/>
              <w:tr2bl w:val="nil"/>
            </w:tcBorders>
            <w:noWrap w:val="0"/>
            <w:vAlign w:val="center"/>
          </w:tcPr>
          <w:p w14:paraId="73FC33B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1134</w:t>
            </w:r>
          </w:p>
        </w:tc>
        <w:tc>
          <w:tcPr>
            <w:tcW w:w="1090" w:type="pct"/>
            <w:tcBorders>
              <w:tl2br w:val="nil"/>
              <w:tr2bl w:val="nil"/>
            </w:tcBorders>
            <w:noWrap w:val="0"/>
            <w:vAlign w:val="center"/>
          </w:tcPr>
          <w:p w14:paraId="45D76DF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88°04'14.8677"</w:t>
            </w:r>
          </w:p>
        </w:tc>
        <w:tc>
          <w:tcPr>
            <w:tcW w:w="1090" w:type="pct"/>
            <w:tcBorders>
              <w:tl2br w:val="nil"/>
              <w:tr2bl w:val="nil"/>
            </w:tcBorders>
            <w:noWrap w:val="0"/>
            <w:vAlign w:val="center"/>
          </w:tcPr>
          <w:p w14:paraId="2D164B7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43°59'16.2346"</w:t>
            </w:r>
          </w:p>
        </w:tc>
        <w:tc>
          <w:tcPr>
            <w:tcW w:w="710" w:type="pct"/>
            <w:vMerge w:val="continue"/>
            <w:tcBorders>
              <w:tl2br w:val="nil"/>
              <w:tr2bl w:val="nil"/>
            </w:tcBorders>
            <w:noWrap w:val="0"/>
            <w:vAlign w:val="center"/>
          </w:tcPr>
          <w:p w14:paraId="78356E1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20" w:type="pct"/>
            <w:vMerge w:val="continue"/>
            <w:tcBorders>
              <w:tl2br w:val="nil"/>
              <w:tr2bl w:val="nil"/>
            </w:tcBorders>
            <w:noWrap w:val="0"/>
            <w:vAlign w:val="center"/>
          </w:tcPr>
          <w:p w14:paraId="5A102A1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46F0BC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restart"/>
            <w:tcBorders>
              <w:tl2br w:val="nil"/>
              <w:tr2bl w:val="nil"/>
            </w:tcBorders>
            <w:noWrap w:val="0"/>
            <w:vAlign w:val="center"/>
          </w:tcPr>
          <w:p w14:paraId="5468D50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样线2</w:t>
            </w:r>
          </w:p>
        </w:tc>
        <w:tc>
          <w:tcPr>
            <w:tcW w:w="585" w:type="pct"/>
            <w:tcBorders>
              <w:tl2br w:val="nil"/>
              <w:tr2bl w:val="nil"/>
            </w:tcBorders>
            <w:noWrap w:val="0"/>
            <w:vAlign w:val="center"/>
          </w:tcPr>
          <w:p w14:paraId="037C711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起点</w:t>
            </w:r>
          </w:p>
        </w:tc>
        <w:tc>
          <w:tcPr>
            <w:tcW w:w="408" w:type="pct"/>
            <w:tcBorders>
              <w:tl2br w:val="nil"/>
              <w:tr2bl w:val="nil"/>
            </w:tcBorders>
            <w:noWrap w:val="0"/>
            <w:vAlign w:val="center"/>
          </w:tcPr>
          <w:p w14:paraId="53C19D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1128</w:t>
            </w:r>
          </w:p>
        </w:tc>
        <w:tc>
          <w:tcPr>
            <w:tcW w:w="1090" w:type="pct"/>
            <w:tcBorders>
              <w:tl2br w:val="nil"/>
              <w:tr2bl w:val="nil"/>
            </w:tcBorders>
            <w:noWrap w:val="0"/>
            <w:vAlign w:val="center"/>
          </w:tcPr>
          <w:p w14:paraId="3DA2F81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88°04'17.9807"</w:t>
            </w:r>
          </w:p>
        </w:tc>
        <w:tc>
          <w:tcPr>
            <w:tcW w:w="1090" w:type="pct"/>
            <w:tcBorders>
              <w:tl2br w:val="nil"/>
              <w:tr2bl w:val="nil"/>
            </w:tcBorders>
            <w:noWrap w:val="0"/>
            <w:vAlign w:val="center"/>
          </w:tcPr>
          <w:p w14:paraId="156A61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43°59'11.1322"</w:t>
            </w:r>
          </w:p>
        </w:tc>
        <w:tc>
          <w:tcPr>
            <w:tcW w:w="710" w:type="pct"/>
            <w:vMerge w:val="restart"/>
            <w:tcBorders>
              <w:tl2br w:val="nil"/>
              <w:tr2bl w:val="nil"/>
            </w:tcBorders>
            <w:noWrap w:val="0"/>
            <w:vAlign w:val="center"/>
          </w:tcPr>
          <w:p w14:paraId="62F483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灌木、草地</w:t>
            </w:r>
          </w:p>
        </w:tc>
        <w:tc>
          <w:tcPr>
            <w:tcW w:w="620" w:type="pct"/>
            <w:vMerge w:val="restart"/>
            <w:tcBorders>
              <w:tl2br w:val="nil"/>
              <w:tr2bl w:val="nil"/>
            </w:tcBorders>
            <w:noWrap w:val="0"/>
            <w:vAlign w:val="center"/>
          </w:tcPr>
          <w:p w14:paraId="0BFCAE3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1.52</w:t>
            </w:r>
          </w:p>
        </w:tc>
      </w:tr>
      <w:tr w14:paraId="08E36A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continue"/>
            <w:tcBorders>
              <w:tl2br w:val="nil"/>
              <w:tr2bl w:val="nil"/>
            </w:tcBorders>
            <w:noWrap w:val="0"/>
            <w:vAlign w:val="center"/>
          </w:tcPr>
          <w:p w14:paraId="0C70802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585" w:type="pct"/>
            <w:tcBorders>
              <w:tl2br w:val="nil"/>
              <w:tr2bl w:val="nil"/>
            </w:tcBorders>
            <w:noWrap w:val="0"/>
            <w:vAlign w:val="center"/>
          </w:tcPr>
          <w:p w14:paraId="19E1DA4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终点</w:t>
            </w:r>
          </w:p>
        </w:tc>
        <w:tc>
          <w:tcPr>
            <w:tcW w:w="408" w:type="pct"/>
            <w:tcBorders>
              <w:tl2br w:val="nil"/>
              <w:tr2bl w:val="nil"/>
            </w:tcBorders>
            <w:noWrap w:val="0"/>
            <w:vAlign w:val="center"/>
          </w:tcPr>
          <w:p w14:paraId="734141A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1182</w:t>
            </w:r>
          </w:p>
        </w:tc>
        <w:tc>
          <w:tcPr>
            <w:tcW w:w="1090" w:type="pct"/>
            <w:tcBorders>
              <w:tl2br w:val="nil"/>
              <w:tr2bl w:val="nil"/>
            </w:tcBorders>
            <w:noWrap w:val="0"/>
            <w:vAlign w:val="center"/>
          </w:tcPr>
          <w:p w14:paraId="758A850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88°04'37.0425"</w:t>
            </w:r>
          </w:p>
        </w:tc>
        <w:tc>
          <w:tcPr>
            <w:tcW w:w="1090" w:type="pct"/>
            <w:tcBorders>
              <w:tl2br w:val="nil"/>
              <w:tr2bl w:val="nil"/>
            </w:tcBorders>
            <w:noWrap w:val="0"/>
            <w:vAlign w:val="center"/>
          </w:tcPr>
          <w:p w14:paraId="3CDE74A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43°58'48.1305"</w:t>
            </w:r>
          </w:p>
        </w:tc>
        <w:tc>
          <w:tcPr>
            <w:tcW w:w="710" w:type="pct"/>
            <w:vMerge w:val="continue"/>
            <w:tcBorders>
              <w:tl2br w:val="nil"/>
              <w:tr2bl w:val="nil"/>
            </w:tcBorders>
            <w:noWrap w:val="0"/>
            <w:vAlign w:val="center"/>
          </w:tcPr>
          <w:p w14:paraId="5C00F35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20" w:type="pct"/>
            <w:vMerge w:val="continue"/>
            <w:tcBorders>
              <w:tl2br w:val="nil"/>
              <w:tr2bl w:val="nil"/>
            </w:tcBorders>
            <w:noWrap w:val="0"/>
            <w:vAlign w:val="center"/>
          </w:tcPr>
          <w:p w14:paraId="3E8276A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0BFAF9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restart"/>
            <w:tcBorders>
              <w:tl2br w:val="nil"/>
              <w:tr2bl w:val="nil"/>
            </w:tcBorders>
            <w:noWrap w:val="0"/>
            <w:vAlign w:val="center"/>
          </w:tcPr>
          <w:p w14:paraId="1E50A7A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样线3</w:t>
            </w:r>
          </w:p>
        </w:tc>
        <w:tc>
          <w:tcPr>
            <w:tcW w:w="585" w:type="pct"/>
            <w:tcBorders>
              <w:tl2br w:val="nil"/>
              <w:tr2bl w:val="nil"/>
            </w:tcBorders>
            <w:noWrap w:val="0"/>
            <w:vAlign w:val="center"/>
          </w:tcPr>
          <w:p w14:paraId="37EF30A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起点</w:t>
            </w:r>
          </w:p>
        </w:tc>
        <w:tc>
          <w:tcPr>
            <w:tcW w:w="408" w:type="pct"/>
            <w:tcBorders>
              <w:tl2br w:val="nil"/>
              <w:tr2bl w:val="nil"/>
            </w:tcBorders>
            <w:noWrap w:val="0"/>
            <w:vAlign w:val="center"/>
          </w:tcPr>
          <w:p w14:paraId="068E3E3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1169</w:t>
            </w:r>
          </w:p>
        </w:tc>
        <w:tc>
          <w:tcPr>
            <w:tcW w:w="1090" w:type="pct"/>
            <w:tcBorders>
              <w:tl2br w:val="nil"/>
              <w:tr2bl w:val="nil"/>
            </w:tcBorders>
            <w:noWrap w:val="0"/>
            <w:vAlign w:val="center"/>
          </w:tcPr>
          <w:p w14:paraId="0E151AB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88°04'36.2305"</w:t>
            </w:r>
          </w:p>
        </w:tc>
        <w:tc>
          <w:tcPr>
            <w:tcW w:w="1090" w:type="pct"/>
            <w:tcBorders>
              <w:tl2br w:val="nil"/>
              <w:tr2bl w:val="nil"/>
            </w:tcBorders>
            <w:noWrap w:val="0"/>
            <w:vAlign w:val="center"/>
          </w:tcPr>
          <w:p w14:paraId="78E3F5B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43°58'46.4075"</w:t>
            </w:r>
          </w:p>
        </w:tc>
        <w:tc>
          <w:tcPr>
            <w:tcW w:w="710" w:type="pct"/>
            <w:vMerge w:val="restart"/>
            <w:tcBorders>
              <w:tl2br w:val="nil"/>
              <w:tr2bl w:val="nil"/>
            </w:tcBorders>
            <w:noWrap w:val="0"/>
            <w:vAlign w:val="center"/>
          </w:tcPr>
          <w:p w14:paraId="7DA3AFF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灌木、草地</w:t>
            </w:r>
          </w:p>
        </w:tc>
        <w:tc>
          <w:tcPr>
            <w:tcW w:w="620" w:type="pct"/>
            <w:vMerge w:val="restart"/>
            <w:tcBorders>
              <w:tl2br w:val="nil"/>
              <w:tr2bl w:val="nil"/>
            </w:tcBorders>
            <w:noWrap w:val="0"/>
            <w:vAlign w:val="center"/>
          </w:tcPr>
          <w:p w14:paraId="4AFD31C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1.10</w:t>
            </w:r>
          </w:p>
        </w:tc>
      </w:tr>
      <w:tr w14:paraId="11DF2C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continue"/>
            <w:tcBorders>
              <w:tl2br w:val="nil"/>
              <w:tr2bl w:val="nil"/>
            </w:tcBorders>
            <w:noWrap w:val="0"/>
            <w:vAlign w:val="center"/>
          </w:tcPr>
          <w:p w14:paraId="1FA0AE2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585" w:type="pct"/>
            <w:tcBorders>
              <w:tl2br w:val="nil"/>
              <w:tr2bl w:val="nil"/>
            </w:tcBorders>
            <w:noWrap w:val="0"/>
            <w:vAlign w:val="center"/>
          </w:tcPr>
          <w:p w14:paraId="5379F5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终点</w:t>
            </w:r>
          </w:p>
        </w:tc>
        <w:tc>
          <w:tcPr>
            <w:tcW w:w="408" w:type="pct"/>
            <w:tcBorders>
              <w:tl2br w:val="nil"/>
              <w:tr2bl w:val="nil"/>
            </w:tcBorders>
            <w:noWrap w:val="0"/>
            <w:vAlign w:val="center"/>
          </w:tcPr>
          <w:p w14:paraId="1D28947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1247</w:t>
            </w:r>
          </w:p>
        </w:tc>
        <w:tc>
          <w:tcPr>
            <w:tcW w:w="1090" w:type="pct"/>
            <w:tcBorders>
              <w:tl2br w:val="nil"/>
              <w:tr2bl w:val="nil"/>
            </w:tcBorders>
            <w:noWrap w:val="0"/>
            <w:vAlign w:val="center"/>
          </w:tcPr>
          <w:p w14:paraId="720D891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88°04'52.1271"</w:t>
            </w:r>
          </w:p>
        </w:tc>
        <w:tc>
          <w:tcPr>
            <w:tcW w:w="1090" w:type="pct"/>
            <w:tcBorders>
              <w:tl2br w:val="nil"/>
              <w:tr2bl w:val="nil"/>
            </w:tcBorders>
            <w:noWrap w:val="0"/>
            <w:vAlign w:val="center"/>
          </w:tcPr>
          <w:p w14:paraId="12842B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43°58'28.5629"</w:t>
            </w:r>
          </w:p>
        </w:tc>
        <w:tc>
          <w:tcPr>
            <w:tcW w:w="710" w:type="pct"/>
            <w:vMerge w:val="continue"/>
            <w:tcBorders>
              <w:tl2br w:val="nil"/>
              <w:tr2bl w:val="nil"/>
            </w:tcBorders>
            <w:noWrap w:val="0"/>
            <w:vAlign w:val="center"/>
          </w:tcPr>
          <w:p w14:paraId="331E198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20" w:type="pct"/>
            <w:vMerge w:val="continue"/>
            <w:tcBorders>
              <w:tl2br w:val="nil"/>
              <w:tr2bl w:val="nil"/>
            </w:tcBorders>
            <w:noWrap w:val="0"/>
            <w:vAlign w:val="center"/>
          </w:tcPr>
          <w:p w14:paraId="3D56D47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0404D6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restart"/>
            <w:tcBorders>
              <w:tl2br w:val="nil"/>
              <w:tr2bl w:val="nil"/>
            </w:tcBorders>
            <w:noWrap w:val="0"/>
            <w:vAlign w:val="center"/>
          </w:tcPr>
          <w:p w14:paraId="6C241C0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样线4</w:t>
            </w:r>
          </w:p>
        </w:tc>
        <w:tc>
          <w:tcPr>
            <w:tcW w:w="585" w:type="pct"/>
            <w:tcBorders>
              <w:tl2br w:val="nil"/>
              <w:tr2bl w:val="nil"/>
            </w:tcBorders>
            <w:noWrap w:val="0"/>
            <w:vAlign w:val="center"/>
          </w:tcPr>
          <w:p w14:paraId="1317D55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起点</w:t>
            </w:r>
          </w:p>
        </w:tc>
        <w:tc>
          <w:tcPr>
            <w:tcW w:w="408" w:type="pct"/>
            <w:tcBorders>
              <w:tl2br w:val="nil"/>
              <w:tr2bl w:val="nil"/>
            </w:tcBorders>
            <w:noWrap w:val="0"/>
            <w:vAlign w:val="center"/>
          </w:tcPr>
          <w:p w14:paraId="54CF35E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1220</w:t>
            </w:r>
          </w:p>
        </w:tc>
        <w:tc>
          <w:tcPr>
            <w:tcW w:w="1090" w:type="pct"/>
            <w:tcBorders>
              <w:tl2br w:val="nil"/>
              <w:tr2bl w:val="nil"/>
            </w:tcBorders>
            <w:noWrap w:val="0"/>
            <w:vAlign w:val="center"/>
          </w:tcPr>
          <w:p w14:paraId="6C7923A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88°04'46.4548"</w:t>
            </w:r>
          </w:p>
        </w:tc>
        <w:tc>
          <w:tcPr>
            <w:tcW w:w="1090" w:type="pct"/>
            <w:tcBorders>
              <w:tl2br w:val="nil"/>
              <w:tr2bl w:val="nil"/>
            </w:tcBorders>
            <w:noWrap w:val="0"/>
            <w:vAlign w:val="center"/>
          </w:tcPr>
          <w:p w14:paraId="127902C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43°58'29.1547"</w:t>
            </w:r>
          </w:p>
        </w:tc>
        <w:tc>
          <w:tcPr>
            <w:tcW w:w="710" w:type="pct"/>
            <w:vMerge w:val="restart"/>
            <w:tcBorders>
              <w:tl2br w:val="nil"/>
              <w:tr2bl w:val="nil"/>
            </w:tcBorders>
            <w:noWrap w:val="0"/>
            <w:vAlign w:val="center"/>
          </w:tcPr>
          <w:p w14:paraId="18F79B8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乔木、灌木、草地</w:t>
            </w:r>
          </w:p>
        </w:tc>
        <w:tc>
          <w:tcPr>
            <w:tcW w:w="620" w:type="pct"/>
            <w:vMerge w:val="restart"/>
            <w:tcBorders>
              <w:tl2br w:val="nil"/>
              <w:tr2bl w:val="nil"/>
            </w:tcBorders>
            <w:noWrap w:val="0"/>
            <w:vAlign w:val="center"/>
          </w:tcPr>
          <w:p w14:paraId="13A4B5D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1.10</w:t>
            </w:r>
          </w:p>
        </w:tc>
      </w:tr>
      <w:tr w14:paraId="51617F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continue"/>
            <w:tcBorders>
              <w:tl2br w:val="nil"/>
              <w:tr2bl w:val="nil"/>
            </w:tcBorders>
            <w:noWrap w:val="0"/>
            <w:vAlign w:val="center"/>
          </w:tcPr>
          <w:p w14:paraId="2AF4DD5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585" w:type="pct"/>
            <w:tcBorders>
              <w:tl2br w:val="nil"/>
              <w:tr2bl w:val="nil"/>
            </w:tcBorders>
            <w:noWrap w:val="0"/>
            <w:vAlign w:val="center"/>
          </w:tcPr>
          <w:p w14:paraId="1D3C488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终点</w:t>
            </w:r>
          </w:p>
        </w:tc>
        <w:tc>
          <w:tcPr>
            <w:tcW w:w="408" w:type="pct"/>
            <w:tcBorders>
              <w:tl2br w:val="nil"/>
              <w:tr2bl w:val="nil"/>
            </w:tcBorders>
            <w:noWrap w:val="0"/>
            <w:vAlign w:val="center"/>
          </w:tcPr>
          <w:p w14:paraId="1EE36FC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1169</w:t>
            </w:r>
          </w:p>
        </w:tc>
        <w:tc>
          <w:tcPr>
            <w:tcW w:w="1090" w:type="pct"/>
            <w:tcBorders>
              <w:tl2br w:val="nil"/>
              <w:tr2bl w:val="nil"/>
            </w:tcBorders>
            <w:noWrap w:val="0"/>
            <w:vAlign w:val="center"/>
          </w:tcPr>
          <w:p w14:paraId="6670DAB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88°04'35.0600"</w:t>
            </w:r>
          </w:p>
        </w:tc>
        <w:tc>
          <w:tcPr>
            <w:tcW w:w="1090" w:type="pct"/>
            <w:tcBorders>
              <w:tl2br w:val="nil"/>
              <w:tr2bl w:val="nil"/>
            </w:tcBorders>
            <w:noWrap w:val="0"/>
            <w:vAlign w:val="center"/>
          </w:tcPr>
          <w:p w14:paraId="2FB2A88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43°58'28.6843"</w:t>
            </w:r>
          </w:p>
        </w:tc>
        <w:tc>
          <w:tcPr>
            <w:tcW w:w="710" w:type="pct"/>
            <w:vMerge w:val="continue"/>
            <w:tcBorders>
              <w:tl2br w:val="nil"/>
              <w:tr2bl w:val="nil"/>
            </w:tcBorders>
            <w:noWrap w:val="0"/>
            <w:vAlign w:val="center"/>
          </w:tcPr>
          <w:p w14:paraId="6C7466F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20" w:type="pct"/>
            <w:vMerge w:val="continue"/>
            <w:tcBorders>
              <w:tl2br w:val="nil"/>
              <w:tr2bl w:val="nil"/>
            </w:tcBorders>
            <w:noWrap w:val="0"/>
            <w:vAlign w:val="center"/>
          </w:tcPr>
          <w:p w14:paraId="6045EA6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31031B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restart"/>
            <w:tcBorders>
              <w:tl2br w:val="nil"/>
              <w:tr2bl w:val="nil"/>
            </w:tcBorders>
            <w:noWrap w:val="0"/>
            <w:vAlign w:val="center"/>
          </w:tcPr>
          <w:p w14:paraId="1A0CB39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样线5</w:t>
            </w:r>
          </w:p>
        </w:tc>
        <w:tc>
          <w:tcPr>
            <w:tcW w:w="585" w:type="pct"/>
            <w:tcBorders>
              <w:tl2br w:val="nil"/>
              <w:tr2bl w:val="nil"/>
            </w:tcBorders>
            <w:noWrap w:val="0"/>
            <w:vAlign w:val="center"/>
          </w:tcPr>
          <w:p w14:paraId="06AB9F8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起点</w:t>
            </w:r>
          </w:p>
        </w:tc>
        <w:tc>
          <w:tcPr>
            <w:tcW w:w="408" w:type="pct"/>
            <w:tcBorders>
              <w:tl2br w:val="nil"/>
              <w:tr2bl w:val="nil"/>
            </w:tcBorders>
            <w:noWrap w:val="0"/>
            <w:vAlign w:val="center"/>
          </w:tcPr>
          <w:p w14:paraId="2BF5AC8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1169</w:t>
            </w:r>
          </w:p>
        </w:tc>
        <w:tc>
          <w:tcPr>
            <w:tcW w:w="1090" w:type="pct"/>
            <w:tcBorders>
              <w:tl2br w:val="nil"/>
              <w:tr2bl w:val="nil"/>
            </w:tcBorders>
            <w:noWrap w:val="0"/>
            <w:vAlign w:val="center"/>
          </w:tcPr>
          <w:p w14:paraId="6BB3F33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88°04'37.6602"</w:t>
            </w:r>
          </w:p>
        </w:tc>
        <w:tc>
          <w:tcPr>
            <w:tcW w:w="1090" w:type="pct"/>
            <w:tcBorders>
              <w:tl2br w:val="nil"/>
              <w:tr2bl w:val="nil"/>
            </w:tcBorders>
            <w:noWrap w:val="0"/>
            <w:vAlign w:val="center"/>
          </w:tcPr>
          <w:p w14:paraId="67B9BD8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43°58'31.9095"</w:t>
            </w:r>
          </w:p>
        </w:tc>
        <w:tc>
          <w:tcPr>
            <w:tcW w:w="710" w:type="pct"/>
            <w:vMerge w:val="restart"/>
            <w:tcBorders>
              <w:tl2br w:val="nil"/>
              <w:tr2bl w:val="nil"/>
            </w:tcBorders>
            <w:noWrap w:val="0"/>
            <w:vAlign w:val="center"/>
          </w:tcPr>
          <w:p w14:paraId="5933BB2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乔木、灌木、草地</w:t>
            </w:r>
          </w:p>
        </w:tc>
        <w:tc>
          <w:tcPr>
            <w:tcW w:w="620" w:type="pct"/>
            <w:vMerge w:val="restart"/>
            <w:tcBorders>
              <w:tl2br w:val="nil"/>
              <w:tr2bl w:val="nil"/>
            </w:tcBorders>
            <w:noWrap w:val="0"/>
            <w:vAlign w:val="center"/>
          </w:tcPr>
          <w:p w14:paraId="66B1115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1.28</w:t>
            </w:r>
          </w:p>
        </w:tc>
      </w:tr>
      <w:tr w14:paraId="290659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continue"/>
            <w:tcBorders>
              <w:tl2br w:val="nil"/>
              <w:tr2bl w:val="nil"/>
            </w:tcBorders>
            <w:noWrap w:val="0"/>
            <w:vAlign w:val="center"/>
          </w:tcPr>
          <w:p w14:paraId="7E4C010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585" w:type="pct"/>
            <w:tcBorders>
              <w:tl2br w:val="nil"/>
              <w:tr2bl w:val="nil"/>
            </w:tcBorders>
            <w:noWrap w:val="0"/>
            <w:vAlign w:val="center"/>
          </w:tcPr>
          <w:p w14:paraId="365C68F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终点</w:t>
            </w:r>
          </w:p>
        </w:tc>
        <w:tc>
          <w:tcPr>
            <w:tcW w:w="408" w:type="pct"/>
            <w:tcBorders>
              <w:tl2br w:val="nil"/>
              <w:tr2bl w:val="nil"/>
            </w:tcBorders>
            <w:noWrap w:val="0"/>
            <w:vAlign w:val="center"/>
          </w:tcPr>
          <w:p w14:paraId="3276869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1206</w:t>
            </w:r>
          </w:p>
        </w:tc>
        <w:tc>
          <w:tcPr>
            <w:tcW w:w="1090" w:type="pct"/>
            <w:tcBorders>
              <w:tl2br w:val="nil"/>
              <w:tr2bl w:val="nil"/>
            </w:tcBorders>
            <w:noWrap w:val="0"/>
            <w:vAlign w:val="center"/>
          </w:tcPr>
          <w:p w14:paraId="0FF7042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88°04'12.3910"</w:t>
            </w:r>
          </w:p>
        </w:tc>
        <w:tc>
          <w:tcPr>
            <w:tcW w:w="1090" w:type="pct"/>
            <w:tcBorders>
              <w:tl2br w:val="nil"/>
              <w:tr2bl w:val="nil"/>
            </w:tcBorders>
            <w:noWrap w:val="0"/>
            <w:vAlign w:val="center"/>
          </w:tcPr>
          <w:p w14:paraId="7A318C4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43°58'52.1132"</w:t>
            </w:r>
          </w:p>
        </w:tc>
        <w:tc>
          <w:tcPr>
            <w:tcW w:w="710" w:type="pct"/>
            <w:vMerge w:val="continue"/>
            <w:tcBorders>
              <w:tl2br w:val="nil"/>
              <w:tr2bl w:val="nil"/>
            </w:tcBorders>
            <w:noWrap w:val="0"/>
            <w:vAlign w:val="center"/>
          </w:tcPr>
          <w:p w14:paraId="04DEDE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20" w:type="pct"/>
            <w:vMerge w:val="continue"/>
            <w:tcBorders>
              <w:tl2br w:val="nil"/>
              <w:tr2bl w:val="nil"/>
            </w:tcBorders>
            <w:noWrap w:val="0"/>
            <w:vAlign w:val="center"/>
          </w:tcPr>
          <w:p w14:paraId="6EE8823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6D0B68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restart"/>
            <w:tcBorders>
              <w:tl2br w:val="nil"/>
              <w:tr2bl w:val="nil"/>
            </w:tcBorders>
            <w:noWrap w:val="0"/>
            <w:vAlign w:val="center"/>
          </w:tcPr>
          <w:p w14:paraId="6B90F56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样线6</w:t>
            </w:r>
          </w:p>
        </w:tc>
        <w:tc>
          <w:tcPr>
            <w:tcW w:w="585" w:type="pct"/>
            <w:tcBorders>
              <w:tl2br w:val="nil"/>
              <w:tr2bl w:val="nil"/>
            </w:tcBorders>
            <w:noWrap w:val="0"/>
            <w:vAlign w:val="center"/>
          </w:tcPr>
          <w:p w14:paraId="62B55CB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起点</w:t>
            </w:r>
          </w:p>
        </w:tc>
        <w:tc>
          <w:tcPr>
            <w:tcW w:w="408" w:type="pct"/>
            <w:tcBorders>
              <w:tl2br w:val="nil"/>
              <w:tr2bl w:val="nil"/>
            </w:tcBorders>
            <w:noWrap w:val="0"/>
            <w:vAlign w:val="center"/>
          </w:tcPr>
          <w:p w14:paraId="725581E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1159</w:t>
            </w:r>
          </w:p>
        </w:tc>
        <w:tc>
          <w:tcPr>
            <w:tcW w:w="1090" w:type="pct"/>
            <w:tcBorders>
              <w:tl2br w:val="nil"/>
              <w:tr2bl w:val="nil"/>
            </w:tcBorders>
            <w:noWrap w:val="0"/>
            <w:vAlign w:val="center"/>
          </w:tcPr>
          <w:p w14:paraId="4D2C728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88°04'34.3744"</w:t>
            </w:r>
          </w:p>
        </w:tc>
        <w:tc>
          <w:tcPr>
            <w:tcW w:w="1090" w:type="pct"/>
            <w:tcBorders>
              <w:tl2br w:val="nil"/>
              <w:tr2bl w:val="nil"/>
            </w:tcBorders>
            <w:noWrap w:val="0"/>
            <w:vAlign w:val="center"/>
          </w:tcPr>
          <w:p w14:paraId="6B8074C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43°58'41.4612"</w:t>
            </w:r>
          </w:p>
        </w:tc>
        <w:tc>
          <w:tcPr>
            <w:tcW w:w="710" w:type="pct"/>
            <w:vMerge w:val="restart"/>
            <w:tcBorders>
              <w:tl2br w:val="nil"/>
              <w:tr2bl w:val="nil"/>
            </w:tcBorders>
            <w:noWrap w:val="0"/>
            <w:vAlign w:val="center"/>
          </w:tcPr>
          <w:p w14:paraId="1E1348E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乔木、灌木、草地</w:t>
            </w:r>
          </w:p>
        </w:tc>
        <w:tc>
          <w:tcPr>
            <w:tcW w:w="620" w:type="pct"/>
            <w:vMerge w:val="restart"/>
            <w:tcBorders>
              <w:tl2br w:val="nil"/>
              <w:tr2bl w:val="nil"/>
            </w:tcBorders>
            <w:noWrap w:val="0"/>
            <w:vAlign w:val="center"/>
          </w:tcPr>
          <w:p w14:paraId="7B04D73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1.04</w:t>
            </w:r>
          </w:p>
        </w:tc>
      </w:tr>
      <w:tr w14:paraId="6BA43C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continue"/>
            <w:tcBorders>
              <w:tl2br w:val="nil"/>
              <w:tr2bl w:val="nil"/>
            </w:tcBorders>
            <w:noWrap w:val="0"/>
            <w:vAlign w:val="center"/>
          </w:tcPr>
          <w:p w14:paraId="299F5A0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585" w:type="pct"/>
            <w:tcBorders>
              <w:tl2br w:val="nil"/>
              <w:tr2bl w:val="nil"/>
            </w:tcBorders>
            <w:noWrap w:val="0"/>
            <w:vAlign w:val="center"/>
          </w:tcPr>
          <w:p w14:paraId="252A2FB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终点</w:t>
            </w:r>
          </w:p>
        </w:tc>
        <w:tc>
          <w:tcPr>
            <w:tcW w:w="408" w:type="pct"/>
            <w:tcBorders>
              <w:tl2br w:val="nil"/>
              <w:tr2bl w:val="nil"/>
            </w:tcBorders>
            <w:noWrap w:val="0"/>
            <w:vAlign w:val="center"/>
          </w:tcPr>
          <w:p w14:paraId="7397628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1176</w:t>
            </w:r>
          </w:p>
        </w:tc>
        <w:tc>
          <w:tcPr>
            <w:tcW w:w="1090" w:type="pct"/>
            <w:tcBorders>
              <w:tl2br w:val="nil"/>
              <w:tr2bl w:val="nil"/>
            </w:tcBorders>
            <w:noWrap w:val="0"/>
            <w:vAlign w:val="center"/>
          </w:tcPr>
          <w:p w14:paraId="2B01E4E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88°04'18.4822"</w:t>
            </w:r>
          </w:p>
        </w:tc>
        <w:tc>
          <w:tcPr>
            <w:tcW w:w="1090" w:type="pct"/>
            <w:tcBorders>
              <w:tl2br w:val="nil"/>
              <w:tr2bl w:val="nil"/>
            </w:tcBorders>
            <w:noWrap w:val="0"/>
            <w:vAlign w:val="center"/>
          </w:tcPr>
          <w:p w14:paraId="2F7AB3E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43°58'49.7606"</w:t>
            </w:r>
          </w:p>
        </w:tc>
        <w:tc>
          <w:tcPr>
            <w:tcW w:w="710" w:type="pct"/>
            <w:vMerge w:val="continue"/>
            <w:tcBorders>
              <w:tl2br w:val="nil"/>
              <w:tr2bl w:val="nil"/>
            </w:tcBorders>
            <w:noWrap w:val="0"/>
            <w:vAlign w:val="center"/>
          </w:tcPr>
          <w:p w14:paraId="612F4D1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20" w:type="pct"/>
            <w:vMerge w:val="continue"/>
            <w:tcBorders>
              <w:tl2br w:val="nil"/>
              <w:tr2bl w:val="nil"/>
            </w:tcBorders>
            <w:noWrap w:val="0"/>
            <w:vAlign w:val="center"/>
          </w:tcPr>
          <w:p w14:paraId="40178BA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1610EC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restart"/>
            <w:tcBorders>
              <w:tl2br w:val="nil"/>
              <w:tr2bl w:val="nil"/>
            </w:tcBorders>
            <w:noWrap w:val="0"/>
            <w:vAlign w:val="center"/>
          </w:tcPr>
          <w:p w14:paraId="6B57F9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样线7</w:t>
            </w:r>
          </w:p>
        </w:tc>
        <w:tc>
          <w:tcPr>
            <w:tcW w:w="585" w:type="pct"/>
            <w:tcBorders>
              <w:tl2br w:val="nil"/>
              <w:tr2bl w:val="nil"/>
            </w:tcBorders>
            <w:noWrap w:val="0"/>
            <w:vAlign w:val="center"/>
          </w:tcPr>
          <w:p w14:paraId="0D3F733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起点</w:t>
            </w:r>
          </w:p>
        </w:tc>
        <w:tc>
          <w:tcPr>
            <w:tcW w:w="408" w:type="pct"/>
            <w:tcBorders>
              <w:tl2br w:val="nil"/>
              <w:tr2bl w:val="nil"/>
            </w:tcBorders>
            <w:noWrap w:val="0"/>
            <w:vAlign w:val="center"/>
          </w:tcPr>
          <w:p w14:paraId="6837C0B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1134</w:t>
            </w:r>
          </w:p>
        </w:tc>
        <w:tc>
          <w:tcPr>
            <w:tcW w:w="1090" w:type="pct"/>
            <w:tcBorders>
              <w:tl2br w:val="nil"/>
              <w:tr2bl w:val="nil"/>
            </w:tcBorders>
            <w:noWrap w:val="0"/>
            <w:vAlign w:val="center"/>
          </w:tcPr>
          <w:p w14:paraId="383AA3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88°04'21.7698"</w:t>
            </w:r>
          </w:p>
        </w:tc>
        <w:tc>
          <w:tcPr>
            <w:tcW w:w="1090" w:type="pct"/>
            <w:tcBorders>
              <w:tl2br w:val="nil"/>
              <w:tr2bl w:val="nil"/>
            </w:tcBorders>
            <w:noWrap w:val="0"/>
            <w:vAlign w:val="center"/>
          </w:tcPr>
          <w:p w14:paraId="3D7EF6D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43°58'56.9448"</w:t>
            </w:r>
          </w:p>
        </w:tc>
        <w:tc>
          <w:tcPr>
            <w:tcW w:w="710" w:type="pct"/>
            <w:vMerge w:val="restart"/>
            <w:tcBorders>
              <w:tl2br w:val="nil"/>
              <w:tr2bl w:val="nil"/>
            </w:tcBorders>
            <w:noWrap w:val="0"/>
            <w:vAlign w:val="center"/>
          </w:tcPr>
          <w:p w14:paraId="7A4BE2B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乔木、灌木</w:t>
            </w:r>
          </w:p>
        </w:tc>
        <w:tc>
          <w:tcPr>
            <w:tcW w:w="620" w:type="pct"/>
            <w:vMerge w:val="restart"/>
            <w:tcBorders>
              <w:tl2br w:val="nil"/>
              <w:tr2bl w:val="nil"/>
            </w:tcBorders>
            <w:noWrap w:val="0"/>
            <w:vAlign w:val="center"/>
          </w:tcPr>
          <w:p w14:paraId="0459E7B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1.09</w:t>
            </w:r>
          </w:p>
        </w:tc>
      </w:tr>
      <w:tr w14:paraId="5508DF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continue"/>
            <w:tcBorders>
              <w:tl2br w:val="nil"/>
              <w:tr2bl w:val="nil"/>
            </w:tcBorders>
            <w:noWrap w:val="0"/>
            <w:vAlign w:val="center"/>
          </w:tcPr>
          <w:p w14:paraId="52B82AD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585" w:type="pct"/>
            <w:tcBorders>
              <w:tl2br w:val="nil"/>
              <w:tr2bl w:val="nil"/>
            </w:tcBorders>
            <w:noWrap w:val="0"/>
            <w:vAlign w:val="center"/>
          </w:tcPr>
          <w:p w14:paraId="448F9DB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终点</w:t>
            </w:r>
          </w:p>
        </w:tc>
        <w:tc>
          <w:tcPr>
            <w:tcW w:w="408" w:type="pct"/>
            <w:tcBorders>
              <w:tl2br w:val="nil"/>
              <w:tr2bl w:val="nil"/>
            </w:tcBorders>
            <w:noWrap w:val="0"/>
            <w:vAlign w:val="center"/>
          </w:tcPr>
          <w:p w14:paraId="73E041F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1110</w:t>
            </w:r>
          </w:p>
        </w:tc>
        <w:tc>
          <w:tcPr>
            <w:tcW w:w="1090" w:type="pct"/>
            <w:tcBorders>
              <w:tl2br w:val="nil"/>
              <w:tr2bl w:val="nil"/>
            </w:tcBorders>
            <w:noWrap w:val="0"/>
            <w:vAlign w:val="center"/>
          </w:tcPr>
          <w:p w14:paraId="6009E1F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88°04'06.3778"</w:t>
            </w:r>
          </w:p>
        </w:tc>
        <w:tc>
          <w:tcPr>
            <w:tcW w:w="1090" w:type="pct"/>
            <w:tcBorders>
              <w:tl2br w:val="nil"/>
              <w:tr2bl w:val="nil"/>
            </w:tcBorders>
            <w:noWrap w:val="0"/>
            <w:vAlign w:val="center"/>
          </w:tcPr>
          <w:p w14:paraId="2C3EA3E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43°59'17.3369"</w:t>
            </w:r>
          </w:p>
        </w:tc>
        <w:tc>
          <w:tcPr>
            <w:tcW w:w="710" w:type="pct"/>
            <w:vMerge w:val="continue"/>
            <w:tcBorders>
              <w:tl2br w:val="nil"/>
              <w:tr2bl w:val="nil"/>
            </w:tcBorders>
            <w:noWrap w:val="0"/>
            <w:vAlign w:val="center"/>
          </w:tcPr>
          <w:p w14:paraId="32E511E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20" w:type="pct"/>
            <w:vMerge w:val="continue"/>
            <w:tcBorders>
              <w:tl2br w:val="nil"/>
              <w:tr2bl w:val="nil"/>
            </w:tcBorders>
            <w:noWrap w:val="0"/>
            <w:vAlign w:val="center"/>
          </w:tcPr>
          <w:p w14:paraId="4EE503E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151F0D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restart"/>
            <w:tcBorders>
              <w:tl2br w:val="nil"/>
              <w:tr2bl w:val="nil"/>
            </w:tcBorders>
            <w:noWrap w:val="0"/>
            <w:vAlign w:val="center"/>
          </w:tcPr>
          <w:p w14:paraId="48837EA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样线8</w:t>
            </w:r>
          </w:p>
        </w:tc>
        <w:tc>
          <w:tcPr>
            <w:tcW w:w="585" w:type="pct"/>
            <w:tcBorders>
              <w:tl2br w:val="nil"/>
              <w:tr2bl w:val="nil"/>
            </w:tcBorders>
            <w:noWrap w:val="0"/>
            <w:vAlign w:val="center"/>
          </w:tcPr>
          <w:p w14:paraId="25E89CF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起点</w:t>
            </w:r>
          </w:p>
        </w:tc>
        <w:tc>
          <w:tcPr>
            <w:tcW w:w="408" w:type="pct"/>
            <w:tcBorders>
              <w:tl2br w:val="nil"/>
              <w:tr2bl w:val="nil"/>
            </w:tcBorders>
            <w:noWrap w:val="0"/>
            <w:vAlign w:val="center"/>
          </w:tcPr>
          <w:p w14:paraId="25F48EF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1096</w:t>
            </w:r>
          </w:p>
        </w:tc>
        <w:tc>
          <w:tcPr>
            <w:tcW w:w="1090" w:type="pct"/>
            <w:tcBorders>
              <w:tl2br w:val="nil"/>
              <w:tr2bl w:val="nil"/>
            </w:tcBorders>
            <w:noWrap w:val="0"/>
            <w:vAlign w:val="center"/>
          </w:tcPr>
          <w:p w14:paraId="04F2037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88°03'57.5587"</w:t>
            </w:r>
          </w:p>
        </w:tc>
        <w:tc>
          <w:tcPr>
            <w:tcW w:w="1090" w:type="pct"/>
            <w:tcBorders>
              <w:tl2br w:val="nil"/>
              <w:tr2bl w:val="nil"/>
            </w:tcBorders>
            <w:noWrap w:val="0"/>
            <w:vAlign w:val="center"/>
          </w:tcPr>
          <w:p w14:paraId="0D00508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43°59'31.6811"</w:t>
            </w:r>
          </w:p>
        </w:tc>
        <w:tc>
          <w:tcPr>
            <w:tcW w:w="710" w:type="pct"/>
            <w:vMerge w:val="restart"/>
            <w:tcBorders>
              <w:tl2br w:val="nil"/>
              <w:tr2bl w:val="nil"/>
            </w:tcBorders>
            <w:noWrap w:val="0"/>
            <w:vAlign w:val="center"/>
          </w:tcPr>
          <w:p w14:paraId="4EDEE61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乔木、草地</w:t>
            </w:r>
          </w:p>
        </w:tc>
        <w:tc>
          <w:tcPr>
            <w:tcW w:w="620" w:type="pct"/>
            <w:vMerge w:val="restart"/>
            <w:tcBorders>
              <w:tl2br w:val="nil"/>
              <w:tr2bl w:val="nil"/>
            </w:tcBorders>
            <w:noWrap w:val="0"/>
            <w:vAlign w:val="center"/>
          </w:tcPr>
          <w:p w14:paraId="24CD117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1.32</w:t>
            </w:r>
          </w:p>
        </w:tc>
      </w:tr>
      <w:tr w14:paraId="65C905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94" w:type="pct"/>
            <w:vMerge w:val="continue"/>
            <w:tcBorders>
              <w:tl2br w:val="nil"/>
              <w:tr2bl w:val="nil"/>
            </w:tcBorders>
            <w:noWrap w:val="0"/>
            <w:vAlign w:val="center"/>
          </w:tcPr>
          <w:p w14:paraId="14150D1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585" w:type="pct"/>
            <w:tcBorders>
              <w:tl2br w:val="nil"/>
              <w:tr2bl w:val="nil"/>
            </w:tcBorders>
            <w:noWrap w:val="0"/>
            <w:vAlign w:val="center"/>
          </w:tcPr>
          <w:p w14:paraId="777084F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终点</w:t>
            </w:r>
          </w:p>
        </w:tc>
        <w:tc>
          <w:tcPr>
            <w:tcW w:w="408" w:type="pct"/>
            <w:tcBorders>
              <w:tl2br w:val="nil"/>
              <w:tr2bl w:val="nil"/>
            </w:tcBorders>
            <w:noWrap w:val="0"/>
            <w:vAlign w:val="center"/>
          </w:tcPr>
          <w:p w14:paraId="55C14BA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1198</w:t>
            </w:r>
          </w:p>
        </w:tc>
        <w:tc>
          <w:tcPr>
            <w:tcW w:w="1090" w:type="pct"/>
            <w:tcBorders>
              <w:tl2br w:val="nil"/>
              <w:tr2bl w:val="nil"/>
            </w:tcBorders>
            <w:noWrap w:val="0"/>
            <w:vAlign w:val="center"/>
          </w:tcPr>
          <w:p w14:paraId="16805A6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88°03'56.0096"</w:t>
            </w:r>
          </w:p>
        </w:tc>
        <w:tc>
          <w:tcPr>
            <w:tcW w:w="1090" w:type="pct"/>
            <w:tcBorders>
              <w:tl2br w:val="nil"/>
              <w:tr2bl w:val="nil"/>
            </w:tcBorders>
            <w:noWrap w:val="0"/>
            <w:vAlign w:val="center"/>
          </w:tcPr>
          <w:p w14:paraId="6838380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43°59'03.4068"</w:t>
            </w:r>
          </w:p>
        </w:tc>
        <w:tc>
          <w:tcPr>
            <w:tcW w:w="710" w:type="pct"/>
            <w:vMerge w:val="continue"/>
            <w:tcBorders>
              <w:tl2br w:val="nil"/>
              <w:tr2bl w:val="nil"/>
            </w:tcBorders>
            <w:noWrap w:val="0"/>
            <w:vAlign w:val="center"/>
          </w:tcPr>
          <w:p w14:paraId="0E00F99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20" w:type="pct"/>
            <w:vMerge w:val="continue"/>
            <w:tcBorders>
              <w:tl2br w:val="nil"/>
              <w:tr2bl w:val="nil"/>
            </w:tcBorders>
            <w:noWrap w:val="0"/>
            <w:vAlign w:val="center"/>
          </w:tcPr>
          <w:p w14:paraId="51CC814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16C652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restart"/>
            <w:tcBorders>
              <w:tl2br w:val="nil"/>
              <w:tr2bl w:val="nil"/>
            </w:tcBorders>
            <w:noWrap w:val="0"/>
            <w:vAlign w:val="center"/>
          </w:tcPr>
          <w:p w14:paraId="1AC3E94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样线9</w:t>
            </w:r>
          </w:p>
        </w:tc>
        <w:tc>
          <w:tcPr>
            <w:tcW w:w="585" w:type="pct"/>
            <w:tcBorders>
              <w:tl2br w:val="nil"/>
              <w:tr2bl w:val="nil"/>
            </w:tcBorders>
            <w:noWrap w:val="0"/>
            <w:vAlign w:val="center"/>
          </w:tcPr>
          <w:p w14:paraId="78D27C3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起点</w:t>
            </w:r>
          </w:p>
        </w:tc>
        <w:tc>
          <w:tcPr>
            <w:tcW w:w="408" w:type="pct"/>
            <w:tcBorders>
              <w:tl2br w:val="nil"/>
              <w:tr2bl w:val="nil"/>
            </w:tcBorders>
            <w:noWrap w:val="0"/>
            <w:vAlign w:val="center"/>
          </w:tcPr>
          <w:p w14:paraId="0CD1870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1214</w:t>
            </w:r>
          </w:p>
        </w:tc>
        <w:tc>
          <w:tcPr>
            <w:tcW w:w="1090" w:type="pct"/>
            <w:tcBorders>
              <w:tl2br w:val="nil"/>
              <w:tr2bl w:val="nil"/>
            </w:tcBorders>
            <w:noWrap w:val="0"/>
            <w:vAlign w:val="center"/>
          </w:tcPr>
          <w:p w14:paraId="6441B39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88°04'01.6377"</w:t>
            </w:r>
          </w:p>
        </w:tc>
        <w:tc>
          <w:tcPr>
            <w:tcW w:w="1090" w:type="pct"/>
            <w:tcBorders>
              <w:tl2br w:val="nil"/>
              <w:tr2bl w:val="nil"/>
            </w:tcBorders>
            <w:noWrap w:val="0"/>
            <w:vAlign w:val="center"/>
          </w:tcPr>
          <w:p w14:paraId="31AE7E1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43°58'51.7919"</w:t>
            </w:r>
          </w:p>
        </w:tc>
        <w:tc>
          <w:tcPr>
            <w:tcW w:w="710" w:type="pct"/>
            <w:vMerge w:val="restart"/>
            <w:tcBorders>
              <w:tl2br w:val="nil"/>
              <w:tr2bl w:val="nil"/>
            </w:tcBorders>
            <w:noWrap w:val="0"/>
            <w:vAlign w:val="center"/>
          </w:tcPr>
          <w:p w14:paraId="45EA098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草地</w:t>
            </w:r>
          </w:p>
        </w:tc>
        <w:tc>
          <w:tcPr>
            <w:tcW w:w="620" w:type="pct"/>
            <w:vMerge w:val="restart"/>
            <w:tcBorders>
              <w:tl2br w:val="nil"/>
              <w:tr2bl w:val="nil"/>
            </w:tcBorders>
            <w:noWrap w:val="0"/>
            <w:vAlign w:val="center"/>
          </w:tcPr>
          <w:p w14:paraId="57915B2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1.06</w:t>
            </w:r>
          </w:p>
        </w:tc>
      </w:tr>
      <w:tr w14:paraId="29AB85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continue"/>
            <w:tcBorders>
              <w:tl2br w:val="nil"/>
              <w:tr2bl w:val="nil"/>
            </w:tcBorders>
            <w:noWrap w:val="0"/>
            <w:vAlign w:val="center"/>
          </w:tcPr>
          <w:p w14:paraId="4E3E799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585" w:type="pct"/>
            <w:tcBorders>
              <w:tl2br w:val="nil"/>
              <w:tr2bl w:val="nil"/>
            </w:tcBorders>
            <w:noWrap w:val="0"/>
            <w:vAlign w:val="center"/>
          </w:tcPr>
          <w:p w14:paraId="2059ABD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终点</w:t>
            </w:r>
          </w:p>
        </w:tc>
        <w:tc>
          <w:tcPr>
            <w:tcW w:w="408" w:type="pct"/>
            <w:tcBorders>
              <w:tl2br w:val="nil"/>
              <w:tr2bl w:val="nil"/>
            </w:tcBorders>
            <w:noWrap w:val="0"/>
            <w:vAlign w:val="center"/>
          </w:tcPr>
          <w:p w14:paraId="66D24B3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1250</w:t>
            </w:r>
          </w:p>
        </w:tc>
        <w:tc>
          <w:tcPr>
            <w:tcW w:w="1090" w:type="pct"/>
            <w:tcBorders>
              <w:tl2br w:val="nil"/>
              <w:tr2bl w:val="nil"/>
            </w:tcBorders>
            <w:noWrap w:val="0"/>
            <w:vAlign w:val="center"/>
          </w:tcPr>
          <w:p w14:paraId="13D39CA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88°04'11.2483"</w:t>
            </w:r>
          </w:p>
        </w:tc>
        <w:tc>
          <w:tcPr>
            <w:tcW w:w="1090" w:type="pct"/>
            <w:tcBorders>
              <w:tl2br w:val="nil"/>
              <w:tr2bl w:val="nil"/>
            </w:tcBorders>
            <w:noWrap w:val="0"/>
            <w:vAlign w:val="center"/>
          </w:tcPr>
          <w:p w14:paraId="224EFCD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43°58'23.5705"</w:t>
            </w:r>
          </w:p>
        </w:tc>
        <w:tc>
          <w:tcPr>
            <w:tcW w:w="710" w:type="pct"/>
            <w:vMerge w:val="continue"/>
            <w:tcBorders>
              <w:tl2br w:val="nil"/>
              <w:tr2bl w:val="nil"/>
            </w:tcBorders>
            <w:noWrap w:val="0"/>
            <w:vAlign w:val="center"/>
          </w:tcPr>
          <w:p w14:paraId="23D5748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20" w:type="pct"/>
            <w:vMerge w:val="continue"/>
            <w:tcBorders>
              <w:tl2br w:val="nil"/>
              <w:tr2bl w:val="nil"/>
            </w:tcBorders>
            <w:noWrap w:val="0"/>
            <w:vAlign w:val="center"/>
          </w:tcPr>
          <w:p w14:paraId="711F73F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5F1107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restart"/>
            <w:tcBorders>
              <w:tl2br w:val="nil"/>
              <w:tr2bl w:val="nil"/>
            </w:tcBorders>
            <w:noWrap w:val="0"/>
            <w:vAlign w:val="center"/>
          </w:tcPr>
          <w:p w14:paraId="31C02B1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样线10</w:t>
            </w:r>
          </w:p>
        </w:tc>
        <w:tc>
          <w:tcPr>
            <w:tcW w:w="585" w:type="pct"/>
            <w:tcBorders>
              <w:tl2br w:val="nil"/>
              <w:tr2bl w:val="nil"/>
            </w:tcBorders>
            <w:noWrap w:val="0"/>
            <w:vAlign w:val="center"/>
          </w:tcPr>
          <w:p w14:paraId="2203A4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起点</w:t>
            </w:r>
          </w:p>
        </w:tc>
        <w:tc>
          <w:tcPr>
            <w:tcW w:w="408" w:type="pct"/>
            <w:tcBorders>
              <w:tl2br w:val="nil"/>
              <w:tr2bl w:val="nil"/>
            </w:tcBorders>
            <w:noWrap w:val="0"/>
            <w:vAlign w:val="center"/>
          </w:tcPr>
          <w:p w14:paraId="7350DD8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1209</w:t>
            </w:r>
          </w:p>
        </w:tc>
        <w:tc>
          <w:tcPr>
            <w:tcW w:w="1090" w:type="pct"/>
            <w:tcBorders>
              <w:tl2br w:val="nil"/>
              <w:tr2bl w:val="nil"/>
            </w:tcBorders>
            <w:noWrap w:val="0"/>
            <w:vAlign w:val="center"/>
          </w:tcPr>
          <w:p w14:paraId="45757F1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88°03'50.3217"</w:t>
            </w:r>
          </w:p>
        </w:tc>
        <w:tc>
          <w:tcPr>
            <w:tcW w:w="1090" w:type="pct"/>
            <w:tcBorders>
              <w:tl2br w:val="nil"/>
              <w:tr2bl w:val="nil"/>
            </w:tcBorders>
            <w:noWrap w:val="0"/>
            <w:vAlign w:val="center"/>
          </w:tcPr>
          <w:p w14:paraId="1CEB228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43°58'54.3987"</w:t>
            </w:r>
          </w:p>
        </w:tc>
        <w:tc>
          <w:tcPr>
            <w:tcW w:w="710" w:type="pct"/>
            <w:vMerge w:val="restart"/>
            <w:tcBorders>
              <w:tl2br w:val="nil"/>
              <w:tr2bl w:val="nil"/>
            </w:tcBorders>
            <w:noWrap w:val="0"/>
            <w:vAlign w:val="center"/>
          </w:tcPr>
          <w:p w14:paraId="20E0E4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草地</w:t>
            </w:r>
          </w:p>
        </w:tc>
        <w:tc>
          <w:tcPr>
            <w:tcW w:w="620" w:type="pct"/>
            <w:vMerge w:val="restart"/>
            <w:tcBorders>
              <w:tl2br w:val="nil"/>
              <w:tr2bl w:val="nil"/>
            </w:tcBorders>
            <w:noWrap w:val="0"/>
            <w:vAlign w:val="center"/>
          </w:tcPr>
          <w:p w14:paraId="421CDB8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1.75</w:t>
            </w:r>
          </w:p>
        </w:tc>
      </w:tr>
      <w:tr w14:paraId="150955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4" w:type="pct"/>
            <w:vMerge w:val="continue"/>
            <w:tcBorders>
              <w:tl2br w:val="nil"/>
              <w:tr2bl w:val="nil"/>
            </w:tcBorders>
            <w:noWrap w:val="0"/>
            <w:vAlign w:val="center"/>
          </w:tcPr>
          <w:p w14:paraId="1397A06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p>
        </w:tc>
        <w:tc>
          <w:tcPr>
            <w:tcW w:w="585" w:type="pct"/>
            <w:tcBorders>
              <w:tl2br w:val="nil"/>
              <w:tr2bl w:val="nil"/>
            </w:tcBorders>
            <w:noWrap w:val="0"/>
            <w:vAlign w:val="center"/>
          </w:tcPr>
          <w:p w14:paraId="5BFF27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终点</w:t>
            </w:r>
          </w:p>
        </w:tc>
        <w:tc>
          <w:tcPr>
            <w:tcW w:w="408" w:type="pct"/>
            <w:tcBorders>
              <w:tl2br w:val="nil"/>
              <w:tr2bl w:val="nil"/>
            </w:tcBorders>
            <w:noWrap w:val="0"/>
            <w:vAlign w:val="center"/>
          </w:tcPr>
          <w:p w14:paraId="4E39204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1166</w:t>
            </w:r>
          </w:p>
        </w:tc>
        <w:tc>
          <w:tcPr>
            <w:tcW w:w="1090" w:type="pct"/>
            <w:tcBorders>
              <w:tl2br w:val="nil"/>
              <w:tr2bl w:val="nil"/>
            </w:tcBorders>
            <w:noWrap w:val="0"/>
            <w:vAlign w:val="center"/>
          </w:tcPr>
          <w:p w14:paraId="587FEEA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88°03'34.1874"</w:t>
            </w:r>
          </w:p>
        </w:tc>
        <w:tc>
          <w:tcPr>
            <w:tcW w:w="1090" w:type="pct"/>
            <w:tcBorders>
              <w:tl2br w:val="nil"/>
              <w:tr2bl w:val="nil"/>
            </w:tcBorders>
            <w:noWrap w:val="0"/>
            <w:vAlign w:val="center"/>
          </w:tcPr>
          <w:p w14:paraId="46638E9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43°59'25.8373"</w:t>
            </w:r>
          </w:p>
        </w:tc>
        <w:tc>
          <w:tcPr>
            <w:tcW w:w="710" w:type="pct"/>
            <w:vMerge w:val="continue"/>
            <w:tcBorders>
              <w:tl2br w:val="nil"/>
              <w:tr2bl w:val="nil"/>
            </w:tcBorders>
            <w:noWrap w:val="0"/>
            <w:vAlign w:val="center"/>
          </w:tcPr>
          <w:p w14:paraId="74E21C1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20" w:type="pct"/>
            <w:vMerge w:val="continue"/>
            <w:tcBorders>
              <w:tl2br w:val="nil"/>
              <w:tr2bl w:val="nil"/>
            </w:tcBorders>
            <w:noWrap w:val="0"/>
            <w:vAlign w:val="center"/>
          </w:tcPr>
          <w:p w14:paraId="17B507F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bl>
    <w:p w14:paraId="65827F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highlight w:val="none"/>
        </w:rPr>
      </w:pPr>
    </w:p>
    <w:p w14:paraId="309BEA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color w:val="000000"/>
          <w:highlight w:val="none"/>
        </w:rPr>
        <w:drawing>
          <wp:inline distT="0" distB="0" distL="114300" distR="114300">
            <wp:extent cx="5267325" cy="3434715"/>
            <wp:effectExtent l="0" t="0" r="9525" b="1333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50"/>
                    <a:stretch>
                      <a:fillRect/>
                    </a:stretch>
                  </pic:blipFill>
                  <pic:spPr>
                    <a:xfrm>
                      <a:off x="0" y="0"/>
                      <a:ext cx="5267325" cy="3434715"/>
                    </a:xfrm>
                    <a:prstGeom prst="rect">
                      <a:avLst/>
                    </a:prstGeom>
                    <a:noFill/>
                    <a:ln>
                      <a:noFill/>
                    </a:ln>
                  </pic:spPr>
                </pic:pic>
              </a:graphicData>
            </a:graphic>
          </wp:inline>
        </w:drawing>
      </w:r>
    </w:p>
    <w:p w14:paraId="527C67C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color w:val="000000"/>
          <w:kern w:val="0"/>
          <w:sz w:val="24"/>
          <w:szCs w:val="24"/>
          <w:highlight w:val="none"/>
          <w:lang w:val="en-US" w:eastAsia="zh-CN"/>
        </w:rPr>
      </w:pPr>
      <w:r>
        <w:rPr>
          <w:rFonts w:hint="default" w:ascii="Times New Roman" w:hAnsi="Times New Roman" w:eastAsia="宋体" w:cs="Times New Roman"/>
          <w:b/>
          <w:bCs/>
          <w:color w:val="000000"/>
          <w:kern w:val="0"/>
          <w:sz w:val="24"/>
          <w:szCs w:val="24"/>
          <w:highlight w:val="none"/>
          <w:lang w:val="en-US" w:eastAsia="zh-CN"/>
        </w:rPr>
        <w:t>图5    评价区动物样线分布图</w:t>
      </w:r>
    </w:p>
    <w:p w14:paraId="0C210E5E">
      <w:pPr>
        <w:pStyle w:val="6"/>
        <w:keepNext/>
        <w:keepLines/>
        <w:pageBreakBefore w:val="0"/>
        <w:widowControl w:val="0"/>
        <w:numPr>
          <w:ilvl w:val="3"/>
          <w:numId w:val="0"/>
        </w:numPr>
        <w:kinsoku/>
        <w:wordWrap/>
        <w:overflowPunct/>
        <w:topLinePunct w:val="0"/>
        <w:autoSpaceDE/>
        <w:autoSpaceDN/>
        <w:bidi w:val="0"/>
        <w:adjustRightInd/>
        <w:snapToGrid w:val="0"/>
        <w:spacing w:before="0" w:beforeLines="0" w:after="0" w:afterLines="0" w:line="360" w:lineRule="auto"/>
        <w:ind w:left="0" w:leftChars="0" w:firstLine="720" w:firstLineChars="300"/>
        <w:textAlignment w:val="auto"/>
        <w:outlineLvl w:val="3"/>
        <w:rPr>
          <w:rFonts w:hint="default" w:ascii="Times New Roman" w:hAnsi="Times New Roman" w:eastAsia="宋体" w:cs="Times New Roman"/>
          <w:b w:val="0"/>
          <w:bCs/>
          <w:color w:val="000000"/>
          <w:sz w:val="24"/>
          <w:szCs w:val="21"/>
          <w:lang w:val="en-US" w:eastAsia="zh-CN"/>
        </w:rPr>
      </w:pPr>
      <w:bookmarkStart w:id="116" w:name="_Toc13408"/>
      <w:bookmarkStart w:id="117" w:name="_Toc456"/>
      <w:r>
        <w:rPr>
          <w:rFonts w:hint="default" w:ascii="Times New Roman" w:hAnsi="Times New Roman" w:eastAsia="宋体" w:cs="Times New Roman"/>
          <w:b w:val="0"/>
          <w:bCs/>
          <w:color w:val="000000"/>
          <w:sz w:val="24"/>
          <w:szCs w:val="21"/>
          <w:lang w:val="en-US" w:eastAsia="zh-CN"/>
        </w:rPr>
        <w:t>2.3.4.2动物种类</w:t>
      </w:r>
      <w:bookmarkEnd w:id="116"/>
      <w:bookmarkEnd w:id="117"/>
    </w:p>
    <w:p w14:paraId="1F2624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（1）动物种类统计</w:t>
      </w:r>
    </w:p>
    <w:p w14:paraId="0F00F3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根据现场调查、访问调查和对周边区域野生动物分布的文献资料查阅和生境判定，综合分析得出评价范围内分布有陆生野生脊椎动物10目17科26种，其</w:t>
      </w:r>
      <w:r>
        <w:rPr>
          <w:rFonts w:hint="default" w:ascii="Times New Roman" w:hAnsi="Times New Roman" w:eastAsia="宋体" w:cs="Times New Roman"/>
          <w:b w:val="0"/>
          <w:bCs w:val="0"/>
          <w:color w:val="000000"/>
          <w:spacing w:val="-6"/>
          <w:kern w:val="0"/>
          <w:sz w:val="24"/>
          <w:szCs w:val="24"/>
          <w:highlight w:val="none"/>
          <w:lang w:val="en-US" w:eastAsia="zh-CN"/>
        </w:rPr>
        <w:t>中包括爬行类有1目1科2种，哺乳类有4目6科11种，鸟类有5目10科13种。</w:t>
      </w:r>
    </w:p>
    <w:p w14:paraId="0F070F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本项目评价区范围内野生动物群目以下分类阶元统计数据详见表1</w:t>
      </w:r>
      <w:r>
        <w:rPr>
          <w:rFonts w:hint="eastAsia" w:cs="Times New Roman"/>
          <w:b w:val="0"/>
          <w:bCs w:val="0"/>
          <w:color w:val="000000"/>
          <w:kern w:val="0"/>
          <w:sz w:val="24"/>
          <w:szCs w:val="24"/>
          <w:highlight w:val="none"/>
          <w:lang w:val="en-US" w:eastAsia="zh-CN"/>
        </w:rPr>
        <w:t>0</w:t>
      </w:r>
      <w:r>
        <w:rPr>
          <w:rFonts w:hint="default" w:ascii="Times New Roman" w:hAnsi="Times New Roman" w:eastAsia="宋体" w:cs="Times New Roman"/>
          <w:b w:val="0"/>
          <w:bCs w:val="0"/>
          <w:color w:val="000000"/>
          <w:kern w:val="0"/>
          <w:sz w:val="24"/>
          <w:szCs w:val="24"/>
          <w:highlight w:val="none"/>
          <w:lang w:val="en-US" w:eastAsia="zh-CN"/>
        </w:rPr>
        <w:t>，评价区野生动物名录详见表1</w:t>
      </w:r>
      <w:r>
        <w:rPr>
          <w:rFonts w:hint="eastAsia" w:cs="Times New Roman"/>
          <w:b w:val="0"/>
          <w:bCs w:val="0"/>
          <w:color w:val="000000"/>
          <w:kern w:val="0"/>
          <w:sz w:val="24"/>
          <w:szCs w:val="24"/>
          <w:highlight w:val="none"/>
          <w:lang w:val="en-US" w:eastAsia="zh-CN"/>
        </w:rPr>
        <w:t>1</w:t>
      </w:r>
      <w:r>
        <w:rPr>
          <w:rFonts w:hint="default" w:ascii="Times New Roman" w:hAnsi="Times New Roman" w:eastAsia="宋体" w:cs="Times New Roman"/>
          <w:b w:val="0"/>
          <w:bCs w:val="0"/>
          <w:color w:val="000000"/>
          <w:kern w:val="0"/>
          <w:sz w:val="24"/>
          <w:szCs w:val="24"/>
          <w:highlight w:val="none"/>
          <w:lang w:val="en-US" w:eastAsia="zh-CN"/>
        </w:rPr>
        <w:t>。</w:t>
      </w:r>
    </w:p>
    <w:p w14:paraId="3550ED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表1</w:t>
      </w:r>
      <w:r>
        <w:rPr>
          <w:rFonts w:hint="eastAsia" w:cs="Times New Roman"/>
          <w:b/>
          <w:bCs/>
          <w:color w:val="000000"/>
          <w:kern w:val="0"/>
          <w:sz w:val="21"/>
          <w:szCs w:val="21"/>
          <w:highlight w:val="none"/>
          <w:lang w:val="en-US" w:eastAsia="zh-CN"/>
        </w:rPr>
        <w:t>0</w:t>
      </w:r>
      <w:r>
        <w:rPr>
          <w:rFonts w:hint="default" w:ascii="Times New Roman" w:hAnsi="Times New Roman" w:eastAsia="宋体" w:cs="Times New Roman"/>
          <w:b/>
          <w:bCs/>
          <w:color w:val="000000"/>
          <w:kern w:val="0"/>
          <w:sz w:val="21"/>
          <w:szCs w:val="21"/>
          <w:highlight w:val="none"/>
          <w:lang w:val="en-US" w:eastAsia="zh-CN"/>
        </w:rPr>
        <w:t xml:space="preserve">   评价区陆生脊椎动物各分类阶元数量统计表</w:t>
      </w:r>
    </w:p>
    <w:tbl>
      <w:tblPr>
        <w:tblStyle w:val="3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648"/>
        <w:gridCol w:w="1258"/>
        <w:gridCol w:w="2306"/>
        <w:gridCol w:w="2307"/>
      </w:tblGrid>
      <w:tr w14:paraId="243B00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54" w:type="pct"/>
            <w:tcBorders>
              <w:tl2br w:val="nil"/>
              <w:tr2bl w:val="nil"/>
            </w:tcBorders>
            <w:noWrap w:val="0"/>
            <w:vAlign w:val="center"/>
          </w:tcPr>
          <w:p w14:paraId="6352C16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纲</w:t>
            </w:r>
          </w:p>
        </w:tc>
        <w:tc>
          <w:tcPr>
            <w:tcW w:w="738" w:type="pct"/>
            <w:tcBorders>
              <w:tl2br w:val="nil"/>
              <w:tr2bl w:val="nil"/>
            </w:tcBorders>
            <w:noWrap w:val="0"/>
            <w:vAlign w:val="center"/>
          </w:tcPr>
          <w:p w14:paraId="457530E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目</w:t>
            </w:r>
          </w:p>
        </w:tc>
        <w:tc>
          <w:tcPr>
            <w:tcW w:w="1353" w:type="pct"/>
            <w:tcBorders>
              <w:tl2br w:val="nil"/>
              <w:tr2bl w:val="nil"/>
            </w:tcBorders>
            <w:noWrap w:val="0"/>
            <w:vAlign w:val="center"/>
          </w:tcPr>
          <w:p w14:paraId="5AD522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科</w:t>
            </w:r>
          </w:p>
        </w:tc>
        <w:tc>
          <w:tcPr>
            <w:tcW w:w="1354" w:type="pct"/>
            <w:tcBorders>
              <w:tl2br w:val="nil"/>
              <w:tr2bl w:val="nil"/>
            </w:tcBorders>
            <w:noWrap w:val="0"/>
            <w:vAlign w:val="center"/>
          </w:tcPr>
          <w:p w14:paraId="59152F8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种</w:t>
            </w:r>
          </w:p>
        </w:tc>
      </w:tr>
      <w:tr w14:paraId="199069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54" w:type="pct"/>
            <w:tcBorders>
              <w:tl2br w:val="nil"/>
              <w:tr2bl w:val="nil"/>
            </w:tcBorders>
            <w:noWrap w:val="0"/>
            <w:vAlign w:val="center"/>
          </w:tcPr>
          <w:p w14:paraId="7921D8B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爬行类</w:t>
            </w:r>
          </w:p>
        </w:tc>
        <w:tc>
          <w:tcPr>
            <w:tcW w:w="738" w:type="pct"/>
            <w:tcBorders>
              <w:tl2br w:val="nil"/>
              <w:tr2bl w:val="nil"/>
            </w:tcBorders>
            <w:noWrap w:val="0"/>
            <w:vAlign w:val="center"/>
          </w:tcPr>
          <w:p w14:paraId="511C4E0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1353" w:type="pct"/>
            <w:tcBorders>
              <w:tl2br w:val="nil"/>
              <w:tr2bl w:val="nil"/>
            </w:tcBorders>
            <w:noWrap w:val="0"/>
            <w:vAlign w:val="center"/>
          </w:tcPr>
          <w:p w14:paraId="6D715A6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1</w:t>
            </w:r>
          </w:p>
        </w:tc>
        <w:tc>
          <w:tcPr>
            <w:tcW w:w="1354" w:type="pct"/>
            <w:tcBorders>
              <w:tl2br w:val="nil"/>
              <w:tr2bl w:val="nil"/>
            </w:tcBorders>
            <w:noWrap w:val="0"/>
            <w:vAlign w:val="center"/>
          </w:tcPr>
          <w:p w14:paraId="77059F5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2</w:t>
            </w:r>
          </w:p>
        </w:tc>
      </w:tr>
      <w:tr w14:paraId="317065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54" w:type="pct"/>
            <w:tcBorders>
              <w:tl2br w:val="nil"/>
              <w:tr2bl w:val="nil"/>
            </w:tcBorders>
            <w:noWrap w:val="0"/>
            <w:vAlign w:val="center"/>
          </w:tcPr>
          <w:p w14:paraId="550A5A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哺乳类</w:t>
            </w:r>
          </w:p>
        </w:tc>
        <w:tc>
          <w:tcPr>
            <w:tcW w:w="738" w:type="pct"/>
            <w:tcBorders>
              <w:tl2br w:val="nil"/>
              <w:tr2bl w:val="nil"/>
            </w:tcBorders>
            <w:noWrap w:val="0"/>
            <w:vAlign w:val="center"/>
          </w:tcPr>
          <w:p w14:paraId="551D671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4</w:t>
            </w:r>
          </w:p>
        </w:tc>
        <w:tc>
          <w:tcPr>
            <w:tcW w:w="1353" w:type="pct"/>
            <w:tcBorders>
              <w:tl2br w:val="nil"/>
              <w:tr2bl w:val="nil"/>
            </w:tcBorders>
            <w:noWrap w:val="0"/>
            <w:vAlign w:val="center"/>
          </w:tcPr>
          <w:p w14:paraId="10497BA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6</w:t>
            </w:r>
          </w:p>
        </w:tc>
        <w:tc>
          <w:tcPr>
            <w:tcW w:w="1354" w:type="pct"/>
            <w:tcBorders>
              <w:tl2br w:val="nil"/>
              <w:tr2bl w:val="nil"/>
            </w:tcBorders>
            <w:noWrap w:val="0"/>
            <w:vAlign w:val="center"/>
          </w:tcPr>
          <w:p w14:paraId="4AD4419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11</w:t>
            </w:r>
          </w:p>
        </w:tc>
      </w:tr>
      <w:tr w14:paraId="366972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54" w:type="pct"/>
            <w:tcBorders>
              <w:tl2br w:val="nil"/>
              <w:tr2bl w:val="nil"/>
            </w:tcBorders>
            <w:noWrap w:val="0"/>
            <w:vAlign w:val="center"/>
          </w:tcPr>
          <w:p w14:paraId="3DAF5B6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鸟类</w:t>
            </w:r>
          </w:p>
        </w:tc>
        <w:tc>
          <w:tcPr>
            <w:tcW w:w="738" w:type="pct"/>
            <w:tcBorders>
              <w:tl2br w:val="nil"/>
              <w:tr2bl w:val="nil"/>
            </w:tcBorders>
            <w:noWrap w:val="0"/>
            <w:vAlign w:val="center"/>
          </w:tcPr>
          <w:p w14:paraId="7557E52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5</w:t>
            </w:r>
          </w:p>
        </w:tc>
        <w:tc>
          <w:tcPr>
            <w:tcW w:w="1353" w:type="pct"/>
            <w:tcBorders>
              <w:tl2br w:val="nil"/>
              <w:tr2bl w:val="nil"/>
            </w:tcBorders>
            <w:noWrap w:val="0"/>
            <w:vAlign w:val="center"/>
          </w:tcPr>
          <w:p w14:paraId="573567D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10</w:t>
            </w:r>
          </w:p>
        </w:tc>
        <w:tc>
          <w:tcPr>
            <w:tcW w:w="1354" w:type="pct"/>
            <w:tcBorders>
              <w:tl2br w:val="nil"/>
              <w:tr2bl w:val="nil"/>
            </w:tcBorders>
            <w:noWrap w:val="0"/>
            <w:vAlign w:val="center"/>
          </w:tcPr>
          <w:p w14:paraId="1FC70C1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t>13</w:t>
            </w:r>
          </w:p>
        </w:tc>
      </w:tr>
      <w:tr w14:paraId="0571D2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54" w:type="pct"/>
            <w:tcBorders>
              <w:tl2br w:val="nil"/>
              <w:tr2bl w:val="nil"/>
            </w:tcBorders>
            <w:noWrap w:val="0"/>
            <w:vAlign w:val="center"/>
          </w:tcPr>
          <w:p w14:paraId="4039552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合计</w:t>
            </w:r>
          </w:p>
        </w:tc>
        <w:tc>
          <w:tcPr>
            <w:tcW w:w="738" w:type="pct"/>
            <w:tcBorders>
              <w:tl2br w:val="nil"/>
              <w:tr2bl w:val="nil"/>
            </w:tcBorders>
            <w:noWrap w:val="0"/>
            <w:vAlign w:val="center"/>
          </w:tcPr>
          <w:p w14:paraId="1BE275E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fldChar w:fldCharType="begin"/>
            </w:r>
            <w:r>
              <w:rPr>
                <w:rFonts w:hint="default" w:ascii="Times New Roman" w:hAnsi="Times New Roman" w:eastAsia="宋体" w:cs="Times New Roman"/>
                <w:color w:val="000000"/>
                <w:sz w:val="21"/>
                <w:szCs w:val="21"/>
                <w:highlight w:val="none"/>
                <w:vertAlign w:val="baseline"/>
                <w:lang w:val="en-US" w:eastAsia="zh-CN"/>
              </w:rPr>
              <w:instrText xml:space="preserve"> = sum(B2:B4) \* MERGEFORMAT </w:instrText>
            </w:r>
            <w:r>
              <w:rPr>
                <w:rFonts w:hint="default" w:ascii="Times New Roman" w:hAnsi="Times New Roman" w:eastAsia="宋体" w:cs="Times New Roman"/>
                <w:color w:val="000000"/>
                <w:sz w:val="21"/>
                <w:szCs w:val="21"/>
                <w:highlight w:val="none"/>
                <w:vertAlign w:val="baseline"/>
                <w:lang w:val="en-US" w:eastAsia="zh-CN"/>
              </w:rPr>
              <w:fldChar w:fldCharType="separate"/>
            </w:r>
            <w:r>
              <w:rPr>
                <w:rFonts w:hint="default" w:ascii="Times New Roman" w:hAnsi="Times New Roman" w:eastAsia="宋体" w:cs="Times New Roman"/>
                <w:color w:val="000000"/>
                <w:sz w:val="21"/>
                <w:szCs w:val="21"/>
                <w:highlight w:val="none"/>
                <w:vertAlign w:val="baseline"/>
                <w:lang w:val="en-US" w:eastAsia="zh-CN"/>
              </w:rPr>
              <w:t>10</w:t>
            </w:r>
            <w:r>
              <w:rPr>
                <w:rFonts w:hint="default" w:ascii="Times New Roman" w:hAnsi="Times New Roman" w:eastAsia="宋体" w:cs="Times New Roman"/>
                <w:color w:val="000000"/>
                <w:sz w:val="21"/>
                <w:szCs w:val="21"/>
                <w:highlight w:val="none"/>
                <w:vertAlign w:val="baseline"/>
                <w:lang w:val="en-US" w:eastAsia="zh-CN"/>
              </w:rPr>
              <w:fldChar w:fldCharType="end"/>
            </w:r>
          </w:p>
        </w:tc>
        <w:tc>
          <w:tcPr>
            <w:tcW w:w="1353" w:type="pct"/>
            <w:tcBorders>
              <w:tl2br w:val="nil"/>
              <w:tr2bl w:val="nil"/>
            </w:tcBorders>
            <w:noWrap w:val="0"/>
            <w:vAlign w:val="center"/>
          </w:tcPr>
          <w:p w14:paraId="3AA4DB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fldChar w:fldCharType="begin"/>
            </w:r>
            <w:r>
              <w:rPr>
                <w:rFonts w:hint="default" w:ascii="Times New Roman" w:hAnsi="Times New Roman" w:eastAsia="宋体" w:cs="Times New Roman"/>
                <w:i w:val="0"/>
                <w:iCs w:val="0"/>
                <w:color w:val="000000"/>
                <w:sz w:val="21"/>
                <w:szCs w:val="21"/>
                <w:highlight w:val="none"/>
                <w:vertAlign w:val="baseline"/>
                <w:lang w:val="en-US" w:eastAsia="zh-CN"/>
              </w:rPr>
              <w:instrText xml:space="preserve"> = sum(C2:C4) \* MERGEFORMAT </w:instrText>
            </w:r>
            <w:r>
              <w:rPr>
                <w:rFonts w:hint="default" w:ascii="Times New Roman" w:hAnsi="Times New Roman" w:eastAsia="宋体" w:cs="Times New Roman"/>
                <w:i w:val="0"/>
                <w:iCs w:val="0"/>
                <w:color w:val="000000"/>
                <w:sz w:val="21"/>
                <w:szCs w:val="21"/>
                <w:highlight w:val="none"/>
                <w:vertAlign w:val="baseline"/>
                <w:lang w:val="en-US" w:eastAsia="zh-CN"/>
              </w:rPr>
              <w:fldChar w:fldCharType="separate"/>
            </w:r>
            <w:r>
              <w:rPr>
                <w:rFonts w:hint="default" w:ascii="Times New Roman" w:hAnsi="Times New Roman" w:eastAsia="宋体" w:cs="Times New Roman"/>
                <w:i w:val="0"/>
                <w:iCs w:val="0"/>
                <w:color w:val="000000"/>
                <w:sz w:val="21"/>
                <w:szCs w:val="21"/>
                <w:highlight w:val="none"/>
                <w:vertAlign w:val="baseline"/>
                <w:lang w:val="en-US" w:eastAsia="zh-CN"/>
              </w:rPr>
              <w:t>17</w:t>
            </w:r>
            <w:r>
              <w:rPr>
                <w:rFonts w:hint="default" w:ascii="Times New Roman" w:hAnsi="Times New Roman" w:eastAsia="宋体" w:cs="Times New Roman"/>
                <w:i w:val="0"/>
                <w:iCs w:val="0"/>
                <w:color w:val="000000"/>
                <w:sz w:val="21"/>
                <w:szCs w:val="21"/>
                <w:highlight w:val="none"/>
                <w:vertAlign w:val="baseline"/>
                <w:lang w:val="en-US" w:eastAsia="zh-CN"/>
              </w:rPr>
              <w:fldChar w:fldCharType="end"/>
            </w:r>
          </w:p>
        </w:tc>
        <w:tc>
          <w:tcPr>
            <w:tcW w:w="1354" w:type="pct"/>
            <w:tcBorders>
              <w:tl2br w:val="nil"/>
              <w:tr2bl w:val="nil"/>
            </w:tcBorders>
            <w:noWrap w:val="0"/>
            <w:vAlign w:val="center"/>
          </w:tcPr>
          <w:p w14:paraId="3BAD24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i w:val="0"/>
                <w:iCs w:val="0"/>
                <w:color w:val="000000"/>
                <w:sz w:val="21"/>
                <w:szCs w:val="21"/>
                <w:highlight w:val="none"/>
                <w:vertAlign w:val="baseline"/>
                <w:lang w:val="en-US" w:eastAsia="zh-CN"/>
              </w:rPr>
            </w:pPr>
            <w:r>
              <w:rPr>
                <w:rFonts w:hint="default" w:ascii="Times New Roman" w:hAnsi="Times New Roman" w:eastAsia="宋体" w:cs="Times New Roman"/>
                <w:i w:val="0"/>
                <w:iCs w:val="0"/>
                <w:color w:val="000000"/>
                <w:sz w:val="21"/>
                <w:szCs w:val="21"/>
                <w:highlight w:val="none"/>
                <w:vertAlign w:val="baseline"/>
                <w:lang w:val="en-US" w:eastAsia="zh-CN"/>
              </w:rPr>
              <w:fldChar w:fldCharType="begin"/>
            </w:r>
            <w:r>
              <w:rPr>
                <w:rFonts w:hint="default" w:ascii="Times New Roman" w:hAnsi="Times New Roman" w:eastAsia="宋体" w:cs="Times New Roman"/>
                <w:i w:val="0"/>
                <w:iCs w:val="0"/>
                <w:color w:val="000000"/>
                <w:sz w:val="21"/>
                <w:szCs w:val="21"/>
                <w:highlight w:val="none"/>
                <w:vertAlign w:val="baseline"/>
                <w:lang w:val="en-US" w:eastAsia="zh-CN"/>
              </w:rPr>
              <w:instrText xml:space="preserve"> = sum(D2:D4) \* MERGEFORMAT </w:instrText>
            </w:r>
            <w:r>
              <w:rPr>
                <w:rFonts w:hint="default" w:ascii="Times New Roman" w:hAnsi="Times New Roman" w:eastAsia="宋体" w:cs="Times New Roman"/>
                <w:i w:val="0"/>
                <w:iCs w:val="0"/>
                <w:color w:val="000000"/>
                <w:sz w:val="21"/>
                <w:szCs w:val="21"/>
                <w:highlight w:val="none"/>
                <w:vertAlign w:val="baseline"/>
                <w:lang w:val="en-US" w:eastAsia="zh-CN"/>
              </w:rPr>
              <w:fldChar w:fldCharType="separate"/>
            </w:r>
            <w:r>
              <w:rPr>
                <w:rFonts w:hint="default" w:ascii="Times New Roman" w:hAnsi="Times New Roman" w:eastAsia="宋体" w:cs="Times New Roman"/>
                <w:i w:val="0"/>
                <w:iCs w:val="0"/>
                <w:color w:val="000000"/>
                <w:sz w:val="21"/>
                <w:szCs w:val="21"/>
                <w:highlight w:val="none"/>
                <w:vertAlign w:val="baseline"/>
                <w:lang w:val="en-US" w:eastAsia="zh-CN"/>
              </w:rPr>
              <w:t>26</w:t>
            </w:r>
            <w:r>
              <w:rPr>
                <w:rFonts w:hint="default" w:ascii="Times New Roman" w:hAnsi="Times New Roman" w:eastAsia="宋体" w:cs="Times New Roman"/>
                <w:i w:val="0"/>
                <w:iCs w:val="0"/>
                <w:color w:val="000000"/>
                <w:sz w:val="21"/>
                <w:szCs w:val="21"/>
                <w:highlight w:val="none"/>
                <w:vertAlign w:val="baseline"/>
                <w:lang w:val="en-US" w:eastAsia="zh-CN"/>
              </w:rPr>
              <w:fldChar w:fldCharType="end"/>
            </w:r>
          </w:p>
        </w:tc>
      </w:tr>
    </w:tbl>
    <w:p w14:paraId="220BA1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表1</w:t>
      </w:r>
      <w:r>
        <w:rPr>
          <w:rFonts w:hint="eastAsia" w:cs="Times New Roman"/>
          <w:b/>
          <w:bCs/>
          <w:color w:val="000000"/>
          <w:kern w:val="0"/>
          <w:sz w:val="21"/>
          <w:szCs w:val="21"/>
          <w:highlight w:val="none"/>
          <w:lang w:val="en-US" w:eastAsia="zh-CN"/>
        </w:rPr>
        <w:t>1</w:t>
      </w:r>
      <w:r>
        <w:rPr>
          <w:rFonts w:hint="default" w:ascii="Times New Roman" w:hAnsi="Times New Roman" w:eastAsia="宋体" w:cs="Times New Roman"/>
          <w:b/>
          <w:bCs/>
          <w:color w:val="000000"/>
          <w:kern w:val="0"/>
          <w:sz w:val="21"/>
          <w:szCs w:val="21"/>
          <w:highlight w:val="none"/>
          <w:lang w:val="en-US" w:eastAsia="zh-CN"/>
        </w:rPr>
        <w:t xml:space="preserve">    评价区域野生动物名录一览表</w:t>
      </w:r>
    </w:p>
    <w:tbl>
      <w:tblPr>
        <w:tblStyle w:val="3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173"/>
        <w:gridCol w:w="1173"/>
        <w:gridCol w:w="1142"/>
        <w:gridCol w:w="1488"/>
        <w:gridCol w:w="2730"/>
      </w:tblGrid>
      <w:tr w14:paraId="565526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477" w:type="pct"/>
            <w:tcBorders>
              <w:tl2br w:val="nil"/>
              <w:tr2bl w:val="nil"/>
            </w:tcBorders>
            <w:noWrap w:val="0"/>
            <w:vAlign w:val="center"/>
          </w:tcPr>
          <w:p w14:paraId="62E8EF5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序号</w:t>
            </w:r>
          </w:p>
        </w:tc>
        <w:tc>
          <w:tcPr>
            <w:tcW w:w="688" w:type="pct"/>
            <w:tcBorders>
              <w:tl2br w:val="nil"/>
              <w:tr2bl w:val="nil"/>
            </w:tcBorders>
            <w:noWrap w:val="0"/>
            <w:vAlign w:val="center"/>
          </w:tcPr>
          <w:p w14:paraId="47E174D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纲</w:t>
            </w:r>
          </w:p>
        </w:tc>
        <w:tc>
          <w:tcPr>
            <w:tcW w:w="688" w:type="pct"/>
            <w:tcBorders>
              <w:tl2br w:val="nil"/>
              <w:tr2bl w:val="nil"/>
            </w:tcBorders>
            <w:noWrap w:val="0"/>
            <w:vAlign w:val="center"/>
          </w:tcPr>
          <w:p w14:paraId="70F9AA5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目</w:t>
            </w:r>
          </w:p>
        </w:tc>
        <w:tc>
          <w:tcPr>
            <w:tcW w:w="670" w:type="pct"/>
            <w:tcBorders>
              <w:tl2br w:val="nil"/>
              <w:tr2bl w:val="nil"/>
            </w:tcBorders>
            <w:noWrap w:val="0"/>
            <w:vAlign w:val="center"/>
          </w:tcPr>
          <w:p w14:paraId="73181A3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科</w:t>
            </w:r>
          </w:p>
        </w:tc>
        <w:tc>
          <w:tcPr>
            <w:tcW w:w="873" w:type="pct"/>
            <w:tcBorders>
              <w:tl2br w:val="nil"/>
              <w:tr2bl w:val="nil"/>
            </w:tcBorders>
            <w:noWrap w:val="0"/>
            <w:vAlign w:val="center"/>
          </w:tcPr>
          <w:p w14:paraId="552607A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种</w:t>
            </w:r>
          </w:p>
        </w:tc>
        <w:tc>
          <w:tcPr>
            <w:tcW w:w="1602" w:type="pct"/>
            <w:tcBorders>
              <w:tl2br w:val="nil"/>
              <w:tr2bl w:val="nil"/>
            </w:tcBorders>
            <w:noWrap w:val="0"/>
            <w:vAlign w:val="center"/>
          </w:tcPr>
          <w:p w14:paraId="0542373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拉丁名</w:t>
            </w:r>
          </w:p>
        </w:tc>
      </w:tr>
      <w:tr w14:paraId="2DCDDD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15B52C6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688" w:type="pct"/>
            <w:tcBorders>
              <w:tl2br w:val="nil"/>
              <w:tr2bl w:val="nil"/>
            </w:tcBorders>
            <w:noWrap w:val="0"/>
            <w:vAlign w:val="center"/>
          </w:tcPr>
          <w:p w14:paraId="7D69540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爬行纲</w:t>
            </w:r>
          </w:p>
        </w:tc>
        <w:tc>
          <w:tcPr>
            <w:tcW w:w="688" w:type="pct"/>
            <w:tcBorders>
              <w:tl2br w:val="nil"/>
              <w:tr2bl w:val="nil"/>
            </w:tcBorders>
            <w:noWrap w:val="0"/>
            <w:vAlign w:val="center"/>
          </w:tcPr>
          <w:p w14:paraId="1829682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蜥蜴目</w:t>
            </w:r>
          </w:p>
        </w:tc>
        <w:tc>
          <w:tcPr>
            <w:tcW w:w="670" w:type="pct"/>
            <w:tcBorders>
              <w:tl2br w:val="nil"/>
              <w:tr2bl w:val="nil"/>
            </w:tcBorders>
            <w:noWrap w:val="0"/>
            <w:vAlign w:val="center"/>
          </w:tcPr>
          <w:p w14:paraId="6638C4F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蜥蜴科</w:t>
            </w:r>
          </w:p>
        </w:tc>
        <w:tc>
          <w:tcPr>
            <w:tcW w:w="873" w:type="pct"/>
            <w:tcBorders>
              <w:tl2br w:val="nil"/>
              <w:tr2bl w:val="nil"/>
            </w:tcBorders>
            <w:noWrap w:val="0"/>
            <w:vAlign w:val="center"/>
          </w:tcPr>
          <w:p w14:paraId="2572B49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密点麻蜥</w:t>
            </w:r>
          </w:p>
        </w:tc>
        <w:tc>
          <w:tcPr>
            <w:tcW w:w="1602" w:type="pct"/>
            <w:tcBorders>
              <w:tl2br w:val="nil"/>
              <w:tr2bl w:val="nil"/>
            </w:tcBorders>
            <w:noWrap w:val="0"/>
            <w:vAlign w:val="center"/>
          </w:tcPr>
          <w:p w14:paraId="6DB788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Eremias multiocellata</w:t>
            </w:r>
          </w:p>
        </w:tc>
      </w:tr>
      <w:tr w14:paraId="36D002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1EB96AF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w:t>
            </w:r>
          </w:p>
        </w:tc>
        <w:tc>
          <w:tcPr>
            <w:tcW w:w="688" w:type="pct"/>
            <w:tcBorders>
              <w:tl2br w:val="nil"/>
              <w:tr2bl w:val="nil"/>
            </w:tcBorders>
            <w:noWrap w:val="0"/>
            <w:vAlign w:val="center"/>
          </w:tcPr>
          <w:p w14:paraId="3EE5887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爬行纲</w:t>
            </w:r>
          </w:p>
        </w:tc>
        <w:tc>
          <w:tcPr>
            <w:tcW w:w="688" w:type="pct"/>
            <w:tcBorders>
              <w:tl2br w:val="nil"/>
              <w:tr2bl w:val="nil"/>
            </w:tcBorders>
            <w:noWrap w:val="0"/>
            <w:vAlign w:val="center"/>
          </w:tcPr>
          <w:p w14:paraId="05B0B91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蜥蜴目</w:t>
            </w:r>
          </w:p>
        </w:tc>
        <w:tc>
          <w:tcPr>
            <w:tcW w:w="670" w:type="pct"/>
            <w:tcBorders>
              <w:tl2br w:val="nil"/>
              <w:tr2bl w:val="nil"/>
            </w:tcBorders>
            <w:noWrap w:val="0"/>
            <w:vAlign w:val="center"/>
          </w:tcPr>
          <w:p w14:paraId="34AE8A5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蜥蜴科</w:t>
            </w:r>
          </w:p>
        </w:tc>
        <w:tc>
          <w:tcPr>
            <w:tcW w:w="873" w:type="pct"/>
            <w:tcBorders>
              <w:tl2br w:val="nil"/>
              <w:tr2bl w:val="nil"/>
            </w:tcBorders>
            <w:noWrap w:val="0"/>
            <w:vAlign w:val="center"/>
          </w:tcPr>
          <w:p w14:paraId="0AD7456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快步麻蜥</w:t>
            </w:r>
          </w:p>
        </w:tc>
        <w:tc>
          <w:tcPr>
            <w:tcW w:w="1602" w:type="pct"/>
            <w:tcBorders>
              <w:tl2br w:val="nil"/>
              <w:tr2bl w:val="nil"/>
            </w:tcBorders>
            <w:noWrap w:val="0"/>
            <w:vAlign w:val="center"/>
          </w:tcPr>
          <w:p w14:paraId="79052D1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kern w:val="2"/>
                <w:sz w:val="21"/>
                <w:szCs w:val="21"/>
                <w:highlight w:val="none"/>
                <w:vertAlign w:val="baseline"/>
                <w:lang w:val="en-US" w:eastAsia="zh-CN" w:bidi="ar-SA"/>
              </w:rPr>
              <w:t>Eremias velox</w:t>
            </w:r>
          </w:p>
        </w:tc>
      </w:tr>
      <w:tr w14:paraId="5B0851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02DE0A8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3</w:t>
            </w:r>
          </w:p>
        </w:tc>
        <w:tc>
          <w:tcPr>
            <w:tcW w:w="688" w:type="pct"/>
            <w:tcBorders>
              <w:tl2br w:val="nil"/>
              <w:tr2bl w:val="nil"/>
            </w:tcBorders>
            <w:noWrap w:val="0"/>
            <w:vAlign w:val="center"/>
          </w:tcPr>
          <w:p w14:paraId="2DB7F2A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哺乳纲</w:t>
            </w:r>
          </w:p>
        </w:tc>
        <w:tc>
          <w:tcPr>
            <w:tcW w:w="688" w:type="pct"/>
            <w:tcBorders>
              <w:tl2br w:val="nil"/>
              <w:tr2bl w:val="nil"/>
            </w:tcBorders>
            <w:noWrap w:val="0"/>
            <w:vAlign w:val="center"/>
          </w:tcPr>
          <w:p w14:paraId="7A83B0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啮齿目</w:t>
            </w:r>
          </w:p>
        </w:tc>
        <w:tc>
          <w:tcPr>
            <w:tcW w:w="670" w:type="pct"/>
            <w:tcBorders>
              <w:tl2br w:val="nil"/>
              <w:tr2bl w:val="nil"/>
            </w:tcBorders>
            <w:noWrap w:val="0"/>
            <w:vAlign w:val="center"/>
          </w:tcPr>
          <w:p w14:paraId="691520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跳鼠科</w:t>
            </w:r>
          </w:p>
        </w:tc>
        <w:tc>
          <w:tcPr>
            <w:tcW w:w="873" w:type="pct"/>
            <w:tcBorders>
              <w:tl2br w:val="nil"/>
              <w:tr2bl w:val="nil"/>
            </w:tcBorders>
            <w:noWrap w:val="0"/>
            <w:vAlign w:val="center"/>
          </w:tcPr>
          <w:p w14:paraId="68B8B38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长耳跳鼠</w:t>
            </w:r>
          </w:p>
        </w:tc>
        <w:tc>
          <w:tcPr>
            <w:tcW w:w="1602" w:type="pct"/>
            <w:tcBorders>
              <w:tl2br w:val="nil"/>
              <w:tr2bl w:val="nil"/>
            </w:tcBorders>
            <w:noWrap w:val="0"/>
            <w:vAlign w:val="center"/>
          </w:tcPr>
          <w:p w14:paraId="4C98D9A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kern w:val="2"/>
                <w:sz w:val="21"/>
                <w:szCs w:val="21"/>
                <w:highlight w:val="none"/>
                <w:vertAlign w:val="baseline"/>
                <w:lang w:val="en-US" w:eastAsia="zh-CN" w:bidi="ar-SA"/>
              </w:rPr>
              <w:t>Euchoreutes naso</w:t>
            </w:r>
          </w:p>
        </w:tc>
      </w:tr>
      <w:tr w14:paraId="277A00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29F968E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4</w:t>
            </w:r>
          </w:p>
        </w:tc>
        <w:tc>
          <w:tcPr>
            <w:tcW w:w="688" w:type="pct"/>
            <w:tcBorders>
              <w:tl2br w:val="nil"/>
              <w:tr2bl w:val="nil"/>
            </w:tcBorders>
            <w:noWrap w:val="0"/>
            <w:vAlign w:val="center"/>
          </w:tcPr>
          <w:p w14:paraId="1A1032C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哺乳纲</w:t>
            </w:r>
          </w:p>
        </w:tc>
        <w:tc>
          <w:tcPr>
            <w:tcW w:w="688" w:type="pct"/>
            <w:tcBorders>
              <w:tl2br w:val="nil"/>
              <w:tr2bl w:val="nil"/>
            </w:tcBorders>
            <w:noWrap w:val="0"/>
            <w:vAlign w:val="center"/>
          </w:tcPr>
          <w:p w14:paraId="04EC6E3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啮齿目</w:t>
            </w:r>
          </w:p>
        </w:tc>
        <w:tc>
          <w:tcPr>
            <w:tcW w:w="670" w:type="pct"/>
            <w:tcBorders>
              <w:tl2br w:val="nil"/>
              <w:tr2bl w:val="nil"/>
            </w:tcBorders>
            <w:noWrap w:val="0"/>
            <w:vAlign w:val="center"/>
          </w:tcPr>
          <w:p w14:paraId="5F01657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跳鼠科</w:t>
            </w:r>
          </w:p>
        </w:tc>
        <w:tc>
          <w:tcPr>
            <w:tcW w:w="873" w:type="pct"/>
            <w:tcBorders>
              <w:tl2br w:val="nil"/>
              <w:tr2bl w:val="nil"/>
            </w:tcBorders>
            <w:noWrap w:val="0"/>
            <w:vAlign w:val="center"/>
          </w:tcPr>
          <w:p w14:paraId="632B75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毛脚跳鼠</w:t>
            </w:r>
          </w:p>
        </w:tc>
        <w:tc>
          <w:tcPr>
            <w:tcW w:w="1602" w:type="pct"/>
            <w:tcBorders>
              <w:tl2br w:val="nil"/>
              <w:tr2bl w:val="nil"/>
            </w:tcBorders>
            <w:noWrap w:val="0"/>
            <w:vAlign w:val="center"/>
          </w:tcPr>
          <w:p w14:paraId="067C8F3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Dipus sagitta</w:t>
            </w:r>
          </w:p>
        </w:tc>
      </w:tr>
      <w:tr w14:paraId="639682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2479D7F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5</w:t>
            </w:r>
          </w:p>
        </w:tc>
        <w:tc>
          <w:tcPr>
            <w:tcW w:w="688" w:type="pct"/>
            <w:tcBorders>
              <w:tl2br w:val="nil"/>
              <w:tr2bl w:val="nil"/>
            </w:tcBorders>
            <w:noWrap w:val="0"/>
            <w:vAlign w:val="center"/>
          </w:tcPr>
          <w:p w14:paraId="73B7F5D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哺乳纲</w:t>
            </w:r>
          </w:p>
        </w:tc>
        <w:tc>
          <w:tcPr>
            <w:tcW w:w="688" w:type="pct"/>
            <w:tcBorders>
              <w:tl2br w:val="nil"/>
              <w:tr2bl w:val="nil"/>
            </w:tcBorders>
            <w:noWrap w:val="0"/>
            <w:vAlign w:val="center"/>
          </w:tcPr>
          <w:p w14:paraId="25729C2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啮齿目</w:t>
            </w:r>
          </w:p>
        </w:tc>
        <w:tc>
          <w:tcPr>
            <w:tcW w:w="670" w:type="pct"/>
            <w:tcBorders>
              <w:tl2br w:val="nil"/>
              <w:tr2bl w:val="nil"/>
            </w:tcBorders>
            <w:noWrap w:val="0"/>
            <w:vAlign w:val="center"/>
          </w:tcPr>
          <w:p w14:paraId="4EE66EB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跳鼠科</w:t>
            </w:r>
          </w:p>
        </w:tc>
        <w:tc>
          <w:tcPr>
            <w:tcW w:w="873" w:type="pct"/>
            <w:tcBorders>
              <w:tl2br w:val="nil"/>
              <w:tr2bl w:val="nil"/>
            </w:tcBorders>
            <w:noWrap w:val="0"/>
            <w:vAlign w:val="center"/>
          </w:tcPr>
          <w:p w14:paraId="4A45E7F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小五趾跳鼠</w:t>
            </w:r>
          </w:p>
        </w:tc>
        <w:tc>
          <w:tcPr>
            <w:tcW w:w="1602" w:type="pct"/>
            <w:tcBorders>
              <w:tl2br w:val="nil"/>
              <w:tr2bl w:val="nil"/>
            </w:tcBorders>
            <w:noWrap w:val="0"/>
            <w:vAlign w:val="center"/>
          </w:tcPr>
          <w:p w14:paraId="493544B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Allactaga elater dzungariae</w:t>
            </w:r>
          </w:p>
        </w:tc>
      </w:tr>
      <w:tr w14:paraId="22F224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60E0E09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6</w:t>
            </w:r>
          </w:p>
        </w:tc>
        <w:tc>
          <w:tcPr>
            <w:tcW w:w="688" w:type="pct"/>
            <w:tcBorders>
              <w:tl2br w:val="nil"/>
              <w:tr2bl w:val="nil"/>
            </w:tcBorders>
            <w:noWrap w:val="0"/>
            <w:vAlign w:val="center"/>
          </w:tcPr>
          <w:p w14:paraId="0C587F8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哺乳纲</w:t>
            </w:r>
          </w:p>
        </w:tc>
        <w:tc>
          <w:tcPr>
            <w:tcW w:w="688" w:type="pct"/>
            <w:tcBorders>
              <w:tl2br w:val="nil"/>
              <w:tr2bl w:val="nil"/>
            </w:tcBorders>
            <w:noWrap w:val="0"/>
            <w:vAlign w:val="center"/>
          </w:tcPr>
          <w:p w14:paraId="578B89A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啮齿目</w:t>
            </w:r>
          </w:p>
        </w:tc>
        <w:tc>
          <w:tcPr>
            <w:tcW w:w="670" w:type="pct"/>
            <w:tcBorders>
              <w:tl2br w:val="nil"/>
              <w:tr2bl w:val="nil"/>
            </w:tcBorders>
            <w:noWrap w:val="0"/>
            <w:vAlign w:val="center"/>
          </w:tcPr>
          <w:p w14:paraId="60CC5D1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鼠科</w:t>
            </w:r>
          </w:p>
        </w:tc>
        <w:tc>
          <w:tcPr>
            <w:tcW w:w="873" w:type="pct"/>
            <w:tcBorders>
              <w:tl2br w:val="nil"/>
              <w:tr2bl w:val="nil"/>
            </w:tcBorders>
            <w:noWrap w:val="0"/>
            <w:vAlign w:val="center"/>
          </w:tcPr>
          <w:p w14:paraId="0DCAFEA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小家鼠（奥德萨亚种）</w:t>
            </w:r>
          </w:p>
        </w:tc>
        <w:tc>
          <w:tcPr>
            <w:tcW w:w="1602" w:type="pct"/>
            <w:tcBorders>
              <w:tl2br w:val="nil"/>
              <w:tr2bl w:val="nil"/>
            </w:tcBorders>
            <w:noWrap w:val="0"/>
            <w:vAlign w:val="center"/>
          </w:tcPr>
          <w:p w14:paraId="2C3A46C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Mus musculus</w:t>
            </w:r>
          </w:p>
        </w:tc>
      </w:tr>
      <w:tr w14:paraId="1A04F6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6152A3F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7</w:t>
            </w:r>
          </w:p>
        </w:tc>
        <w:tc>
          <w:tcPr>
            <w:tcW w:w="688" w:type="pct"/>
            <w:tcBorders>
              <w:tl2br w:val="nil"/>
              <w:tr2bl w:val="nil"/>
            </w:tcBorders>
            <w:noWrap w:val="0"/>
            <w:vAlign w:val="center"/>
          </w:tcPr>
          <w:p w14:paraId="068701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哺乳纲</w:t>
            </w:r>
          </w:p>
        </w:tc>
        <w:tc>
          <w:tcPr>
            <w:tcW w:w="688" w:type="pct"/>
            <w:tcBorders>
              <w:tl2br w:val="nil"/>
              <w:tr2bl w:val="nil"/>
            </w:tcBorders>
            <w:noWrap w:val="0"/>
            <w:vAlign w:val="center"/>
          </w:tcPr>
          <w:p w14:paraId="36B0813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啮齿目</w:t>
            </w:r>
          </w:p>
        </w:tc>
        <w:tc>
          <w:tcPr>
            <w:tcW w:w="670" w:type="pct"/>
            <w:tcBorders>
              <w:tl2br w:val="nil"/>
              <w:tr2bl w:val="nil"/>
            </w:tcBorders>
            <w:noWrap w:val="0"/>
            <w:vAlign w:val="center"/>
          </w:tcPr>
          <w:p w14:paraId="252BB5E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仓鼠科</w:t>
            </w:r>
          </w:p>
        </w:tc>
        <w:tc>
          <w:tcPr>
            <w:tcW w:w="873" w:type="pct"/>
            <w:tcBorders>
              <w:tl2br w:val="nil"/>
              <w:tr2bl w:val="nil"/>
            </w:tcBorders>
            <w:noWrap w:val="0"/>
            <w:vAlign w:val="center"/>
          </w:tcPr>
          <w:p w14:paraId="24A1D3B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黄兔尾鼠</w:t>
            </w:r>
          </w:p>
        </w:tc>
        <w:tc>
          <w:tcPr>
            <w:tcW w:w="1602" w:type="pct"/>
            <w:tcBorders>
              <w:tl2br w:val="nil"/>
              <w:tr2bl w:val="nil"/>
            </w:tcBorders>
            <w:noWrap w:val="0"/>
            <w:vAlign w:val="center"/>
          </w:tcPr>
          <w:p w14:paraId="68B5BE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Eolagurus luteus</w:t>
            </w:r>
          </w:p>
        </w:tc>
      </w:tr>
      <w:tr w14:paraId="5EAEE2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3C3A3EE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8</w:t>
            </w:r>
          </w:p>
        </w:tc>
        <w:tc>
          <w:tcPr>
            <w:tcW w:w="688" w:type="pct"/>
            <w:tcBorders>
              <w:tl2br w:val="nil"/>
              <w:tr2bl w:val="nil"/>
            </w:tcBorders>
            <w:noWrap w:val="0"/>
            <w:vAlign w:val="center"/>
          </w:tcPr>
          <w:p w14:paraId="71C0BFF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哺乳纲</w:t>
            </w:r>
          </w:p>
        </w:tc>
        <w:tc>
          <w:tcPr>
            <w:tcW w:w="688" w:type="pct"/>
            <w:tcBorders>
              <w:tl2br w:val="nil"/>
              <w:tr2bl w:val="nil"/>
            </w:tcBorders>
            <w:noWrap w:val="0"/>
            <w:vAlign w:val="center"/>
          </w:tcPr>
          <w:p w14:paraId="2224733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啮齿目</w:t>
            </w:r>
          </w:p>
        </w:tc>
        <w:tc>
          <w:tcPr>
            <w:tcW w:w="670" w:type="pct"/>
            <w:tcBorders>
              <w:tl2br w:val="nil"/>
              <w:tr2bl w:val="nil"/>
            </w:tcBorders>
            <w:noWrap w:val="0"/>
            <w:vAlign w:val="center"/>
          </w:tcPr>
          <w:p w14:paraId="29BAFA8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仓鼠科</w:t>
            </w:r>
          </w:p>
        </w:tc>
        <w:tc>
          <w:tcPr>
            <w:tcW w:w="873" w:type="pct"/>
            <w:tcBorders>
              <w:tl2br w:val="nil"/>
              <w:tr2bl w:val="nil"/>
            </w:tcBorders>
            <w:noWrap w:val="0"/>
            <w:vAlign w:val="center"/>
          </w:tcPr>
          <w:p w14:paraId="07C6407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大沙鼠</w:t>
            </w:r>
          </w:p>
        </w:tc>
        <w:tc>
          <w:tcPr>
            <w:tcW w:w="1602" w:type="pct"/>
            <w:tcBorders>
              <w:tl2br w:val="nil"/>
              <w:tr2bl w:val="nil"/>
            </w:tcBorders>
            <w:noWrap w:val="0"/>
            <w:vAlign w:val="center"/>
          </w:tcPr>
          <w:p w14:paraId="3C5393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Rhombomys opimus</w:t>
            </w:r>
          </w:p>
        </w:tc>
      </w:tr>
      <w:tr w14:paraId="7C6E16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177797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9</w:t>
            </w:r>
          </w:p>
        </w:tc>
        <w:tc>
          <w:tcPr>
            <w:tcW w:w="688" w:type="pct"/>
            <w:tcBorders>
              <w:tl2br w:val="nil"/>
              <w:tr2bl w:val="nil"/>
            </w:tcBorders>
            <w:noWrap w:val="0"/>
            <w:vAlign w:val="center"/>
          </w:tcPr>
          <w:p w14:paraId="72C5825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哺乳纲</w:t>
            </w:r>
          </w:p>
        </w:tc>
        <w:tc>
          <w:tcPr>
            <w:tcW w:w="688" w:type="pct"/>
            <w:tcBorders>
              <w:tl2br w:val="nil"/>
              <w:tr2bl w:val="nil"/>
            </w:tcBorders>
            <w:noWrap w:val="0"/>
            <w:vAlign w:val="center"/>
          </w:tcPr>
          <w:p w14:paraId="1C4737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啮齿目</w:t>
            </w:r>
          </w:p>
        </w:tc>
        <w:tc>
          <w:tcPr>
            <w:tcW w:w="670" w:type="pct"/>
            <w:tcBorders>
              <w:tl2br w:val="nil"/>
              <w:tr2bl w:val="nil"/>
            </w:tcBorders>
            <w:noWrap w:val="0"/>
            <w:vAlign w:val="center"/>
          </w:tcPr>
          <w:p w14:paraId="0ED2DC0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仓鼠科</w:t>
            </w:r>
          </w:p>
        </w:tc>
        <w:tc>
          <w:tcPr>
            <w:tcW w:w="873" w:type="pct"/>
            <w:tcBorders>
              <w:tl2br w:val="nil"/>
              <w:tr2bl w:val="nil"/>
            </w:tcBorders>
            <w:noWrap w:val="0"/>
            <w:vAlign w:val="center"/>
          </w:tcPr>
          <w:p w14:paraId="6F76348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子午沙鼠</w:t>
            </w:r>
          </w:p>
        </w:tc>
        <w:tc>
          <w:tcPr>
            <w:tcW w:w="1602" w:type="pct"/>
            <w:tcBorders>
              <w:tl2br w:val="nil"/>
              <w:tr2bl w:val="nil"/>
            </w:tcBorders>
            <w:noWrap w:val="0"/>
            <w:vAlign w:val="center"/>
          </w:tcPr>
          <w:p w14:paraId="6E9D724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Meriones meridianus</w:t>
            </w:r>
          </w:p>
        </w:tc>
      </w:tr>
      <w:tr w14:paraId="0D1C3F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6566D23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10</w:t>
            </w:r>
          </w:p>
        </w:tc>
        <w:tc>
          <w:tcPr>
            <w:tcW w:w="688" w:type="pct"/>
            <w:tcBorders>
              <w:tl2br w:val="nil"/>
              <w:tr2bl w:val="nil"/>
            </w:tcBorders>
            <w:noWrap w:val="0"/>
            <w:vAlign w:val="center"/>
          </w:tcPr>
          <w:p w14:paraId="336FE3F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哺乳纲</w:t>
            </w:r>
          </w:p>
        </w:tc>
        <w:tc>
          <w:tcPr>
            <w:tcW w:w="688" w:type="pct"/>
            <w:tcBorders>
              <w:tl2br w:val="nil"/>
              <w:tr2bl w:val="nil"/>
            </w:tcBorders>
            <w:noWrap w:val="0"/>
            <w:vAlign w:val="center"/>
          </w:tcPr>
          <w:p w14:paraId="0161020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啮齿目</w:t>
            </w:r>
          </w:p>
        </w:tc>
        <w:tc>
          <w:tcPr>
            <w:tcW w:w="670" w:type="pct"/>
            <w:tcBorders>
              <w:tl2br w:val="nil"/>
              <w:tr2bl w:val="nil"/>
            </w:tcBorders>
            <w:noWrap w:val="0"/>
            <w:vAlign w:val="center"/>
          </w:tcPr>
          <w:p w14:paraId="09710FF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仓鼠科</w:t>
            </w:r>
          </w:p>
        </w:tc>
        <w:tc>
          <w:tcPr>
            <w:tcW w:w="873" w:type="pct"/>
            <w:tcBorders>
              <w:tl2br w:val="nil"/>
              <w:tr2bl w:val="nil"/>
            </w:tcBorders>
            <w:noWrap w:val="0"/>
            <w:vAlign w:val="center"/>
          </w:tcPr>
          <w:p w14:paraId="17EEA58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红尾沙鼠</w:t>
            </w:r>
          </w:p>
        </w:tc>
        <w:tc>
          <w:tcPr>
            <w:tcW w:w="1602" w:type="pct"/>
            <w:tcBorders>
              <w:tl2br w:val="nil"/>
              <w:tr2bl w:val="nil"/>
            </w:tcBorders>
            <w:noWrap w:val="0"/>
            <w:vAlign w:val="center"/>
          </w:tcPr>
          <w:p w14:paraId="39D7E79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Meriones libycus</w:t>
            </w:r>
          </w:p>
        </w:tc>
      </w:tr>
      <w:tr w14:paraId="776449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222FA27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11</w:t>
            </w:r>
          </w:p>
        </w:tc>
        <w:tc>
          <w:tcPr>
            <w:tcW w:w="688" w:type="pct"/>
            <w:tcBorders>
              <w:tl2br w:val="nil"/>
              <w:tr2bl w:val="nil"/>
            </w:tcBorders>
            <w:noWrap w:val="0"/>
            <w:vAlign w:val="center"/>
          </w:tcPr>
          <w:p w14:paraId="349B0A4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哺乳纲</w:t>
            </w:r>
          </w:p>
        </w:tc>
        <w:tc>
          <w:tcPr>
            <w:tcW w:w="688" w:type="pct"/>
            <w:tcBorders>
              <w:tl2br w:val="nil"/>
              <w:tr2bl w:val="nil"/>
            </w:tcBorders>
            <w:noWrap w:val="0"/>
            <w:vAlign w:val="center"/>
          </w:tcPr>
          <w:p w14:paraId="7123E64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兔形目</w:t>
            </w:r>
          </w:p>
        </w:tc>
        <w:tc>
          <w:tcPr>
            <w:tcW w:w="670" w:type="pct"/>
            <w:tcBorders>
              <w:tl2br w:val="nil"/>
              <w:tr2bl w:val="nil"/>
            </w:tcBorders>
            <w:noWrap w:val="0"/>
            <w:vAlign w:val="center"/>
          </w:tcPr>
          <w:p w14:paraId="4399B86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兔科</w:t>
            </w:r>
          </w:p>
        </w:tc>
        <w:tc>
          <w:tcPr>
            <w:tcW w:w="873" w:type="pct"/>
            <w:tcBorders>
              <w:tl2br w:val="nil"/>
              <w:tr2bl w:val="nil"/>
            </w:tcBorders>
            <w:noWrap w:val="0"/>
            <w:vAlign w:val="center"/>
          </w:tcPr>
          <w:p w14:paraId="5068B8E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蒙古兔</w:t>
            </w:r>
          </w:p>
        </w:tc>
        <w:tc>
          <w:tcPr>
            <w:tcW w:w="1602" w:type="pct"/>
            <w:tcBorders>
              <w:tl2br w:val="nil"/>
              <w:tr2bl w:val="nil"/>
            </w:tcBorders>
            <w:noWrap w:val="0"/>
            <w:vAlign w:val="center"/>
          </w:tcPr>
          <w:p w14:paraId="7BFE56A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Lepus tolai tolai</w:t>
            </w:r>
          </w:p>
        </w:tc>
      </w:tr>
      <w:tr w14:paraId="2422AD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0DEEF2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12</w:t>
            </w:r>
          </w:p>
        </w:tc>
        <w:tc>
          <w:tcPr>
            <w:tcW w:w="688" w:type="pct"/>
            <w:tcBorders>
              <w:tl2br w:val="nil"/>
              <w:tr2bl w:val="nil"/>
            </w:tcBorders>
            <w:noWrap w:val="0"/>
            <w:vAlign w:val="center"/>
          </w:tcPr>
          <w:p w14:paraId="1566600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哺乳纲</w:t>
            </w:r>
          </w:p>
        </w:tc>
        <w:tc>
          <w:tcPr>
            <w:tcW w:w="688" w:type="pct"/>
            <w:tcBorders>
              <w:tl2br w:val="nil"/>
              <w:tr2bl w:val="nil"/>
            </w:tcBorders>
            <w:noWrap w:val="0"/>
            <w:vAlign w:val="center"/>
          </w:tcPr>
          <w:p w14:paraId="65130C2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猬形目</w:t>
            </w:r>
          </w:p>
        </w:tc>
        <w:tc>
          <w:tcPr>
            <w:tcW w:w="670" w:type="pct"/>
            <w:tcBorders>
              <w:tl2br w:val="nil"/>
              <w:tr2bl w:val="nil"/>
            </w:tcBorders>
            <w:noWrap w:val="0"/>
            <w:vAlign w:val="center"/>
          </w:tcPr>
          <w:p w14:paraId="01DDF83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猬科</w:t>
            </w:r>
          </w:p>
        </w:tc>
        <w:tc>
          <w:tcPr>
            <w:tcW w:w="873" w:type="pct"/>
            <w:tcBorders>
              <w:tl2br w:val="nil"/>
              <w:tr2bl w:val="nil"/>
            </w:tcBorders>
            <w:noWrap w:val="0"/>
            <w:vAlign w:val="center"/>
          </w:tcPr>
          <w:p w14:paraId="3C784F8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大耳猬</w:t>
            </w:r>
          </w:p>
        </w:tc>
        <w:tc>
          <w:tcPr>
            <w:tcW w:w="1602" w:type="pct"/>
            <w:tcBorders>
              <w:tl2br w:val="nil"/>
              <w:tr2bl w:val="nil"/>
            </w:tcBorders>
            <w:noWrap w:val="0"/>
            <w:vAlign w:val="center"/>
          </w:tcPr>
          <w:p w14:paraId="0A6E61C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Hemiechinus auritus</w:t>
            </w:r>
          </w:p>
        </w:tc>
      </w:tr>
      <w:tr w14:paraId="695435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5DC6723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13</w:t>
            </w:r>
          </w:p>
        </w:tc>
        <w:tc>
          <w:tcPr>
            <w:tcW w:w="688" w:type="pct"/>
            <w:tcBorders>
              <w:tl2br w:val="nil"/>
              <w:tr2bl w:val="nil"/>
            </w:tcBorders>
            <w:noWrap w:val="0"/>
            <w:vAlign w:val="center"/>
          </w:tcPr>
          <w:p w14:paraId="5FB9322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哺乳纲</w:t>
            </w:r>
          </w:p>
        </w:tc>
        <w:tc>
          <w:tcPr>
            <w:tcW w:w="688" w:type="pct"/>
            <w:tcBorders>
              <w:tl2br w:val="nil"/>
              <w:tr2bl w:val="nil"/>
            </w:tcBorders>
            <w:noWrap w:val="0"/>
            <w:vAlign w:val="center"/>
          </w:tcPr>
          <w:p w14:paraId="215CEE9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翼手目</w:t>
            </w:r>
          </w:p>
        </w:tc>
        <w:tc>
          <w:tcPr>
            <w:tcW w:w="670" w:type="pct"/>
            <w:tcBorders>
              <w:tl2br w:val="nil"/>
              <w:tr2bl w:val="nil"/>
            </w:tcBorders>
            <w:noWrap w:val="0"/>
            <w:vAlign w:val="center"/>
          </w:tcPr>
          <w:p w14:paraId="5F71C3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蝙蝠科</w:t>
            </w:r>
          </w:p>
        </w:tc>
        <w:tc>
          <w:tcPr>
            <w:tcW w:w="873" w:type="pct"/>
            <w:tcBorders>
              <w:tl2br w:val="nil"/>
              <w:tr2bl w:val="nil"/>
            </w:tcBorders>
            <w:noWrap w:val="0"/>
            <w:vAlign w:val="center"/>
          </w:tcPr>
          <w:p w14:paraId="4DB8B92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普通伏翼</w:t>
            </w:r>
          </w:p>
        </w:tc>
        <w:tc>
          <w:tcPr>
            <w:tcW w:w="1602" w:type="pct"/>
            <w:tcBorders>
              <w:tl2br w:val="nil"/>
              <w:tr2bl w:val="nil"/>
            </w:tcBorders>
            <w:noWrap w:val="0"/>
            <w:vAlign w:val="center"/>
          </w:tcPr>
          <w:p w14:paraId="08E356B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Pipistrellus abramus</w:t>
            </w:r>
          </w:p>
        </w:tc>
      </w:tr>
      <w:tr w14:paraId="6EBC2B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16E86C7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14</w:t>
            </w:r>
          </w:p>
        </w:tc>
        <w:tc>
          <w:tcPr>
            <w:tcW w:w="688" w:type="pct"/>
            <w:tcBorders>
              <w:tl2br w:val="nil"/>
              <w:tr2bl w:val="nil"/>
            </w:tcBorders>
            <w:noWrap w:val="0"/>
            <w:vAlign w:val="center"/>
          </w:tcPr>
          <w:p w14:paraId="116B2EE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fldChar w:fldCharType="begin"/>
            </w:r>
            <w:r>
              <w:rPr>
                <w:rFonts w:hint="default" w:ascii="Times New Roman" w:hAnsi="Times New Roman" w:eastAsia="宋体" w:cs="Times New Roman"/>
                <w:b w:val="0"/>
                <w:bCs w:val="0"/>
                <w:color w:val="000000"/>
                <w:sz w:val="21"/>
                <w:szCs w:val="21"/>
                <w:highlight w:val="none"/>
                <w:vertAlign w:val="baseline"/>
                <w:lang w:val="en-US" w:eastAsia="zh-CN"/>
              </w:rPr>
              <w:instrText xml:space="preserve"> HYPERLINK "https://baike.baidu.com/item/%E9%B8%9F%E7%BA%B2/1194548?fromModule=lemma_inlink" \t "https://baike.baidu.com/item/%E9%95%BF%E8%80%B3%E9%B8%AE/_blank" </w:instrText>
            </w:r>
            <w:r>
              <w:rPr>
                <w:rFonts w:hint="default" w:ascii="Times New Roman" w:hAnsi="Times New Roman" w:eastAsia="宋体" w:cs="Times New Roman"/>
                <w:b w:val="0"/>
                <w:bCs w:val="0"/>
                <w:color w:val="000000"/>
                <w:sz w:val="21"/>
                <w:szCs w:val="21"/>
                <w:highlight w:val="none"/>
                <w:vertAlign w:val="baseline"/>
                <w:lang w:val="en-US" w:eastAsia="zh-CN"/>
              </w:rPr>
              <w:fldChar w:fldCharType="separate"/>
            </w:r>
            <w:r>
              <w:rPr>
                <w:rFonts w:hint="default" w:ascii="Times New Roman" w:hAnsi="Times New Roman" w:eastAsia="宋体" w:cs="Times New Roman"/>
                <w:b w:val="0"/>
                <w:bCs w:val="0"/>
                <w:color w:val="000000"/>
                <w:sz w:val="21"/>
                <w:szCs w:val="21"/>
                <w:highlight w:val="none"/>
                <w:vertAlign w:val="baseline"/>
                <w:lang w:val="en-US" w:eastAsia="zh-CN"/>
              </w:rPr>
              <w:t>鸟纲</w:t>
            </w:r>
            <w:r>
              <w:rPr>
                <w:rFonts w:hint="default" w:ascii="Times New Roman" w:hAnsi="Times New Roman" w:eastAsia="宋体" w:cs="Times New Roman"/>
                <w:b w:val="0"/>
                <w:bCs w:val="0"/>
                <w:color w:val="000000"/>
                <w:sz w:val="21"/>
                <w:szCs w:val="21"/>
                <w:highlight w:val="none"/>
                <w:vertAlign w:val="baseline"/>
                <w:lang w:val="en-US" w:eastAsia="zh-CN"/>
              </w:rPr>
              <w:fldChar w:fldCharType="end"/>
            </w:r>
          </w:p>
        </w:tc>
        <w:tc>
          <w:tcPr>
            <w:tcW w:w="688" w:type="pct"/>
            <w:tcBorders>
              <w:tl2br w:val="nil"/>
              <w:tr2bl w:val="nil"/>
            </w:tcBorders>
            <w:noWrap w:val="0"/>
            <w:vAlign w:val="center"/>
          </w:tcPr>
          <w:p w14:paraId="2FAAB5E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鸮形目</w:t>
            </w:r>
          </w:p>
        </w:tc>
        <w:tc>
          <w:tcPr>
            <w:tcW w:w="670" w:type="pct"/>
            <w:tcBorders>
              <w:tl2br w:val="nil"/>
              <w:tr2bl w:val="nil"/>
            </w:tcBorders>
            <w:noWrap w:val="0"/>
            <w:vAlign w:val="center"/>
          </w:tcPr>
          <w:p w14:paraId="4E81E37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鸱鸮科</w:t>
            </w:r>
          </w:p>
        </w:tc>
        <w:tc>
          <w:tcPr>
            <w:tcW w:w="873" w:type="pct"/>
            <w:tcBorders>
              <w:tl2br w:val="nil"/>
              <w:tr2bl w:val="nil"/>
            </w:tcBorders>
            <w:noWrap w:val="0"/>
            <w:vAlign w:val="center"/>
          </w:tcPr>
          <w:p w14:paraId="1672E01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长耳鸮</w:t>
            </w:r>
          </w:p>
        </w:tc>
        <w:tc>
          <w:tcPr>
            <w:tcW w:w="1602" w:type="pct"/>
            <w:tcBorders>
              <w:tl2br w:val="nil"/>
              <w:tr2bl w:val="nil"/>
            </w:tcBorders>
            <w:noWrap w:val="0"/>
            <w:vAlign w:val="center"/>
          </w:tcPr>
          <w:p w14:paraId="767CF88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Asio otus</w:t>
            </w:r>
          </w:p>
        </w:tc>
      </w:tr>
      <w:tr w14:paraId="2E86C8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4FDFAF8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15</w:t>
            </w:r>
          </w:p>
        </w:tc>
        <w:tc>
          <w:tcPr>
            <w:tcW w:w="688" w:type="pct"/>
            <w:tcBorders>
              <w:tl2br w:val="nil"/>
              <w:tr2bl w:val="nil"/>
            </w:tcBorders>
            <w:noWrap w:val="0"/>
            <w:vAlign w:val="center"/>
          </w:tcPr>
          <w:p w14:paraId="336DF5D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fldChar w:fldCharType="begin"/>
            </w:r>
            <w:r>
              <w:rPr>
                <w:rFonts w:hint="default" w:ascii="Times New Roman" w:hAnsi="Times New Roman" w:eastAsia="宋体" w:cs="Times New Roman"/>
                <w:b w:val="0"/>
                <w:bCs w:val="0"/>
                <w:color w:val="000000"/>
                <w:sz w:val="21"/>
                <w:szCs w:val="21"/>
                <w:highlight w:val="none"/>
                <w:vertAlign w:val="baseline"/>
                <w:lang w:val="en-US" w:eastAsia="zh-CN"/>
              </w:rPr>
              <w:instrText xml:space="preserve"> HYPERLINK "https://baike.baidu.com/item/%E9%B8%9F%E7%BA%B2/1194548?fromModule=lemma_inlink" \t "https://baike.baidu.com/item/%E9%95%BF%E8%80%B3%E9%B8%AE/_blank" </w:instrText>
            </w:r>
            <w:r>
              <w:rPr>
                <w:rFonts w:hint="default" w:ascii="Times New Roman" w:hAnsi="Times New Roman" w:eastAsia="宋体" w:cs="Times New Roman"/>
                <w:b w:val="0"/>
                <w:bCs w:val="0"/>
                <w:color w:val="000000"/>
                <w:sz w:val="21"/>
                <w:szCs w:val="21"/>
                <w:highlight w:val="none"/>
                <w:vertAlign w:val="baseline"/>
                <w:lang w:val="en-US" w:eastAsia="zh-CN"/>
              </w:rPr>
              <w:fldChar w:fldCharType="separate"/>
            </w:r>
            <w:r>
              <w:rPr>
                <w:rFonts w:hint="default" w:ascii="Times New Roman" w:hAnsi="Times New Roman" w:eastAsia="宋体" w:cs="Times New Roman"/>
                <w:b w:val="0"/>
                <w:bCs w:val="0"/>
                <w:color w:val="000000"/>
                <w:sz w:val="21"/>
                <w:szCs w:val="21"/>
                <w:highlight w:val="none"/>
                <w:vertAlign w:val="baseline"/>
                <w:lang w:val="en-US" w:eastAsia="zh-CN"/>
              </w:rPr>
              <w:t>鸟纲</w:t>
            </w:r>
            <w:r>
              <w:rPr>
                <w:rFonts w:hint="default" w:ascii="Times New Roman" w:hAnsi="Times New Roman" w:eastAsia="宋体" w:cs="Times New Roman"/>
                <w:b w:val="0"/>
                <w:bCs w:val="0"/>
                <w:color w:val="000000"/>
                <w:sz w:val="21"/>
                <w:szCs w:val="21"/>
                <w:highlight w:val="none"/>
                <w:vertAlign w:val="baseline"/>
                <w:lang w:val="en-US" w:eastAsia="zh-CN"/>
              </w:rPr>
              <w:fldChar w:fldCharType="end"/>
            </w:r>
          </w:p>
        </w:tc>
        <w:tc>
          <w:tcPr>
            <w:tcW w:w="688" w:type="pct"/>
            <w:tcBorders>
              <w:tl2br w:val="nil"/>
              <w:tr2bl w:val="nil"/>
            </w:tcBorders>
            <w:noWrap w:val="0"/>
            <w:vAlign w:val="center"/>
          </w:tcPr>
          <w:p w14:paraId="4818275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雀形目</w:t>
            </w:r>
          </w:p>
        </w:tc>
        <w:tc>
          <w:tcPr>
            <w:tcW w:w="670" w:type="pct"/>
            <w:tcBorders>
              <w:tl2br w:val="nil"/>
              <w:tr2bl w:val="nil"/>
            </w:tcBorders>
            <w:noWrap w:val="0"/>
            <w:vAlign w:val="center"/>
          </w:tcPr>
          <w:p w14:paraId="4FAF203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百灵科</w:t>
            </w:r>
          </w:p>
        </w:tc>
        <w:tc>
          <w:tcPr>
            <w:tcW w:w="873" w:type="pct"/>
            <w:tcBorders>
              <w:tl2br w:val="nil"/>
              <w:tr2bl w:val="nil"/>
            </w:tcBorders>
            <w:noWrap w:val="0"/>
            <w:vAlign w:val="center"/>
          </w:tcPr>
          <w:p w14:paraId="4728E08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凤头百灵（新疆亚种）</w:t>
            </w:r>
          </w:p>
        </w:tc>
        <w:tc>
          <w:tcPr>
            <w:tcW w:w="1602" w:type="pct"/>
            <w:tcBorders>
              <w:tl2br w:val="nil"/>
              <w:tr2bl w:val="nil"/>
            </w:tcBorders>
            <w:noWrap w:val="0"/>
            <w:vAlign w:val="center"/>
          </w:tcPr>
          <w:p w14:paraId="00FC788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Galerida cristata magna</w:t>
            </w:r>
          </w:p>
        </w:tc>
      </w:tr>
      <w:tr w14:paraId="39221B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4ED8951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16</w:t>
            </w:r>
          </w:p>
        </w:tc>
        <w:tc>
          <w:tcPr>
            <w:tcW w:w="688" w:type="pct"/>
            <w:tcBorders>
              <w:tl2br w:val="nil"/>
              <w:tr2bl w:val="nil"/>
            </w:tcBorders>
            <w:noWrap w:val="0"/>
            <w:vAlign w:val="center"/>
          </w:tcPr>
          <w:p w14:paraId="55A50F0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fldChar w:fldCharType="begin"/>
            </w:r>
            <w:r>
              <w:rPr>
                <w:rFonts w:hint="default" w:ascii="Times New Roman" w:hAnsi="Times New Roman" w:eastAsia="宋体" w:cs="Times New Roman"/>
                <w:b w:val="0"/>
                <w:bCs w:val="0"/>
                <w:color w:val="000000"/>
                <w:sz w:val="21"/>
                <w:szCs w:val="21"/>
                <w:highlight w:val="none"/>
                <w:vertAlign w:val="baseline"/>
                <w:lang w:val="en-US" w:eastAsia="zh-CN"/>
              </w:rPr>
              <w:instrText xml:space="preserve"> HYPERLINK "https://baike.baidu.com/item/%E9%B8%9F%E7%BA%B2/1194548?fromModule=lemma_inlink" \t "https://baike.baidu.com/item/%E9%95%BF%E8%80%B3%E9%B8%AE/_blank" </w:instrText>
            </w:r>
            <w:r>
              <w:rPr>
                <w:rFonts w:hint="default" w:ascii="Times New Roman" w:hAnsi="Times New Roman" w:eastAsia="宋体" w:cs="Times New Roman"/>
                <w:b w:val="0"/>
                <w:bCs w:val="0"/>
                <w:color w:val="000000"/>
                <w:sz w:val="21"/>
                <w:szCs w:val="21"/>
                <w:highlight w:val="none"/>
                <w:vertAlign w:val="baseline"/>
                <w:lang w:val="en-US" w:eastAsia="zh-CN"/>
              </w:rPr>
              <w:fldChar w:fldCharType="separate"/>
            </w:r>
            <w:r>
              <w:rPr>
                <w:rFonts w:hint="default" w:ascii="Times New Roman" w:hAnsi="Times New Roman" w:eastAsia="宋体" w:cs="Times New Roman"/>
                <w:b w:val="0"/>
                <w:bCs w:val="0"/>
                <w:color w:val="000000"/>
                <w:sz w:val="21"/>
                <w:szCs w:val="21"/>
                <w:highlight w:val="none"/>
                <w:vertAlign w:val="baseline"/>
                <w:lang w:val="en-US" w:eastAsia="zh-CN"/>
              </w:rPr>
              <w:t>鸟纲</w:t>
            </w:r>
            <w:r>
              <w:rPr>
                <w:rFonts w:hint="default" w:ascii="Times New Roman" w:hAnsi="Times New Roman" w:eastAsia="宋体" w:cs="Times New Roman"/>
                <w:b w:val="0"/>
                <w:bCs w:val="0"/>
                <w:color w:val="000000"/>
                <w:sz w:val="21"/>
                <w:szCs w:val="21"/>
                <w:highlight w:val="none"/>
                <w:vertAlign w:val="baseline"/>
                <w:lang w:val="en-US" w:eastAsia="zh-CN"/>
              </w:rPr>
              <w:fldChar w:fldCharType="end"/>
            </w:r>
          </w:p>
        </w:tc>
        <w:tc>
          <w:tcPr>
            <w:tcW w:w="688" w:type="pct"/>
            <w:tcBorders>
              <w:tl2br w:val="nil"/>
              <w:tr2bl w:val="nil"/>
            </w:tcBorders>
            <w:noWrap w:val="0"/>
            <w:vAlign w:val="center"/>
          </w:tcPr>
          <w:p w14:paraId="0C61E7B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雀形目</w:t>
            </w:r>
          </w:p>
        </w:tc>
        <w:tc>
          <w:tcPr>
            <w:tcW w:w="670" w:type="pct"/>
            <w:tcBorders>
              <w:tl2br w:val="nil"/>
              <w:tr2bl w:val="nil"/>
            </w:tcBorders>
            <w:noWrap w:val="0"/>
            <w:vAlign w:val="center"/>
          </w:tcPr>
          <w:p w14:paraId="5AEA9FB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百灵科</w:t>
            </w:r>
          </w:p>
        </w:tc>
        <w:tc>
          <w:tcPr>
            <w:tcW w:w="873" w:type="pct"/>
            <w:tcBorders>
              <w:tl2br w:val="nil"/>
              <w:tr2bl w:val="nil"/>
            </w:tcBorders>
            <w:noWrap w:val="0"/>
            <w:vAlign w:val="center"/>
          </w:tcPr>
          <w:p w14:paraId="77175C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小沙百灵</w:t>
            </w:r>
          </w:p>
        </w:tc>
        <w:tc>
          <w:tcPr>
            <w:tcW w:w="1602" w:type="pct"/>
            <w:tcBorders>
              <w:tl2br w:val="nil"/>
              <w:tr2bl w:val="nil"/>
            </w:tcBorders>
            <w:noWrap w:val="0"/>
            <w:vAlign w:val="center"/>
          </w:tcPr>
          <w:p w14:paraId="2E7603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Alaudala rufescens</w:t>
            </w:r>
          </w:p>
        </w:tc>
      </w:tr>
      <w:tr w14:paraId="2149FE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498A0B5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17</w:t>
            </w:r>
          </w:p>
        </w:tc>
        <w:tc>
          <w:tcPr>
            <w:tcW w:w="688" w:type="pct"/>
            <w:tcBorders>
              <w:tl2br w:val="nil"/>
              <w:tr2bl w:val="nil"/>
            </w:tcBorders>
            <w:noWrap w:val="0"/>
            <w:vAlign w:val="center"/>
          </w:tcPr>
          <w:p w14:paraId="7D4DD47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fldChar w:fldCharType="begin"/>
            </w:r>
            <w:r>
              <w:rPr>
                <w:rFonts w:hint="default" w:ascii="Times New Roman" w:hAnsi="Times New Roman" w:eastAsia="宋体" w:cs="Times New Roman"/>
                <w:b w:val="0"/>
                <w:bCs w:val="0"/>
                <w:color w:val="000000"/>
                <w:sz w:val="21"/>
                <w:szCs w:val="21"/>
                <w:highlight w:val="none"/>
                <w:vertAlign w:val="baseline"/>
                <w:lang w:val="en-US" w:eastAsia="zh-CN"/>
              </w:rPr>
              <w:instrText xml:space="preserve"> HYPERLINK "https://baike.baidu.com/item/%E9%B8%9F%E7%BA%B2/1194548?fromModule=lemma_inlink" \t "https://baike.baidu.com/item/%E9%95%BF%E8%80%B3%E9%B8%AE/_blank" </w:instrText>
            </w:r>
            <w:r>
              <w:rPr>
                <w:rFonts w:hint="default" w:ascii="Times New Roman" w:hAnsi="Times New Roman" w:eastAsia="宋体" w:cs="Times New Roman"/>
                <w:b w:val="0"/>
                <w:bCs w:val="0"/>
                <w:color w:val="000000"/>
                <w:sz w:val="21"/>
                <w:szCs w:val="21"/>
                <w:highlight w:val="none"/>
                <w:vertAlign w:val="baseline"/>
                <w:lang w:val="en-US" w:eastAsia="zh-CN"/>
              </w:rPr>
              <w:fldChar w:fldCharType="separate"/>
            </w:r>
            <w:r>
              <w:rPr>
                <w:rFonts w:hint="default" w:ascii="Times New Roman" w:hAnsi="Times New Roman" w:eastAsia="宋体" w:cs="Times New Roman"/>
                <w:b w:val="0"/>
                <w:bCs w:val="0"/>
                <w:color w:val="000000"/>
                <w:sz w:val="21"/>
                <w:szCs w:val="21"/>
                <w:highlight w:val="none"/>
                <w:vertAlign w:val="baseline"/>
                <w:lang w:val="en-US" w:eastAsia="zh-CN"/>
              </w:rPr>
              <w:t>鸟纲</w:t>
            </w:r>
            <w:r>
              <w:rPr>
                <w:rFonts w:hint="default" w:ascii="Times New Roman" w:hAnsi="Times New Roman" w:eastAsia="宋体" w:cs="Times New Roman"/>
                <w:b w:val="0"/>
                <w:bCs w:val="0"/>
                <w:color w:val="000000"/>
                <w:sz w:val="21"/>
                <w:szCs w:val="21"/>
                <w:highlight w:val="none"/>
                <w:vertAlign w:val="baseline"/>
                <w:lang w:val="en-US" w:eastAsia="zh-CN"/>
              </w:rPr>
              <w:fldChar w:fldCharType="end"/>
            </w:r>
          </w:p>
        </w:tc>
        <w:tc>
          <w:tcPr>
            <w:tcW w:w="688" w:type="pct"/>
            <w:tcBorders>
              <w:tl2br w:val="nil"/>
              <w:tr2bl w:val="nil"/>
            </w:tcBorders>
            <w:noWrap w:val="0"/>
            <w:vAlign w:val="center"/>
          </w:tcPr>
          <w:p w14:paraId="206565C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雀形目</w:t>
            </w:r>
          </w:p>
        </w:tc>
        <w:tc>
          <w:tcPr>
            <w:tcW w:w="670" w:type="pct"/>
            <w:tcBorders>
              <w:tl2br w:val="nil"/>
              <w:tr2bl w:val="nil"/>
            </w:tcBorders>
            <w:noWrap w:val="0"/>
            <w:vAlign w:val="center"/>
          </w:tcPr>
          <w:p w14:paraId="51F7DF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燕科</w:t>
            </w:r>
          </w:p>
        </w:tc>
        <w:tc>
          <w:tcPr>
            <w:tcW w:w="873" w:type="pct"/>
            <w:tcBorders>
              <w:tl2br w:val="nil"/>
              <w:tr2bl w:val="nil"/>
            </w:tcBorders>
            <w:noWrap w:val="0"/>
            <w:vAlign w:val="center"/>
          </w:tcPr>
          <w:p w14:paraId="5B47784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家燕（指名亚种）</w:t>
            </w:r>
          </w:p>
        </w:tc>
        <w:tc>
          <w:tcPr>
            <w:tcW w:w="1602" w:type="pct"/>
            <w:tcBorders>
              <w:tl2br w:val="nil"/>
              <w:tr2bl w:val="nil"/>
            </w:tcBorders>
            <w:noWrap w:val="0"/>
            <w:vAlign w:val="center"/>
          </w:tcPr>
          <w:p w14:paraId="759DAC4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Hirundo rustica rustica</w:t>
            </w:r>
          </w:p>
        </w:tc>
      </w:tr>
      <w:tr w14:paraId="2C0EE2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1A5C7CC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18</w:t>
            </w:r>
          </w:p>
        </w:tc>
        <w:tc>
          <w:tcPr>
            <w:tcW w:w="688" w:type="pct"/>
            <w:tcBorders>
              <w:tl2br w:val="nil"/>
              <w:tr2bl w:val="nil"/>
            </w:tcBorders>
            <w:noWrap w:val="0"/>
            <w:vAlign w:val="center"/>
          </w:tcPr>
          <w:p w14:paraId="20E501D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fldChar w:fldCharType="begin"/>
            </w:r>
            <w:r>
              <w:rPr>
                <w:rFonts w:hint="default" w:ascii="Times New Roman" w:hAnsi="Times New Roman" w:eastAsia="宋体" w:cs="Times New Roman"/>
                <w:b w:val="0"/>
                <w:bCs w:val="0"/>
                <w:color w:val="000000"/>
                <w:sz w:val="21"/>
                <w:szCs w:val="21"/>
                <w:highlight w:val="none"/>
                <w:vertAlign w:val="baseline"/>
                <w:lang w:val="en-US" w:eastAsia="zh-CN"/>
              </w:rPr>
              <w:instrText xml:space="preserve"> HYPERLINK "https://baike.baidu.com/item/%E9%B8%9F%E7%BA%B2/1194548?fromModule=lemma_inlink" \t "https://baike.baidu.com/item/%E9%95%BF%E8%80%B3%E9%B8%AE/_blank" </w:instrText>
            </w:r>
            <w:r>
              <w:rPr>
                <w:rFonts w:hint="default" w:ascii="Times New Roman" w:hAnsi="Times New Roman" w:eastAsia="宋体" w:cs="Times New Roman"/>
                <w:b w:val="0"/>
                <w:bCs w:val="0"/>
                <w:color w:val="000000"/>
                <w:sz w:val="21"/>
                <w:szCs w:val="21"/>
                <w:highlight w:val="none"/>
                <w:vertAlign w:val="baseline"/>
                <w:lang w:val="en-US" w:eastAsia="zh-CN"/>
              </w:rPr>
              <w:fldChar w:fldCharType="separate"/>
            </w:r>
            <w:r>
              <w:rPr>
                <w:rFonts w:hint="default" w:ascii="Times New Roman" w:hAnsi="Times New Roman" w:eastAsia="宋体" w:cs="Times New Roman"/>
                <w:b w:val="0"/>
                <w:bCs w:val="0"/>
                <w:color w:val="000000"/>
                <w:sz w:val="21"/>
                <w:szCs w:val="21"/>
                <w:highlight w:val="none"/>
                <w:vertAlign w:val="baseline"/>
                <w:lang w:val="en-US" w:eastAsia="zh-CN"/>
              </w:rPr>
              <w:t>鸟纲</w:t>
            </w:r>
            <w:r>
              <w:rPr>
                <w:rFonts w:hint="default" w:ascii="Times New Roman" w:hAnsi="Times New Roman" w:eastAsia="宋体" w:cs="Times New Roman"/>
                <w:b w:val="0"/>
                <w:bCs w:val="0"/>
                <w:color w:val="000000"/>
                <w:sz w:val="21"/>
                <w:szCs w:val="21"/>
                <w:highlight w:val="none"/>
                <w:vertAlign w:val="baseline"/>
                <w:lang w:val="en-US" w:eastAsia="zh-CN"/>
              </w:rPr>
              <w:fldChar w:fldCharType="end"/>
            </w:r>
          </w:p>
        </w:tc>
        <w:tc>
          <w:tcPr>
            <w:tcW w:w="688" w:type="pct"/>
            <w:tcBorders>
              <w:tl2br w:val="nil"/>
              <w:tr2bl w:val="nil"/>
            </w:tcBorders>
            <w:noWrap w:val="0"/>
            <w:vAlign w:val="center"/>
          </w:tcPr>
          <w:p w14:paraId="3A7D6B4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雀形目</w:t>
            </w:r>
          </w:p>
        </w:tc>
        <w:tc>
          <w:tcPr>
            <w:tcW w:w="670" w:type="pct"/>
            <w:tcBorders>
              <w:tl2br w:val="nil"/>
              <w:tr2bl w:val="nil"/>
            </w:tcBorders>
            <w:noWrap w:val="0"/>
            <w:vAlign w:val="center"/>
          </w:tcPr>
          <w:p w14:paraId="3C23103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伯劳科</w:t>
            </w:r>
          </w:p>
        </w:tc>
        <w:tc>
          <w:tcPr>
            <w:tcW w:w="873" w:type="pct"/>
            <w:tcBorders>
              <w:tl2br w:val="nil"/>
              <w:tr2bl w:val="nil"/>
            </w:tcBorders>
            <w:noWrap w:val="0"/>
            <w:vAlign w:val="center"/>
          </w:tcPr>
          <w:p w14:paraId="1BAC993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红尾伯劳（北疆亚种）</w:t>
            </w:r>
          </w:p>
        </w:tc>
        <w:tc>
          <w:tcPr>
            <w:tcW w:w="1602" w:type="pct"/>
            <w:tcBorders>
              <w:tl2br w:val="nil"/>
              <w:tr2bl w:val="nil"/>
            </w:tcBorders>
            <w:noWrap w:val="0"/>
            <w:vAlign w:val="center"/>
          </w:tcPr>
          <w:p w14:paraId="4D030F6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Laniun cristatus phoenicuroides</w:t>
            </w:r>
          </w:p>
        </w:tc>
      </w:tr>
      <w:tr w14:paraId="4BD7F2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62D20B3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19</w:t>
            </w:r>
          </w:p>
        </w:tc>
        <w:tc>
          <w:tcPr>
            <w:tcW w:w="688" w:type="pct"/>
            <w:tcBorders>
              <w:tl2br w:val="nil"/>
              <w:tr2bl w:val="nil"/>
            </w:tcBorders>
            <w:noWrap w:val="0"/>
            <w:vAlign w:val="center"/>
          </w:tcPr>
          <w:p w14:paraId="15C71A8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fldChar w:fldCharType="begin"/>
            </w:r>
            <w:r>
              <w:rPr>
                <w:rFonts w:hint="default" w:ascii="Times New Roman" w:hAnsi="Times New Roman" w:eastAsia="宋体" w:cs="Times New Roman"/>
                <w:b w:val="0"/>
                <w:bCs w:val="0"/>
                <w:color w:val="000000"/>
                <w:sz w:val="21"/>
                <w:szCs w:val="21"/>
                <w:highlight w:val="none"/>
                <w:vertAlign w:val="baseline"/>
                <w:lang w:val="en-US" w:eastAsia="zh-CN"/>
              </w:rPr>
              <w:instrText xml:space="preserve"> HYPERLINK "https://baike.baidu.com/item/%E9%B8%9F%E7%BA%B2/1194548?fromModule=lemma_inlink" \t "https://baike.baidu.com/item/%E9%95%BF%E8%80%B3%E9%B8%AE/_blank" </w:instrText>
            </w:r>
            <w:r>
              <w:rPr>
                <w:rFonts w:hint="default" w:ascii="Times New Roman" w:hAnsi="Times New Roman" w:eastAsia="宋体" w:cs="Times New Roman"/>
                <w:b w:val="0"/>
                <w:bCs w:val="0"/>
                <w:color w:val="000000"/>
                <w:sz w:val="21"/>
                <w:szCs w:val="21"/>
                <w:highlight w:val="none"/>
                <w:vertAlign w:val="baseline"/>
                <w:lang w:val="en-US" w:eastAsia="zh-CN"/>
              </w:rPr>
              <w:fldChar w:fldCharType="separate"/>
            </w:r>
            <w:r>
              <w:rPr>
                <w:rFonts w:hint="default" w:ascii="Times New Roman" w:hAnsi="Times New Roman" w:eastAsia="宋体" w:cs="Times New Roman"/>
                <w:b w:val="0"/>
                <w:bCs w:val="0"/>
                <w:color w:val="000000"/>
                <w:sz w:val="21"/>
                <w:szCs w:val="21"/>
                <w:highlight w:val="none"/>
                <w:vertAlign w:val="baseline"/>
                <w:lang w:val="en-US" w:eastAsia="zh-CN"/>
              </w:rPr>
              <w:t>鸟纲</w:t>
            </w:r>
            <w:r>
              <w:rPr>
                <w:rFonts w:hint="default" w:ascii="Times New Roman" w:hAnsi="Times New Roman" w:eastAsia="宋体" w:cs="Times New Roman"/>
                <w:b w:val="0"/>
                <w:bCs w:val="0"/>
                <w:color w:val="000000"/>
                <w:sz w:val="21"/>
                <w:szCs w:val="21"/>
                <w:highlight w:val="none"/>
                <w:vertAlign w:val="baseline"/>
                <w:lang w:val="en-US" w:eastAsia="zh-CN"/>
              </w:rPr>
              <w:fldChar w:fldCharType="end"/>
            </w:r>
          </w:p>
        </w:tc>
        <w:tc>
          <w:tcPr>
            <w:tcW w:w="688" w:type="pct"/>
            <w:tcBorders>
              <w:tl2br w:val="nil"/>
              <w:tr2bl w:val="nil"/>
            </w:tcBorders>
            <w:noWrap w:val="0"/>
            <w:vAlign w:val="center"/>
          </w:tcPr>
          <w:p w14:paraId="4BEC01C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雀形目</w:t>
            </w:r>
          </w:p>
        </w:tc>
        <w:tc>
          <w:tcPr>
            <w:tcW w:w="670" w:type="pct"/>
            <w:tcBorders>
              <w:tl2br w:val="nil"/>
              <w:tr2bl w:val="nil"/>
            </w:tcBorders>
            <w:noWrap w:val="0"/>
            <w:vAlign w:val="center"/>
          </w:tcPr>
          <w:p w14:paraId="2A16215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文鸟科</w:t>
            </w:r>
          </w:p>
        </w:tc>
        <w:tc>
          <w:tcPr>
            <w:tcW w:w="873" w:type="pct"/>
            <w:tcBorders>
              <w:tl2br w:val="nil"/>
              <w:tr2bl w:val="nil"/>
            </w:tcBorders>
            <w:noWrap w:val="0"/>
            <w:vAlign w:val="center"/>
          </w:tcPr>
          <w:p w14:paraId="6A4F6DE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家麻雀（新疆亚种）</w:t>
            </w:r>
          </w:p>
        </w:tc>
        <w:tc>
          <w:tcPr>
            <w:tcW w:w="1602" w:type="pct"/>
            <w:tcBorders>
              <w:tl2br w:val="nil"/>
              <w:tr2bl w:val="nil"/>
            </w:tcBorders>
            <w:noWrap w:val="0"/>
            <w:vAlign w:val="center"/>
          </w:tcPr>
          <w:p w14:paraId="1C055E0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Passer domesticus bactrianus</w:t>
            </w:r>
          </w:p>
        </w:tc>
      </w:tr>
      <w:tr w14:paraId="2C4528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58C051E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20</w:t>
            </w:r>
          </w:p>
        </w:tc>
        <w:tc>
          <w:tcPr>
            <w:tcW w:w="688" w:type="pct"/>
            <w:tcBorders>
              <w:tl2br w:val="nil"/>
              <w:tr2bl w:val="nil"/>
            </w:tcBorders>
            <w:noWrap w:val="0"/>
            <w:vAlign w:val="center"/>
          </w:tcPr>
          <w:p w14:paraId="55CD61D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fldChar w:fldCharType="begin"/>
            </w:r>
            <w:r>
              <w:rPr>
                <w:rFonts w:hint="default" w:ascii="Times New Roman" w:hAnsi="Times New Roman" w:eastAsia="宋体" w:cs="Times New Roman"/>
                <w:b w:val="0"/>
                <w:bCs w:val="0"/>
                <w:color w:val="000000"/>
                <w:sz w:val="21"/>
                <w:szCs w:val="21"/>
                <w:highlight w:val="none"/>
                <w:vertAlign w:val="baseline"/>
                <w:lang w:val="en-US" w:eastAsia="zh-CN"/>
              </w:rPr>
              <w:instrText xml:space="preserve"> HYPERLINK "https://baike.baidu.com/item/%E9%B8%9F%E7%BA%B2/1194548?fromModule=lemma_inlink" \t "https://baike.baidu.com/item/%E9%95%BF%E8%80%B3%E9%B8%AE/_blank" </w:instrText>
            </w:r>
            <w:r>
              <w:rPr>
                <w:rFonts w:hint="default" w:ascii="Times New Roman" w:hAnsi="Times New Roman" w:eastAsia="宋体" w:cs="Times New Roman"/>
                <w:b w:val="0"/>
                <w:bCs w:val="0"/>
                <w:color w:val="000000"/>
                <w:sz w:val="21"/>
                <w:szCs w:val="21"/>
                <w:highlight w:val="none"/>
                <w:vertAlign w:val="baseline"/>
                <w:lang w:val="en-US" w:eastAsia="zh-CN"/>
              </w:rPr>
              <w:fldChar w:fldCharType="separate"/>
            </w:r>
            <w:r>
              <w:rPr>
                <w:rFonts w:hint="default" w:ascii="Times New Roman" w:hAnsi="Times New Roman" w:eastAsia="宋体" w:cs="Times New Roman"/>
                <w:b w:val="0"/>
                <w:bCs w:val="0"/>
                <w:color w:val="000000"/>
                <w:sz w:val="21"/>
                <w:szCs w:val="21"/>
                <w:highlight w:val="none"/>
                <w:vertAlign w:val="baseline"/>
                <w:lang w:val="en-US" w:eastAsia="zh-CN"/>
              </w:rPr>
              <w:t>鸟纲</w:t>
            </w:r>
            <w:r>
              <w:rPr>
                <w:rFonts w:hint="default" w:ascii="Times New Roman" w:hAnsi="Times New Roman" w:eastAsia="宋体" w:cs="Times New Roman"/>
                <w:b w:val="0"/>
                <w:bCs w:val="0"/>
                <w:color w:val="000000"/>
                <w:sz w:val="21"/>
                <w:szCs w:val="21"/>
                <w:highlight w:val="none"/>
                <w:vertAlign w:val="baseline"/>
                <w:lang w:val="en-US" w:eastAsia="zh-CN"/>
              </w:rPr>
              <w:fldChar w:fldCharType="end"/>
            </w:r>
          </w:p>
        </w:tc>
        <w:tc>
          <w:tcPr>
            <w:tcW w:w="688" w:type="pct"/>
            <w:tcBorders>
              <w:tl2br w:val="nil"/>
              <w:tr2bl w:val="nil"/>
            </w:tcBorders>
            <w:noWrap w:val="0"/>
            <w:vAlign w:val="center"/>
          </w:tcPr>
          <w:p w14:paraId="40CC506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雀形目</w:t>
            </w:r>
          </w:p>
        </w:tc>
        <w:tc>
          <w:tcPr>
            <w:tcW w:w="670" w:type="pct"/>
            <w:tcBorders>
              <w:tl2br w:val="nil"/>
              <w:tr2bl w:val="nil"/>
            </w:tcBorders>
            <w:noWrap w:val="0"/>
            <w:vAlign w:val="center"/>
          </w:tcPr>
          <w:p w14:paraId="20584B6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鹡鸰科</w:t>
            </w:r>
          </w:p>
        </w:tc>
        <w:tc>
          <w:tcPr>
            <w:tcW w:w="873" w:type="pct"/>
            <w:tcBorders>
              <w:tl2br w:val="nil"/>
              <w:tr2bl w:val="nil"/>
            </w:tcBorders>
            <w:noWrap w:val="0"/>
            <w:vAlign w:val="center"/>
          </w:tcPr>
          <w:p w14:paraId="19AB6DF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灰鹡鸰</w:t>
            </w:r>
          </w:p>
        </w:tc>
        <w:tc>
          <w:tcPr>
            <w:tcW w:w="1602" w:type="pct"/>
            <w:tcBorders>
              <w:tl2br w:val="nil"/>
              <w:tr2bl w:val="nil"/>
            </w:tcBorders>
            <w:noWrap w:val="0"/>
            <w:vAlign w:val="center"/>
          </w:tcPr>
          <w:p w14:paraId="4F82FD4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Motacilla cinerea</w:t>
            </w:r>
          </w:p>
        </w:tc>
      </w:tr>
      <w:tr w14:paraId="72A80A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01FE74E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21</w:t>
            </w:r>
          </w:p>
        </w:tc>
        <w:tc>
          <w:tcPr>
            <w:tcW w:w="688" w:type="pct"/>
            <w:tcBorders>
              <w:tl2br w:val="nil"/>
              <w:tr2bl w:val="nil"/>
            </w:tcBorders>
            <w:noWrap w:val="0"/>
            <w:vAlign w:val="center"/>
          </w:tcPr>
          <w:p w14:paraId="79A5BCB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fldChar w:fldCharType="begin"/>
            </w:r>
            <w:r>
              <w:rPr>
                <w:rFonts w:hint="default" w:ascii="Times New Roman" w:hAnsi="Times New Roman" w:eastAsia="宋体" w:cs="Times New Roman"/>
                <w:b w:val="0"/>
                <w:bCs w:val="0"/>
                <w:color w:val="000000"/>
                <w:sz w:val="21"/>
                <w:szCs w:val="21"/>
                <w:highlight w:val="none"/>
                <w:vertAlign w:val="baseline"/>
                <w:lang w:val="en-US" w:eastAsia="zh-CN"/>
              </w:rPr>
              <w:instrText xml:space="preserve"> HYPERLINK "https://baike.baidu.com/item/%E9%B8%9F%E7%BA%B2/1194548?fromModule=lemma_inlink" \t "https://baike.baidu.com/item/%E9%95%BF%E8%80%B3%E9%B8%AE/_blank" </w:instrText>
            </w:r>
            <w:r>
              <w:rPr>
                <w:rFonts w:hint="default" w:ascii="Times New Roman" w:hAnsi="Times New Roman" w:eastAsia="宋体" w:cs="Times New Roman"/>
                <w:b w:val="0"/>
                <w:bCs w:val="0"/>
                <w:color w:val="000000"/>
                <w:sz w:val="21"/>
                <w:szCs w:val="21"/>
                <w:highlight w:val="none"/>
                <w:vertAlign w:val="baseline"/>
                <w:lang w:val="en-US" w:eastAsia="zh-CN"/>
              </w:rPr>
              <w:fldChar w:fldCharType="separate"/>
            </w:r>
            <w:r>
              <w:rPr>
                <w:rFonts w:hint="default" w:ascii="Times New Roman" w:hAnsi="Times New Roman" w:eastAsia="宋体" w:cs="Times New Roman"/>
                <w:b w:val="0"/>
                <w:bCs w:val="0"/>
                <w:color w:val="000000"/>
                <w:sz w:val="21"/>
                <w:szCs w:val="21"/>
                <w:highlight w:val="none"/>
                <w:vertAlign w:val="baseline"/>
                <w:lang w:val="en-US" w:eastAsia="zh-CN"/>
              </w:rPr>
              <w:t>鸟纲</w:t>
            </w:r>
            <w:r>
              <w:rPr>
                <w:rFonts w:hint="default" w:ascii="Times New Roman" w:hAnsi="Times New Roman" w:eastAsia="宋体" w:cs="Times New Roman"/>
                <w:b w:val="0"/>
                <w:bCs w:val="0"/>
                <w:color w:val="000000"/>
                <w:sz w:val="21"/>
                <w:szCs w:val="21"/>
                <w:highlight w:val="none"/>
                <w:vertAlign w:val="baseline"/>
                <w:lang w:val="en-US" w:eastAsia="zh-CN"/>
              </w:rPr>
              <w:fldChar w:fldCharType="end"/>
            </w:r>
          </w:p>
        </w:tc>
        <w:tc>
          <w:tcPr>
            <w:tcW w:w="688" w:type="pct"/>
            <w:tcBorders>
              <w:tl2br w:val="nil"/>
              <w:tr2bl w:val="nil"/>
            </w:tcBorders>
            <w:noWrap w:val="0"/>
            <w:vAlign w:val="center"/>
          </w:tcPr>
          <w:p w14:paraId="6F6AF2C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雀形目</w:t>
            </w:r>
          </w:p>
        </w:tc>
        <w:tc>
          <w:tcPr>
            <w:tcW w:w="670" w:type="pct"/>
            <w:tcBorders>
              <w:tl2br w:val="nil"/>
              <w:tr2bl w:val="nil"/>
            </w:tcBorders>
            <w:noWrap w:val="0"/>
            <w:vAlign w:val="center"/>
          </w:tcPr>
          <w:p w14:paraId="49C71FD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雀科</w:t>
            </w:r>
          </w:p>
        </w:tc>
        <w:tc>
          <w:tcPr>
            <w:tcW w:w="873" w:type="pct"/>
            <w:tcBorders>
              <w:tl2br w:val="nil"/>
              <w:tr2bl w:val="nil"/>
            </w:tcBorders>
            <w:noWrap w:val="0"/>
            <w:vAlign w:val="center"/>
          </w:tcPr>
          <w:p w14:paraId="3B556D5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树麻雀</w:t>
            </w:r>
          </w:p>
        </w:tc>
        <w:tc>
          <w:tcPr>
            <w:tcW w:w="1602" w:type="pct"/>
            <w:tcBorders>
              <w:tl2br w:val="nil"/>
              <w:tr2bl w:val="nil"/>
            </w:tcBorders>
            <w:noWrap w:val="0"/>
            <w:vAlign w:val="center"/>
          </w:tcPr>
          <w:p w14:paraId="695FCCC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Passer montanus</w:t>
            </w:r>
          </w:p>
        </w:tc>
      </w:tr>
      <w:tr w14:paraId="2028BA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7EB3F33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22</w:t>
            </w:r>
          </w:p>
        </w:tc>
        <w:tc>
          <w:tcPr>
            <w:tcW w:w="688" w:type="pct"/>
            <w:tcBorders>
              <w:tl2br w:val="nil"/>
              <w:tr2bl w:val="nil"/>
            </w:tcBorders>
            <w:noWrap w:val="0"/>
            <w:vAlign w:val="center"/>
          </w:tcPr>
          <w:p w14:paraId="275AA4A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fldChar w:fldCharType="begin"/>
            </w:r>
            <w:r>
              <w:rPr>
                <w:rFonts w:hint="default" w:ascii="Times New Roman" w:hAnsi="Times New Roman" w:eastAsia="宋体" w:cs="Times New Roman"/>
                <w:b w:val="0"/>
                <w:bCs w:val="0"/>
                <w:color w:val="000000"/>
                <w:sz w:val="21"/>
                <w:szCs w:val="21"/>
                <w:highlight w:val="none"/>
                <w:vertAlign w:val="baseline"/>
                <w:lang w:val="en-US" w:eastAsia="zh-CN"/>
              </w:rPr>
              <w:instrText xml:space="preserve"> HYPERLINK "https://baike.baidu.com/item/%E9%B8%9F%E7%BA%B2/1194548?fromModule=lemma_inlink" \t "https://baike.baidu.com/item/%E9%95%BF%E8%80%B3%E9%B8%AE/_blank" </w:instrText>
            </w:r>
            <w:r>
              <w:rPr>
                <w:rFonts w:hint="default" w:ascii="Times New Roman" w:hAnsi="Times New Roman" w:eastAsia="宋体" w:cs="Times New Roman"/>
                <w:b w:val="0"/>
                <w:bCs w:val="0"/>
                <w:color w:val="000000"/>
                <w:sz w:val="21"/>
                <w:szCs w:val="21"/>
                <w:highlight w:val="none"/>
                <w:vertAlign w:val="baseline"/>
                <w:lang w:val="en-US" w:eastAsia="zh-CN"/>
              </w:rPr>
              <w:fldChar w:fldCharType="separate"/>
            </w:r>
            <w:r>
              <w:rPr>
                <w:rFonts w:hint="default" w:ascii="Times New Roman" w:hAnsi="Times New Roman" w:eastAsia="宋体" w:cs="Times New Roman"/>
                <w:b w:val="0"/>
                <w:bCs w:val="0"/>
                <w:color w:val="000000"/>
                <w:sz w:val="21"/>
                <w:szCs w:val="21"/>
                <w:highlight w:val="none"/>
                <w:vertAlign w:val="baseline"/>
                <w:lang w:val="en-US" w:eastAsia="zh-CN"/>
              </w:rPr>
              <w:t>鸟纲</w:t>
            </w:r>
            <w:r>
              <w:rPr>
                <w:rFonts w:hint="default" w:ascii="Times New Roman" w:hAnsi="Times New Roman" w:eastAsia="宋体" w:cs="Times New Roman"/>
                <w:b w:val="0"/>
                <w:bCs w:val="0"/>
                <w:color w:val="000000"/>
                <w:sz w:val="21"/>
                <w:szCs w:val="21"/>
                <w:highlight w:val="none"/>
                <w:vertAlign w:val="baseline"/>
                <w:lang w:val="en-US" w:eastAsia="zh-CN"/>
              </w:rPr>
              <w:fldChar w:fldCharType="end"/>
            </w:r>
          </w:p>
        </w:tc>
        <w:tc>
          <w:tcPr>
            <w:tcW w:w="688" w:type="pct"/>
            <w:tcBorders>
              <w:tl2br w:val="nil"/>
              <w:tr2bl w:val="nil"/>
            </w:tcBorders>
            <w:noWrap w:val="0"/>
            <w:vAlign w:val="center"/>
          </w:tcPr>
          <w:p w14:paraId="494EE72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雀形目</w:t>
            </w:r>
          </w:p>
        </w:tc>
        <w:tc>
          <w:tcPr>
            <w:tcW w:w="670" w:type="pct"/>
            <w:tcBorders>
              <w:tl2br w:val="nil"/>
              <w:tr2bl w:val="nil"/>
            </w:tcBorders>
            <w:noWrap w:val="0"/>
            <w:vAlign w:val="center"/>
          </w:tcPr>
          <w:p w14:paraId="0DF0C47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雀科</w:t>
            </w:r>
          </w:p>
        </w:tc>
        <w:tc>
          <w:tcPr>
            <w:tcW w:w="873" w:type="pct"/>
            <w:tcBorders>
              <w:tl2br w:val="nil"/>
              <w:tr2bl w:val="nil"/>
            </w:tcBorders>
            <w:noWrap w:val="0"/>
            <w:vAlign w:val="center"/>
          </w:tcPr>
          <w:p w14:paraId="01D60FC9">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rPr>
              <w:t>麻雀</w:t>
            </w:r>
          </w:p>
        </w:tc>
        <w:tc>
          <w:tcPr>
            <w:tcW w:w="1602" w:type="pct"/>
            <w:tcBorders>
              <w:tl2br w:val="nil"/>
              <w:tr2bl w:val="nil"/>
            </w:tcBorders>
            <w:noWrap w:val="0"/>
            <w:vAlign w:val="center"/>
          </w:tcPr>
          <w:p w14:paraId="13DF1A9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rPr>
              <w:t>Passer montanus</w:t>
            </w:r>
          </w:p>
        </w:tc>
      </w:tr>
      <w:tr w14:paraId="0A36F7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56CE7D5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23</w:t>
            </w:r>
          </w:p>
        </w:tc>
        <w:tc>
          <w:tcPr>
            <w:tcW w:w="688" w:type="pct"/>
            <w:tcBorders>
              <w:tl2br w:val="nil"/>
              <w:tr2bl w:val="nil"/>
            </w:tcBorders>
            <w:noWrap w:val="0"/>
            <w:vAlign w:val="center"/>
          </w:tcPr>
          <w:p w14:paraId="1838D06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fldChar w:fldCharType="begin"/>
            </w:r>
            <w:r>
              <w:rPr>
                <w:rFonts w:hint="default" w:ascii="Times New Roman" w:hAnsi="Times New Roman" w:eastAsia="宋体" w:cs="Times New Roman"/>
                <w:b w:val="0"/>
                <w:bCs w:val="0"/>
                <w:color w:val="000000"/>
                <w:sz w:val="21"/>
                <w:szCs w:val="21"/>
                <w:highlight w:val="none"/>
                <w:vertAlign w:val="baseline"/>
                <w:lang w:val="en-US" w:eastAsia="zh-CN"/>
              </w:rPr>
              <w:instrText xml:space="preserve"> HYPERLINK "https://baike.baidu.com/item/%E9%B8%9F%E7%BA%B2/1194548?fromModule=lemma_inlink" \t "https://baike.baidu.com/item/%E9%95%BF%E8%80%B3%E9%B8%AE/_blank" </w:instrText>
            </w:r>
            <w:r>
              <w:rPr>
                <w:rFonts w:hint="default" w:ascii="Times New Roman" w:hAnsi="Times New Roman" w:eastAsia="宋体" w:cs="Times New Roman"/>
                <w:b w:val="0"/>
                <w:bCs w:val="0"/>
                <w:color w:val="000000"/>
                <w:sz w:val="21"/>
                <w:szCs w:val="21"/>
                <w:highlight w:val="none"/>
                <w:vertAlign w:val="baseline"/>
                <w:lang w:val="en-US" w:eastAsia="zh-CN"/>
              </w:rPr>
              <w:fldChar w:fldCharType="separate"/>
            </w:r>
            <w:r>
              <w:rPr>
                <w:rFonts w:hint="default" w:ascii="Times New Roman" w:hAnsi="Times New Roman" w:eastAsia="宋体" w:cs="Times New Roman"/>
                <w:b w:val="0"/>
                <w:bCs w:val="0"/>
                <w:color w:val="000000"/>
                <w:sz w:val="21"/>
                <w:szCs w:val="21"/>
                <w:highlight w:val="none"/>
                <w:vertAlign w:val="baseline"/>
                <w:lang w:val="en-US" w:eastAsia="zh-CN"/>
              </w:rPr>
              <w:t>鸟纲</w:t>
            </w:r>
            <w:r>
              <w:rPr>
                <w:rFonts w:hint="default" w:ascii="Times New Roman" w:hAnsi="Times New Roman" w:eastAsia="宋体" w:cs="Times New Roman"/>
                <w:b w:val="0"/>
                <w:bCs w:val="0"/>
                <w:color w:val="000000"/>
                <w:sz w:val="21"/>
                <w:szCs w:val="21"/>
                <w:highlight w:val="none"/>
                <w:vertAlign w:val="baseline"/>
                <w:lang w:val="en-US" w:eastAsia="zh-CN"/>
              </w:rPr>
              <w:fldChar w:fldCharType="end"/>
            </w:r>
          </w:p>
        </w:tc>
        <w:tc>
          <w:tcPr>
            <w:tcW w:w="688" w:type="pct"/>
            <w:tcBorders>
              <w:tl2br w:val="nil"/>
              <w:tr2bl w:val="nil"/>
            </w:tcBorders>
            <w:noWrap w:val="0"/>
            <w:vAlign w:val="center"/>
          </w:tcPr>
          <w:p w14:paraId="3EA5692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鹃形目</w:t>
            </w:r>
          </w:p>
        </w:tc>
        <w:tc>
          <w:tcPr>
            <w:tcW w:w="670" w:type="pct"/>
            <w:tcBorders>
              <w:tl2br w:val="nil"/>
              <w:tr2bl w:val="nil"/>
            </w:tcBorders>
            <w:noWrap w:val="0"/>
            <w:vAlign w:val="center"/>
          </w:tcPr>
          <w:p w14:paraId="3D634D8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杜鹃科</w:t>
            </w:r>
          </w:p>
        </w:tc>
        <w:tc>
          <w:tcPr>
            <w:tcW w:w="873" w:type="pct"/>
            <w:tcBorders>
              <w:tl2br w:val="nil"/>
              <w:tr2bl w:val="nil"/>
            </w:tcBorders>
            <w:noWrap w:val="0"/>
            <w:vAlign w:val="center"/>
          </w:tcPr>
          <w:p w14:paraId="0ACB52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大杜鹃</w:t>
            </w:r>
          </w:p>
        </w:tc>
        <w:tc>
          <w:tcPr>
            <w:tcW w:w="1602" w:type="pct"/>
            <w:tcBorders>
              <w:tl2br w:val="nil"/>
              <w:tr2bl w:val="nil"/>
            </w:tcBorders>
            <w:noWrap w:val="0"/>
            <w:vAlign w:val="center"/>
          </w:tcPr>
          <w:p w14:paraId="648C98D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Cuculus canorus</w:t>
            </w:r>
          </w:p>
        </w:tc>
      </w:tr>
      <w:tr w14:paraId="3F7BC7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68D5115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24</w:t>
            </w:r>
          </w:p>
        </w:tc>
        <w:tc>
          <w:tcPr>
            <w:tcW w:w="688" w:type="pct"/>
            <w:tcBorders>
              <w:tl2br w:val="nil"/>
              <w:tr2bl w:val="nil"/>
            </w:tcBorders>
            <w:noWrap w:val="0"/>
            <w:vAlign w:val="center"/>
          </w:tcPr>
          <w:p w14:paraId="466DF03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鸟纲</w:t>
            </w:r>
          </w:p>
        </w:tc>
        <w:tc>
          <w:tcPr>
            <w:tcW w:w="688" w:type="pct"/>
            <w:tcBorders>
              <w:tl2br w:val="nil"/>
              <w:tr2bl w:val="nil"/>
            </w:tcBorders>
            <w:noWrap w:val="0"/>
            <w:vAlign w:val="center"/>
          </w:tcPr>
          <w:p w14:paraId="3EAEE2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鹰形目</w:t>
            </w:r>
          </w:p>
        </w:tc>
        <w:tc>
          <w:tcPr>
            <w:tcW w:w="670" w:type="pct"/>
            <w:tcBorders>
              <w:tl2br w:val="nil"/>
              <w:tr2bl w:val="nil"/>
            </w:tcBorders>
            <w:noWrap w:val="0"/>
            <w:vAlign w:val="center"/>
          </w:tcPr>
          <w:p w14:paraId="00A32F5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鹰科</w:t>
            </w:r>
          </w:p>
        </w:tc>
        <w:tc>
          <w:tcPr>
            <w:tcW w:w="873" w:type="pct"/>
            <w:tcBorders>
              <w:tl2br w:val="nil"/>
              <w:tr2bl w:val="nil"/>
            </w:tcBorders>
            <w:noWrap w:val="0"/>
            <w:vAlign w:val="center"/>
          </w:tcPr>
          <w:p w14:paraId="76D980D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雀鹰</w:t>
            </w:r>
          </w:p>
        </w:tc>
        <w:tc>
          <w:tcPr>
            <w:tcW w:w="1602" w:type="pct"/>
            <w:tcBorders>
              <w:tl2br w:val="nil"/>
              <w:tr2bl w:val="nil"/>
            </w:tcBorders>
            <w:noWrap w:val="0"/>
            <w:vAlign w:val="center"/>
          </w:tcPr>
          <w:p w14:paraId="23C8A68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i/>
                <w:iCs/>
                <w:color w:val="000000"/>
                <w:sz w:val="21"/>
                <w:szCs w:val="21"/>
                <w:highlight w:val="none"/>
                <w:vertAlign w:val="baseline"/>
                <w:lang w:val="en-US" w:eastAsia="zh-CN"/>
              </w:rPr>
              <w:t>Accipiter nisus</w:t>
            </w:r>
          </w:p>
        </w:tc>
      </w:tr>
      <w:tr w14:paraId="69C862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74DF444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25</w:t>
            </w:r>
          </w:p>
        </w:tc>
        <w:tc>
          <w:tcPr>
            <w:tcW w:w="688" w:type="pct"/>
            <w:tcBorders>
              <w:tl2br w:val="nil"/>
              <w:tr2bl w:val="nil"/>
            </w:tcBorders>
            <w:noWrap w:val="0"/>
            <w:vAlign w:val="center"/>
          </w:tcPr>
          <w:p w14:paraId="79D7D0E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鸟纲</w:t>
            </w:r>
          </w:p>
        </w:tc>
        <w:tc>
          <w:tcPr>
            <w:tcW w:w="688" w:type="pct"/>
            <w:tcBorders>
              <w:tl2br w:val="nil"/>
              <w:tr2bl w:val="nil"/>
            </w:tcBorders>
            <w:noWrap w:val="0"/>
            <w:vAlign w:val="center"/>
          </w:tcPr>
          <w:p w14:paraId="54EB543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鸡形目</w:t>
            </w:r>
          </w:p>
        </w:tc>
        <w:tc>
          <w:tcPr>
            <w:tcW w:w="670" w:type="pct"/>
            <w:tcBorders>
              <w:tl2br w:val="nil"/>
              <w:tr2bl w:val="nil"/>
            </w:tcBorders>
            <w:noWrap w:val="0"/>
            <w:vAlign w:val="center"/>
          </w:tcPr>
          <w:p w14:paraId="56BA17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雉科</w:t>
            </w:r>
          </w:p>
        </w:tc>
        <w:tc>
          <w:tcPr>
            <w:tcW w:w="873" w:type="pct"/>
            <w:tcBorders>
              <w:tl2br w:val="nil"/>
              <w:tr2bl w:val="nil"/>
            </w:tcBorders>
            <w:noWrap w:val="0"/>
            <w:vAlign w:val="center"/>
          </w:tcPr>
          <w:p w14:paraId="09D84A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环颈雉</w:t>
            </w:r>
          </w:p>
        </w:tc>
        <w:tc>
          <w:tcPr>
            <w:tcW w:w="1602" w:type="pct"/>
            <w:tcBorders>
              <w:tl2br w:val="nil"/>
              <w:tr2bl w:val="nil"/>
            </w:tcBorders>
            <w:noWrap w:val="0"/>
            <w:vAlign w:val="center"/>
          </w:tcPr>
          <w:p w14:paraId="349D4B2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rPr>
              <w:t>Phasianus colchicus</w:t>
            </w:r>
          </w:p>
        </w:tc>
      </w:tr>
      <w:tr w14:paraId="51A6E0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pct"/>
            <w:tcBorders>
              <w:tl2br w:val="nil"/>
              <w:tr2bl w:val="nil"/>
            </w:tcBorders>
            <w:noWrap w:val="0"/>
            <w:vAlign w:val="center"/>
          </w:tcPr>
          <w:p w14:paraId="79ADB16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26</w:t>
            </w:r>
          </w:p>
        </w:tc>
        <w:tc>
          <w:tcPr>
            <w:tcW w:w="688" w:type="pct"/>
            <w:tcBorders>
              <w:tl2br w:val="nil"/>
              <w:tr2bl w:val="nil"/>
            </w:tcBorders>
            <w:noWrap w:val="0"/>
            <w:vAlign w:val="center"/>
          </w:tcPr>
          <w:p w14:paraId="357CCC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鸟纲</w:t>
            </w:r>
          </w:p>
        </w:tc>
        <w:tc>
          <w:tcPr>
            <w:tcW w:w="688" w:type="pct"/>
            <w:tcBorders>
              <w:tl2br w:val="nil"/>
              <w:tr2bl w:val="nil"/>
            </w:tcBorders>
            <w:noWrap w:val="0"/>
            <w:vAlign w:val="center"/>
          </w:tcPr>
          <w:p w14:paraId="728D3DD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鸡形目</w:t>
            </w:r>
          </w:p>
        </w:tc>
        <w:tc>
          <w:tcPr>
            <w:tcW w:w="670" w:type="pct"/>
            <w:tcBorders>
              <w:tl2br w:val="nil"/>
              <w:tr2bl w:val="nil"/>
            </w:tcBorders>
            <w:noWrap w:val="0"/>
            <w:vAlign w:val="center"/>
          </w:tcPr>
          <w:p w14:paraId="0586989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雉科</w:t>
            </w:r>
          </w:p>
        </w:tc>
        <w:tc>
          <w:tcPr>
            <w:tcW w:w="873" w:type="pct"/>
            <w:tcBorders>
              <w:tl2br w:val="nil"/>
              <w:tr2bl w:val="nil"/>
            </w:tcBorders>
            <w:noWrap w:val="0"/>
            <w:vAlign w:val="center"/>
          </w:tcPr>
          <w:p w14:paraId="7BF74390">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rPr>
              <w:t>石鸡</w:t>
            </w:r>
          </w:p>
        </w:tc>
        <w:tc>
          <w:tcPr>
            <w:tcW w:w="1602" w:type="pct"/>
            <w:tcBorders>
              <w:tl2br w:val="nil"/>
              <w:tr2bl w:val="nil"/>
            </w:tcBorders>
            <w:noWrap w:val="0"/>
            <w:vAlign w:val="center"/>
          </w:tcPr>
          <w:p w14:paraId="5769FF8A">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rPr>
              <w:t>Alectoris chukar</w:t>
            </w:r>
          </w:p>
        </w:tc>
      </w:tr>
    </w:tbl>
    <w:p w14:paraId="3FD2DB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（2）爬行类</w:t>
      </w:r>
    </w:p>
    <w:p w14:paraId="324C6E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本项目评价区内爬行类有1目1科2种，根据《国家重点保护野生动物名录》（2021版），评价区调查记录到的爬行类无国家重点保护物种；根据《关于发布新疆维吾尔自治区重点保护野生动物名录（修订）的通知》（新政发〔2022〕75号），评价区调查记录到的爬行类无自治区重点保护物种。</w:t>
      </w:r>
    </w:p>
    <w:p w14:paraId="14A1E8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根据《中国生物多样性红色名录》（2020版），评价区调查记录到的爬行类无极危、濒危、易危物种。根据《世界自然保护联盟濒危物种红色名录》，评价区调查记录到的爬行类无极危、濒危、易危物种。</w:t>
      </w:r>
    </w:p>
    <w:p w14:paraId="398B335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本项目评价范围内爬行类动物名录详见表</w:t>
      </w:r>
      <w:r>
        <w:rPr>
          <w:rFonts w:hint="eastAsia" w:cs="Times New Roman"/>
          <w:b w:val="0"/>
          <w:bCs w:val="0"/>
          <w:color w:val="000000"/>
          <w:kern w:val="0"/>
          <w:sz w:val="24"/>
          <w:szCs w:val="24"/>
          <w:highlight w:val="none"/>
          <w:lang w:val="en-US" w:eastAsia="zh-CN"/>
        </w:rPr>
        <w:t>12</w:t>
      </w:r>
      <w:r>
        <w:rPr>
          <w:rFonts w:hint="default" w:ascii="Times New Roman" w:hAnsi="Times New Roman" w:eastAsia="宋体" w:cs="Times New Roman"/>
          <w:b w:val="0"/>
          <w:bCs w:val="0"/>
          <w:color w:val="000000"/>
          <w:kern w:val="0"/>
          <w:sz w:val="24"/>
          <w:szCs w:val="24"/>
          <w:highlight w:val="none"/>
          <w:lang w:val="en-US" w:eastAsia="zh-CN"/>
        </w:rPr>
        <w:t>。</w:t>
      </w:r>
    </w:p>
    <w:p w14:paraId="1F8CCC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表1</w:t>
      </w:r>
      <w:r>
        <w:rPr>
          <w:rFonts w:hint="eastAsia" w:cs="Times New Roman"/>
          <w:b/>
          <w:bCs/>
          <w:color w:val="000000"/>
          <w:kern w:val="0"/>
          <w:sz w:val="21"/>
          <w:szCs w:val="21"/>
          <w:highlight w:val="none"/>
          <w:lang w:val="en-US" w:eastAsia="zh-CN"/>
        </w:rPr>
        <w:t>2</w:t>
      </w:r>
      <w:r>
        <w:rPr>
          <w:rFonts w:hint="default" w:ascii="Times New Roman" w:hAnsi="Times New Roman" w:eastAsia="宋体" w:cs="Times New Roman"/>
          <w:b/>
          <w:bCs/>
          <w:color w:val="000000"/>
          <w:kern w:val="0"/>
          <w:sz w:val="21"/>
          <w:szCs w:val="21"/>
          <w:highlight w:val="none"/>
          <w:lang w:val="en-US" w:eastAsia="zh-CN"/>
        </w:rPr>
        <w:t xml:space="preserve">   评价范围内爬行类动物名录一览表</w:t>
      </w:r>
    </w:p>
    <w:tbl>
      <w:tblPr>
        <w:tblStyle w:val="33"/>
        <w:tblW w:w="4994"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43"/>
        <w:gridCol w:w="895"/>
        <w:gridCol w:w="1197"/>
        <w:gridCol w:w="706"/>
        <w:gridCol w:w="737"/>
        <w:gridCol w:w="914"/>
        <w:gridCol w:w="1053"/>
        <w:gridCol w:w="728"/>
        <w:gridCol w:w="738"/>
        <w:gridCol w:w="701"/>
      </w:tblGrid>
      <w:tr w14:paraId="165CD2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495" w:type="pct"/>
            <w:tcBorders>
              <w:tl2br w:val="nil"/>
              <w:tr2bl w:val="nil"/>
            </w:tcBorders>
            <w:noWrap w:val="0"/>
            <w:vAlign w:val="center"/>
          </w:tcPr>
          <w:p w14:paraId="2519E86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序号</w:t>
            </w:r>
          </w:p>
        </w:tc>
        <w:tc>
          <w:tcPr>
            <w:tcW w:w="525" w:type="pct"/>
            <w:tcBorders>
              <w:tl2br w:val="nil"/>
              <w:tr2bl w:val="nil"/>
            </w:tcBorders>
            <w:noWrap w:val="0"/>
            <w:vAlign w:val="center"/>
          </w:tcPr>
          <w:p w14:paraId="25D927B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中文名</w:t>
            </w:r>
          </w:p>
        </w:tc>
        <w:tc>
          <w:tcPr>
            <w:tcW w:w="703" w:type="pct"/>
            <w:tcBorders>
              <w:tl2br w:val="nil"/>
              <w:tr2bl w:val="nil"/>
            </w:tcBorders>
            <w:noWrap w:val="0"/>
            <w:vAlign w:val="center"/>
          </w:tcPr>
          <w:p w14:paraId="1D99359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拉丁名</w:t>
            </w:r>
          </w:p>
        </w:tc>
        <w:tc>
          <w:tcPr>
            <w:tcW w:w="414" w:type="pct"/>
            <w:tcBorders>
              <w:tl2br w:val="nil"/>
              <w:tr2bl w:val="nil"/>
            </w:tcBorders>
            <w:noWrap w:val="0"/>
            <w:vAlign w:val="center"/>
          </w:tcPr>
          <w:p w14:paraId="014FD99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区系特征</w:t>
            </w:r>
          </w:p>
        </w:tc>
        <w:tc>
          <w:tcPr>
            <w:tcW w:w="432" w:type="pct"/>
            <w:tcBorders>
              <w:tl2br w:val="nil"/>
              <w:tr2bl w:val="nil"/>
            </w:tcBorders>
            <w:noWrap w:val="0"/>
            <w:vAlign w:val="center"/>
          </w:tcPr>
          <w:p w14:paraId="211F884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保护级别</w:t>
            </w:r>
          </w:p>
        </w:tc>
        <w:tc>
          <w:tcPr>
            <w:tcW w:w="536" w:type="pct"/>
            <w:tcBorders>
              <w:tl2br w:val="nil"/>
              <w:tr2bl w:val="nil"/>
            </w:tcBorders>
            <w:noWrap w:val="0"/>
            <w:vAlign w:val="center"/>
          </w:tcPr>
          <w:p w14:paraId="5D2D11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濒危等级/中国</w:t>
            </w:r>
          </w:p>
        </w:tc>
        <w:tc>
          <w:tcPr>
            <w:tcW w:w="618" w:type="pct"/>
            <w:tcBorders>
              <w:tl2br w:val="nil"/>
              <w:tr2bl w:val="nil"/>
            </w:tcBorders>
            <w:noWrap w:val="0"/>
            <w:vAlign w:val="center"/>
          </w:tcPr>
          <w:p w14:paraId="0A11A02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濒危等级/IUCN</w:t>
            </w:r>
          </w:p>
        </w:tc>
        <w:tc>
          <w:tcPr>
            <w:tcW w:w="427" w:type="pct"/>
            <w:tcBorders>
              <w:tl2br w:val="nil"/>
              <w:tr2bl w:val="nil"/>
            </w:tcBorders>
            <w:noWrap w:val="0"/>
            <w:vAlign w:val="center"/>
          </w:tcPr>
          <w:p w14:paraId="5FFF43E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特有情况</w:t>
            </w:r>
          </w:p>
        </w:tc>
        <w:tc>
          <w:tcPr>
            <w:tcW w:w="433" w:type="pct"/>
            <w:tcBorders>
              <w:tl2br w:val="nil"/>
              <w:tr2bl w:val="nil"/>
            </w:tcBorders>
            <w:noWrap w:val="0"/>
            <w:vAlign w:val="center"/>
          </w:tcPr>
          <w:p w14:paraId="0F53256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相对数量</w:t>
            </w:r>
          </w:p>
        </w:tc>
        <w:tc>
          <w:tcPr>
            <w:tcW w:w="411" w:type="pct"/>
            <w:tcBorders>
              <w:tl2br w:val="nil"/>
              <w:tr2bl w:val="nil"/>
            </w:tcBorders>
            <w:noWrap w:val="0"/>
            <w:vAlign w:val="center"/>
          </w:tcPr>
          <w:p w14:paraId="57309DD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数量来源</w:t>
            </w:r>
          </w:p>
        </w:tc>
      </w:tr>
      <w:tr w14:paraId="2848A6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50C5E6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一</w:t>
            </w:r>
          </w:p>
        </w:tc>
        <w:tc>
          <w:tcPr>
            <w:tcW w:w="525" w:type="pct"/>
            <w:tcBorders>
              <w:tl2br w:val="nil"/>
              <w:tr2bl w:val="nil"/>
            </w:tcBorders>
            <w:noWrap w:val="0"/>
            <w:vAlign w:val="center"/>
          </w:tcPr>
          <w:p w14:paraId="53B9452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蜥蜴目</w:t>
            </w:r>
          </w:p>
        </w:tc>
        <w:tc>
          <w:tcPr>
            <w:tcW w:w="703" w:type="pct"/>
            <w:tcBorders>
              <w:tl2br w:val="nil"/>
              <w:tr2bl w:val="nil"/>
            </w:tcBorders>
            <w:noWrap w:val="0"/>
            <w:vAlign w:val="center"/>
          </w:tcPr>
          <w:p w14:paraId="5A2C80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4" w:type="pct"/>
            <w:tcBorders>
              <w:tl2br w:val="nil"/>
              <w:tr2bl w:val="nil"/>
            </w:tcBorders>
            <w:noWrap w:val="0"/>
            <w:vAlign w:val="center"/>
          </w:tcPr>
          <w:p w14:paraId="7F3A9F2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2" w:type="pct"/>
            <w:tcBorders>
              <w:tl2br w:val="nil"/>
              <w:tr2bl w:val="nil"/>
            </w:tcBorders>
            <w:noWrap w:val="0"/>
            <w:vAlign w:val="center"/>
          </w:tcPr>
          <w:p w14:paraId="4E2FBAC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536" w:type="pct"/>
            <w:tcBorders>
              <w:tl2br w:val="nil"/>
              <w:tr2bl w:val="nil"/>
            </w:tcBorders>
            <w:noWrap w:val="0"/>
            <w:vAlign w:val="center"/>
          </w:tcPr>
          <w:p w14:paraId="41275DA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18" w:type="pct"/>
            <w:tcBorders>
              <w:tl2br w:val="nil"/>
              <w:tr2bl w:val="nil"/>
            </w:tcBorders>
            <w:noWrap w:val="0"/>
            <w:vAlign w:val="center"/>
          </w:tcPr>
          <w:p w14:paraId="17898D8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27" w:type="pct"/>
            <w:tcBorders>
              <w:tl2br w:val="nil"/>
              <w:tr2bl w:val="nil"/>
            </w:tcBorders>
            <w:noWrap w:val="0"/>
            <w:vAlign w:val="center"/>
          </w:tcPr>
          <w:p w14:paraId="7988215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1C0DFE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4710E26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75D82B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3662E07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（一）</w:t>
            </w:r>
          </w:p>
        </w:tc>
        <w:tc>
          <w:tcPr>
            <w:tcW w:w="525" w:type="pct"/>
            <w:tcBorders>
              <w:tl2br w:val="nil"/>
              <w:tr2bl w:val="nil"/>
            </w:tcBorders>
            <w:noWrap w:val="0"/>
            <w:vAlign w:val="center"/>
          </w:tcPr>
          <w:p w14:paraId="3FC2539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蜥蜴科</w:t>
            </w:r>
          </w:p>
        </w:tc>
        <w:tc>
          <w:tcPr>
            <w:tcW w:w="703" w:type="pct"/>
            <w:tcBorders>
              <w:tl2br w:val="nil"/>
              <w:tr2bl w:val="nil"/>
            </w:tcBorders>
            <w:noWrap w:val="0"/>
            <w:vAlign w:val="center"/>
          </w:tcPr>
          <w:p w14:paraId="0A1AAA4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4" w:type="pct"/>
            <w:tcBorders>
              <w:tl2br w:val="nil"/>
              <w:tr2bl w:val="nil"/>
            </w:tcBorders>
            <w:noWrap w:val="0"/>
            <w:vAlign w:val="center"/>
          </w:tcPr>
          <w:p w14:paraId="44D9C0F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2" w:type="pct"/>
            <w:tcBorders>
              <w:tl2br w:val="nil"/>
              <w:tr2bl w:val="nil"/>
            </w:tcBorders>
            <w:noWrap w:val="0"/>
            <w:vAlign w:val="center"/>
          </w:tcPr>
          <w:p w14:paraId="0A1EF00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536" w:type="pct"/>
            <w:tcBorders>
              <w:tl2br w:val="nil"/>
              <w:tr2bl w:val="nil"/>
            </w:tcBorders>
            <w:noWrap w:val="0"/>
            <w:vAlign w:val="center"/>
          </w:tcPr>
          <w:p w14:paraId="160854A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18" w:type="pct"/>
            <w:tcBorders>
              <w:tl2br w:val="nil"/>
              <w:tr2bl w:val="nil"/>
            </w:tcBorders>
            <w:noWrap w:val="0"/>
            <w:vAlign w:val="center"/>
          </w:tcPr>
          <w:p w14:paraId="5362922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27" w:type="pct"/>
            <w:tcBorders>
              <w:tl2br w:val="nil"/>
              <w:tr2bl w:val="nil"/>
            </w:tcBorders>
            <w:noWrap w:val="0"/>
            <w:vAlign w:val="center"/>
          </w:tcPr>
          <w:p w14:paraId="3585C7F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12759B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40622F7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67AFD1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44BBBEC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25" w:type="pct"/>
            <w:tcBorders>
              <w:tl2br w:val="nil"/>
              <w:tr2bl w:val="nil"/>
            </w:tcBorders>
            <w:noWrap w:val="0"/>
            <w:vAlign w:val="center"/>
          </w:tcPr>
          <w:p w14:paraId="6A4E362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密点麻蜥</w:t>
            </w:r>
          </w:p>
        </w:tc>
        <w:tc>
          <w:tcPr>
            <w:tcW w:w="703" w:type="pct"/>
            <w:tcBorders>
              <w:tl2br w:val="nil"/>
              <w:tr2bl w:val="nil"/>
            </w:tcBorders>
            <w:noWrap w:val="0"/>
            <w:vAlign w:val="center"/>
          </w:tcPr>
          <w:p w14:paraId="321E269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Eremias multiocellata</w:t>
            </w:r>
          </w:p>
        </w:tc>
        <w:tc>
          <w:tcPr>
            <w:tcW w:w="414" w:type="pct"/>
            <w:tcBorders>
              <w:tl2br w:val="nil"/>
              <w:tr2bl w:val="nil"/>
            </w:tcBorders>
            <w:noWrap w:val="0"/>
            <w:vAlign w:val="center"/>
          </w:tcPr>
          <w:p w14:paraId="16DF150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P</w:t>
            </w:r>
          </w:p>
        </w:tc>
        <w:tc>
          <w:tcPr>
            <w:tcW w:w="432" w:type="pct"/>
            <w:tcBorders>
              <w:tl2br w:val="nil"/>
              <w:tr2bl w:val="nil"/>
            </w:tcBorders>
            <w:noWrap w:val="0"/>
            <w:vAlign w:val="center"/>
          </w:tcPr>
          <w:p w14:paraId="6B37D30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536" w:type="pct"/>
            <w:tcBorders>
              <w:tl2br w:val="nil"/>
              <w:tr2bl w:val="nil"/>
            </w:tcBorders>
            <w:noWrap w:val="0"/>
            <w:vAlign w:val="center"/>
          </w:tcPr>
          <w:p w14:paraId="66B50E3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5BC8299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0B49BB8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45334E2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3DACBE1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现场调查</w:t>
            </w:r>
          </w:p>
        </w:tc>
      </w:tr>
      <w:tr w14:paraId="4B024F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4F42EE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2</w:t>
            </w:r>
          </w:p>
        </w:tc>
        <w:tc>
          <w:tcPr>
            <w:tcW w:w="525" w:type="pct"/>
            <w:tcBorders>
              <w:tl2br w:val="nil"/>
              <w:tr2bl w:val="nil"/>
            </w:tcBorders>
            <w:noWrap w:val="0"/>
            <w:vAlign w:val="center"/>
          </w:tcPr>
          <w:p w14:paraId="0C3BFAB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快步麻蜥</w:t>
            </w:r>
          </w:p>
        </w:tc>
        <w:tc>
          <w:tcPr>
            <w:tcW w:w="703" w:type="pct"/>
            <w:tcBorders>
              <w:tl2br w:val="nil"/>
              <w:tr2bl w:val="nil"/>
            </w:tcBorders>
            <w:noWrap w:val="0"/>
            <w:vAlign w:val="center"/>
          </w:tcPr>
          <w:p w14:paraId="56796A8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kern w:val="2"/>
                <w:sz w:val="21"/>
                <w:szCs w:val="21"/>
                <w:highlight w:val="none"/>
                <w:vertAlign w:val="baseline"/>
                <w:lang w:val="en-US" w:eastAsia="zh-CN" w:bidi="ar-SA"/>
              </w:rPr>
              <w:t>Eremias velox</w:t>
            </w:r>
          </w:p>
        </w:tc>
        <w:tc>
          <w:tcPr>
            <w:tcW w:w="414" w:type="pct"/>
            <w:tcBorders>
              <w:tl2br w:val="nil"/>
              <w:tr2bl w:val="nil"/>
            </w:tcBorders>
            <w:noWrap w:val="0"/>
            <w:vAlign w:val="center"/>
          </w:tcPr>
          <w:p w14:paraId="5C74F8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P</w:t>
            </w:r>
          </w:p>
        </w:tc>
        <w:tc>
          <w:tcPr>
            <w:tcW w:w="432" w:type="pct"/>
            <w:tcBorders>
              <w:tl2br w:val="nil"/>
              <w:tr2bl w:val="nil"/>
            </w:tcBorders>
            <w:noWrap w:val="0"/>
            <w:vAlign w:val="center"/>
          </w:tcPr>
          <w:p w14:paraId="3D101B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536" w:type="pct"/>
            <w:tcBorders>
              <w:tl2br w:val="nil"/>
              <w:tr2bl w:val="nil"/>
            </w:tcBorders>
            <w:noWrap w:val="0"/>
            <w:vAlign w:val="center"/>
          </w:tcPr>
          <w:p w14:paraId="3BCE1E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00DA43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08F751E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1086C8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68B8C1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现场调查</w:t>
            </w:r>
          </w:p>
        </w:tc>
      </w:tr>
      <w:tr w14:paraId="407B80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10"/>
            <w:tcBorders>
              <w:tl2br w:val="nil"/>
              <w:tr2bl w:val="nil"/>
            </w:tcBorders>
            <w:noWrap w:val="0"/>
            <w:vAlign w:val="center"/>
          </w:tcPr>
          <w:p w14:paraId="25E3DB6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注：①区系特征：O=东洋界，P=古北界，W=广布种。</w:t>
            </w:r>
          </w:p>
          <w:p w14:paraId="4B6A43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②保护级别：Ⅰ=国家Ⅰ级保护野生动物，Ⅱ=国家Ⅱ级保护野生动物，Ⅰ（自）=自治区Ⅰ级重点保护野生动物，II（自）=自治区II级重点保护野生动物。</w:t>
            </w:r>
          </w:p>
          <w:p w14:paraId="525E601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③濒危等级和特有情况，按《中国生物多样性红色名录》（2020版）和《世界自然保护联盟红色名录》确定，其中CR极危，EN濒危，VU易危，NT近危，LC无危，DD数据缺乏，NE未予评估。</w:t>
            </w:r>
          </w:p>
          <w:p w14:paraId="4CE3FF0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④相对数量：+为稀有种，++为偶见种，+++为常见种。</w:t>
            </w:r>
          </w:p>
          <w:p w14:paraId="6624F6B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⑤数据来源：现场调查、走访等。</w:t>
            </w:r>
          </w:p>
        </w:tc>
      </w:tr>
    </w:tbl>
    <w:p w14:paraId="623FAD0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（3）哺乳类</w:t>
      </w:r>
    </w:p>
    <w:p w14:paraId="43AE72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本项目评价区内哺乳类有4目6科11种，根据《国家重点保护野生动物名录》（2021版），评价区调查记录到的哺乳类无国家重点保护物种；根据《关于发布新疆维吾尔自治区重点保护野生动物名录（修订）的通知》（新政发〔2022〕75号），评价区调查记录到的哺乳类无自治区重点保护物种。</w:t>
      </w:r>
    </w:p>
    <w:p w14:paraId="45645B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根据《中国生物多样性红色名录》（2020版），评价区调查记录到的哺乳类无极危、濒危、易危物种，近危1种，即黄兔尾鼠（Eolagurus luteus）。根据《世界自然保护联盟濒危物种红色名录》，评价区调查记录到的哺乳类无极危、濒危、易危物种。</w:t>
      </w:r>
    </w:p>
    <w:p w14:paraId="1B9BB5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本项目评价范围内哺乳类动物名录详见表1</w:t>
      </w:r>
      <w:r>
        <w:rPr>
          <w:rFonts w:hint="eastAsia" w:cs="Times New Roman"/>
          <w:b w:val="0"/>
          <w:bCs w:val="0"/>
          <w:color w:val="000000"/>
          <w:kern w:val="0"/>
          <w:sz w:val="24"/>
          <w:szCs w:val="24"/>
          <w:highlight w:val="none"/>
          <w:lang w:val="en-US" w:eastAsia="zh-CN"/>
        </w:rPr>
        <w:t>3</w:t>
      </w:r>
      <w:r>
        <w:rPr>
          <w:rFonts w:hint="default" w:ascii="Times New Roman" w:hAnsi="Times New Roman" w:eastAsia="宋体" w:cs="Times New Roman"/>
          <w:b w:val="0"/>
          <w:bCs w:val="0"/>
          <w:color w:val="000000"/>
          <w:kern w:val="0"/>
          <w:sz w:val="24"/>
          <w:szCs w:val="24"/>
          <w:highlight w:val="none"/>
          <w:lang w:val="en-US" w:eastAsia="zh-CN"/>
        </w:rPr>
        <w:t>。</w:t>
      </w:r>
    </w:p>
    <w:p w14:paraId="2C852A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表1</w:t>
      </w:r>
      <w:r>
        <w:rPr>
          <w:rFonts w:hint="eastAsia" w:cs="Times New Roman"/>
          <w:b/>
          <w:bCs/>
          <w:color w:val="000000"/>
          <w:kern w:val="0"/>
          <w:sz w:val="21"/>
          <w:szCs w:val="21"/>
          <w:highlight w:val="none"/>
          <w:lang w:val="en-US" w:eastAsia="zh-CN"/>
        </w:rPr>
        <w:t>3</w:t>
      </w:r>
      <w:r>
        <w:rPr>
          <w:rFonts w:hint="default" w:ascii="Times New Roman" w:hAnsi="Times New Roman" w:eastAsia="宋体" w:cs="Times New Roman"/>
          <w:b/>
          <w:bCs/>
          <w:color w:val="000000"/>
          <w:kern w:val="0"/>
          <w:sz w:val="21"/>
          <w:szCs w:val="21"/>
          <w:highlight w:val="none"/>
          <w:lang w:val="en-US" w:eastAsia="zh-CN"/>
        </w:rPr>
        <w:t xml:space="preserve">   评价范围内哺乳类动物名录一览表</w:t>
      </w:r>
    </w:p>
    <w:tbl>
      <w:tblPr>
        <w:tblStyle w:val="33"/>
        <w:tblW w:w="4994"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43"/>
        <w:gridCol w:w="904"/>
        <w:gridCol w:w="1247"/>
        <w:gridCol w:w="711"/>
        <w:gridCol w:w="673"/>
        <w:gridCol w:w="914"/>
        <w:gridCol w:w="1053"/>
        <w:gridCol w:w="728"/>
        <w:gridCol w:w="738"/>
        <w:gridCol w:w="701"/>
      </w:tblGrid>
      <w:tr w14:paraId="7CC359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495" w:type="pct"/>
            <w:tcBorders>
              <w:tl2br w:val="nil"/>
              <w:tr2bl w:val="nil"/>
            </w:tcBorders>
            <w:noWrap w:val="0"/>
            <w:vAlign w:val="center"/>
          </w:tcPr>
          <w:p w14:paraId="7D9C731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序号</w:t>
            </w:r>
          </w:p>
        </w:tc>
        <w:tc>
          <w:tcPr>
            <w:tcW w:w="531" w:type="pct"/>
            <w:tcBorders>
              <w:tl2br w:val="nil"/>
              <w:tr2bl w:val="nil"/>
            </w:tcBorders>
            <w:noWrap w:val="0"/>
            <w:vAlign w:val="center"/>
          </w:tcPr>
          <w:p w14:paraId="530F934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中文名</w:t>
            </w:r>
          </w:p>
        </w:tc>
        <w:tc>
          <w:tcPr>
            <w:tcW w:w="732" w:type="pct"/>
            <w:tcBorders>
              <w:tl2br w:val="nil"/>
              <w:tr2bl w:val="nil"/>
            </w:tcBorders>
            <w:noWrap w:val="0"/>
            <w:vAlign w:val="center"/>
          </w:tcPr>
          <w:p w14:paraId="3AA958F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拉丁名</w:t>
            </w:r>
          </w:p>
        </w:tc>
        <w:tc>
          <w:tcPr>
            <w:tcW w:w="417" w:type="pct"/>
            <w:tcBorders>
              <w:tl2br w:val="nil"/>
              <w:tr2bl w:val="nil"/>
            </w:tcBorders>
            <w:noWrap w:val="0"/>
            <w:vAlign w:val="center"/>
          </w:tcPr>
          <w:p w14:paraId="0B043A8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区系特征</w:t>
            </w:r>
          </w:p>
        </w:tc>
        <w:tc>
          <w:tcPr>
            <w:tcW w:w="395" w:type="pct"/>
            <w:tcBorders>
              <w:tl2br w:val="nil"/>
              <w:tr2bl w:val="nil"/>
            </w:tcBorders>
            <w:noWrap w:val="0"/>
            <w:vAlign w:val="center"/>
          </w:tcPr>
          <w:p w14:paraId="590439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保护级别</w:t>
            </w:r>
          </w:p>
        </w:tc>
        <w:tc>
          <w:tcPr>
            <w:tcW w:w="536" w:type="pct"/>
            <w:tcBorders>
              <w:tl2br w:val="nil"/>
              <w:tr2bl w:val="nil"/>
            </w:tcBorders>
            <w:noWrap w:val="0"/>
            <w:vAlign w:val="center"/>
          </w:tcPr>
          <w:p w14:paraId="53CC9D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濒危等级/中国</w:t>
            </w:r>
          </w:p>
        </w:tc>
        <w:tc>
          <w:tcPr>
            <w:tcW w:w="618" w:type="pct"/>
            <w:tcBorders>
              <w:tl2br w:val="nil"/>
              <w:tr2bl w:val="nil"/>
            </w:tcBorders>
            <w:noWrap w:val="0"/>
            <w:vAlign w:val="center"/>
          </w:tcPr>
          <w:p w14:paraId="512D3A5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濒危等级/IUCN</w:t>
            </w:r>
          </w:p>
        </w:tc>
        <w:tc>
          <w:tcPr>
            <w:tcW w:w="427" w:type="pct"/>
            <w:tcBorders>
              <w:tl2br w:val="nil"/>
              <w:tr2bl w:val="nil"/>
            </w:tcBorders>
            <w:noWrap w:val="0"/>
            <w:vAlign w:val="center"/>
          </w:tcPr>
          <w:p w14:paraId="0621477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特有情况</w:t>
            </w:r>
          </w:p>
        </w:tc>
        <w:tc>
          <w:tcPr>
            <w:tcW w:w="433" w:type="pct"/>
            <w:tcBorders>
              <w:tl2br w:val="nil"/>
              <w:tr2bl w:val="nil"/>
            </w:tcBorders>
            <w:noWrap w:val="0"/>
            <w:vAlign w:val="center"/>
          </w:tcPr>
          <w:p w14:paraId="63B74D6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相对数量</w:t>
            </w:r>
          </w:p>
        </w:tc>
        <w:tc>
          <w:tcPr>
            <w:tcW w:w="411" w:type="pct"/>
            <w:tcBorders>
              <w:tl2br w:val="nil"/>
              <w:tr2bl w:val="nil"/>
            </w:tcBorders>
            <w:noWrap w:val="0"/>
            <w:vAlign w:val="center"/>
          </w:tcPr>
          <w:p w14:paraId="721627A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数量来源</w:t>
            </w:r>
          </w:p>
        </w:tc>
      </w:tr>
      <w:tr w14:paraId="48C647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09A8F2A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一</w:t>
            </w:r>
          </w:p>
        </w:tc>
        <w:tc>
          <w:tcPr>
            <w:tcW w:w="531" w:type="pct"/>
            <w:tcBorders>
              <w:tl2br w:val="nil"/>
              <w:tr2bl w:val="nil"/>
            </w:tcBorders>
            <w:noWrap w:val="0"/>
            <w:vAlign w:val="center"/>
          </w:tcPr>
          <w:p w14:paraId="1CBA25F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啮齿目</w:t>
            </w:r>
          </w:p>
        </w:tc>
        <w:tc>
          <w:tcPr>
            <w:tcW w:w="732" w:type="pct"/>
            <w:tcBorders>
              <w:tl2br w:val="nil"/>
              <w:tr2bl w:val="nil"/>
            </w:tcBorders>
            <w:noWrap w:val="0"/>
            <w:vAlign w:val="center"/>
          </w:tcPr>
          <w:p w14:paraId="13BE97A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476395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395" w:type="pct"/>
            <w:tcBorders>
              <w:tl2br w:val="nil"/>
              <w:tr2bl w:val="nil"/>
            </w:tcBorders>
            <w:noWrap w:val="0"/>
            <w:vAlign w:val="center"/>
          </w:tcPr>
          <w:p w14:paraId="28CFB19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536" w:type="pct"/>
            <w:tcBorders>
              <w:tl2br w:val="nil"/>
              <w:tr2bl w:val="nil"/>
            </w:tcBorders>
            <w:noWrap w:val="0"/>
            <w:vAlign w:val="center"/>
          </w:tcPr>
          <w:p w14:paraId="1A70CA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18" w:type="pct"/>
            <w:tcBorders>
              <w:tl2br w:val="nil"/>
              <w:tr2bl w:val="nil"/>
            </w:tcBorders>
            <w:noWrap w:val="0"/>
            <w:vAlign w:val="center"/>
          </w:tcPr>
          <w:p w14:paraId="6E41FDE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27" w:type="pct"/>
            <w:tcBorders>
              <w:tl2br w:val="nil"/>
              <w:tr2bl w:val="nil"/>
            </w:tcBorders>
            <w:noWrap w:val="0"/>
            <w:vAlign w:val="center"/>
          </w:tcPr>
          <w:p w14:paraId="4E779E0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1FDD53F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53BA81B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23CC21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616DAE8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（一）</w:t>
            </w:r>
          </w:p>
        </w:tc>
        <w:tc>
          <w:tcPr>
            <w:tcW w:w="531" w:type="pct"/>
            <w:tcBorders>
              <w:tl2br w:val="nil"/>
              <w:tr2bl w:val="nil"/>
            </w:tcBorders>
            <w:noWrap w:val="0"/>
            <w:vAlign w:val="center"/>
          </w:tcPr>
          <w:p w14:paraId="2F346C1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跳鼠科</w:t>
            </w:r>
          </w:p>
        </w:tc>
        <w:tc>
          <w:tcPr>
            <w:tcW w:w="732" w:type="pct"/>
            <w:tcBorders>
              <w:tl2br w:val="nil"/>
              <w:tr2bl w:val="nil"/>
            </w:tcBorders>
            <w:noWrap w:val="0"/>
            <w:vAlign w:val="center"/>
          </w:tcPr>
          <w:p w14:paraId="3AC92F7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30C559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395" w:type="pct"/>
            <w:tcBorders>
              <w:tl2br w:val="nil"/>
              <w:tr2bl w:val="nil"/>
            </w:tcBorders>
            <w:noWrap w:val="0"/>
            <w:vAlign w:val="center"/>
          </w:tcPr>
          <w:p w14:paraId="72F4C4F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536" w:type="pct"/>
            <w:tcBorders>
              <w:tl2br w:val="nil"/>
              <w:tr2bl w:val="nil"/>
            </w:tcBorders>
            <w:noWrap w:val="0"/>
            <w:vAlign w:val="center"/>
          </w:tcPr>
          <w:p w14:paraId="7B049A1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18" w:type="pct"/>
            <w:tcBorders>
              <w:tl2br w:val="nil"/>
              <w:tr2bl w:val="nil"/>
            </w:tcBorders>
            <w:noWrap w:val="0"/>
            <w:vAlign w:val="center"/>
          </w:tcPr>
          <w:p w14:paraId="144F9AF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27" w:type="pct"/>
            <w:tcBorders>
              <w:tl2br w:val="nil"/>
              <w:tr2bl w:val="nil"/>
            </w:tcBorders>
            <w:noWrap w:val="0"/>
            <w:vAlign w:val="center"/>
          </w:tcPr>
          <w:p w14:paraId="2ED89E9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5B63036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7433E1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475B52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1659C14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31" w:type="pct"/>
            <w:tcBorders>
              <w:tl2br w:val="nil"/>
              <w:tr2bl w:val="nil"/>
            </w:tcBorders>
            <w:noWrap w:val="0"/>
            <w:vAlign w:val="center"/>
          </w:tcPr>
          <w:p w14:paraId="1BBCE25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长耳跳鼠</w:t>
            </w:r>
          </w:p>
        </w:tc>
        <w:tc>
          <w:tcPr>
            <w:tcW w:w="732" w:type="pct"/>
            <w:tcBorders>
              <w:tl2br w:val="nil"/>
              <w:tr2bl w:val="nil"/>
            </w:tcBorders>
            <w:noWrap w:val="0"/>
            <w:vAlign w:val="center"/>
          </w:tcPr>
          <w:p w14:paraId="7BB157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kern w:val="2"/>
                <w:sz w:val="21"/>
                <w:szCs w:val="21"/>
                <w:highlight w:val="none"/>
                <w:vertAlign w:val="baseline"/>
                <w:lang w:val="en-US" w:eastAsia="zh-CN" w:bidi="ar-SA"/>
              </w:rPr>
              <w:t>Euchoreutes naso</w:t>
            </w:r>
          </w:p>
        </w:tc>
        <w:tc>
          <w:tcPr>
            <w:tcW w:w="417" w:type="pct"/>
            <w:tcBorders>
              <w:tl2br w:val="nil"/>
              <w:tr2bl w:val="nil"/>
            </w:tcBorders>
            <w:noWrap w:val="0"/>
            <w:vAlign w:val="center"/>
          </w:tcPr>
          <w:p w14:paraId="28021A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395" w:type="pct"/>
            <w:tcBorders>
              <w:tl2br w:val="nil"/>
              <w:tr2bl w:val="nil"/>
            </w:tcBorders>
            <w:noWrap w:val="0"/>
            <w:vAlign w:val="center"/>
          </w:tcPr>
          <w:p w14:paraId="339A541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36" w:type="pct"/>
            <w:tcBorders>
              <w:tl2br w:val="nil"/>
              <w:tr2bl w:val="nil"/>
            </w:tcBorders>
            <w:noWrap w:val="0"/>
            <w:vAlign w:val="center"/>
          </w:tcPr>
          <w:p w14:paraId="43F1748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34BD9E1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0A7C217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07DFF8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399455F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028DD7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95" w:type="pct"/>
            <w:tcBorders>
              <w:tl2br w:val="nil"/>
              <w:tr2bl w:val="nil"/>
            </w:tcBorders>
            <w:noWrap w:val="0"/>
            <w:vAlign w:val="center"/>
          </w:tcPr>
          <w:p w14:paraId="5FBD0A8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2</w:t>
            </w:r>
          </w:p>
        </w:tc>
        <w:tc>
          <w:tcPr>
            <w:tcW w:w="531" w:type="pct"/>
            <w:tcBorders>
              <w:tl2br w:val="nil"/>
              <w:tr2bl w:val="nil"/>
            </w:tcBorders>
            <w:noWrap w:val="0"/>
            <w:vAlign w:val="center"/>
          </w:tcPr>
          <w:p w14:paraId="20F4CCC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毛脚跳鼠</w:t>
            </w:r>
          </w:p>
        </w:tc>
        <w:tc>
          <w:tcPr>
            <w:tcW w:w="732" w:type="pct"/>
            <w:tcBorders>
              <w:tl2br w:val="nil"/>
              <w:tr2bl w:val="nil"/>
            </w:tcBorders>
            <w:noWrap w:val="0"/>
            <w:vAlign w:val="center"/>
          </w:tcPr>
          <w:p w14:paraId="7341AE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Dipus sagitta</w:t>
            </w:r>
          </w:p>
        </w:tc>
        <w:tc>
          <w:tcPr>
            <w:tcW w:w="417" w:type="pct"/>
            <w:tcBorders>
              <w:tl2br w:val="nil"/>
              <w:tr2bl w:val="nil"/>
            </w:tcBorders>
            <w:noWrap w:val="0"/>
            <w:vAlign w:val="center"/>
          </w:tcPr>
          <w:p w14:paraId="3CEFF5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P</w:t>
            </w:r>
          </w:p>
        </w:tc>
        <w:tc>
          <w:tcPr>
            <w:tcW w:w="395" w:type="pct"/>
            <w:tcBorders>
              <w:tl2br w:val="nil"/>
              <w:tr2bl w:val="nil"/>
            </w:tcBorders>
            <w:noWrap w:val="0"/>
            <w:vAlign w:val="center"/>
          </w:tcPr>
          <w:p w14:paraId="54A6BB3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536" w:type="pct"/>
            <w:tcBorders>
              <w:tl2br w:val="nil"/>
              <w:tr2bl w:val="nil"/>
            </w:tcBorders>
            <w:noWrap w:val="0"/>
            <w:vAlign w:val="center"/>
          </w:tcPr>
          <w:p w14:paraId="3425720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5A8872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55E1FB8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68B146D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457A202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503FBD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028EC8B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3</w:t>
            </w:r>
          </w:p>
        </w:tc>
        <w:tc>
          <w:tcPr>
            <w:tcW w:w="531" w:type="pct"/>
            <w:tcBorders>
              <w:tl2br w:val="nil"/>
              <w:tr2bl w:val="nil"/>
            </w:tcBorders>
            <w:noWrap w:val="0"/>
            <w:vAlign w:val="center"/>
          </w:tcPr>
          <w:p w14:paraId="5C624AF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小五趾跳鼠</w:t>
            </w:r>
          </w:p>
        </w:tc>
        <w:tc>
          <w:tcPr>
            <w:tcW w:w="732" w:type="pct"/>
            <w:tcBorders>
              <w:tl2br w:val="nil"/>
              <w:tr2bl w:val="nil"/>
            </w:tcBorders>
            <w:noWrap w:val="0"/>
            <w:vAlign w:val="center"/>
          </w:tcPr>
          <w:p w14:paraId="34CA99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Allactaga elater dzungariae</w:t>
            </w:r>
          </w:p>
        </w:tc>
        <w:tc>
          <w:tcPr>
            <w:tcW w:w="417" w:type="pct"/>
            <w:tcBorders>
              <w:tl2br w:val="nil"/>
              <w:tr2bl w:val="nil"/>
            </w:tcBorders>
            <w:noWrap w:val="0"/>
            <w:vAlign w:val="center"/>
          </w:tcPr>
          <w:p w14:paraId="1792B60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P</w:t>
            </w:r>
          </w:p>
        </w:tc>
        <w:tc>
          <w:tcPr>
            <w:tcW w:w="395" w:type="pct"/>
            <w:tcBorders>
              <w:tl2br w:val="nil"/>
              <w:tr2bl w:val="nil"/>
            </w:tcBorders>
            <w:noWrap w:val="0"/>
            <w:vAlign w:val="center"/>
          </w:tcPr>
          <w:p w14:paraId="414BAE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536" w:type="pct"/>
            <w:tcBorders>
              <w:tl2br w:val="nil"/>
              <w:tr2bl w:val="nil"/>
            </w:tcBorders>
            <w:noWrap w:val="0"/>
            <w:vAlign w:val="center"/>
          </w:tcPr>
          <w:p w14:paraId="2AE02C8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7FD7E93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207F1C1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6BE25F4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27F2ADD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36FD2C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5AEB04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（二）</w:t>
            </w:r>
          </w:p>
        </w:tc>
        <w:tc>
          <w:tcPr>
            <w:tcW w:w="531" w:type="pct"/>
            <w:tcBorders>
              <w:tl2br w:val="nil"/>
              <w:tr2bl w:val="nil"/>
            </w:tcBorders>
            <w:noWrap w:val="0"/>
            <w:vAlign w:val="center"/>
          </w:tcPr>
          <w:p w14:paraId="0CEFD43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鼠科</w:t>
            </w:r>
          </w:p>
        </w:tc>
        <w:tc>
          <w:tcPr>
            <w:tcW w:w="732" w:type="pct"/>
            <w:tcBorders>
              <w:tl2br w:val="nil"/>
              <w:tr2bl w:val="nil"/>
            </w:tcBorders>
            <w:noWrap w:val="0"/>
            <w:vAlign w:val="center"/>
          </w:tcPr>
          <w:p w14:paraId="798407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3E50EC1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395" w:type="pct"/>
            <w:tcBorders>
              <w:tl2br w:val="nil"/>
              <w:tr2bl w:val="nil"/>
            </w:tcBorders>
            <w:noWrap w:val="0"/>
            <w:vAlign w:val="center"/>
          </w:tcPr>
          <w:p w14:paraId="492B82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536" w:type="pct"/>
            <w:tcBorders>
              <w:tl2br w:val="nil"/>
              <w:tr2bl w:val="nil"/>
            </w:tcBorders>
            <w:noWrap w:val="0"/>
            <w:vAlign w:val="center"/>
          </w:tcPr>
          <w:p w14:paraId="7CB80BB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31D39F3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08662E9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4FBD75B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389BAA2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6B5D94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6D8BC8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31" w:type="pct"/>
            <w:tcBorders>
              <w:tl2br w:val="nil"/>
              <w:tr2bl w:val="nil"/>
            </w:tcBorders>
            <w:noWrap w:val="0"/>
            <w:vAlign w:val="center"/>
          </w:tcPr>
          <w:p w14:paraId="4AC99B2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小家鼠（奥德萨亚种）</w:t>
            </w:r>
          </w:p>
        </w:tc>
        <w:tc>
          <w:tcPr>
            <w:tcW w:w="732" w:type="pct"/>
            <w:tcBorders>
              <w:tl2br w:val="nil"/>
              <w:tr2bl w:val="nil"/>
            </w:tcBorders>
            <w:noWrap w:val="0"/>
            <w:vAlign w:val="center"/>
          </w:tcPr>
          <w:p w14:paraId="0E9D8B5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Mus musculus</w:t>
            </w:r>
          </w:p>
        </w:tc>
        <w:tc>
          <w:tcPr>
            <w:tcW w:w="417" w:type="pct"/>
            <w:tcBorders>
              <w:tl2br w:val="nil"/>
              <w:tr2bl w:val="nil"/>
            </w:tcBorders>
            <w:noWrap w:val="0"/>
            <w:vAlign w:val="center"/>
          </w:tcPr>
          <w:p w14:paraId="775508A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P</w:t>
            </w:r>
          </w:p>
        </w:tc>
        <w:tc>
          <w:tcPr>
            <w:tcW w:w="395" w:type="pct"/>
            <w:tcBorders>
              <w:tl2br w:val="nil"/>
              <w:tr2bl w:val="nil"/>
            </w:tcBorders>
            <w:noWrap w:val="0"/>
            <w:vAlign w:val="center"/>
          </w:tcPr>
          <w:p w14:paraId="7A2B2DD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536" w:type="pct"/>
            <w:tcBorders>
              <w:tl2br w:val="nil"/>
              <w:tr2bl w:val="nil"/>
            </w:tcBorders>
            <w:noWrap w:val="0"/>
            <w:vAlign w:val="center"/>
          </w:tcPr>
          <w:p w14:paraId="2235F2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48A66F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4D1D219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2A6D5FE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0AF2C49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现场调查</w:t>
            </w:r>
          </w:p>
        </w:tc>
      </w:tr>
      <w:tr w14:paraId="41D516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0A32B47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（三）</w:t>
            </w:r>
          </w:p>
        </w:tc>
        <w:tc>
          <w:tcPr>
            <w:tcW w:w="531" w:type="pct"/>
            <w:tcBorders>
              <w:tl2br w:val="nil"/>
              <w:tr2bl w:val="nil"/>
            </w:tcBorders>
            <w:noWrap w:val="0"/>
            <w:vAlign w:val="center"/>
          </w:tcPr>
          <w:p w14:paraId="2D3470D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仓鼠科</w:t>
            </w:r>
          </w:p>
        </w:tc>
        <w:tc>
          <w:tcPr>
            <w:tcW w:w="732" w:type="pct"/>
            <w:tcBorders>
              <w:tl2br w:val="nil"/>
              <w:tr2bl w:val="nil"/>
            </w:tcBorders>
            <w:noWrap w:val="0"/>
            <w:vAlign w:val="center"/>
          </w:tcPr>
          <w:p w14:paraId="45D531D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30C7942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395" w:type="pct"/>
            <w:tcBorders>
              <w:tl2br w:val="nil"/>
              <w:tr2bl w:val="nil"/>
            </w:tcBorders>
            <w:noWrap w:val="0"/>
            <w:vAlign w:val="center"/>
          </w:tcPr>
          <w:p w14:paraId="624F326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536" w:type="pct"/>
            <w:tcBorders>
              <w:tl2br w:val="nil"/>
              <w:tr2bl w:val="nil"/>
            </w:tcBorders>
            <w:noWrap w:val="0"/>
            <w:vAlign w:val="center"/>
          </w:tcPr>
          <w:p w14:paraId="5D4A67A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30FE6D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4CFF8F2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474DEA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2732243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589417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3B10E54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31" w:type="pct"/>
            <w:tcBorders>
              <w:tl2br w:val="nil"/>
              <w:tr2bl w:val="nil"/>
            </w:tcBorders>
            <w:noWrap w:val="0"/>
            <w:vAlign w:val="center"/>
          </w:tcPr>
          <w:p w14:paraId="088433B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黄兔尾鼠</w:t>
            </w:r>
          </w:p>
        </w:tc>
        <w:tc>
          <w:tcPr>
            <w:tcW w:w="732" w:type="pct"/>
            <w:tcBorders>
              <w:tl2br w:val="nil"/>
              <w:tr2bl w:val="nil"/>
            </w:tcBorders>
            <w:noWrap w:val="0"/>
            <w:vAlign w:val="center"/>
          </w:tcPr>
          <w:p w14:paraId="0D97557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Eolagurus luteus</w:t>
            </w:r>
          </w:p>
        </w:tc>
        <w:tc>
          <w:tcPr>
            <w:tcW w:w="417" w:type="pct"/>
            <w:tcBorders>
              <w:tl2br w:val="nil"/>
              <w:tr2bl w:val="nil"/>
            </w:tcBorders>
            <w:noWrap w:val="0"/>
            <w:vAlign w:val="center"/>
          </w:tcPr>
          <w:p w14:paraId="5CC68D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395" w:type="pct"/>
            <w:tcBorders>
              <w:tl2br w:val="nil"/>
              <w:tr2bl w:val="nil"/>
            </w:tcBorders>
            <w:noWrap w:val="0"/>
            <w:vAlign w:val="center"/>
          </w:tcPr>
          <w:p w14:paraId="3FE7A2F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36" w:type="pct"/>
            <w:tcBorders>
              <w:tl2br w:val="nil"/>
              <w:tr2bl w:val="nil"/>
            </w:tcBorders>
            <w:noWrap w:val="0"/>
            <w:vAlign w:val="center"/>
          </w:tcPr>
          <w:p w14:paraId="58DB6FF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NT</w:t>
            </w:r>
          </w:p>
        </w:tc>
        <w:tc>
          <w:tcPr>
            <w:tcW w:w="618" w:type="pct"/>
            <w:tcBorders>
              <w:tl2br w:val="nil"/>
              <w:tr2bl w:val="nil"/>
            </w:tcBorders>
            <w:noWrap w:val="0"/>
            <w:vAlign w:val="center"/>
          </w:tcPr>
          <w:p w14:paraId="41034C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NT</w:t>
            </w:r>
          </w:p>
        </w:tc>
        <w:tc>
          <w:tcPr>
            <w:tcW w:w="427" w:type="pct"/>
            <w:tcBorders>
              <w:tl2br w:val="nil"/>
              <w:tr2bl w:val="nil"/>
            </w:tcBorders>
            <w:noWrap w:val="0"/>
            <w:vAlign w:val="center"/>
          </w:tcPr>
          <w:p w14:paraId="390267E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38C6ADA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1615817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5B767C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1DEB0F7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2</w:t>
            </w:r>
          </w:p>
        </w:tc>
        <w:tc>
          <w:tcPr>
            <w:tcW w:w="531" w:type="pct"/>
            <w:tcBorders>
              <w:tl2br w:val="nil"/>
              <w:tr2bl w:val="nil"/>
            </w:tcBorders>
            <w:noWrap w:val="0"/>
            <w:vAlign w:val="center"/>
          </w:tcPr>
          <w:p w14:paraId="140CA4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大沙鼠</w:t>
            </w:r>
          </w:p>
        </w:tc>
        <w:tc>
          <w:tcPr>
            <w:tcW w:w="732" w:type="pct"/>
            <w:tcBorders>
              <w:tl2br w:val="nil"/>
              <w:tr2bl w:val="nil"/>
            </w:tcBorders>
            <w:noWrap w:val="0"/>
            <w:vAlign w:val="center"/>
          </w:tcPr>
          <w:p w14:paraId="0878E08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Rhombomys opimus</w:t>
            </w:r>
          </w:p>
        </w:tc>
        <w:tc>
          <w:tcPr>
            <w:tcW w:w="417" w:type="pct"/>
            <w:tcBorders>
              <w:tl2br w:val="nil"/>
              <w:tr2bl w:val="nil"/>
            </w:tcBorders>
            <w:noWrap w:val="0"/>
            <w:vAlign w:val="center"/>
          </w:tcPr>
          <w:p w14:paraId="0641286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395" w:type="pct"/>
            <w:tcBorders>
              <w:tl2br w:val="nil"/>
              <w:tr2bl w:val="nil"/>
            </w:tcBorders>
            <w:noWrap w:val="0"/>
            <w:vAlign w:val="center"/>
          </w:tcPr>
          <w:p w14:paraId="4F47A2D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36" w:type="pct"/>
            <w:tcBorders>
              <w:tl2br w:val="nil"/>
              <w:tr2bl w:val="nil"/>
            </w:tcBorders>
            <w:noWrap w:val="0"/>
            <w:vAlign w:val="center"/>
          </w:tcPr>
          <w:p w14:paraId="4A9C363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7244F3E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28852EF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108691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2C5211D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73C9BD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18CE78E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3</w:t>
            </w:r>
          </w:p>
        </w:tc>
        <w:tc>
          <w:tcPr>
            <w:tcW w:w="531" w:type="pct"/>
            <w:tcBorders>
              <w:tl2br w:val="nil"/>
              <w:tr2bl w:val="nil"/>
            </w:tcBorders>
            <w:noWrap w:val="0"/>
            <w:vAlign w:val="center"/>
          </w:tcPr>
          <w:p w14:paraId="505B039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子午沙鼠</w:t>
            </w:r>
          </w:p>
        </w:tc>
        <w:tc>
          <w:tcPr>
            <w:tcW w:w="732" w:type="pct"/>
            <w:tcBorders>
              <w:tl2br w:val="nil"/>
              <w:tr2bl w:val="nil"/>
            </w:tcBorders>
            <w:noWrap w:val="0"/>
            <w:vAlign w:val="center"/>
          </w:tcPr>
          <w:p w14:paraId="676EF69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Meriones meridianus</w:t>
            </w:r>
          </w:p>
        </w:tc>
        <w:tc>
          <w:tcPr>
            <w:tcW w:w="417" w:type="pct"/>
            <w:tcBorders>
              <w:tl2br w:val="nil"/>
              <w:tr2bl w:val="nil"/>
            </w:tcBorders>
            <w:noWrap w:val="0"/>
            <w:vAlign w:val="center"/>
          </w:tcPr>
          <w:p w14:paraId="49FC995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P</w:t>
            </w:r>
          </w:p>
        </w:tc>
        <w:tc>
          <w:tcPr>
            <w:tcW w:w="395" w:type="pct"/>
            <w:tcBorders>
              <w:tl2br w:val="nil"/>
              <w:tr2bl w:val="nil"/>
            </w:tcBorders>
            <w:noWrap w:val="0"/>
            <w:vAlign w:val="center"/>
          </w:tcPr>
          <w:p w14:paraId="58BC488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536" w:type="pct"/>
            <w:tcBorders>
              <w:tl2br w:val="nil"/>
              <w:tr2bl w:val="nil"/>
            </w:tcBorders>
            <w:noWrap w:val="0"/>
            <w:vAlign w:val="center"/>
          </w:tcPr>
          <w:p w14:paraId="317E343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65A154A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3915F2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0022242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027259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24A89E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2AFFB1C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4</w:t>
            </w:r>
          </w:p>
        </w:tc>
        <w:tc>
          <w:tcPr>
            <w:tcW w:w="531" w:type="pct"/>
            <w:tcBorders>
              <w:tl2br w:val="nil"/>
              <w:tr2bl w:val="nil"/>
            </w:tcBorders>
            <w:noWrap w:val="0"/>
            <w:vAlign w:val="center"/>
          </w:tcPr>
          <w:p w14:paraId="4070065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红尾沙鼠</w:t>
            </w:r>
          </w:p>
        </w:tc>
        <w:tc>
          <w:tcPr>
            <w:tcW w:w="732" w:type="pct"/>
            <w:tcBorders>
              <w:tl2br w:val="nil"/>
              <w:tr2bl w:val="nil"/>
            </w:tcBorders>
            <w:noWrap w:val="0"/>
            <w:vAlign w:val="center"/>
          </w:tcPr>
          <w:p w14:paraId="131646F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Meriones libycus</w:t>
            </w:r>
          </w:p>
        </w:tc>
        <w:tc>
          <w:tcPr>
            <w:tcW w:w="417" w:type="pct"/>
            <w:tcBorders>
              <w:tl2br w:val="nil"/>
              <w:tr2bl w:val="nil"/>
            </w:tcBorders>
            <w:noWrap w:val="0"/>
            <w:vAlign w:val="center"/>
          </w:tcPr>
          <w:p w14:paraId="1A20F50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P</w:t>
            </w:r>
          </w:p>
        </w:tc>
        <w:tc>
          <w:tcPr>
            <w:tcW w:w="395" w:type="pct"/>
            <w:tcBorders>
              <w:tl2br w:val="nil"/>
              <w:tr2bl w:val="nil"/>
            </w:tcBorders>
            <w:noWrap w:val="0"/>
            <w:vAlign w:val="center"/>
          </w:tcPr>
          <w:p w14:paraId="384125F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536" w:type="pct"/>
            <w:tcBorders>
              <w:tl2br w:val="nil"/>
              <w:tr2bl w:val="nil"/>
            </w:tcBorders>
            <w:noWrap w:val="0"/>
            <w:vAlign w:val="center"/>
          </w:tcPr>
          <w:p w14:paraId="3571155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3EA97A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69AA84E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41A59BC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0F77483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4B95DB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5D677BB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二</w:t>
            </w:r>
          </w:p>
        </w:tc>
        <w:tc>
          <w:tcPr>
            <w:tcW w:w="531" w:type="pct"/>
            <w:tcBorders>
              <w:tl2br w:val="nil"/>
              <w:tr2bl w:val="nil"/>
            </w:tcBorders>
            <w:noWrap w:val="0"/>
            <w:vAlign w:val="center"/>
          </w:tcPr>
          <w:p w14:paraId="70B2360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兔形目</w:t>
            </w:r>
          </w:p>
        </w:tc>
        <w:tc>
          <w:tcPr>
            <w:tcW w:w="732" w:type="pct"/>
            <w:tcBorders>
              <w:tl2br w:val="nil"/>
              <w:tr2bl w:val="nil"/>
            </w:tcBorders>
            <w:noWrap w:val="0"/>
            <w:vAlign w:val="center"/>
          </w:tcPr>
          <w:p w14:paraId="57227F0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676886D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395" w:type="pct"/>
            <w:tcBorders>
              <w:tl2br w:val="nil"/>
              <w:tr2bl w:val="nil"/>
            </w:tcBorders>
            <w:noWrap w:val="0"/>
            <w:vAlign w:val="center"/>
          </w:tcPr>
          <w:p w14:paraId="2DC575F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536" w:type="pct"/>
            <w:tcBorders>
              <w:tl2br w:val="nil"/>
              <w:tr2bl w:val="nil"/>
            </w:tcBorders>
            <w:noWrap w:val="0"/>
            <w:vAlign w:val="center"/>
          </w:tcPr>
          <w:p w14:paraId="5D32E7F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739039A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7D455EB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7C7746F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1539E7A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6984E5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2E7EBD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（一）</w:t>
            </w:r>
          </w:p>
        </w:tc>
        <w:tc>
          <w:tcPr>
            <w:tcW w:w="531" w:type="pct"/>
            <w:tcBorders>
              <w:tl2br w:val="nil"/>
              <w:tr2bl w:val="nil"/>
            </w:tcBorders>
            <w:noWrap w:val="0"/>
            <w:vAlign w:val="center"/>
          </w:tcPr>
          <w:p w14:paraId="5564C10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兔科</w:t>
            </w:r>
          </w:p>
        </w:tc>
        <w:tc>
          <w:tcPr>
            <w:tcW w:w="732" w:type="pct"/>
            <w:tcBorders>
              <w:tl2br w:val="nil"/>
              <w:tr2bl w:val="nil"/>
            </w:tcBorders>
            <w:noWrap w:val="0"/>
            <w:vAlign w:val="center"/>
          </w:tcPr>
          <w:p w14:paraId="6BA6DC6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5B6BC52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395" w:type="pct"/>
            <w:tcBorders>
              <w:tl2br w:val="nil"/>
              <w:tr2bl w:val="nil"/>
            </w:tcBorders>
            <w:noWrap w:val="0"/>
            <w:vAlign w:val="center"/>
          </w:tcPr>
          <w:p w14:paraId="4E4D54E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536" w:type="pct"/>
            <w:tcBorders>
              <w:tl2br w:val="nil"/>
              <w:tr2bl w:val="nil"/>
            </w:tcBorders>
            <w:noWrap w:val="0"/>
            <w:vAlign w:val="center"/>
          </w:tcPr>
          <w:p w14:paraId="49C41A0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087E295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0C4506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0A6BEFD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5D331C7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65529B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43279CC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31" w:type="pct"/>
            <w:tcBorders>
              <w:tl2br w:val="nil"/>
              <w:tr2bl w:val="nil"/>
            </w:tcBorders>
            <w:noWrap w:val="0"/>
            <w:vAlign w:val="center"/>
          </w:tcPr>
          <w:p w14:paraId="164C2E5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蒙古兔</w:t>
            </w:r>
          </w:p>
        </w:tc>
        <w:tc>
          <w:tcPr>
            <w:tcW w:w="732" w:type="pct"/>
            <w:tcBorders>
              <w:tl2br w:val="nil"/>
              <w:tr2bl w:val="nil"/>
            </w:tcBorders>
            <w:noWrap w:val="0"/>
            <w:vAlign w:val="center"/>
          </w:tcPr>
          <w:p w14:paraId="185C5A8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Lepus tolai tolai</w:t>
            </w:r>
          </w:p>
        </w:tc>
        <w:tc>
          <w:tcPr>
            <w:tcW w:w="417" w:type="pct"/>
            <w:tcBorders>
              <w:tl2br w:val="nil"/>
              <w:tr2bl w:val="nil"/>
            </w:tcBorders>
            <w:noWrap w:val="0"/>
            <w:vAlign w:val="center"/>
          </w:tcPr>
          <w:p w14:paraId="1260BA5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395" w:type="pct"/>
            <w:tcBorders>
              <w:tl2br w:val="nil"/>
              <w:tr2bl w:val="nil"/>
            </w:tcBorders>
            <w:noWrap w:val="0"/>
            <w:vAlign w:val="center"/>
          </w:tcPr>
          <w:p w14:paraId="6C2776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36" w:type="pct"/>
            <w:tcBorders>
              <w:tl2br w:val="nil"/>
              <w:tr2bl w:val="nil"/>
            </w:tcBorders>
            <w:noWrap w:val="0"/>
            <w:vAlign w:val="center"/>
          </w:tcPr>
          <w:p w14:paraId="10FCA0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745F705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4590145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0523AFC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3EE0D46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628C18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42C7736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三</w:t>
            </w:r>
          </w:p>
        </w:tc>
        <w:tc>
          <w:tcPr>
            <w:tcW w:w="531" w:type="pct"/>
            <w:tcBorders>
              <w:tl2br w:val="nil"/>
              <w:tr2bl w:val="nil"/>
            </w:tcBorders>
            <w:noWrap w:val="0"/>
            <w:vAlign w:val="center"/>
          </w:tcPr>
          <w:p w14:paraId="4414FDE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猬形目</w:t>
            </w:r>
          </w:p>
        </w:tc>
        <w:tc>
          <w:tcPr>
            <w:tcW w:w="732" w:type="pct"/>
            <w:tcBorders>
              <w:tl2br w:val="nil"/>
              <w:tr2bl w:val="nil"/>
            </w:tcBorders>
            <w:noWrap w:val="0"/>
            <w:vAlign w:val="center"/>
          </w:tcPr>
          <w:p w14:paraId="20175EF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2550E12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395" w:type="pct"/>
            <w:tcBorders>
              <w:tl2br w:val="nil"/>
              <w:tr2bl w:val="nil"/>
            </w:tcBorders>
            <w:noWrap w:val="0"/>
            <w:vAlign w:val="center"/>
          </w:tcPr>
          <w:p w14:paraId="2FC15E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536" w:type="pct"/>
            <w:tcBorders>
              <w:tl2br w:val="nil"/>
              <w:tr2bl w:val="nil"/>
            </w:tcBorders>
            <w:noWrap w:val="0"/>
            <w:vAlign w:val="center"/>
          </w:tcPr>
          <w:p w14:paraId="485E60C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61807B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22E02C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54BECC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02ADF24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2E163A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368F1FA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（一）</w:t>
            </w:r>
          </w:p>
        </w:tc>
        <w:tc>
          <w:tcPr>
            <w:tcW w:w="531" w:type="pct"/>
            <w:tcBorders>
              <w:tl2br w:val="nil"/>
              <w:tr2bl w:val="nil"/>
            </w:tcBorders>
            <w:noWrap w:val="0"/>
            <w:vAlign w:val="center"/>
          </w:tcPr>
          <w:p w14:paraId="28E2F16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猬科</w:t>
            </w:r>
          </w:p>
        </w:tc>
        <w:tc>
          <w:tcPr>
            <w:tcW w:w="732" w:type="pct"/>
            <w:tcBorders>
              <w:tl2br w:val="nil"/>
              <w:tr2bl w:val="nil"/>
            </w:tcBorders>
            <w:noWrap w:val="0"/>
            <w:vAlign w:val="center"/>
          </w:tcPr>
          <w:p w14:paraId="02493C3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558B5D2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395" w:type="pct"/>
            <w:tcBorders>
              <w:tl2br w:val="nil"/>
              <w:tr2bl w:val="nil"/>
            </w:tcBorders>
            <w:noWrap w:val="0"/>
            <w:vAlign w:val="center"/>
          </w:tcPr>
          <w:p w14:paraId="1C4071C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536" w:type="pct"/>
            <w:tcBorders>
              <w:tl2br w:val="nil"/>
              <w:tr2bl w:val="nil"/>
            </w:tcBorders>
            <w:noWrap w:val="0"/>
            <w:vAlign w:val="center"/>
          </w:tcPr>
          <w:p w14:paraId="76DE955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72D94F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3B49DE4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4237E1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4988D8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2023D8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95" w:type="pct"/>
            <w:tcBorders>
              <w:tl2br w:val="nil"/>
              <w:tr2bl w:val="nil"/>
            </w:tcBorders>
            <w:noWrap w:val="0"/>
            <w:vAlign w:val="center"/>
          </w:tcPr>
          <w:p w14:paraId="039F1BD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31" w:type="pct"/>
            <w:tcBorders>
              <w:tl2br w:val="nil"/>
              <w:tr2bl w:val="nil"/>
            </w:tcBorders>
            <w:noWrap w:val="0"/>
            <w:vAlign w:val="center"/>
          </w:tcPr>
          <w:p w14:paraId="246AC66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大耳猬</w:t>
            </w:r>
          </w:p>
        </w:tc>
        <w:tc>
          <w:tcPr>
            <w:tcW w:w="732" w:type="pct"/>
            <w:tcBorders>
              <w:tl2br w:val="nil"/>
              <w:tr2bl w:val="nil"/>
            </w:tcBorders>
            <w:noWrap w:val="0"/>
            <w:vAlign w:val="center"/>
          </w:tcPr>
          <w:p w14:paraId="538AC20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Hemiechinus auritus</w:t>
            </w:r>
          </w:p>
        </w:tc>
        <w:tc>
          <w:tcPr>
            <w:tcW w:w="417" w:type="pct"/>
            <w:tcBorders>
              <w:tl2br w:val="nil"/>
              <w:tr2bl w:val="nil"/>
            </w:tcBorders>
            <w:noWrap w:val="0"/>
            <w:vAlign w:val="center"/>
          </w:tcPr>
          <w:p w14:paraId="702A59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395" w:type="pct"/>
            <w:tcBorders>
              <w:tl2br w:val="nil"/>
              <w:tr2bl w:val="nil"/>
            </w:tcBorders>
            <w:noWrap w:val="0"/>
            <w:vAlign w:val="center"/>
          </w:tcPr>
          <w:p w14:paraId="5E63C78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36" w:type="pct"/>
            <w:tcBorders>
              <w:tl2br w:val="nil"/>
              <w:tr2bl w:val="nil"/>
            </w:tcBorders>
            <w:noWrap w:val="0"/>
            <w:vAlign w:val="center"/>
          </w:tcPr>
          <w:p w14:paraId="4B9D39C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657CA2D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3F1EE66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1D8DA00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14D0830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59F89D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64F387E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三</w:t>
            </w:r>
          </w:p>
        </w:tc>
        <w:tc>
          <w:tcPr>
            <w:tcW w:w="531" w:type="pct"/>
            <w:tcBorders>
              <w:tl2br w:val="nil"/>
              <w:tr2bl w:val="nil"/>
            </w:tcBorders>
            <w:noWrap w:val="0"/>
            <w:vAlign w:val="center"/>
          </w:tcPr>
          <w:p w14:paraId="6783EC4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翼手目</w:t>
            </w:r>
          </w:p>
        </w:tc>
        <w:tc>
          <w:tcPr>
            <w:tcW w:w="732" w:type="pct"/>
            <w:tcBorders>
              <w:tl2br w:val="nil"/>
              <w:tr2bl w:val="nil"/>
            </w:tcBorders>
            <w:noWrap w:val="0"/>
            <w:vAlign w:val="center"/>
          </w:tcPr>
          <w:p w14:paraId="55454B7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p>
        </w:tc>
        <w:tc>
          <w:tcPr>
            <w:tcW w:w="417" w:type="pct"/>
            <w:tcBorders>
              <w:tl2br w:val="nil"/>
              <w:tr2bl w:val="nil"/>
            </w:tcBorders>
            <w:noWrap w:val="0"/>
            <w:vAlign w:val="center"/>
          </w:tcPr>
          <w:p w14:paraId="3364069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395" w:type="pct"/>
            <w:tcBorders>
              <w:tl2br w:val="nil"/>
              <w:tr2bl w:val="nil"/>
            </w:tcBorders>
            <w:noWrap w:val="0"/>
            <w:vAlign w:val="center"/>
          </w:tcPr>
          <w:p w14:paraId="1596A9E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536" w:type="pct"/>
            <w:tcBorders>
              <w:tl2br w:val="nil"/>
              <w:tr2bl w:val="nil"/>
            </w:tcBorders>
            <w:noWrap w:val="0"/>
            <w:vAlign w:val="center"/>
          </w:tcPr>
          <w:p w14:paraId="4E11BB0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18" w:type="pct"/>
            <w:tcBorders>
              <w:tl2br w:val="nil"/>
              <w:tr2bl w:val="nil"/>
            </w:tcBorders>
            <w:noWrap w:val="0"/>
            <w:vAlign w:val="center"/>
          </w:tcPr>
          <w:p w14:paraId="227F44F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27" w:type="pct"/>
            <w:tcBorders>
              <w:tl2br w:val="nil"/>
              <w:tr2bl w:val="nil"/>
            </w:tcBorders>
            <w:noWrap w:val="0"/>
            <w:vAlign w:val="center"/>
          </w:tcPr>
          <w:p w14:paraId="2969CE2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3F6A060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6ABD6C5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43EFD5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0DF538F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（一）</w:t>
            </w:r>
          </w:p>
        </w:tc>
        <w:tc>
          <w:tcPr>
            <w:tcW w:w="531" w:type="pct"/>
            <w:tcBorders>
              <w:tl2br w:val="nil"/>
              <w:tr2bl w:val="nil"/>
            </w:tcBorders>
            <w:noWrap w:val="0"/>
            <w:vAlign w:val="center"/>
          </w:tcPr>
          <w:p w14:paraId="63BD8A0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蝙蝠科</w:t>
            </w:r>
          </w:p>
        </w:tc>
        <w:tc>
          <w:tcPr>
            <w:tcW w:w="732" w:type="pct"/>
            <w:tcBorders>
              <w:tl2br w:val="nil"/>
              <w:tr2bl w:val="nil"/>
            </w:tcBorders>
            <w:noWrap w:val="0"/>
            <w:vAlign w:val="center"/>
          </w:tcPr>
          <w:p w14:paraId="6EB2FCA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p>
        </w:tc>
        <w:tc>
          <w:tcPr>
            <w:tcW w:w="417" w:type="pct"/>
            <w:tcBorders>
              <w:tl2br w:val="nil"/>
              <w:tr2bl w:val="nil"/>
            </w:tcBorders>
            <w:noWrap w:val="0"/>
            <w:vAlign w:val="center"/>
          </w:tcPr>
          <w:p w14:paraId="757A787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395" w:type="pct"/>
            <w:tcBorders>
              <w:tl2br w:val="nil"/>
              <w:tr2bl w:val="nil"/>
            </w:tcBorders>
            <w:noWrap w:val="0"/>
            <w:vAlign w:val="center"/>
          </w:tcPr>
          <w:p w14:paraId="092BBE5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536" w:type="pct"/>
            <w:tcBorders>
              <w:tl2br w:val="nil"/>
              <w:tr2bl w:val="nil"/>
            </w:tcBorders>
            <w:noWrap w:val="0"/>
            <w:vAlign w:val="center"/>
          </w:tcPr>
          <w:p w14:paraId="03563F3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18" w:type="pct"/>
            <w:tcBorders>
              <w:tl2br w:val="nil"/>
              <w:tr2bl w:val="nil"/>
            </w:tcBorders>
            <w:noWrap w:val="0"/>
            <w:vAlign w:val="center"/>
          </w:tcPr>
          <w:p w14:paraId="6C3E6A2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27" w:type="pct"/>
            <w:tcBorders>
              <w:tl2br w:val="nil"/>
              <w:tr2bl w:val="nil"/>
            </w:tcBorders>
            <w:noWrap w:val="0"/>
            <w:vAlign w:val="center"/>
          </w:tcPr>
          <w:p w14:paraId="240EEFB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12847D3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685685B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41EFF3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6C9D4E8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31" w:type="pct"/>
            <w:tcBorders>
              <w:tl2br w:val="nil"/>
              <w:tr2bl w:val="nil"/>
            </w:tcBorders>
            <w:noWrap w:val="0"/>
            <w:vAlign w:val="center"/>
          </w:tcPr>
          <w:p w14:paraId="4D5FE2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普通伏翼</w:t>
            </w:r>
          </w:p>
        </w:tc>
        <w:tc>
          <w:tcPr>
            <w:tcW w:w="732" w:type="pct"/>
            <w:tcBorders>
              <w:tl2br w:val="nil"/>
              <w:tr2bl w:val="nil"/>
            </w:tcBorders>
            <w:noWrap w:val="0"/>
            <w:vAlign w:val="center"/>
          </w:tcPr>
          <w:p w14:paraId="6D39BC9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Pipistrellus abramus</w:t>
            </w:r>
          </w:p>
        </w:tc>
        <w:tc>
          <w:tcPr>
            <w:tcW w:w="417" w:type="pct"/>
            <w:tcBorders>
              <w:tl2br w:val="nil"/>
              <w:tr2bl w:val="nil"/>
            </w:tcBorders>
            <w:noWrap w:val="0"/>
            <w:vAlign w:val="center"/>
          </w:tcPr>
          <w:p w14:paraId="129AA2E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395" w:type="pct"/>
            <w:tcBorders>
              <w:tl2br w:val="nil"/>
              <w:tr2bl w:val="nil"/>
            </w:tcBorders>
            <w:noWrap w:val="0"/>
            <w:vAlign w:val="center"/>
          </w:tcPr>
          <w:p w14:paraId="0B3B5FC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36" w:type="pct"/>
            <w:tcBorders>
              <w:tl2br w:val="nil"/>
              <w:tr2bl w:val="nil"/>
            </w:tcBorders>
            <w:noWrap w:val="0"/>
            <w:vAlign w:val="center"/>
          </w:tcPr>
          <w:p w14:paraId="400C52B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5648A29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67CBE60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45EE41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211A521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475914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10"/>
            <w:tcBorders>
              <w:tl2br w:val="nil"/>
              <w:tr2bl w:val="nil"/>
            </w:tcBorders>
            <w:noWrap w:val="0"/>
            <w:vAlign w:val="center"/>
          </w:tcPr>
          <w:p w14:paraId="33C9384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注：①区系特征：O=东洋界，P=古北界，W=广布种。</w:t>
            </w:r>
          </w:p>
          <w:p w14:paraId="6C006DD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②保护级别：Ⅰ=国家Ⅰ级保护野生动物，Ⅱ=国家Ⅱ级保护野生动物，Ⅰ（自）=自治区Ⅰ级重点保护野生动物，II（自）=自治区II级重点保护野生动物。</w:t>
            </w:r>
          </w:p>
          <w:p w14:paraId="6C7058A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③濒危等级和特有情况，按《中国生物多样性红色名录》（2020版）和《世界自然保护联盟红色名录》确定，其中CR极危，EN濒危，VU易危，NT近危，LC无危，DD数据缺乏，NE未予评估。</w:t>
            </w:r>
          </w:p>
          <w:p w14:paraId="647425E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④相对数量：+为稀有种，++为偶见种，+++为常见种。</w:t>
            </w:r>
          </w:p>
          <w:p w14:paraId="6C55E1C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⑤数据来源：现场调查、走访等。</w:t>
            </w:r>
          </w:p>
        </w:tc>
      </w:tr>
    </w:tbl>
    <w:p w14:paraId="7207E9F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（3）鸟类</w:t>
      </w:r>
    </w:p>
    <w:p w14:paraId="47302C3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本项目评价区内鸟类有5目10科13种，根据《国家重点保护野生动物名录》（2021版），评价区调查记录到的鸟类有国家II级重点保护物种1种，即长耳鸮（Asio otus）；根据《关于发布新疆维吾尔自治区重点保护野生动物名录（修订）的通知》（新政发〔2022〕75号），评价区调查记录到的鸟类无自治区重点保护物种。</w:t>
      </w:r>
    </w:p>
    <w:p w14:paraId="04D93F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根据《中国生物多样性红色名录》（2020版），评价区调查记录到的鸟类无极危、濒危、易危物种。根据《世界自然保护联盟濒危物种红色名录》，评价区调查记录到的鸟类无极危、濒危、易危物种。</w:t>
      </w:r>
    </w:p>
    <w:p w14:paraId="1734FB1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本项目评价范围内鸟类动物名录详见表1</w:t>
      </w:r>
      <w:r>
        <w:rPr>
          <w:rFonts w:hint="eastAsia" w:cs="Times New Roman"/>
          <w:b w:val="0"/>
          <w:bCs w:val="0"/>
          <w:color w:val="000000"/>
          <w:kern w:val="0"/>
          <w:sz w:val="24"/>
          <w:szCs w:val="24"/>
          <w:highlight w:val="none"/>
          <w:lang w:val="en-US" w:eastAsia="zh-CN"/>
        </w:rPr>
        <w:t>4</w:t>
      </w:r>
      <w:r>
        <w:rPr>
          <w:rFonts w:hint="default" w:ascii="Times New Roman" w:hAnsi="Times New Roman" w:eastAsia="宋体" w:cs="Times New Roman"/>
          <w:b w:val="0"/>
          <w:bCs w:val="0"/>
          <w:color w:val="000000"/>
          <w:kern w:val="0"/>
          <w:sz w:val="24"/>
          <w:szCs w:val="24"/>
          <w:highlight w:val="none"/>
          <w:lang w:val="en-US" w:eastAsia="zh-CN"/>
        </w:rPr>
        <w:t>。</w:t>
      </w:r>
    </w:p>
    <w:p w14:paraId="6092EE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表1</w:t>
      </w:r>
      <w:r>
        <w:rPr>
          <w:rFonts w:hint="eastAsia" w:cs="Times New Roman"/>
          <w:b/>
          <w:bCs/>
          <w:color w:val="000000"/>
          <w:kern w:val="0"/>
          <w:sz w:val="21"/>
          <w:szCs w:val="21"/>
          <w:highlight w:val="none"/>
          <w:lang w:val="en-US" w:eastAsia="zh-CN"/>
        </w:rPr>
        <w:t>4</w:t>
      </w:r>
      <w:r>
        <w:rPr>
          <w:rFonts w:hint="default" w:ascii="Times New Roman" w:hAnsi="Times New Roman" w:eastAsia="宋体" w:cs="Times New Roman"/>
          <w:b/>
          <w:bCs/>
          <w:color w:val="000000"/>
          <w:kern w:val="0"/>
          <w:sz w:val="21"/>
          <w:szCs w:val="21"/>
          <w:highlight w:val="none"/>
          <w:lang w:val="en-US" w:eastAsia="zh-CN"/>
        </w:rPr>
        <w:t xml:space="preserve">    评价范围内鸟类动物名录一览表</w:t>
      </w:r>
    </w:p>
    <w:tbl>
      <w:tblPr>
        <w:tblStyle w:val="33"/>
        <w:tblW w:w="4994"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010"/>
        <w:gridCol w:w="1141"/>
        <w:gridCol w:w="711"/>
        <w:gridCol w:w="730"/>
        <w:gridCol w:w="857"/>
        <w:gridCol w:w="1053"/>
        <w:gridCol w:w="728"/>
        <w:gridCol w:w="738"/>
        <w:gridCol w:w="701"/>
      </w:tblGrid>
      <w:tr w14:paraId="2B5314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blHeader/>
        </w:trPr>
        <w:tc>
          <w:tcPr>
            <w:tcW w:w="495" w:type="pct"/>
            <w:tcBorders>
              <w:tl2br w:val="nil"/>
              <w:tr2bl w:val="nil"/>
            </w:tcBorders>
            <w:noWrap w:val="0"/>
            <w:vAlign w:val="center"/>
          </w:tcPr>
          <w:p w14:paraId="7C2026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序号</w:t>
            </w:r>
          </w:p>
        </w:tc>
        <w:tc>
          <w:tcPr>
            <w:tcW w:w="593" w:type="pct"/>
            <w:tcBorders>
              <w:tl2br w:val="nil"/>
              <w:tr2bl w:val="nil"/>
            </w:tcBorders>
            <w:noWrap w:val="0"/>
            <w:vAlign w:val="center"/>
          </w:tcPr>
          <w:p w14:paraId="3D5BCBC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中文名</w:t>
            </w:r>
          </w:p>
        </w:tc>
        <w:tc>
          <w:tcPr>
            <w:tcW w:w="670" w:type="pct"/>
            <w:tcBorders>
              <w:tl2br w:val="nil"/>
              <w:tr2bl w:val="nil"/>
            </w:tcBorders>
            <w:noWrap w:val="0"/>
            <w:vAlign w:val="center"/>
          </w:tcPr>
          <w:p w14:paraId="5240880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拉丁名</w:t>
            </w:r>
          </w:p>
        </w:tc>
        <w:tc>
          <w:tcPr>
            <w:tcW w:w="417" w:type="pct"/>
            <w:tcBorders>
              <w:tl2br w:val="nil"/>
              <w:tr2bl w:val="nil"/>
            </w:tcBorders>
            <w:noWrap w:val="0"/>
            <w:vAlign w:val="center"/>
          </w:tcPr>
          <w:p w14:paraId="72FABE4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区系特征</w:t>
            </w:r>
          </w:p>
        </w:tc>
        <w:tc>
          <w:tcPr>
            <w:tcW w:w="428" w:type="pct"/>
            <w:tcBorders>
              <w:tl2br w:val="nil"/>
              <w:tr2bl w:val="nil"/>
            </w:tcBorders>
            <w:noWrap w:val="0"/>
            <w:vAlign w:val="center"/>
          </w:tcPr>
          <w:p w14:paraId="6A77C63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保护级别</w:t>
            </w:r>
          </w:p>
        </w:tc>
        <w:tc>
          <w:tcPr>
            <w:tcW w:w="503" w:type="pct"/>
            <w:tcBorders>
              <w:tl2br w:val="nil"/>
              <w:tr2bl w:val="nil"/>
            </w:tcBorders>
            <w:noWrap w:val="0"/>
            <w:vAlign w:val="center"/>
          </w:tcPr>
          <w:p w14:paraId="36F4A15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濒危等级/中国</w:t>
            </w:r>
          </w:p>
        </w:tc>
        <w:tc>
          <w:tcPr>
            <w:tcW w:w="618" w:type="pct"/>
            <w:tcBorders>
              <w:tl2br w:val="nil"/>
              <w:tr2bl w:val="nil"/>
            </w:tcBorders>
            <w:noWrap w:val="0"/>
            <w:vAlign w:val="center"/>
          </w:tcPr>
          <w:p w14:paraId="33D32D4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濒危等级/IUCN</w:t>
            </w:r>
          </w:p>
        </w:tc>
        <w:tc>
          <w:tcPr>
            <w:tcW w:w="427" w:type="pct"/>
            <w:tcBorders>
              <w:tl2br w:val="nil"/>
              <w:tr2bl w:val="nil"/>
            </w:tcBorders>
            <w:noWrap w:val="0"/>
            <w:vAlign w:val="center"/>
          </w:tcPr>
          <w:p w14:paraId="1D35E45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特有情况</w:t>
            </w:r>
          </w:p>
        </w:tc>
        <w:tc>
          <w:tcPr>
            <w:tcW w:w="433" w:type="pct"/>
            <w:tcBorders>
              <w:tl2br w:val="nil"/>
              <w:tr2bl w:val="nil"/>
            </w:tcBorders>
            <w:noWrap w:val="0"/>
            <w:vAlign w:val="center"/>
          </w:tcPr>
          <w:p w14:paraId="3014847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相对数量</w:t>
            </w:r>
          </w:p>
        </w:tc>
        <w:tc>
          <w:tcPr>
            <w:tcW w:w="411" w:type="pct"/>
            <w:tcBorders>
              <w:tl2br w:val="nil"/>
              <w:tr2bl w:val="nil"/>
            </w:tcBorders>
            <w:noWrap w:val="0"/>
            <w:vAlign w:val="center"/>
          </w:tcPr>
          <w:p w14:paraId="6745177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数量来源</w:t>
            </w:r>
          </w:p>
        </w:tc>
      </w:tr>
      <w:tr w14:paraId="1F6E59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55B6E68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一</w:t>
            </w:r>
          </w:p>
        </w:tc>
        <w:tc>
          <w:tcPr>
            <w:tcW w:w="593" w:type="pct"/>
            <w:tcBorders>
              <w:tl2br w:val="nil"/>
              <w:tr2bl w:val="nil"/>
            </w:tcBorders>
            <w:noWrap w:val="0"/>
            <w:vAlign w:val="center"/>
          </w:tcPr>
          <w:p w14:paraId="490B49B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鸮形目</w:t>
            </w:r>
          </w:p>
        </w:tc>
        <w:tc>
          <w:tcPr>
            <w:tcW w:w="670" w:type="pct"/>
            <w:tcBorders>
              <w:tl2br w:val="nil"/>
              <w:tr2bl w:val="nil"/>
            </w:tcBorders>
            <w:noWrap w:val="0"/>
            <w:vAlign w:val="center"/>
          </w:tcPr>
          <w:p w14:paraId="78EC9EC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64AC4C6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28" w:type="pct"/>
            <w:tcBorders>
              <w:tl2br w:val="nil"/>
              <w:tr2bl w:val="nil"/>
            </w:tcBorders>
            <w:noWrap w:val="0"/>
            <w:vAlign w:val="center"/>
          </w:tcPr>
          <w:p w14:paraId="3066352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503" w:type="pct"/>
            <w:tcBorders>
              <w:tl2br w:val="nil"/>
              <w:tr2bl w:val="nil"/>
            </w:tcBorders>
            <w:noWrap w:val="0"/>
            <w:vAlign w:val="center"/>
          </w:tcPr>
          <w:p w14:paraId="74082D8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18" w:type="pct"/>
            <w:tcBorders>
              <w:tl2br w:val="nil"/>
              <w:tr2bl w:val="nil"/>
            </w:tcBorders>
            <w:noWrap w:val="0"/>
            <w:vAlign w:val="center"/>
          </w:tcPr>
          <w:p w14:paraId="6C9C3E7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27" w:type="pct"/>
            <w:tcBorders>
              <w:tl2br w:val="nil"/>
              <w:tr2bl w:val="nil"/>
            </w:tcBorders>
            <w:noWrap w:val="0"/>
            <w:vAlign w:val="center"/>
          </w:tcPr>
          <w:p w14:paraId="07ED4B2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2661E4F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6D90F3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6BA1A0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02B46E9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（一）</w:t>
            </w:r>
          </w:p>
        </w:tc>
        <w:tc>
          <w:tcPr>
            <w:tcW w:w="593" w:type="pct"/>
            <w:tcBorders>
              <w:tl2br w:val="nil"/>
              <w:tr2bl w:val="nil"/>
            </w:tcBorders>
            <w:noWrap w:val="0"/>
            <w:vAlign w:val="center"/>
          </w:tcPr>
          <w:p w14:paraId="117D4E5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鸱鸮科</w:t>
            </w:r>
          </w:p>
        </w:tc>
        <w:tc>
          <w:tcPr>
            <w:tcW w:w="670" w:type="pct"/>
            <w:tcBorders>
              <w:tl2br w:val="nil"/>
              <w:tr2bl w:val="nil"/>
            </w:tcBorders>
            <w:noWrap w:val="0"/>
            <w:vAlign w:val="center"/>
          </w:tcPr>
          <w:p w14:paraId="7B0A5F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61DC1B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28" w:type="pct"/>
            <w:tcBorders>
              <w:tl2br w:val="nil"/>
              <w:tr2bl w:val="nil"/>
            </w:tcBorders>
            <w:noWrap w:val="0"/>
            <w:vAlign w:val="center"/>
          </w:tcPr>
          <w:p w14:paraId="7234F9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503" w:type="pct"/>
            <w:tcBorders>
              <w:tl2br w:val="nil"/>
              <w:tr2bl w:val="nil"/>
            </w:tcBorders>
            <w:noWrap w:val="0"/>
            <w:vAlign w:val="center"/>
          </w:tcPr>
          <w:p w14:paraId="43937E8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18" w:type="pct"/>
            <w:tcBorders>
              <w:tl2br w:val="nil"/>
              <w:tr2bl w:val="nil"/>
            </w:tcBorders>
            <w:noWrap w:val="0"/>
            <w:vAlign w:val="center"/>
          </w:tcPr>
          <w:p w14:paraId="705635E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27" w:type="pct"/>
            <w:tcBorders>
              <w:tl2br w:val="nil"/>
              <w:tr2bl w:val="nil"/>
            </w:tcBorders>
            <w:noWrap w:val="0"/>
            <w:vAlign w:val="center"/>
          </w:tcPr>
          <w:p w14:paraId="7190951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69DA44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78452B7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2347B5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6DD171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93" w:type="pct"/>
            <w:tcBorders>
              <w:tl2br w:val="nil"/>
              <w:tr2bl w:val="nil"/>
            </w:tcBorders>
            <w:noWrap w:val="0"/>
            <w:vAlign w:val="center"/>
          </w:tcPr>
          <w:p w14:paraId="393CFBA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长耳鸮</w:t>
            </w:r>
          </w:p>
        </w:tc>
        <w:tc>
          <w:tcPr>
            <w:tcW w:w="670" w:type="pct"/>
            <w:tcBorders>
              <w:tl2br w:val="nil"/>
              <w:tr2bl w:val="nil"/>
            </w:tcBorders>
            <w:noWrap w:val="0"/>
            <w:vAlign w:val="center"/>
          </w:tcPr>
          <w:p w14:paraId="61458C4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Asio otus</w:t>
            </w:r>
          </w:p>
        </w:tc>
        <w:tc>
          <w:tcPr>
            <w:tcW w:w="417" w:type="pct"/>
            <w:tcBorders>
              <w:tl2br w:val="nil"/>
              <w:tr2bl w:val="nil"/>
            </w:tcBorders>
            <w:noWrap w:val="0"/>
            <w:vAlign w:val="center"/>
          </w:tcPr>
          <w:p w14:paraId="6735E01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428" w:type="pct"/>
            <w:tcBorders>
              <w:tl2br w:val="nil"/>
              <w:tr2bl w:val="nil"/>
            </w:tcBorders>
            <w:noWrap w:val="0"/>
            <w:vAlign w:val="center"/>
          </w:tcPr>
          <w:p w14:paraId="4935A47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II</w:t>
            </w:r>
          </w:p>
        </w:tc>
        <w:tc>
          <w:tcPr>
            <w:tcW w:w="503" w:type="pct"/>
            <w:tcBorders>
              <w:tl2br w:val="nil"/>
              <w:tr2bl w:val="nil"/>
            </w:tcBorders>
            <w:noWrap w:val="0"/>
            <w:vAlign w:val="center"/>
          </w:tcPr>
          <w:p w14:paraId="6A65FD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461688A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0D64F8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32F82B1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777BF34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4040B6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72BFFAC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二</w:t>
            </w:r>
          </w:p>
        </w:tc>
        <w:tc>
          <w:tcPr>
            <w:tcW w:w="593" w:type="pct"/>
            <w:tcBorders>
              <w:tl2br w:val="nil"/>
              <w:tr2bl w:val="nil"/>
            </w:tcBorders>
            <w:noWrap w:val="0"/>
            <w:vAlign w:val="center"/>
          </w:tcPr>
          <w:p w14:paraId="6762A9E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雀形目</w:t>
            </w:r>
          </w:p>
        </w:tc>
        <w:tc>
          <w:tcPr>
            <w:tcW w:w="670" w:type="pct"/>
            <w:tcBorders>
              <w:tl2br w:val="nil"/>
              <w:tr2bl w:val="nil"/>
            </w:tcBorders>
            <w:noWrap w:val="0"/>
            <w:vAlign w:val="center"/>
          </w:tcPr>
          <w:p w14:paraId="7FBCD6C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0FEB281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28" w:type="pct"/>
            <w:tcBorders>
              <w:tl2br w:val="nil"/>
              <w:tr2bl w:val="nil"/>
            </w:tcBorders>
            <w:noWrap w:val="0"/>
            <w:vAlign w:val="center"/>
          </w:tcPr>
          <w:p w14:paraId="53C343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503" w:type="pct"/>
            <w:tcBorders>
              <w:tl2br w:val="nil"/>
              <w:tr2bl w:val="nil"/>
            </w:tcBorders>
            <w:noWrap w:val="0"/>
            <w:vAlign w:val="center"/>
          </w:tcPr>
          <w:p w14:paraId="13FE62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7D570B5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3339936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5D0060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36359A1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18896B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4F60396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（一）</w:t>
            </w:r>
          </w:p>
        </w:tc>
        <w:tc>
          <w:tcPr>
            <w:tcW w:w="593" w:type="pct"/>
            <w:tcBorders>
              <w:tl2br w:val="nil"/>
              <w:tr2bl w:val="nil"/>
            </w:tcBorders>
            <w:noWrap w:val="0"/>
            <w:vAlign w:val="center"/>
          </w:tcPr>
          <w:p w14:paraId="23845A3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百灵科</w:t>
            </w:r>
          </w:p>
        </w:tc>
        <w:tc>
          <w:tcPr>
            <w:tcW w:w="670" w:type="pct"/>
            <w:tcBorders>
              <w:tl2br w:val="nil"/>
              <w:tr2bl w:val="nil"/>
            </w:tcBorders>
            <w:noWrap w:val="0"/>
            <w:vAlign w:val="center"/>
          </w:tcPr>
          <w:p w14:paraId="0487B9A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465F342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8" w:type="pct"/>
            <w:tcBorders>
              <w:tl2br w:val="nil"/>
              <w:tr2bl w:val="nil"/>
            </w:tcBorders>
            <w:noWrap w:val="0"/>
            <w:vAlign w:val="center"/>
          </w:tcPr>
          <w:p w14:paraId="58681C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503" w:type="pct"/>
            <w:tcBorders>
              <w:tl2br w:val="nil"/>
              <w:tr2bl w:val="nil"/>
            </w:tcBorders>
            <w:noWrap w:val="0"/>
            <w:vAlign w:val="center"/>
          </w:tcPr>
          <w:p w14:paraId="569C83C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3118BA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1C8175A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33" w:type="pct"/>
            <w:tcBorders>
              <w:tl2br w:val="nil"/>
              <w:tr2bl w:val="nil"/>
            </w:tcBorders>
            <w:noWrap w:val="0"/>
            <w:vAlign w:val="center"/>
          </w:tcPr>
          <w:p w14:paraId="4132483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11" w:type="pct"/>
            <w:tcBorders>
              <w:tl2br w:val="nil"/>
              <w:tr2bl w:val="nil"/>
            </w:tcBorders>
            <w:noWrap w:val="0"/>
            <w:vAlign w:val="center"/>
          </w:tcPr>
          <w:p w14:paraId="19203E4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r>
      <w:tr w14:paraId="3FD5DB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95" w:type="pct"/>
            <w:tcBorders>
              <w:tl2br w:val="nil"/>
              <w:tr2bl w:val="nil"/>
            </w:tcBorders>
            <w:noWrap w:val="0"/>
            <w:vAlign w:val="center"/>
          </w:tcPr>
          <w:p w14:paraId="3495F87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93" w:type="pct"/>
            <w:tcBorders>
              <w:tl2br w:val="nil"/>
              <w:tr2bl w:val="nil"/>
            </w:tcBorders>
            <w:noWrap w:val="0"/>
            <w:vAlign w:val="center"/>
          </w:tcPr>
          <w:p w14:paraId="3CEC4CF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凤头百灵（新疆亚种）</w:t>
            </w:r>
          </w:p>
        </w:tc>
        <w:tc>
          <w:tcPr>
            <w:tcW w:w="670" w:type="pct"/>
            <w:tcBorders>
              <w:tl2br w:val="nil"/>
              <w:tr2bl w:val="nil"/>
            </w:tcBorders>
            <w:noWrap w:val="0"/>
            <w:vAlign w:val="center"/>
          </w:tcPr>
          <w:p w14:paraId="62A5751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Galerida cristata magna</w:t>
            </w:r>
          </w:p>
        </w:tc>
        <w:tc>
          <w:tcPr>
            <w:tcW w:w="417" w:type="pct"/>
            <w:tcBorders>
              <w:tl2br w:val="nil"/>
              <w:tr2bl w:val="nil"/>
            </w:tcBorders>
            <w:noWrap w:val="0"/>
            <w:vAlign w:val="center"/>
          </w:tcPr>
          <w:p w14:paraId="68CAAE8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428" w:type="pct"/>
            <w:tcBorders>
              <w:tl2br w:val="nil"/>
              <w:tr2bl w:val="nil"/>
            </w:tcBorders>
            <w:noWrap w:val="0"/>
            <w:vAlign w:val="center"/>
          </w:tcPr>
          <w:p w14:paraId="3E50F97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03" w:type="pct"/>
            <w:tcBorders>
              <w:tl2br w:val="nil"/>
              <w:tr2bl w:val="nil"/>
            </w:tcBorders>
            <w:noWrap w:val="0"/>
            <w:vAlign w:val="center"/>
          </w:tcPr>
          <w:p w14:paraId="55995AB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589975A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7A457A9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5CBF2CA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59BF413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56D78A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44DF52D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2</w:t>
            </w:r>
          </w:p>
        </w:tc>
        <w:tc>
          <w:tcPr>
            <w:tcW w:w="593" w:type="pct"/>
            <w:tcBorders>
              <w:tl2br w:val="nil"/>
              <w:tr2bl w:val="nil"/>
            </w:tcBorders>
            <w:noWrap w:val="0"/>
            <w:vAlign w:val="center"/>
          </w:tcPr>
          <w:p w14:paraId="2078313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小沙百灵</w:t>
            </w:r>
          </w:p>
        </w:tc>
        <w:tc>
          <w:tcPr>
            <w:tcW w:w="670" w:type="pct"/>
            <w:tcBorders>
              <w:tl2br w:val="nil"/>
              <w:tr2bl w:val="nil"/>
            </w:tcBorders>
            <w:noWrap w:val="0"/>
            <w:vAlign w:val="center"/>
          </w:tcPr>
          <w:p w14:paraId="6ACA31D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Alaudala rufescens</w:t>
            </w:r>
          </w:p>
        </w:tc>
        <w:tc>
          <w:tcPr>
            <w:tcW w:w="417" w:type="pct"/>
            <w:tcBorders>
              <w:tl2br w:val="nil"/>
              <w:tr2bl w:val="nil"/>
            </w:tcBorders>
            <w:noWrap w:val="0"/>
            <w:vAlign w:val="center"/>
          </w:tcPr>
          <w:p w14:paraId="0ED8DED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428" w:type="pct"/>
            <w:tcBorders>
              <w:tl2br w:val="nil"/>
              <w:tr2bl w:val="nil"/>
            </w:tcBorders>
            <w:noWrap w:val="0"/>
            <w:vAlign w:val="center"/>
          </w:tcPr>
          <w:p w14:paraId="2F3A002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03" w:type="pct"/>
            <w:tcBorders>
              <w:tl2br w:val="nil"/>
              <w:tr2bl w:val="nil"/>
            </w:tcBorders>
            <w:noWrap w:val="0"/>
            <w:vAlign w:val="center"/>
          </w:tcPr>
          <w:p w14:paraId="78A735B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50D1B34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610018F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3AC30EA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3A45C8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15D05E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739D0DA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（二）</w:t>
            </w:r>
          </w:p>
        </w:tc>
        <w:tc>
          <w:tcPr>
            <w:tcW w:w="593" w:type="pct"/>
            <w:tcBorders>
              <w:tl2br w:val="nil"/>
              <w:tr2bl w:val="nil"/>
            </w:tcBorders>
            <w:noWrap w:val="0"/>
            <w:vAlign w:val="center"/>
          </w:tcPr>
          <w:p w14:paraId="2716E0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燕科</w:t>
            </w:r>
          </w:p>
        </w:tc>
        <w:tc>
          <w:tcPr>
            <w:tcW w:w="670" w:type="pct"/>
            <w:tcBorders>
              <w:tl2br w:val="nil"/>
              <w:tr2bl w:val="nil"/>
            </w:tcBorders>
            <w:noWrap w:val="0"/>
            <w:vAlign w:val="center"/>
          </w:tcPr>
          <w:p w14:paraId="3DD8AC6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28EF3CF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8" w:type="pct"/>
            <w:tcBorders>
              <w:tl2br w:val="nil"/>
              <w:tr2bl w:val="nil"/>
            </w:tcBorders>
            <w:noWrap w:val="0"/>
            <w:vAlign w:val="center"/>
          </w:tcPr>
          <w:p w14:paraId="7A4238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503" w:type="pct"/>
            <w:tcBorders>
              <w:tl2br w:val="nil"/>
              <w:tr2bl w:val="nil"/>
            </w:tcBorders>
            <w:noWrap w:val="0"/>
            <w:vAlign w:val="center"/>
          </w:tcPr>
          <w:p w14:paraId="334E892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40598BC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42784B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33" w:type="pct"/>
            <w:tcBorders>
              <w:tl2br w:val="nil"/>
              <w:tr2bl w:val="nil"/>
            </w:tcBorders>
            <w:noWrap w:val="0"/>
            <w:vAlign w:val="center"/>
          </w:tcPr>
          <w:p w14:paraId="1E69B80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11" w:type="pct"/>
            <w:tcBorders>
              <w:tl2br w:val="nil"/>
              <w:tr2bl w:val="nil"/>
            </w:tcBorders>
            <w:noWrap w:val="0"/>
            <w:vAlign w:val="center"/>
          </w:tcPr>
          <w:p w14:paraId="264DB06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r>
      <w:tr w14:paraId="101BA2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592E896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93" w:type="pct"/>
            <w:tcBorders>
              <w:tl2br w:val="nil"/>
              <w:tr2bl w:val="nil"/>
            </w:tcBorders>
            <w:noWrap w:val="0"/>
            <w:vAlign w:val="center"/>
          </w:tcPr>
          <w:p w14:paraId="482BC13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家燕（指名亚种）</w:t>
            </w:r>
          </w:p>
        </w:tc>
        <w:tc>
          <w:tcPr>
            <w:tcW w:w="670" w:type="pct"/>
            <w:tcBorders>
              <w:tl2br w:val="nil"/>
              <w:tr2bl w:val="nil"/>
            </w:tcBorders>
            <w:noWrap w:val="0"/>
            <w:vAlign w:val="center"/>
          </w:tcPr>
          <w:p w14:paraId="3606AE3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Hirundo rustica rustica</w:t>
            </w:r>
          </w:p>
        </w:tc>
        <w:tc>
          <w:tcPr>
            <w:tcW w:w="417" w:type="pct"/>
            <w:tcBorders>
              <w:tl2br w:val="nil"/>
              <w:tr2bl w:val="nil"/>
            </w:tcBorders>
            <w:noWrap w:val="0"/>
            <w:vAlign w:val="center"/>
          </w:tcPr>
          <w:p w14:paraId="7FF4181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428" w:type="pct"/>
            <w:tcBorders>
              <w:tl2br w:val="nil"/>
              <w:tr2bl w:val="nil"/>
            </w:tcBorders>
            <w:noWrap w:val="0"/>
            <w:vAlign w:val="center"/>
          </w:tcPr>
          <w:p w14:paraId="4EC37F6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03" w:type="pct"/>
            <w:tcBorders>
              <w:tl2br w:val="nil"/>
              <w:tr2bl w:val="nil"/>
            </w:tcBorders>
            <w:noWrap w:val="0"/>
            <w:vAlign w:val="center"/>
          </w:tcPr>
          <w:p w14:paraId="67B20C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331DCEF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11FC17D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5677A10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49D0FC6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调查</w:t>
            </w:r>
          </w:p>
        </w:tc>
      </w:tr>
      <w:tr w14:paraId="176F29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54F4A9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（三）</w:t>
            </w:r>
          </w:p>
        </w:tc>
        <w:tc>
          <w:tcPr>
            <w:tcW w:w="593" w:type="pct"/>
            <w:tcBorders>
              <w:tl2br w:val="nil"/>
              <w:tr2bl w:val="nil"/>
            </w:tcBorders>
            <w:noWrap w:val="0"/>
            <w:vAlign w:val="center"/>
          </w:tcPr>
          <w:p w14:paraId="7387DFC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伯劳科</w:t>
            </w:r>
          </w:p>
        </w:tc>
        <w:tc>
          <w:tcPr>
            <w:tcW w:w="670" w:type="pct"/>
            <w:tcBorders>
              <w:tl2br w:val="nil"/>
              <w:tr2bl w:val="nil"/>
            </w:tcBorders>
            <w:noWrap w:val="0"/>
            <w:vAlign w:val="center"/>
          </w:tcPr>
          <w:p w14:paraId="0CB07A0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4A4D267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8" w:type="pct"/>
            <w:tcBorders>
              <w:tl2br w:val="nil"/>
              <w:tr2bl w:val="nil"/>
            </w:tcBorders>
            <w:noWrap w:val="0"/>
            <w:vAlign w:val="center"/>
          </w:tcPr>
          <w:p w14:paraId="30587A3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503" w:type="pct"/>
            <w:tcBorders>
              <w:tl2br w:val="nil"/>
              <w:tr2bl w:val="nil"/>
            </w:tcBorders>
            <w:noWrap w:val="0"/>
            <w:vAlign w:val="center"/>
          </w:tcPr>
          <w:p w14:paraId="2D3F194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49B05DB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5B518F0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33" w:type="pct"/>
            <w:tcBorders>
              <w:tl2br w:val="nil"/>
              <w:tr2bl w:val="nil"/>
            </w:tcBorders>
            <w:noWrap w:val="0"/>
            <w:vAlign w:val="center"/>
          </w:tcPr>
          <w:p w14:paraId="1D6D5C2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11" w:type="pct"/>
            <w:tcBorders>
              <w:tl2br w:val="nil"/>
              <w:tr2bl w:val="nil"/>
            </w:tcBorders>
            <w:noWrap w:val="0"/>
            <w:vAlign w:val="center"/>
          </w:tcPr>
          <w:p w14:paraId="309BCEF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r>
      <w:tr w14:paraId="44C02E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15502F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93" w:type="pct"/>
            <w:tcBorders>
              <w:tl2br w:val="nil"/>
              <w:tr2bl w:val="nil"/>
            </w:tcBorders>
            <w:noWrap w:val="0"/>
            <w:vAlign w:val="center"/>
          </w:tcPr>
          <w:p w14:paraId="37C3BE1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红尾伯劳（北疆亚种）</w:t>
            </w:r>
          </w:p>
        </w:tc>
        <w:tc>
          <w:tcPr>
            <w:tcW w:w="670" w:type="pct"/>
            <w:tcBorders>
              <w:tl2br w:val="nil"/>
              <w:tr2bl w:val="nil"/>
            </w:tcBorders>
            <w:noWrap w:val="0"/>
            <w:vAlign w:val="center"/>
          </w:tcPr>
          <w:p w14:paraId="59BA8BA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Laniun cristatus phoenicuroides</w:t>
            </w:r>
          </w:p>
        </w:tc>
        <w:tc>
          <w:tcPr>
            <w:tcW w:w="417" w:type="pct"/>
            <w:tcBorders>
              <w:tl2br w:val="nil"/>
              <w:tr2bl w:val="nil"/>
            </w:tcBorders>
            <w:noWrap w:val="0"/>
            <w:vAlign w:val="center"/>
          </w:tcPr>
          <w:p w14:paraId="0CCB1FF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428" w:type="pct"/>
            <w:tcBorders>
              <w:tl2br w:val="nil"/>
              <w:tr2bl w:val="nil"/>
            </w:tcBorders>
            <w:noWrap w:val="0"/>
            <w:vAlign w:val="center"/>
          </w:tcPr>
          <w:p w14:paraId="7FF5B24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03" w:type="pct"/>
            <w:tcBorders>
              <w:tl2br w:val="nil"/>
              <w:tr2bl w:val="nil"/>
            </w:tcBorders>
            <w:noWrap w:val="0"/>
            <w:vAlign w:val="center"/>
          </w:tcPr>
          <w:p w14:paraId="3EB2CE6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688D439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2062677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606D778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60B58A8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7F846E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300E6B4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（四）</w:t>
            </w:r>
          </w:p>
        </w:tc>
        <w:tc>
          <w:tcPr>
            <w:tcW w:w="593" w:type="pct"/>
            <w:tcBorders>
              <w:tl2br w:val="nil"/>
              <w:tr2bl w:val="nil"/>
            </w:tcBorders>
            <w:noWrap w:val="0"/>
            <w:vAlign w:val="center"/>
          </w:tcPr>
          <w:p w14:paraId="0E7133A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文鸟科</w:t>
            </w:r>
          </w:p>
        </w:tc>
        <w:tc>
          <w:tcPr>
            <w:tcW w:w="670" w:type="pct"/>
            <w:tcBorders>
              <w:tl2br w:val="nil"/>
              <w:tr2bl w:val="nil"/>
            </w:tcBorders>
            <w:noWrap w:val="0"/>
            <w:vAlign w:val="center"/>
          </w:tcPr>
          <w:p w14:paraId="6D76FF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6DFBD85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8" w:type="pct"/>
            <w:tcBorders>
              <w:tl2br w:val="nil"/>
              <w:tr2bl w:val="nil"/>
            </w:tcBorders>
            <w:noWrap w:val="0"/>
            <w:vAlign w:val="center"/>
          </w:tcPr>
          <w:p w14:paraId="61396D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503" w:type="pct"/>
            <w:tcBorders>
              <w:tl2br w:val="nil"/>
              <w:tr2bl w:val="nil"/>
            </w:tcBorders>
            <w:noWrap w:val="0"/>
            <w:vAlign w:val="center"/>
          </w:tcPr>
          <w:p w14:paraId="23709FD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21BB5B6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4D84A04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33" w:type="pct"/>
            <w:tcBorders>
              <w:tl2br w:val="nil"/>
              <w:tr2bl w:val="nil"/>
            </w:tcBorders>
            <w:noWrap w:val="0"/>
            <w:vAlign w:val="center"/>
          </w:tcPr>
          <w:p w14:paraId="6A9B86B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11" w:type="pct"/>
            <w:tcBorders>
              <w:tl2br w:val="nil"/>
              <w:tr2bl w:val="nil"/>
            </w:tcBorders>
            <w:noWrap w:val="0"/>
            <w:vAlign w:val="center"/>
          </w:tcPr>
          <w:p w14:paraId="6B4DB2A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r>
      <w:tr w14:paraId="46995C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4A47DCC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93" w:type="pct"/>
            <w:tcBorders>
              <w:tl2br w:val="nil"/>
              <w:tr2bl w:val="nil"/>
            </w:tcBorders>
            <w:noWrap w:val="0"/>
            <w:vAlign w:val="center"/>
          </w:tcPr>
          <w:p w14:paraId="70739DC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家麻雀（新疆亚种）</w:t>
            </w:r>
          </w:p>
        </w:tc>
        <w:tc>
          <w:tcPr>
            <w:tcW w:w="670" w:type="pct"/>
            <w:tcBorders>
              <w:tl2br w:val="nil"/>
              <w:tr2bl w:val="nil"/>
            </w:tcBorders>
            <w:noWrap w:val="0"/>
            <w:vAlign w:val="center"/>
          </w:tcPr>
          <w:p w14:paraId="446568E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Passer domesticus bactrianus</w:t>
            </w:r>
          </w:p>
        </w:tc>
        <w:tc>
          <w:tcPr>
            <w:tcW w:w="417" w:type="pct"/>
            <w:tcBorders>
              <w:tl2br w:val="nil"/>
              <w:tr2bl w:val="nil"/>
            </w:tcBorders>
            <w:noWrap w:val="0"/>
            <w:vAlign w:val="center"/>
          </w:tcPr>
          <w:p w14:paraId="3684AC5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428" w:type="pct"/>
            <w:tcBorders>
              <w:tl2br w:val="nil"/>
              <w:tr2bl w:val="nil"/>
            </w:tcBorders>
            <w:noWrap w:val="0"/>
            <w:vAlign w:val="center"/>
          </w:tcPr>
          <w:p w14:paraId="11F898C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03" w:type="pct"/>
            <w:tcBorders>
              <w:tl2br w:val="nil"/>
              <w:tr2bl w:val="nil"/>
            </w:tcBorders>
            <w:noWrap w:val="0"/>
            <w:vAlign w:val="center"/>
          </w:tcPr>
          <w:p w14:paraId="09A5955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12392E5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470F1BA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05EA6FA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2C94F43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调查</w:t>
            </w:r>
          </w:p>
        </w:tc>
      </w:tr>
      <w:tr w14:paraId="52BD1F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57F9F9E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（五）</w:t>
            </w:r>
          </w:p>
        </w:tc>
        <w:tc>
          <w:tcPr>
            <w:tcW w:w="593" w:type="pct"/>
            <w:tcBorders>
              <w:tl2br w:val="nil"/>
              <w:tr2bl w:val="nil"/>
            </w:tcBorders>
            <w:noWrap w:val="0"/>
            <w:vAlign w:val="center"/>
          </w:tcPr>
          <w:p w14:paraId="27CAF2F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鹡鸰科</w:t>
            </w:r>
          </w:p>
        </w:tc>
        <w:tc>
          <w:tcPr>
            <w:tcW w:w="670" w:type="pct"/>
            <w:tcBorders>
              <w:tl2br w:val="nil"/>
              <w:tr2bl w:val="nil"/>
            </w:tcBorders>
            <w:noWrap w:val="0"/>
            <w:vAlign w:val="center"/>
          </w:tcPr>
          <w:p w14:paraId="3A6D76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3B1A466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8" w:type="pct"/>
            <w:tcBorders>
              <w:tl2br w:val="nil"/>
              <w:tr2bl w:val="nil"/>
            </w:tcBorders>
            <w:noWrap w:val="0"/>
            <w:vAlign w:val="center"/>
          </w:tcPr>
          <w:p w14:paraId="6A9A531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503" w:type="pct"/>
            <w:tcBorders>
              <w:tl2br w:val="nil"/>
              <w:tr2bl w:val="nil"/>
            </w:tcBorders>
            <w:noWrap w:val="0"/>
            <w:vAlign w:val="center"/>
          </w:tcPr>
          <w:p w14:paraId="31F7798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64EF4DE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043C6C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33" w:type="pct"/>
            <w:tcBorders>
              <w:tl2br w:val="nil"/>
              <w:tr2bl w:val="nil"/>
            </w:tcBorders>
            <w:noWrap w:val="0"/>
            <w:vAlign w:val="center"/>
          </w:tcPr>
          <w:p w14:paraId="4CF76FE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11" w:type="pct"/>
            <w:tcBorders>
              <w:tl2br w:val="nil"/>
              <w:tr2bl w:val="nil"/>
            </w:tcBorders>
            <w:noWrap w:val="0"/>
            <w:vAlign w:val="center"/>
          </w:tcPr>
          <w:p w14:paraId="58D6471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r>
      <w:tr w14:paraId="0F21B0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1416606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93" w:type="pct"/>
            <w:tcBorders>
              <w:tl2br w:val="nil"/>
              <w:tr2bl w:val="nil"/>
            </w:tcBorders>
            <w:noWrap w:val="0"/>
            <w:vAlign w:val="center"/>
          </w:tcPr>
          <w:p w14:paraId="3D46067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灰鹡鸰</w:t>
            </w:r>
          </w:p>
        </w:tc>
        <w:tc>
          <w:tcPr>
            <w:tcW w:w="670" w:type="pct"/>
            <w:tcBorders>
              <w:tl2br w:val="nil"/>
              <w:tr2bl w:val="nil"/>
            </w:tcBorders>
            <w:noWrap w:val="0"/>
            <w:vAlign w:val="center"/>
          </w:tcPr>
          <w:p w14:paraId="6A1313C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Motacilla cinerea</w:t>
            </w:r>
          </w:p>
        </w:tc>
        <w:tc>
          <w:tcPr>
            <w:tcW w:w="417" w:type="pct"/>
            <w:tcBorders>
              <w:tl2br w:val="nil"/>
              <w:tr2bl w:val="nil"/>
            </w:tcBorders>
            <w:noWrap w:val="0"/>
            <w:vAlign w:val="center"/>
          </w:tcPr>
          <w:p w14:paraId="50426AD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428" w:type="pct"/>
            <w:tcBorders>
              <w:tl2br w:val="nil"/>
              <w:tr2bl w:val="nil"/>
            </w:tcBorders>
            <w:noWrap w:val="0"/>
            <w:vAlign w:val="center"/>
          </w:tcPr>
          <w:p w14:paraId="1D4AF3A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03" w:type="pct"/>
            <w:tcBorders>
              <w:tl2br w:val="nil"/>
              <w:tr2bl w:val="nil"/>
            </w:tcBorders>
            <w:noWrap w:val="0"/>
            <w:vAlign w:val="center"/>
          </w:tcPr>
          <w:p w14:paraId="59D9685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386A59D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2F955EE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04BE552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6583E9A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67F41F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6352AD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（六）</w:t>
            </w:r>
          </w:p>
        </w:tc>
        <w:tc>
          <w:tcPr>
            <w:tcW w:w="593" w:type="pct"/>
            <w:tcBorders>
              <w:tl2br w:val="nil"/>
              <w:tr2bl w:val="nil"/>
            </w:tcBorders>
            <w:noWrap w:val="0"/>
            <w:vAlign w:val="center"/>
          </w:tcPr>
          <w:p w14:paraId="4C3A41B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雀科</w:t>
            </w:r>
          </w:p>
        </w:tc>
        <w:tc>
          <w:tcPr>
            <w:tcW w:w="670" w:type="pct"/>
            <w:tcBorders>
              <w:tl2br w:val="nil"/>
              <w:tr2bl w:val="nil"/>
            </w:tcBorders>
            <w:noWrap w:val="0"/>
            <w:vAlign w:val="center"/>
          </w:tcPr>
          <w:p w14:paraId="5963B47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150067D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8" w:type="pct"/>
            <w:tcBorders>
              <w:tl2br w:val="nil"/>
              <w:tr2bl w:val="nil"/>
            </w:tcBorders>
            <w:noWrap w:val="0"/>
            <w:vAlign w:val="center"/>
          </w:tcPr>
          <w:p w14:paraId="54459B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503" w:type="pct"/>
            <w:tcBorders>
              <w:tl2br w:val="nil"/>
              <w:tr2bl w:val="nil"/>
            </w:tcBorders>
            <w:noWrap w:val="0"/>
            <w:vAlign w:val="center"/>
          </w:tcPr>
          <w:p w14:paraId="1FE74C3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1182DA6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6ADC60F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33" w:type="pct"/>
            <w:tcBorders>
              <w:tl2br w:val="nil"/>
              <w:tr2bl w:val="nil"/>
            </w:tcBorders>
            <w:noWrap w:val="0"/>
            <w:vAlign w:val="center"/>
          </w:tcPr>
          <w:p w14:paraId="700563B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11" w:type="pct"/>
            <w:tcBorders>
              <w:tl2br w:val="nil"/>
              <w:tr2bl w:val="nil"/>
            </w:tcBorders>
            <w:noWrap w:val="0"/>
            <w:vAlign w:val="center"/>
          </w:tcPr>
          <w:p w14:paraId="43BD371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r>
      <w:tr w14:paraId="764F3F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75F236D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93" w:type="pct"/>
            <w:tcBorders>
              <w:tl2br w:val="nil"/>
              <w:tr2bl w:val="nil"/>
            </w:tcBorders>
            <w:noWrap w:val="0"/>
            <w:vAlign w:val="center"/>
          </w:tcPr>
          <w:p w14:paraId="62B4378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树麻雀</w:t>
            </w:r>
          </w:p>
        </w:tc>
        <w:tc>
          <w:tcPr>
            <w:tcW w:w="670" w:type="pct"/>
            <w:tcBorders>
              <w:tl2br w:val="nil"/>
              <w:tr2bl w:val="nil"/>
            </w:tcBorders>
            <w:noWrap w:val="0"/>
            <w:vAlign w:val="center"/>
          </w:tcPr>
          <w:p w14:paraId="3FE2A0E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Passer montanus</w:t>
            </w:r>
          </w:p>
        </w:tc>
        <w:tc>
          <w:tcPr>
            <w:tcW w:w="417" w:type="pct"/>
            <w:tcBorders>
              <w:tl2br w:val="nil"/>
              <w:tr2bl w:val="nil"/>
            </w:tcBorders>
            <w:noWrap w:val="0"/>
            <w:vAlign w:val="center"/>
          </w:tcPr>
          <w:p w14:paraId="7CFC9E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428" w:type="pct"/>
            <w:tcBorders>
              <w:tl2br w:val="nil"/>
              <w:tr2bl w:val="nil"/>
            </w:tcBorders>
            <w:noWrap w:val="0"/>
            <w:vAlign w:val="center"/>
          </w:tcPr>
          <w:p w14:paraId="518A40C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03" w:type="pct"/>
            <w:tcBorders>
              <w:tl2br w:val="nil"/>
              <w:tr2bl w:val="nil"/>
            </w:tcBorders>
            <w:noWrap w:val="0"/>
            <w:vAlign w:val="center"/>
          </w:tcPr>
          <w:p w14:paraId="0F5317B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126CE75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560DDD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3D32088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6705AF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调查</w:t>
            </w:r>
          </w:p>
        </w:tc>
      </w:tr>
      <w:tr w14:paraId="1E50A9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7B12345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2</w:t>
            </w:r>
          </w:p>
        </w:tc>
        <w:tc>
          <w:tcPr>
            <w:tcW w:w="593" w:type="pct"/>
            <w:tcBorders>
              <w:tl2br w:val="nil"/>
              <w:tr2bl w:val="nil"/>
            </w:tcBorders>
            <w:noWrap w:val="0"/>
            <w:vAlign w:val="center"/>
          </w:tcPr>
          <w:p w14:paraId="0AE18040">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rPr>
              <w:t>麻雀</w:t>
            </w:r>
          </w:p>
        </w:tc>
        <w:tc>
          <w:tcPr>
            <w:tcW w:w="670" w:type="pct"/>
            <w:tcBorders>
              <w:tl2br w:val="nil"/>
              <w:tr2bl w:val="nil"/>
            </w:tcBorders>
            <w:noWrap w:val="0"/>
            <w:vAlign w:val="center"/>
          </w:tcPr>
          <w:p w14:paraId="764FFA16">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rPr>
              <w:t>Passer montanus</w:t>
            </w:r>
          </w:p>
        </w:tc>
        <w:tc>
          <w:tcPr>
            <w:tcW w:w="417" w:type="pct"/>
            <w:tcBorders>
              <w:tl2br w:val="nil"/>
              <w:tr2bl w:val="nil"/>
            </w:tcBorders>
            <w:noWrap w:val="0"/>
            <w:vAlign w:val="center"/>
          </w:tcPr>
          <w:p w14:paraId="6EE1383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8" w:type="pct"/>
            <w:tcBorders>
              <w:tl2br w:val="nil"/>
              <w:tr2bl w:val="nil"/>
            </w:tcBorders>
            <w:noWrap w:val="0"/>
            <w:vAlign w:val="center"/>
          </w:tcPr>
          <w:p w14:paraId="279A5B9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503" w:type="pct"/>
            <w:tcBorders>
              <w:tl2br w:val="nil"/>
              <w:tr2bl w:val="nil"/>
            </w:tcBorders>
            <w:noWrap w:val="0"/>
            <w:vAlign w:val="center"/>
          </w:tcPr>
          <w:p w14:paraId="7635DD5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18" w:type="pct"/>
            <w:tcBorders>
              <w:tl2br w:val="nil"/>
              <w:tr2bl w:val="nil"/>
            </w:tcBorders>
            <w:noWrap w:val="0"/>
            <w:vAlign w:val="center"/>
          </w:tcPr>
          <w:p w14:paraId="52BE5D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27" w:type="pct"/>
            <w:tcBorders>
              <w:tl2br w:val="nil"/>
              <w:tr2bl w:val="nil"/>
            </w:tcBorders>
            <w:noWrap w:val="0"/>
            <w:vAlign w:val="center"/>
          </w:tcPr>
          <w:p w14:paraId="6BEA060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495358B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78017D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661D4F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3F0D11E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三</w:t>
            </w:r>
          </w:p>
        </w:tc>
        <w:tc>
          <w:tcPr>
            <w:tcW w:w="593" w:type="pct"/>
            <w:tcBorders>
              <w:tl2br w:val="nil"/>
              <w:tr2bl w:val="nil"/>
            </w:tcBorders>
            <w:noWrap w:val="0"/>
            <w:vAlign w:val="center"/>
          </w:tcPr>
          <w:p w14:paraId="10BAC2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鹃形目</w:t>
            </w:r>
          </w:p>
        </w:tc>
        <w:tc>
          <w:tcPr>
            <w:tcW w:w="670" w:type="pct"/>
            <w:tcBorders>
              <w:tl2br w:val="nil"/>
              <w:tr2bl w:val="nil"/>
            </w:tcBorders>
            <w:noWrap w:val="0"/>
            <w:vAlign w:val="center"/>
          </w:tcPr>
          <w:p w14:paraId="2DF1687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60EDFB5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428" w:type="pct"/>
            <w:tcBorders>
              <w:tl2br w:val="nil"/>
              <w:tr2bl w:val="nil"/>
            </w:tcBorders>
            <w:noWrap w:val="0"/>
            <w:vAlign w:val="center"/>
          </w:tcPr>
          <w:p w14:paraId="7AA5B7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503" w:type="pct"/>
            <w:tcBorders>
              <w:tl2br w:val="nil"/>
              <w:tr2bl w:val="nil"/>
            </w:tcBorders>
            <w:noWrap w:val="0"/>
            <w:vAlign w:val="center"/>
          </w:tcPr>
          <w:p w14:paraId="6095CC4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61140E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301AF8D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3BB9B56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36E2285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51F819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3CC4410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（一）</w:t>
            </w:r>
          </w:p>
        </w:tc>
        <w:tc>
          <w:tcPr>
            <w:tcW w:w="593" w:type="pct"/>
            <w:tcBorders>
              <w:tl2br w:val="nil"/>
              <w:tr2bl w:val="nil"/>
            </w:tcBorders>
            <w:noWrap w:val="0"/>
            <w:vAlign w:val="center"/>
          </w:tcPr>
          <w:p w14:paraId="24334CD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杜鹃科</w:t>
            </w:r>
          </w:p>
        </w:tc>
        <w:tc>
          <w:tcPr>
            <w:tcW w:w="670" w:type="pct"/>
            <w:tcBorders>
              <w:tl2br w:val="nil"/>
              <w:tr2bl w:val="nil"/>
            </w:tcBorders>
            <w:noWrap w:val="0"/>
            <w:vAlign w:val="center"/>
          </w:tcPr>
          <w:p w14:paraId="5AEEEF0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32742AE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428" w:type="pct"/>
            <w:tcBorders>
              <w:tl2br w:val="nil"/>
              <w:tr2bl w:val="nil"/>
            </w:tcBorders>
            <w:noWrap w:val="0"/>
            <w:vAlign w:val="center"/>
          </w:tcPr>
          <w:p w14:paraId="7162ED7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503" w:type="pct"/>
            <w:tcBorders>
              <w:tl2br w:val="nil"/>
              <w:tr2bl w:val="nil"/>
            </w:tcBorders>
            <w:noWrap w:val="0"/>
            <w:vAlign w:val="center"/>
          </w:tcPr>
          <w:p w14:paraId="7923D1A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0CEC571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3D3393C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769395F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2C491F8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004EA6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041E4FA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93" w:type="pct"/>
            <w:tcBorders>
              <w:tl2br w:val="nil"/>
              <w:tr2bl w:val="nil"/>
            </w:tcBorders>
            <w:noWrap w:val="0"/>
            <w:vAlign w:val="center"/>
          </w:tcPr>
          <w:p w14:paraId="0CF3051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大杜鹃</w:t>
            </w:r>
          </w:p>
        </w:tc>
        <w:tc>
          <w:tcPr>
            <w:tcW w:w="670" w:type="pct"/>
            <w:tcBorders>
              <w:tl2br w:val="nil"/>
              <w:tr2bl w:val="nil"/>
            </w:tcBorders>
            <w:noWrap w:val="0"/>
            <w:vAlign w:val="center"/>
          </w:tcPr>
          <w:p w14:paraId="5721CDF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Cuculus canorus</w:t>
            </w:r>
          </w:p>
        </w:tc>
        <w:tc>
          <w:tcPr>
            <w:tcW w:w="417" w:type="pct"/>
            <w:tcBorders>
              <w:tl2br w:val="nil"/>
              <w:tr2bl w:val="nil"/>
            </w:tcBorders>
            <w:noWrap w:val="0"/>
            <w:vAlign w:val="center"/>
          </w:tcPr>
          <w:p w14:paraId="69F1F18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428" w:type="pct"/>
            <w:tcBorders>
              <w:tl2br w:val="nil"/>
              <w:tr2bl w:val="nil"/>
            </w:tcBorders>
            <w:noWrap w:val="0"/>
            <w:vAlign w:val="center"/>
          </w:tcPr>
          <w:p w14:paraId="722B7CA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03" w:type="pct"/>
            <w:tcBorders>
              <w:tl2br w:val="nil"/>
              <w:tr2bl w:val="nil"/>
            </w:tcBorders>
            <w:noWrap w:val="0"/>
            <w:vAlign w:val="center"/>
          </w:tcPr>
          <w:p w14:paraId="0CF1783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337973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464D370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67635A3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11922F6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628C25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1F146D4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四</w:t>
            </w:r>
          </w:p>
        </w:tc>
        <w:tc>
          <w:tcPr>
            <w:tcW w:w="593" w:type="pct"/>
            <w:tcBorders>
              <w:tl2br w:val="nil"/>
              <w:tr2bl w:val="nil"/>
            </w:tcBorders>
            <w:noWrap w:val="0"/>
            <w:vAlign w:val="center"/>
          </w:tcPr>
          <w:p w14:paraId="19DC44F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鹰形目</w:t>
            </w:r>
          </w:p>
        </w:tc>
        <w:tc>
          <w:tcPr>
            <w:tcW w:w="670" w:type="pct"/>
            <w:tcBorders>
              <w:tl2br w:val="nil"/>
              <w:tr2bl w:val="nil"/>
            </w:tcBorders>
            <w:noWrap w:val="0"/>
            <w:vAlign w:val="center"/>
          </w:tcPr>
          <w:p w14:paraId="0ABA04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0C0316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428" w:type="pct"/>
            <w:tcBorders>
              <w:tl2br w:val="nil"/>
              <w:tr2bl w:val="nil"/>
            </w:tcBorders>
            <w:noWrap w:val="0"/>
            <w:vAlign w:val="center"/>
          </w:tcPr>
          <w:p w14:paraId="705C929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503" w:type="pct"/>
            <w:tcBorders>
              <w:tl2br w:val="nil"/>
              <w:tr2bl w:val="nil"/>
            </w:tcBorders>
            <w:noWrap w:val="0"/>
            <w:vAlign w:val="center"/>
          </w:tcPr>
          <w:p w14:paraId="7921448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225ECB8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3AC010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6C9D987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0F23BB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6CE6FE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37FB570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（一）</w:t>
            </w:r>
          </w:p>
        </w:tc>
        <w:tc>
          <w:tcPr>
            <w:tcW w:w="593" w:type="pct"/>
            <w:tcBorders>
              <w:tl2br w:val="nil"/>
              <w:tr2bl w:val="nil"/>
            </w:tcBorders>
            <w:noWrap w:val="0"/>
            <w:vAlign w:val="center"/>
          </w:tcPr>
          <w:p w14:paraId="45E6A4B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鹰科</w:t>
            </w:r>
          </w:p>
        </w:tc>
        <w:tc>
          <w:tcPr>
            <w:tcW w:w="670" w:type="pct"/>
            <w:tcBorders>
              <w:tl2br w:val="nil"/>
              <w:tr2bl w:val="nil"/>
            </w:tcBorders>
            <w:noWrap w:val="0"/>
            <w:vAlign w:val="center"/>
          </w:tcPr>
          <w:p w14:paraId="0F2F44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417" w:type="pct"/>
            <w:tcBorders>
              <w:tl2br w:val="nil"/>
              <w:tr2bl w:val="nil"/>
            </w:tcBorders>
            <w:noWrap w:val="0"/>
            <w:vAlign w:val="center"/>
          </w:tcPr>
          <w:p w14:paraId="7EA554A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428" w:type="pct"/>
            <w:tcBorders>
              <w:tl2br w:val="nil"/>
              <w:tr2bl w:val="nil"/>
            </w:tcBorders>
            <w:noWrap w:val="0"/>
            <w:vAlign w:val="center"/>
          </w:tcPr>
          <w:p w14:paraId="7D110C3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p>
        </w:tc>
        <w:tc>
          <w:tcPr>
            <w:tcW w:w="503" w:type="pct"/>
            <w:tcBorders>
              <w:tl2br w:val="nil"/>
              <w:tr2bl w:val="nil"/>
            </w:tcBorders>
            <w:noWrap w:val="0"/>
            <w:vAlign w:val="center"/>
          </w:tcPr>
          <w:p w14:paraId="5B22036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p>
        </w:tc>
        <w:tc>
          <w:tcPr>
            <w:tcW w:w="618" w:type="pct"/>
            <w:tcBorders>
              <w:tl2br w:val="nil"/>
              <w:tr2bl w:val="nil"/>
            </w:tcBorders>
            <w:noWrap w:val="0"/>
            <w:vAlign w:val="center"/>
          </w:tcPr>
          <w:p w14:paraId="64D171E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7" w:type="pct"/>
            <w:tcBorders>
              <w:tl2br w:val="nil"/>
              <w:tr2bl w:val="nil"/>
            </w:tcBorders>
            <w:noWrap w:val="0"/>
            <w:vAlign w:val="center"/>
          </w:tcPr>
          <w:p w14:paraId="4F97AEE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0435E88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24AAA4C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4810B9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47215E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93" w:type="pct"/>
            <w:tcBorders>
              <w:tl2br w:val="nil"/>
              <w:tr2bl w:val="nil"/>
            </w:tcBorders>
            <w:noWrap w:val="0"/>
            <w:vAlign w:val="center"/>
          </w:tcPr>
          <w:p w14:paraId="27F5CDF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雀鹰</w:t>
            </w:r>
          </w:p>
        </w:tc>
        <w:tc>
          <w:tcPr>
            <w:tcW w:w="670" w:type="pct"/>
            <w:tcBorders>
              <w:tl2br w:val="nil"/>
              <w:tr2bl w:val="nil"/>
            </w:tcBorders>
            <w:noWrap w:val="0"/>
            <w:vAlign w:val="center"/>
          </w:tcPr>
          <w:p w14:paraId="7AA6594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sz w:val="21"/>
                <w:szCs w:val="21"/>
                <w:highlight w:val="none"/>
                <w:vertAlign w:val="baseline"/>
                <w:lang w:val="en-US" w:eastAsia="zh-CN"/>
              </w:rPr>
              <w:t>Accipiter nisus</w:t>
            </w:r>
          </w:p>
        </w:tc>
        <w:tc>
          <w:tcPr>
            <w:tcW w:w="417" w:type="pct"/>
            <w:tcBorders>
              <w:tl2br w:val="nil"/>
              <w:tr2bl w:val="nil"/>
            </w:tcBorders>
            <w:noWrap w:val="0"/>
            <w:vAlign w:val="center"/>
          </w:tcPr>
          <w:p w14:paraId="63E1309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428" w:type="pct"/>
            <w:tcBorders>
              <w:tl2br w:val="nil"/>
              <w:tr2bl w:val="nil"/>
            </w:tcBorders>
            <w:noWrap w:val="0"/>
            <w:vAlign w:val="center"/>
          </w:tcPr>
          <w:p w14:paraId="45F4F88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03" w:type="pct"/>
            <w:tcBorders>
              <w:tl2br w:val="nil"/>
              <w:tr2bl w:val="nil"/>
            </w:tcBorders>
            <w:noWrap w:val="0"/>
            <w:vAlign w:val="center"/>
          </w:tcPr>
          <w:p w14:paraId="0FD4CC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5450A5E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7C6C1DC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0230CD6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4059606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2C6BED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097CC40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五</w:t>
            </w:r>
          </w:p>
        </w:tc>
        <w:tc>
          <w:tcPr>
            <w:tcW w:w="593" w:type="pct"/>
            <w:tcBorders>
              <w:tl2br w:val="nil"/>
              <w:tr2bl w:val="nil"/>
            </w:tcBorders>
            <w:noWrap w:val="0"/>
            <w:vAlign w:val="center"/>
          </w:tcPr>
          <w:p w14:paraId="70114A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鸡形目</w:t>
            </w:r>
          </w:p>
        </w:tc>
        <w:tc>
          <w:tcPr>
            <w:tcW w:w="670" w:type="pct"/>
            <w:tcBorders>
              <w:tl2br w:val="nil"/>
              <w:tr2bl w:val="nil"/>
            </w:tcBorders>
            <w:noWrap w:val="0"/>
            <w:vAlign w:val="center"/>
          </w:tcPr>
          <w:p w14:paraId="260AFDC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p>
        </w:tc>
        <w:tc>
          <w:tcPr>
            <w:tcW w:w="417" w:type="pct"/>
            <w:tcBorders>
              <w:tl2br w:val="nil"/>
              <w:tr2bl w:val="nil"/>
            </w:tcBorders>
            <w:noWrap w:val="0"/>
            <w:vAlign w:val="center"/>
          </w:tcPr>
          <w:p w14:paraId="31DFF4C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8" w:type="pct"/>
            <w:tcBorders>
              <w:tl2br w:val="nil"/>
              <w:tr2bl w:val="nil"/>
            </w:tcBorders>
            <w:noWrap w:val="0"/>
            <w:vAlign w:val="center"/>
          </w:tcPr>
          <w:p w14:paraId="1D44C04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503" w:type="pct"/>
            <w:tcBorders>
              <w:tl2br w:val="nil"/>
              <w:tr2bl w:val="nil"/>
            </w:tcBorders>
            <w:noWrap w:val="0"/>
            <w:vAlign w:val="center"/>
          </w:tcPr>
          <w:p w14:paraId="64AA1D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18" w:type="pct"/>
            <w:tcBorders>
              <w:tl2br w:val="nil"/>
              <w:tr2bl w:val="nil"/>
            </w:tcBorders>
            <w:noWrap w:val="0"/>
            <w:vAlign w:val="center"/>
          </w:tcPr>
          <w:p w14:paraId="0E9B10C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27" w:type="pct"/>
            <w:tcBorders>
              <w:tl2br w:val="nil"/>
              <w:tr2bl w:val="nil"/>
            </w:tcBorders>
            <w:noWrap w:val="0"/>
            <w:vAlign w:val="center"/>
          </w:tcPr>
          <w:p w14:paraId="59EE99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5B212DF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1120E1E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696338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2C0660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（一）</w:t>
            </w:r>
          </w:p>
        </w:tc>
        <w:tc>
          <w:tcPr>
            <w:tcW w:w="593" w:type="pct"/>
            <w:tcBorders>
              <w:tl2br w:val="nil"/>
              <w:tr2bl w:val="nil"/>
            </w:tcBorders>
            <w:noWrap w:val="0"/>
            <w:vAlign w:val="center"/>
          </w:tcPr>
          <w:p w14:paraId="1B0B7B1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雉科</w:t>
            </w:r>
          </w:p>
        </w:tc>
        <w:tc>
          <w:tcPr>
            <w:tcW w:w="670" w:type="pct"/>
            <w:tcBorders>
              <w:tl2br w:val="nil"/>
              <w:tr2bl w:val="nil"/>
            </w:tcBorders>
            <w:noWrap w:val="0"/>
            <w:vAlign w:val="center"/>
          </w:tcPr>
          <w:p w14:paraId="5799B8B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sz w:val="21"/>
                <w:szCs w:val="21"/>
                <w:highlight w:val="none"/>
                <w:vertAlign w:val="baseline"/>
                <w:lang w:val="en-US" w:eastAsia="zh-CN"/>
              </w:rPr>
            </w:pPr>
          </w:p>
        </w:tc>
        <w:tc>
          <w:tcPr>
            <w:tcW w:w="417" w:type="pct"/>
            <w:tcBorders>
              <w:tl2br w:val="nil"/>
              <w:tr2bl w:val="nil"/>
            </w:tcBorders>
            <w:noWrap w:val="0"/>
            <w:vAlign w:val="center"/>
          </w:tcPr>
          <w:p w14:paraId="73F7965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428" w:type="pct"/>
            <w:tcBorders>
              <w:tl2br w:val="nil"/>
              <w:tr2bl w:val="nil"/>
            </w:tcBorders>
            <w:noWrap w:val="0"/>
            <w:vAlign w:val="center"/>
          </w:tcPr>
          <w:p w14:paraId="60D3076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p>
        </w:tc>
        <w:tc>
          <w:tcPr>
            <w:tcW w:w="503" w:type="pct"/>
            <w:tcBorders>
              <w:tl2br w:val="nil"/>
              <w:tr2bl w:val="nil"/>
            </w:tcBorders>
            <w:noWrap w:val="0"/>
            <w:vAlign w:val="center"/>
          </w:tcPr>
          <w:p w14:paraId="1F462A4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618" w:type="pct"/>
            <w:tcBorders>
              <w:tl2br w:val="nil"/>
              <w:tr2bl w:val="nil"/>
            </w:tcBorders>
            <w:noWrap w:val="0"/>
            <w:vAlign w:val="center"/>
          </w:tcPr>
          <w:p w14:paraId="276C4FA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27" w:type="pct"/>
            <w:tcBorders>
              <w:tl2br w:val="nil"/>
              <w:tr2bl w:val="nil"/>
            </w:tcBorders>
            <w:noWrap w:val="0"/>
            <w:vAlign w:val="center"/>
          </w:tcPr>
          <w:p w14:paraId="5D7452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33" w:type="pct"/>
            <w:tcBorders>
              <w:tl2br w:val="nil"/>
              <w:tr2bl w:val="nil"/>
            </w:tcBorders>
            <w:noWrap w:val="0"/>
            <w:vAlign w:val="center"/>
          </w:tcPr>
          <w:p w14:paraId="6294E23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c>
          <w:tcPr>
            <w:tcW w:w="411" w:type="pct"/>
            <w:tcBorders>
              <w:tl2br w:val="nil"/>
              <w:tr2bl w:val="nil"/>
            </w:tcBorders>
            <w:noWrap w:val="0"/>
            <w:vAlign w:val="center"/>
          </w:tcPr>
          <w:p w14:paraId="5F21769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p>
        </w:tc>
      </w:tr>
      <w:tr w14:paraId="771DA5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6D5FEA4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593" w:type="pct"/>
            <w:tcBorders>
              <w:tl2br w:val="nil"/>
              <w:tr2bl w:val="nil"/>
            </w:tcBorders>
            <w:noWrap w:val="0"/>
            <w:vAlign w:val="center"/>
          </w:tcPr>
          <w:p w14:paraId="119289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vertAlign w:val="baseline"/>
                <w:lang w:val="en-US" w:eastAsia="zh-CN"/>
              </w:rPr>
              <w:t>环颈雉</w:t>
            </w:r>
          </w:p>
        </w:tc>
        <w:tc>
          <w:tcPr>
            <w:tcW w:w="670" w:type="pct"/>
            <w:tcBorders>
              <w:tl2br w:val="nil"/>
              <w:tr2bl w:val="nil"/>
            </w:tcBorders>
            <w:noWrap w:val="0"/>
            <w:vAlign w:val="center"/>
          </w:tcPr>
          <w:p w14:paraId="070E97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sz w:val="21"/>
                <w:szCs w:val="21"/>
                <w:highlight w:val="none"/>
              </w:rPr>
              <w:t>Phasianus colchicus</w:t>
            </w:r>
          </w:p>
        </w:tc>
        <w:tc>
          <w:tcPr>
            <w:tcW w:w="417" w:type="pct"/>
            <w:tcBorders>
              <w:tl2br w:val="nil"/>
              <w:tr2bl w:val="nil"/>
            </w:tcBorders>
            <w:noWrap w:val="0"/>
            <w:vAlign w:val="center"/>
          </w:tcPr>
          <w:p w14:paraId="4BC089D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428" w:type="pct"/>
            <w:tcBorders>
              <w:tl2br w:val="nil"/>
              <w:tr2bl w:val="nil"/>
            </w:tcBorders>
            <w:noWrap w:val="0"/>
            <w:vAlign w:val="center"/>
          </w:tcPr>
          <w:p w14:paraId="6C24C83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03" w:type="pct"/>
            <w:tcBorders>
              <w:tl2br w:val="nil"/>
              <w:tr2bl w:val="nil"/>
            </w:tcBorders>
            <w:noWrap w:val="0"/>
            <w:vAlign w:val="center"/>
          </w:tcPr>
          <w:p w14:paraId="4700286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15BC22B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0562A5D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52896CD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317EA10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1E26B8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5" w:type="pct"/>
            <w:tcBorders>
              <w:tl2br w:val="nil"/>
              <w:tr2bl w:val="nil"/>
            </w:tcBorders>
            <w:noWrap w:val="0"/>
            <w:vAlign w:val="center"/>
          </w:tcPr>
          <w:p w14:paraId="378745B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2</w:t>
            </w:r>
          </w:p>
        </w:tc>
        <w:tc>
          <w:tcPr>
            <w:tcW w:w="593" w:type="pct"/>
            <w:tcBorders>
              <w:tl2br w:val="nil"/>
              <w:tr2bl w:val="nil"/>
            </w:tcBorders>
            <w:noWrap w:val="0"/>
            <w:vAlign w:val="center"/>
          </w:tcPr>
          <w:p w14:paraId="76A85CF9">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rPr>
              <w:t>石鸡</w:t>
            </w:r>
          </w:p>
        </w:tc>
        <w:tc>
          <w:tcPr>
            <w:tcW w:w="670" w:type="pct"/>
            <w:tcBorders>
              <w:tl2br w:val="nil"/>
              <w:tr2bl w:val="nil"/>
            </w:tcBorders>
            <w:noWrap w:val="0"/>
            <w:vAlign w:val="center"/>
          </w:tcPr>
          <w:p w14:paraId="5289A457">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rPr>
              <w:t>Alectoris chukar</w:t>
            </w:r>
          </w:p>
        </w:tc>
        <w:tc>
          <w:tcPr>
            <w:tcW w:w="417" w:type="pct"/>
            <w:tcBorders>
              <w:tl2br w:val="nil"/>
              <w:tr2bl w:val="nil"/>
            </w:tcBorders>
            <w:noWrap w:val="0"/>
            <w:vAlign w:val="center"/>
          </w:tcPr>
          <w:p w14:paraId="2FA6972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P</w:t>
            </w:r>
          </w:p>
        </w:tc>
        <w:tc>
          <w:tcPr>
            <w:tcW w:w="428" w:type="pct"/>
            <w:tcBorders>
              <w:tl2br w:val="nil"/>
              <w:tr2bl w:val="nil"/>
            </w:tcBorders>
            <w:noWrap w:val="0"/>
            <w:vAlign w:val="center"/>
          </w:tcPr>
          <w:p w14:paraId="5FEAD32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t>/</w:t>
            </w:r>
          </w:p>
        </w:tc>
        <w:tc>
          <w:tcPr>
            <w:tcW w:w="503" w:type="pct"/>
            <w:tcBorders>
              <w:tl2br w:val="nil"/>
              <w:tr2bl w:val="nil"/>
            </w:tcBorders>
            <w:noWrap w:val="0"/>
            <w:vAlign w:val="center"/>
          </w:tcPr>
          <w:p w14:paraId="4578B51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618" w:type="pct"/>
            <w:tcBorders>
              <w:tl2br w:val="nil"/>
              <w:tr2bl w:val="nil"/>
            </w:tcBorders>
            <w:noWrap w:val="0"/>
            <w:vAlign w:val="center"/>
          </w:tcPr>
          <w:p w14:paraId="66F370D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LC</w:t>
            </w:r>
          </w:p>
        </w:tc>
        <w:tc>
          <w:tcPr>
            <w:tcW w:w="427" w:type="pct"/>
            <w:tcBorders>
              <w:tl2br w:val="nil"/>
              <w:tr2bl w:val="nil"/>
            </w:tcBorders>
            <w:noWrap w:val="0"/>
            <w:vAlign w:val="center"/>
          </w:tcPr>
          <w:p w14:paraId="62EC232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33" w:type="pct"/>
            <w:tcBorders>
              <w:tl2br w:val="nil"/>
              <w:tr2bl w:val="nil"/>
            </w:tcBorders>
            <w:noWrap w:val="0"/>
            <w:vAlign w:val="center"/>
          </w:tcPr>
          <w:p w14:paraId="38E369B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11" w:type="pct"/>
            <w:tcBorders>
              <w:tl2br w:val="nil"/>
              <w:tr2bl w:val="nil"/>
            </w:tcBorders>
            <w:noWrap w:val="0"/>
            <w:vAlign w:val="center"/>
          </w:tcPr>
          <w:p w14:paraId="660E31A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r>
      <w:tr w14:paraId="3841FE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10"/>
            <w:tcBorders>
              <w:tl2br w:val="nil"/>
              <w:tr2bl w:val="nil"/>
            </w:tcBorders>
            <w:noWrap w:val="0"/>
            <w:vAlign w:val="center"/>
          </w:tcPr>
          <w:p w14:paraId="3214E1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注：①区系特征：O=东洋界，P=古北界，W=广布种。</w:t>
            </w:r>
          </w:p>
          <w:p w14:paraId="7A6E306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②保护级别：Ⅰ=国家Ⅰ级保护野生动物，Ⅱ=国家Ⅱ级保护野生动物，Ⅰ（自）=自治区Ⅰ级重点保护野生动物，II（自）=自治区II级重点保护野生动物。</w:t>
            </w:r>
          </w:p>
          <w:p w14:paraId="1FD67A2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③濒危等级和特有情况，按《中国生物多样性红色名录》（2020版）和《世界自然保护联盟红色名录》确定，其中CR极危，EN濒危，VU易危，NT近危，LC无危，DD数据缺乏，NE未予评估。</w:t>
            </w:r>
          </w:p>
          <w:p w14:paraId="35B1ADF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④相对数量：+为稀有种，++为偶见种，+++为常见种。</w:t>
            </w:r>
          </w:p>
          <w:p w14:paraId="0AD78B6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⑤数据来源：现场调查、走访等。</w:t>
            </w:r>
          </w:p>
        </w:tc>
      </w:tr>
    </w:tbl>
    <w:p w14:paraId="18894754">
      <w:pPr>
        <w:pStyle w:val="6"/>
        <w:keepNext/>
        <w:keepLines/>
        <w:pageBreakBefore w:val="0"/>
        <w:widowControl w:val="0"/>
        <w:numPr>
          <w:ilvl w:val="3"/>
          <w:numId w:val="0"/>
        </w:numPr>
        <w:kinsoku/>
        <w:wordWrap/>
        <w:overflowPunct/>
        <w:topLinePunct w:val="0"/>
        <w:autoSpaceDE/>
        <w:autoSpaceDN/>
        <w:bidi w:val="0"/>
        <w:adjustRightInd/>
        <w:snapToGrid w:val="0"/>
        <w:spacing w:before="0" w:beforeLines="0" w:after="0" w:afterLines="0" w:line="360" w:lineRule="auto"/>
        <w:ind w:firstLine="480" w:firstLineChars="200"/>
        <w:textAlignment w:val="auto"/>
        <w:outlineLvl w:val="3"/>
        <w:rPr>
          <w:rFonts w:hint="default" w:ascii="Times New Roman" w:hAnsi="Times New Roman" w:eastAsia="宋体" w:cs="Times New Roman"/>
          <w:b w:val="0"/>
          <w:bCs/>
          <w:color w:val="000000"/>
          <w:sz w:val="24"/>
          <w:szCs w:val="21"/>
          <w:lang w:val="en-US" w:eastAsia="zh-CN"/>
        </w:rPr>
      </w:pPr>
      <w:bookmarkStart w:id="118" w:name="_Toc19870"/>
      <w:bookmarkStart w:id="119" w:name="_Toc3557"/>
      <w:r>
        <w:rPr>
          <w:rFonts w:hint="default" w:ascii="Times New Roman" w:hAnsi="Times New Roman" w:eastAsia="宋体" w:cs="Times New Roman"/>
          <w:b w:val="0"/>
          <w:bCs/>
          <w:color w:val="000000"/>
          <w:sz w:val="24"/>
          <w:szCs w:val="21"/>
          <w:lang w:val="en-US" w:eastAsia="zh-CN"/>
        </w:rPr>
        <w:t>2.3.4.3重点野生动物</w:t>
      </w:r>
      <w:bookmarkEnd w:id="118"/>
      <w:bookmarkEnd w:id="119"/>
    </w:p>
    <w:p w14:paraId="067E93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（1）重要野生动物统计</w:t>
      </w:r>
    </w:p>
    <w:p w14:paraId="64237DF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根据《国家重点保护野生动物名录》（2021版），评价区调查记录到的国家重点保护动物1种，为国家二级保护动物，即长耳鸮（Asio otus）；根据《关于发布新疆维吾尔自治区重点保护野生动物名录（修订）的通知》（新政发〔2022〕75号），评价区无自治区重点保护物种。</w:t>
      </w:r>
    </w:p>
    <w:p w14:paraId="1F81B5B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根据《中国生物多样性红色名录》（2020版）确定，评价区调查记录到的野生动物无极危、濒危、易危物种，近危1种，即黄兔尾鼠（Eolagurus luteus）。根据《世界自然保护联盟濒危物种红色名录》，评价区调查记录到的鸟类无极危、濒危、易危物种。</w:t>
      </w:r>
    </w:p>
    <w:p w14:paraId="375304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评价区重要野生动物调查结果统计情况见表1</w:t>
      </w:r>
      <w:r>
        <w:rPr>
          <w:rFonts w:hint="eastAsia" w:cs="Times New Roman"/>
          <w:b w:val="0"/>
          <w:bCs w:val="0"/>
          <w:color w:val="000000"/>
          <w:kern w:val="0"/>
          <w:sz w:val="24"/>
          <w:szCs w:val="24"/>
          <w:highlight w:val="none"/>
          <w:lang w:val="en-US" w:eastAsia="zh-CN"/>
        </w:rPr>
        <w:t>5</w:t>
      </w:r>
      <w:r>
        <w:rPr>
          <w:rFonts w:hint="default" w:ascii="Times New Roman" w:hAnsi="Times New Roman" w:eastAsia="宋体" w:cs="Times New Roman"/>
          <w:b w:val="0"/>
          <w:bCs w:val="0"/>
          <w:color w:val="000000"/>
          <w:kern w:val="0"/>
          <w:sz w:val="24"/>
          <w:szCs w:val="24"/>
          <w:highlight w:val="none"/>
          <w:lang w:val="en-US" w:eastAsia="zh-CN"/>
        </w:rPr>
        <w:t>。根据现场调查和走访咨询，项目评价区重要野生动物分布图详见图6。</w:t>
      </w:r>
    </w:p>
    <w:p w14:paraId="26BB7C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表1</w:t>
      </w:r>
      <w:r>
        <w:rPr>
          <w:rFonts w:hint="eastAsia" w:cs="Times New Roman"/>
          <w:b/>
          <w:bCs/>
          <w:color w:val="000000"/>
          <w:kern w:val="0"/>
          <w:sz w:val="21"/>
          <w:szCs w:val="21"/>
          <w:highlight w:val="none"/>
          <w:lang w:val="en-US" w:eastAsia="zh-CN"/>
        </w:rPr>
        <w:t>5</w:t>
      </w:r>
      <w:r>
        <w:rPr>
          <w:rFonts w:hint="default" w:ascii="Times New Roman" w:hAnsi="Times New Roman" w:eastAsia="宋体" w:cs="Times New Roman"/>
          <w:b/>
          <w:bCs/>
          <w:color w:val="000000"/>
          <w:kern w:val="0"/>
          <w:sz w:val="21"/>
          <w:szCs w:val="21"/>
          <w:highlight w:val="none"/>
          <w:lang w:val="en-US" w:eastAsia="zh-CN"/>
        </w:rPr>
        <w:t xml:space="preserve">   评价区重要野生动物调查结果统计表</w:t>
      </w:r>
    </w:p>
    <w:tbl>
      <w:tblPr>
        <w:tblStyle w:val="33"/>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78"/>
        <w:gridCol w:w="1186"/>
        <w:gridCol w:w="1245"/>
        <w:gridCol w:w="690"/>
        <w:gridCol w:w="693"/>
        <w:gridCol w:w="813"/>
        <w:gridCol w:w="1690"/>
        <w:gridCol w:w="698"/>
        <w:gridCol w:w="1024"/>
      </w:tblGrid>
      <w:tr w14:paraId="4F3832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281" w:type="pct"/>
            <w:tcBorders>
              <w:tl2br w:val="nil"/>
              <w:tr2bl w:val="nil"/>
            </w:tcBorders>
            <w:noWrap w:val="0"/>
            <w:vAlign w:val="center"/>
          </w:tcPr>
          <w:p w14:paraId="074A92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序号</w:t>
            </w:r>
          </w:p>
        </w:tc>
        <w:tc>
          <w:tcPr>
            <w:tcW w:w="696" w:type="pct"/>
            <w:tcBorders>
              <w:tl2br w:val="nil"/>
              <w:tr2bl w:val="nil"/>
            </w:tcBorders>
            <w:noWrap w:val="0"/>
            <w:vAlign w:val="center"/>
          </w:tcPr>
          <w:p w14:paraId="138AD54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物种名称（中文名）</w:t>
            </w:r>
          </w:p>
        </w:tc>
        <w:tc>
          <w:tcPr>
            <w:tcW w:w="731" w:type="pct"/>
            <w:tcBorders>
              <w:tl2br w:val="nil"/>
              <w:tr2bl w:val="nil"/>
            </w:tcBorders>
            <w:noWrap w:val="0"/>
            <w:vAlign w:val="center"/>
          </w:tcPr>
          <w:p w14:paraId="79AAB2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物种名称（拉丁名）</w:t>
            </w:r>
          </w:p>
        </w:tc>
        <w:tc>
          <w:tcPr>
            <w:tcW w:w="405" w:type="pct"/>
            <w:tcBorders>
              <w:tl2br w:val="nil"/>
              <w:tr2bl w:val="nil"/>
            </w:tcBorders>
            <w:noWrap w:val="0"/>
            <w:vAlign w:val="center"/>
          </w:tcPr>
          <w:p w14:paraId="350051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保护级别</w:t>
            </w:r>
          </w:p>
        </w:tc>
        <w:tc>
          <w:tcPr>
            <w:tcW w:w="407" w:type="pct"/>
            <w:tcBorders>
              <w:tl2br w:val="nil"/>
              <w:tr2bl w:val="nil"/>
            </w:tcBorders>
            <w:noWrap w:val="0"/>
            <w:vAlign w:val="center"/>
          </w:tcPr>
          <w:p w14:paraId="5175445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濒危等级</w:t>
            </w:r>
          </w:p>
        </w:tc>
        <w:tc>
          <w:tcPr>
            <w:tcW w:w="477" w:type="pct"/>
            <w:tcBorders>
              <w:tl2br w:val="nil"/>
              <w:tr2bl w:val="nil"/>
            </w:tcBorders>
            <w:noWrap w:val="0"/>
            <w:vAlign w:val="center"/>
          </w:tcPr>
          <w:p w14:paraId="20903B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特有种（是/否）</w:t>
            </w:r>
          </w:p>
        </w:tc>
        <w:tc>
          <w:tcPr>
            <w:tcW w:w="992" w:type="pct"/>
            <w:tcBorders>
              <w:tl2br w:val="nil"/>
              <w:tr2bl w:val="nil"/>
            </w:tcBorders>
            <w:noWrap w:val="0"/>
            <w:vAlign w:val="center"/>
          </w:tcPr>
          <w:p w14:paraId="5C512D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分布区域</w:t>
            </w:r>
          </w:p>
        </w:tc>
        <w:tc>
          <w:tcPr>
            <w:tcW w:w="410" w:type="pct"/>
            <w:tcBorders>
              <w:tl2br w:val="nil"/>
              <w:tr2bl w:val="nil"/>
            </w:tcBorders>
            <w:noWrap w:val="0"/>
            <w:vAlign w:val="center"/>
          </w:tcPr>
          <w:p w14:paraId="0EA210C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资料来源</w:t>
            </w:r>
          </w:p>
        </w:tc>
        <w:tc>
          <w:tcPr>
            <w:tcW w:w="598" w:type="pct"/>
            <w:tcBorders>
              <w:tl2br w:val="nil"/>
              <w:tr2bl w:val="nil"/>
            </w:tcBorders>
            <w:noWrap w:val="0"/>
            <w:vAlign w:val="center"/>
          </w:tcPr>
          <w:p w14:paraId="77EEA5E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工程占用情况（是/否）</w:t>
            </w:r>
          </w:p>
        </w:tc>
      </w:tr>
      <w:tr w14:paraId="3C2F06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1" w:type="pct"/>
            <w:tcBorders>
              <w:tl2br w:val="nil"/>
              <w:tr2bl w:val="nil"/>
            </w:tcBorders>
            <w:noWrap w:val="0"/>
            <w:vAlign w:val="center"/>
          </w:tcPr>
          <w:p w14:paraId="0522ECD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w:t>
            </w:r>
          </w:p>
        </w:tc>
        <w:tc>
          <w:tcPr>
            <w:tcW w:w="696" w:type="pct"/>
            <w:tcBorders>
              <w:tl2br w:val="nil"/>
              <w:tr2bl w:val="nil"/>
            </w:tcBorders>
            <w:noWrap w:val="0"/>
            <w:vAlign w:val="center"/>
          </w:tcPr>
          <w:p w14:paraId="5D92CC0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长耳鸮</w:t>
            </w:r>
          </w:p>
        </w:tc>
        <w:tc>
          <w:tcPr>
            <w:tcW w:w="731" w:type="pct"/>
            <w:tcBorders>
              <w:tl2br w:val="nil"/>
              <w:tr2bl w:val="nil"/>
            </w:tcBorders>
            <w:noWrap w:val="0"/>
            <w:vAlign w:val="center"/>
          </w:tcPr>
          <w:p w14:paraId="45FA585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kern w:val="2"/>
                <w:sz w:val="21"/>
                <w:szCs w:val="21"/>
                <w:highlight w:val="none"/>
                <w:vertAlign w:val="baseline"/>
                <w:lang w:val="en-US" w:eastAsia="zh-CN" w:bidi="ar-SA"/>
              </w:rPr>
              <w:t>Asio otus</w:t>
            </w:r>
          </w:p>
        </w:tc>
        <w:tc>
          <w:tcPr>
            <w:tcW w:w="405" w:type="pct"/>
            <w:tcBorders>
              <w:tl2br w:val="nil"/>
              <w:tr2bl w:val="nil"/>
            </w:tcBorders>
            <w:noWrap w:val="0"/>
            <w:vAlign w:val="center"/>
          </w:tcPr>
          <w:p w14:paraId="567EE2D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二</w:t>
            </w:r>
          </w:p>
        </w:tc>
        <w:tc>
          <w:tcPr>
            <w:tcW w:w="407" w:type="pct"/>
            <w:tcBorders>
              <w:tl2br w:val="nil"/>
              <w:tr2bl w:val="nil"/>
            </w:tcBorders>
            <w:noWrap w:val="0"/>
            <w:vAlign w:val="center"/>
          </w:tcPr>
          <w:p w14:paraId="66B65C5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77" w:type="pct"/>
            <w:tcBorders>
              <w:tl2br w:val="nil"/>
              <w:tr2bl w:val="nil"/>
            </w:tcBorders>
            <w:noWrap w:val="0"/>
            <w:vAlign w:val="center"/>
          </w:tcPr>
          <w:p w14:paraId="5AD5A9B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否</w:t>
            </w:r>
          </w:p>
        </w:tc>
        <w:tc>
          <w:tcPr>
            <w:tcW w:w="992" w:type="pct"/>
            <w:tcBorders>
              <w:tl2br w:val="nil"/>
              <w:tr2bl w:val="nil"/>
            </w:tcBorders>
            <w:noWrap w:val="0"/>
            <w:vAlign w:val="center"/>
          </w:tcPr>
          <w:p w14:paraId="472FA6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山地林区等</w:t>
            </w:r>
          </w:p>
        </w:tc>
        <w:tc>
          <w:tcPr>
            <w:tcW w:w="410" w:type="pct"/>
            <w:tcBorders>
              <w:tl2br w:val="nil"/>
              <w:tr2bl w:val="nil"/>
            </w:tcBorders>
            <w:noWrap w:val="0"/>
            <w:vAlign w:val="center"/>
          </w:tcPr>
          <w:p w14:paraId="470664F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c>
          <w:tcPr>
            <w:tcW w:w="598" w:type="pct"/>
            <w:tcBorders>
              <w:tl2br w:val="nil"/>
              <w:tr2bl w:val="nil"/>
            </w:tcBorders>
            <w:noWrap w:val="0"/>
            <w:vAlign w:val="center"/>
          </w:tcPr>
          <w:p w14:paraId="2317513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否</w:t>
            </w:r>
          </w:p>
        </w:tc>
      </w:tr>
      <w:tr w14:paraId="06ED82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1" w:type="pct"/>
            <w:tcBorders>
              <w:tl2br w:val="nil"/>
              <w:tr2bl w:val="nil"/>
            </w:tcBorders>
            <w:noWrap w:val="0"/>
            <w:vAlign w:val="center"/>
          </w:tcPr>
          <w:p w14:paraId="28B5A47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2</w:t>
            </w:r>
          </w:p>
        </w:tc>
        <w:tc>
          <w:tcPr>
            <w:tcW w:w="696" w:type="pct"/>
            <w:tcBorders>
              <w:tl2br w:val="nil"/>
              <w:tr2bl w:val="nil"/>
            </w:tcBorders>
            <w:noWrap w:val="0"/>
            <w:vAlign w:val="center"/>
          </w:tcPr>
          <w:p w14:paraId="65C56DF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ascii="Times New Roman" w:hAnsi="Times New Roman" w:eastAsia="宋体" w:cs="Times New Roman"/>
                <w:b w:val="0"/>
                <w:bCs w:val="0"/>
                <w:color w:val="000000"/>
                <w:kern w:val="2"/>
                <w:sz w:val="21"/>
                <w:szCs w:val="21"/>
                <w:highlight w:val="none"/>
                <w:vertAlign w:val="baseline"/>
                <w:lang w:val="en-US" w:eastAsia="zh-CN" w:bidi="ar-SA"/>
              </w:rPr>
              <w:t>黄兔尾鼠</w:t>
            </w:r>
          </w:p>
        </w:tc>
        <w:tc>
          <w:tcPr>
            <w:tcW w:w="731" w:type="pct"/>
            <w:tcBorders>
              <w:tl2br w:val="nil"/>
              <w:tr2bl w:val="nil"/>
            </w:tcBorders>
            <w:noWrap w:val="0"/>
            <w:vAlign w:val="center"/>
          </w:tcPr>
          <w:p w14:paraId="2A0C36C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iCs/>
                <w:color w:val="000000"/>
                <w:kern w:val="2"/>
                <w:sz w:val="21"/>
                <w:szCs w:val="21"/>
                <w:highlight w:val="none"/>
                <w:vertAlign w:val="baseline"/>
                <w:lang w:val="en-US" w:eastAsia="zh-CN" w:bidi="ar-SA"/>
              </w:rPr>
            </w:pPr>
            <w:r>
              <w:rPr>
                <w:rFonts w:hint="default" w:ascii="Times New Roman" w:hAnsi="Times New Roman" w:eastAsia="宋体" w:cs="Times New Roman"/>
                <w:b w:val="0"/>
                <w:bCs w:val="0"/>
                <w:i/>
                <w:iCs/>
                <w:color w:val="000000"/>
                <w:kern w:val="2"/>
                <w:sz w:val="21"/>
                <w:szCs w:val="21"/>
                <w:highlight w:val="none"/>
                <w:vertAlign w:val="baseline"/>
                <w:lang w:val="en-US" w:eastAsia="zh-CN" w:bidi="ar-SA"/>
              </w:rPr>
              <w:t>Eolagurus luteus</w:t>
            </w:r>
          </w:p>
        </w:tc>
        <w:tc>
          <w:tcPr>
            <w:tcW w:w="405" w:type="pct"/>
            <w:tcBorders>
              <w:tl2br w:val="nil"/>
              <w:tr2bl w:val="nil"/>
            </w:tcBorders>
            <w:noWrap w:val="0"/>
            <w:vAlign w:val="center"/>
          </w:tcPr>
          <w:p w14:paraId="25CCDDE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w:t>
            </w:r>
          </w:p>
        </w:tc>
        <w:tc>
          <w:tcPr>
            <w:tcW w:w="407" w:type="pct"/>
            <w:tcBorders>
              <w:tl2br w:val="nil"/>
              <w:tr2bl w:val="nil"/>
            </w:tcBorders>
            <w:noWrap w:val="0"/>
            <w:vAlign w:val="center"/>
          </w:tcPr>
          <w:p w14:paraId="0E97051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NT</w:t>
            </w:r>
          </w:p>
        </w:tc>
        <w:tc>
          <w:tcPr>
            <w:tcW w:w="477" w:type="pct"/>
            <w:tcBorders>
              <w:tl2br w:val="nil"/>
              <w:tr2bl w:val="nil"/>
            </w:tcBorders>
            <w:noWrap w:val="0"/>
            <w:vAlign w:val="center"/>
          </w:tcPr>
          <w:p w14:paraId="511E544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否</w:t>
            </w:r>
          </w:p>
        </w:tc>
        <w:tc>
          <w:tcPr>
            <w:tcW w:w="992" w:type="pct"/>
            <w:tcBorders>
              <w:tl2br w:val="nil"/>
              <w:tr2bl w:val="nil"/>
            </w:tcBorders>
            <w:noWrap w:val="0"/>
            <w:vAlign w:val="center"/>
          </w:tcPr>
          <w:p w14:paraId="3F9F552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山地荒漠、山地林区和草原等</w:t>
            </w:r>
          </w:p>
        </w:tc>
        <w:tc>
          <w:tcPr>
            <w:tcW w:w="410" w:type="pct"/>
            <w:tcBorders>
              <w:tl2br w:val="nil"/>
              <w:tr2bl w:val="nil"/>
            </w:tcBorders>
            <w:noWrap w:val="0"/>
            <w:vAlign w:val="center"/>
          </w:tcPr>
          <w:p w14:paraId="7D7F0F0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走访</w:t>
            </w:r>
          </w:p>
        </w:tc>
        <w:tc>
          <w:tcPr>
            <w:tcW w:w="598" w:type="pct"/>
            <w:tcBorders>
              <w:tl2br w:val="nil"/>
              <w:tr2bl w:val="nil"/>
            </w:tcBorders>
            <w:noWrap w:val="0"/>
            <w:vAlign w:val="center"/>
          </w:tcPr>
          <w:p w14:paraId="3023047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否</w:t>
            </w:r>
          </w:p>
        </w:tc>
      </w:tr>
      <w:tr w14:paraId="6489CE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9"/>
            <w:tcBorders>
              <w:tl2br w:val="nil"/>
              <w:tr2bl w:val="nil"/>
            </w:tcBorders>
            <w:noWrap w:val="0"/>
            <w:vAlign w:val="center"/>
          </w:tcPr>
          <w:p w14:paraId="6DD5C1D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注1：保护级别根据《国家重点保护野生动物名录》（2021）和《关于发布新疆维吾尔自治区重点保护野生动物名录（修订）的通知》（新政发〔2022〕75号）确定，Ⅰ=国家Ⅰ级保护野生动物，Ⅱ=国家Ⅱ级保护野生动物，Ⅰ（自）=自治区Ⅰ级重点保护野生动物，II（自）=自治区II级重点保护野生动物。</w:t>
            </w:r>
          </w:p>
          <w:p w14:paraId="15D81A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注2：濒危等级、特有种根据《中国生物多样性红色名录（2020）》和《世界自然保护联盟红色名录》确定，《环境影响评价技术导则 生态影响》（HJ19-2022）需明确极危（CR），濒危（EN），易危（VU）。</w:t>
            </w:r>
          </w:p>
          <w:p w14:paraId="740ABB5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注3：分布区域应说明物种分布情况以及生境类型。</w:t>
            </w:r>
          </w:p>
          <w:p w14:paraId="060CA89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注4：资料来源包括环评现场调查、文献记录、历史调查资料及科考报告等。</w:t>
            </w:r>
          </w:p>
          <w:p w14:paraId="12B2EAD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b w:val="0"/>
                <w:bCs w:val="0"/>
                <w:i w:val="0"/>
                <w:iCs w:val="0"/>
                <w:color w:val="000000"/>
                <w:sz w:val="21"/>
                <w:szCs w:val="21"/>
                <w:highlight w:val="none"/>
                <w:vertAlign w:val="baseline"/>
                <w:lang w:val="en-US" w:eastAsia="zh-CN"/>
              </w:rPr>
            </w:pPr>
            <w:r>
              <w:rPr>
                <w:rFonts w:hint="default" w:ascii="Times New Roman" w:hAnsi="Times New Roman" w:eastAsia="宋体" w:cs="Times New Roman"/>
                <w:b w:val="0"/>
                <w:bCs w:val="0"/>
                <w:i w:val="0"/>
                <w:iCs w:val="0"/>
                <w:color w:val="000000"/>
                <w:sz w:val="21"/>
                <w:szCs w:val="21"/>
                <w:highlight w:val="none"/>
                <w:vertAlign w:val="baseline"/>
                <w:lang w:val="en-US" w:eastAsia="zh-CN"/>
              </w:rPr>
              <w:t>注5：说明工程占用生境情况。涉及占用的应说明具体工程内容和占用面积，不直接占用的应说明生境分布与工程的位置关系。</w:t>
            </w:r>
          </w:p>
        </w:tc>
      </w:tr>
    </w:tbl>
    <w:p w14:paraId="0EE5A5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highlight w:val="none"/>
        </w:rPr>
      </w:pPr>
    </w:p>
    <w:p w14:paraId="5123FA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color w:val="000000"/>
          <w:highlight w:val="none"/>
        </w:rPr>
        <w:drawing>
          <wp:inline distT="0" distB="0" distL="114300" distR="114300">
            <wp:extent cx="5273040" cy="3330575"/>
            <wp:effectExtent l="0" t="0" r="3810" b="3175"/>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51"/>
                    <a:stretch>
                      <a:fillRect/>
                    </a:stretch>
                  </pic:blipFill>
                  <pic:spPr>
                    <a:xfrm>
                      <a:off x="0" y="0"/>
                      <a:ext cx="5273040" cy="3330575"/>
                    </a:xfrm>
                    <a:prstGeom prst="rect">
                      <a:avLst/>
                    </a:prstGeom>
                    <a:noFill/>
                    <a:ln>
                      <a:noFill/>
                    </a:ln>
                  </pic:spPr>
                </pic:pic>
              </a:graphicData>
            </a:graphic>
          </wp:inline>
        </w:drawing>
      </w:r>
    </w:p>
    <w:p w14:paraId="19B7F74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color w:val="000000"/>
          <w:kern w:val="0"/>
          <w:sz w:val="24"/>
          <w:szCs w:val="24"/>
          <w:highlight w:val="red"/>
          <w:lang w:val="en-US" w:eastAsia="zh-CN"/>
        </w:rPr>
      </w:pPr>
      <w:r>
        <w:rPr>
          <w:rFonts w:hint="default" w:ascii="Times New Roman" w:hAnsi="Times New Roman" w:eastAsia="宋体" w:cs="Times New Roman"/>
          <w:b/>
          <w:bCs/>
          <w:color w:val="000000"/>
          <w:kern w:val="0"/>
          <w:sz w:val="24"/>
          <w:szCs w:val="24"/>
          <w:highlight w:val="none"/>
          <w:lang w:val="en-US" w:eastAsia="zh-CN"/>
        </w:rPr>
        <w:t>图6   评价区重要野生动物分布图</w:t>
      </w:r>
    </w:p>
    <w:p w14:paraId="48D3C5B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（2）重要保护野生动物介绍</w:t>
      </w:r>
    </w:p>
    <w:p w14:paraId="1EAEAF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①长耳鸮（Asio otus）</w:t>
      </w:r>
    </w:p>
    <w:p w14:paraId="45724B7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【保护级别】：国家二级保护野生动物</w:t>
      </w:r>
    </w:p>
    <w:p w14:paraId="7E528C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形态特征】：长耳鸮是中型鸟类。面盘显著，中部白色杂有黑褐色，面盘两侧为棕黄色而羽干白色，羽枝松散，前额为白色与褐色相杂状。体重208-326克；体长330-393毫米。眼内侧和上下缘具黑斑。皱领白色而羽端缀黑褐色，耳羽发达，长约50毫米，位于头顶两侧，显著突出于头上，状如两耳、黑褐色，羽基两侧棕色，内翈边缘有一棕白色斑。</w:t>
      </w:r>
    </w:p>
    <w:p w14:paraId="7E7E2E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生活习性】：长耳鸮栖息在开阔的林地、林地以及树木繁茂的峡谷和沟壑。繁殖栖息地必须包括用于筑巢和栖息的茂密树林区域以及附近用于狩猎的开放空间。最佳栖息地倾向于进入植被较矮、猎物丰富、树木繁茂的开放空间，可供栖息和筑巢。</w:t>
      </w:r>
    </w:p>
    <w:p w14:paraId="0121C36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【繁殖期】：3-5月</w:t>
      </w:r>
    </w:p>
    <w:p w14:paraId="4F50365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【分布区】：山地林区等，偶见。</w:t>
      </w:r>
    </w:p>
    <w:p w14:paraId="71D3BB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②黄兔尾鼠（Eolagurus luteus）</w:t>
      </w:r>
    </w:p>
    <w:p w14:paraId="0E9331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【濒危等级】：近危</w:t>
      </w:r>
    </w:p>
    <w:p w14:paraId="0CF1765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形态特征】：黄兔尾鼠外形粗硕，外貌似旅鼠。个体大，体长128（100-145）mm，比其他两种兔尾鼠大。尾较短，尾长短于后足长，占后足的89%，占体长的12%。耳小，耳长仅4mm。外耳壳发育正常，但隐藏在毛被中。四肢短。前脚掌及肘部有浓密的毛。爪粗，并不长。前脚爪短，短于脚趾长。拇指短小，足掌宽大。后足长为18（17-21）mm，后足有跖垫5个。</w:t>
      </w:r>
    </w:p>
    <w:p w14:paraId="58F1753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生活习性】：黄兔尾鼠为昼间活动鼠类。温暖季节的出洞活动时间大体与当地日出与日落时间相符合，但在阴雨刮风等气温较低天气条件下，活动性明显降低。地面活动主要是觅食。取食范围不大，多在距洞口1-5米左右，很少到10米以外取食。行动迅速，每次采食时间仅10-20秒，将植物</w:t>
      </w:r>
      <w:r>
        <w:rPr>
          <w:rFonts w:hint="eastAsia" w:cs="Times New Roman"/>
          <w:b w:val="0"/>
          <w:bCs w:val="0"/>
          <w:color w:val="000000"/>
          <w:kern w:val="0"/>
          <w:sz w:val="24"/>
          <w:szCs w:val="24"/>
          <w:highlight w:val="none"/>
          <w:lang w:val="en-US" w:eastAsia="zh-CN"/>
        </w:rPr>
        <w:t>茎秆</w:t>
      </w:r>
      <w:r>
        <w:rPr>
          <w:rFonts w:hint="default" w:ascii="Times New Roman" w:hAnsi="Times New Roman" w:eastAsia="宋体" w:cs="Times New Roman"/>
          <w:b w:val="0"/>
          <w:bCs w:val="0"/>
          <w:color w:val="000000"/>
          <w:kern w:val="0"/>
          <w:sz w:val="24"/>
          <w:szCs w:val="24"/>
          <w:highlight w:val="none"/>
          <w:lang w:val="en-US" w:eastAsia="zh-CN"/>
        </w:rPr>
        <w:t>咬断，很快拖回洞内，或置于洞口附近，然后立即再次采食。连续采食10-20次后，才在洞内停留一段时间。冬季不冬眠，栖息地覆雪后，则在雪被之下凿掘纵横交错的“雪道”，并在其间活动，一般不到雪面上来。</w:t>
      </w:r>
    </w:p>
    <w:p w14:paraId="5F9E43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【繁殖期】：4-9月</w:t>
      </w:r>
    </w:p>
    <w:p w14:paraId="1ECAD7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【分布区】：草原等，偶见。</w:t>
      </w:r>
    </w:p>
    <w:p w14:paraId="094E1539">
      <w:pPr>
        <w:pStyle w:val="4"/>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360" w:lineRule="auto"/>
        <w:ind w:leftChars="0"/>
        <w:textAlignment w:val="auto"/>
        <w:outlineLvl w:val="2"/>
        <w:rPr>
          <w:rFonts w:hint="default" w:ascii="Times New Roman" w:hAnsi="Times New Roman" w:eastAsia="宋体" w:cs="Times New Roman"/>
          <w:b w:val="0"/>
          <w:bCs/>
          <w:color w:val="000000"/>
          <w:sz w:val="24"/>
          <w:szCs w:val="24"/>
          <w:highlight w:val="none"/>
          <w:lang w:val="en-US" w:eastAsia="zh-CN"/>
        </w:rPr>
      </w:pPr>
      <w:bookmarkStart w:id="120" w:name="_Toc5073"/>
      <w:bookmarkStart w:id="121" w:name="_Toc6939"/>
      <w:bookmarkStart w:id="122" w:name="_Toc24707"/>
      <w:r>
        <w:rPr>
          <w:rFonts w:hint="default" w:ascii="Times New Roman" w:hAnsi="Times New Roman" w:eastAsia="宋体" w:cs="Times New Roman"/>
          <w:b w:val="0"/>
          <w:bCs/>
          <w:color w:val="000000"/>
          <w:sz w:val="24"/>
          <w:szCs w:val="24"/>
          <w:highlight w:val="none"/>
          <w:lang w:val="en-US" w:eastAsia="zh-CN"/>
        </w:rPr>
        <w:t>2.3.5生物生产量现状评价</w:t>
      </w:r>
      <w:bookmarkEnd w:id="120"/>
      <w:bookmarkEnd w:id="121"/>
      <w:bookmarkEnd w:id="122"/>
    </w:p>
    <w:p w14:paraId="2A730E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区域生态系统生产力的评价指标主要是其植被生产力。植被生产力指各类土地上的植被生长量，单位用“吨/年（t/a）”表示。而各植被生产量等于各植被类型的面积乘以其单位面积的年生产量，即净生产力，后者通常用“t（干重）/a·hm</w:t>
      </w:r>
      <w:r>
        <w:rPr>
          <w:rFonts w:hint="default" w:ascii="Times New Roman" w:hAnsi="Times New Roman" w:eastAsia="宋体" w:cs="Times New Roman"/>
          <w:b w:val="0"/>
          <w:bCs w:val="0"/>
          <w:color w:val="000000"/>
          <w:kern w:val="0"/>
          <w:sz w:val="24"/>
          <w:szCs w:val="24"/>
          <w:highlight w:val="none"/>
          <w:vertAlign w:val="superscript"/>
          <w:lang w:val="en-US" w:eastAsia="zh-CN"/>
        </w:rPr>
        <w:t>2</w:t>
      </w:r>
      <w:r>
        <w:rPr>
          <w:rFonts w:hint="default" w:ascii="Times New Roman" w:hAnsi="Times New Roman" w:eastAsia="宋体" w:cs="Times New Roman"/>
          <w:b w:val="0"/>
          <w:bCs w:val="0"/>
          <w:color w:val="000000"/>
          <w:kern w:val="0"/>
          <w:sz w:val="24"/>
          <w:szCs w:val="24"/>
          <w:highlight w:val="none"/>
          <w:lang w:val="en-US" w:eastAsia="zh-CN"/>
        </w:rPr>
        <w:t>”表示。参照《我国森林植被的生物量和净生产量》（方精云、刘国华、徐嵩林，1996，生态学报，16（5）），《中国不同气候带各类型森林的生物量和净第一性生产力》（李高飞，任海，2004，热带地理，24（4））对我国各地带主要植被类型生产量的计算方法，计算评价区各植被类型（生态系统）的生物生产量。</w:t>
      </w:r>
    </w:p>
    <w:p w14:paraId="04CC94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根据评价区内各种植被类型（生态系统）的面积，计算得到评价区生态系统的生物量及其总和，评价区目前累计的生物量大约是24079.49t（干重）。</w:t>
      </w:r>
    </w:p>
    <w:p w14:paraId="6C7DF16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根据评价区内各种植被类型（生态系统）的面积，及各植被类型（生态系统）的净生产力（t/a），计算得到评价区生态系统的年生产力及其总和，本项目评价区每年产生的生物生产力约为12646.38t/a。</w:t>
      </w:r>
    </w:p>
    <w:p w14:paraId="5EE2E4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vertAlign w:val="baseline"/>
          <w:lang w:val="en-US" w:eastAsia="zh-CN"/>
        </w:rPr>
      </w:pPr>
      <w:r>
        <w:rPr>
          <w:rFonts w:hint="default" w:ascii="Times New Roman" w:hAnsi="Times New Roman" w:eastAsia="宋体" w:cs="Times New Roman"/>
          <w:b/>
          <w:bCs/>
          <w:color w:val="000000"/>
          <w:kern w:val="0"/>
          <w:sz w:val="21"/>
          <w:szCs w:val="21"/>
          <w:highlight w:val="none"/>
          <w:lang w:val="en-US" w:eastAsia="zh-CN"/>
        </w:rPr>
        <w:t>表1</w:t>
      </w:r>
      <w:r>
        <w:rPr>
          <w:rFonts w:hint="eastAsia" w:cs="Times New Roman"/>
          <w:b/>
          <w:bCs/>
          <w:color w:val="000000"/>
          <w:kern w:val="0"/>
          <w:sz w:val="21"/>
          <w:szCs w:val="21"/>
          <w:highlight w:val="none"/>
          <w:lang w:val="en-US" w:eastAsia="zh-CN"/>
        </w:rPr>
        <w:t>6</w:t>
      </w:r>
      <w:r>
        <w:rPr>
          <w:rFonts w:hint="default" w:ascii="Times New Roman" w:hAnsi="Times New Roman" w:eastAsia="宋体" w:cs="Times New Roman"/>
          <w:b/>
          <w:bCs/>
          <w:color w:val="000000"/>
          <w:kern w:val="0"/>
          <w:sz w:val="21"/>
          <w:szCs w:val="21"/>
          <w:highlight w:val="none"/>
          <w:lang w:val="en-US" w:eastAsia="zh-CN"/>
        </w:rPr>
        <w:t xml:space="preserve">   评价区植被生物量和自然生产力一览表</w:t>
      </w:r>
    </w:p>
    <w:tbl>
      <w:tblPr>
        <w:tblStyle w:val="33"/>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62"/>
        <w:gridCol w:w="832"/>
        <w:gridCol w:w="823"/>
        <w:gridCol w:w="1040"/>
        <w:gridCol w:w="1006"/>
        <w:gridCol w:w="747"/>
        <w:gridCol w:w="1220"/>
        <w:gridCol w:w="1117"/>
        <w:gridCol w:w="770"/>
      </w:tblGrid>
      <w:tr w14:paraId="7EF42F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1053" w:type="pct"/>
            <w:gridSpan w:val="2"/>
            <w:tcBorders>
              <w:tl2br w:val="nil"/>
              <w:tr2bl w:val="nil"/>
            </w:tcBorders>
            <w:noWrap w:val="0"/>
            <w:vAlign w:val="center"/>
          </w:tcPr>
          <w:p w14:paraId="3A6C8D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生态系统</w:t>
            </w:r>
          </w:p>
        </w:tc>
        <w:tc>
          <w:tcPr>
            <w:tcW w:w="483" w:type="pct"/>
            <w:vMerge w:val="restart"/>
            <w:tcBorders>
              <w:tl2br w:val="nil"/>
              <w:tr2bl w:val="nil"/>
            </w:tcBorders>
            <w:noWrap w:val="0"/>
            <w:vAlign w:val="center"/>
          </w:tcPr>
          <w:p w14:paraId="4D9553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spacing w:val="-17"/>
                <w:kern w:val="0"/>
                <w:sz w:val="21"/>
                <w:szCs w:val="21"/>
                <w:highlight w:val="none"/>
                <w:vertAlign w:val="baseline"/>
                <w:lang w:val="en-US" w:eastAsia="zh-CN"/>
              </w:rPr>
              <w:t>面积（hm</w:t>
            </w:r>
            <w:r>
              <w:rPr>
                <w:rFonts w:hint="default" w:ascii="Times New Roman" w:hAnsi="Times New Roman" w:eastAsia="宋体" w:cs="Times New Roman"/>
                <w:b w:val="0"/>
                <w:bCs w:val="0"/>
                <w:color w:val="000000"/>
                <w:spacing w:val="-17"/>
                <w:kern w:val="0"/>
                <w:sz w:val="21"/>
                <w:szCs w:val="21"/>
                <w:highlight w:val="none"/>
                <w:vertAlign w:val="superscript"/>
                <w:lang w:val="en-US" w:eastAsia="zh-CN"/>
              </w:rPr>
              <w:t>2</w:t>
            </w:r>
            <w:r>
              <w:rPr>
                <w:rFonts w:hint="default" w:ascii="Times New Roman" w:hAnsi="Times New Roman" w:eastAsia="宋体" w:cs="Times New Roman"/>
                <w:b w:val="0"/>
                <w:bCs w:val="0"/>
                <w:color w:val="000000"/>
                <w:spacing w:val="-17"/>
                <w:kern w:val="0"/>
                <w:sz w:val="21"/>
                <w:szCs w:val="21"/>
                <w:highlight w:val="none"/>
                <w:vertAlign w:val="baseline"/>
                <w:lang w:val="en-US" w:eastAsia="zh-CN"/>
              </w:rPr>
              <w:t>）</w:t>
            </w:r>
          </w:p>
        </w:tc>
        <w:tc>
          <w:tcPr>
            <w:tcW w:w="1639" w:type="pct"/>
            <w:gridSpan w:val="3"/>
            <w:tcBorders>
              <w:tl2br w:val="nil"/>
              <w:tr2bl w:val="nil"/>
            </w:tcBorders>
            <w:noWrap w:val="0"/>
            <w:vAlign w:val="center"/>
          </w:tcPr>
          <w:p w14:paraId="29A34F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生物量</w:t>
            </w:r>
          </w:p>
        </w:tc>
        <w:tc>
          <w:tcPr>
            <w:tcW w:w="1823" w:type="pct"/>
            <w:gridSpan w:val="3"/>
            <w:tcBorders>
              <w:tl2br w:val="nil"/>
              <w:tr2bl w:val="nil"/>
            </w:tcBorders>
            <w:noWrap w:val="0"/>
            <w:vAlign w:val="center"/>
          </w:tcPr>
          <w:p w14:paraId="285589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生产力</w:t>
            </w:r>
          </w:p>
        </w:tc>
      </w:tr>
      <w:tr w14:paraId="3174B8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564" w:type="pct"/>
            <w:tcBorders>
              <w:tl2br w:val="nil"/>
              <w:tr2bl w:val="nil"/>
            </w:tcBorders>
            <w:noWrap w:val="0"/>
            <w:vAlign w:val="center"/>
          </w:tcPr>
          <w:p w14:paraId="013B5D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I级分类</w:t>
            </w:r>
          </w:p>
        </w:tc>
        <w:tc>
          <w:tcPr>
            <w:tcW w:w="488" w:type="pct"/>
            <w:tcBorders>
              <w:tl2br w:val="nil"/>
              <w:tr2bl w:val="nil"/>
            </w:tcBorders>
            <w:noWrap w:val="0"/>
            <w:vAlign w:val="center"/>
          </w:tcPr>
          <w:p w14:paraId="53669C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II级分类</w:t>
            </w:r>
          </w:p>
        </w:tc>
        <w:tc>
          <w:tcPr>
            <w:tcW w:w="483" w:type="pct"/>
            <w:vMerge w:val="continue"/>
            <w:tcBorders>
              <w:tl2br w:val="nil"/>
              <w:tr2bl w:val="nil"/>
            </w:tcBorders>
            <w:noWrap w:val="0"/>
            <w:vAlign w:val="center"/>
          </w:tcPr>
          <w:p w14:paraId="37AD51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p>
        </w:tc>
        <w:tc>
          <w:tcPr>
            <w:tcW w:w="610" w:type="pct"/>
            <w:tcBorders>
              <w:tl2br w:val="nil"/>
              <w:tr2bl w:val="nil"/>
            </w:tcBorders>
            <w:noWrap w:val="0"/>
            <w:vAlign w:val="center"/>
          </w:tcPr>
          <w:p w14:paraId="1DA7F7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生物量（t/hm</w:t>
            </w:r>
            <w:r>
              <w:rPr>
                <w:rFonts w:hint="default" w:ascii="Times New Roman" w:hAnsi="Times New Roman" w:eastAsia="宋体" w:cs="Times New Roman"/>
                <w:b w:val="0"/>
                <w:bCs w:val="0"/>
                <w:color w:val="000000"/>
                <w:kern w:val="0"/>
                <w:sz w:val="21"/>
                <w:szCs w:val="21"/>
                <w:highlight w:val="none"/>
                <w:vertAlign w:val="superscript"/>
                <w:lang w:val="en-US" w:eastAsia="zh-CN"/>
              </w:rPr>
              <w:t>2</w:t>
            </w:r>
            <w:r>
              <w:rPr>
                <w:rFonts w:hint="default" w:ascii="Times New Roman" w:hAnsi="Times New Roman" w:eastAsia="宋体" w:cs="Times New Roman"/>
                <w:b w:val="0"/>
                <w:bCs w:val="0"/>
                <w:color w:val="000000"/>
                <w:kern w:val="0"/>
                <w:sz w:val="21"/>
                <w:szCs w:val="21"/>
                <w:highlight w:val="none"/>
                <w:vertAlign w:val="baseline"/>
                <w:lang w:val="en-US" w:eastAsia="zh-CN"/>
              </w:rPr>
              <w:t>）</w:t>
            </w:r>
          </w:p>
        </w:tc>
        <w:tc>
          <w:tcPr>
            <w:tcW w:w="590" w:type="pct"/>
            <w:tcBorders>
              <w:tl2br w:val="nil"/>
              <w:tr2bl w:val="nil"/>
            </w:tcBorders>
            <w:noWrap w:val="0"/>
            <w:vAlign w:val="center"/>
          </w:tcPr>
          <w:p w14:paraId="210F14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总生物量（t）</w:t>
            </w:r>
          </w:p>
        </w:tc>
        <w:tc>
          <w:tcPr>
            <w:tcW w:w="438" w:type="pct"/>
            <w:tcBorders>
              <w:tl2br w:val="nil"/>
              <w:tr2bl w:val="nil"/>
            </w:tcBorders>
            <w:noWrap w:val="0"/>
            <w:vAlign w:val="center"/>
          </w:tcPr>
          <w:p w14:paraId="0CE93F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比例（%）</w:t>
            </w:r>
          </w:p>
        </w:tc>
        <w:tc>
          <w:tcPr>
            <w:tcW w:w="716" w:type="pct"/>
            <w:tcBorders>
              <w:tl2br w:val="nil"/>
              <w:tr2bl w:val="nil"/>
            </w:tcBorders>
            <w:noWrap w:val="0"/>
            <w:vAlign w:val="center"/>
          </w:tcPr>
          <w:p w14:paraId="7CD294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净生产力（t/a·hm</w:t>
            </w:r>
            <w:r>
              <w:rPr>
                <w:rFonts w:hint="default" w:ascii="Times New Roman" w:hAnsi="Times New Roman" w:eastAsia="宋体" w:cs="Times New Roman"/>
                <w:b w:val="0"/>
                <w:bCs w:val="0"/>
                <w:color w:val="000000"/>
                <w:kern w:val="0"/>
                <w:sz w:val="21"/>
                <w:szCs w:val="21"/>
                <w:highlight w:val="none"/>
                <w:vertAlign w:val="superscript"/>
                <w:lang w:val="en-US" w:eastAsia="zh-CN"/>
              </w:rPr>
              <w:t>2</w:t>
            </w:r>
            <w:r>
              <w:rPr>
                <w:rFonts w:hint="default" w:ascii="Times New Roman" w:hAnsi="Times New Roman" w:eastAsia="宋体" w:cs="Times New Roman"/>
                <w:b w:val="0"/>
                <w:bCs w:val="0"/>
                <w:color w:val="000000"/>
                <w:kern w:val="0"/>
                <w:sz w:val="21"/>
                <w:szCs w:val="21"/>
                <w:highlight w:val="none"/>
                <w:vertAlign w:val="baseline"/>
                <w:lang w:val="en-US" w:eastAsia="zh-CN"/>
              </w:rPr>
              <w:t>）</w:t>
            </w:r>
          </w:p>
        </w:tc>
        <w:tc>
          <w:tcPr>
            <w:tcW w:w="655" w:type="pct"/>
            <w:tcBorders>
              <w:tl2br w:val="nil"/>
              <w:tr2bl w:val="nil"/>
            </w:tcBorders>
            <w:noWrap w:val="0"/>
            <w:vAlign w:val="center"/>
          </w:tcPr>
          <w:p w14:paraId="6B86E1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植被生产力（t/a）</w:t>
            </w:r>
          </w:p>
        </w:tc>
        <w:tc>
          <w:tcPr>
            <w:tcW w:w="452" w:type="pct"/>
            <w:tcBorders>
              <w:tl2br w:val="nil"/>
              <w:tr2bl w:val="nil"/>
            </w:tcBorders>
            <w:noWrap w:val="0"/>
            <w:vAlign w:val="center"/>
          </w:tcPr>
          <w:p w14:paraId="4AD97C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比例（%）</w:t>
            </w:r>
          </w:p>
        </w:tc>
      </w:tr>
      <w:tr w14:paraId="43397F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4" w:type="pct"/>
            <w:tcBorders>
              <w:tl2br w:val="nil"/>
              <w:tr2bl w:val="nil"/>
            </w:tcBorders>
            <w:noWrap w:val="0"/>
            <w:vAlign w:val="center"/>
          </w:tcPr>
          <w:p w14:paraId="714623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森林生态系统</w:t>
            </w:r>
          </w:p>
        </w:tc>
        <w:tc>
          <w:tcPr>
            <w:tcW w:w="488" w:type="pct"/>
            <w:tcBorders>
              <w:tl2br w:val="nil"/>
              <w:tr2bl w:val="nil"/>
            </w:tcBorders>
            <w:noWrap w:val="0"/>
            <w:vAlign w:val="center"/>
          </w:tcPr>
          <w:p w14:paraId="59D9CB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阔叶林</w:t>
            </w:r>
          </w:p>
        </w:tc>
        <w:tc>
          <w:tcPr>
            <w:tcW w:w="483" w:type="pct"/>
            <w:tcBorders>
              <w:tl2br w:val="nil"/>
              <w:tr2bl w:val="nil"/>
            </w:tcBorders>
            <w:noWrap w:val="0"/>
            <w:vAlign w:val="center"/>
          </w:tcPr>
          <w:p w14:paraId="0D6B9B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543</w:t>
            </w:r>
          </w:p>
        </w:tc>
        <w:tc>
          <w:tcPr>
            <w:tcW w:w="610" w:type="pct"/>
            <w:tcBorders>
              <w:tl2br w:val="nil"/>
              <w:tr2bl w:val="nil"/>
            </w:tcBorders>
            <w:noWrap w:val="0"/>
            <w:vAlign w:val="center"/>
          </w:tcPr>
          <w:p w14:paraId="6ADA53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17.43</w:t>
            </w:r>
          </w:p>
        </w:tc>
        <w:tc>
          <w:tcPr>
            <w:tcW w:w="590" w:type="pct"/>
            <w:tcBorders>
              <w:tl2br w:val="nil"/>
              <w:tr2bl w:val="nil"/>
            </w:tcBorders>
            <w:noWrap w:val="0"/>
            <w:vAlign w:val="center"/>
          </w:tcPr>
          <w:p w14:paraId="6C24AF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9464.49</w:t>
            </w:r>
          </w:p>
        </w:tc>
        <w:tc>
          <w:tcPr>
            <w:tcW w:w="438" w:type="pct"/>
            <w:tcBorders>
              <w:tl2br w:val="nil"/>
              <w:tr2bl w:val="nil"/>
            </w:tcBorders>
            <w:noWrap w:val="0"/>
            <w:vAlign w:val="center"/>
          </w:tcPr>
          <w:p w14:paraId="22DF5E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39.31</w:t>
            </w:r>
          </w:p>
        </w:tc>
        <w:tc>
          <w:tcPr>
            <w:tcW w:w="716" w:type="pct"/>
            <w:tcBorders>
              <w:tl2br w:val="nil"/>
              <w:tr2bl w:val="nil"/>
            </w:tcBorders>
            <w:noWrap w:val="0"/>
            <w:vAlign w:val="center"/>
          </w:tcPr>
          <w:p w14:paraId="663F04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4.26</w:t>
            </w:r>
          </w:p>
        </w:tc>
        <w:tc>
          <w:tcPr>
            <w:tcW w:w="655" w:type="pct"/>
            <w:tcBorders>
              <w:tl2br w:val="nil"/>
              <w:tr2bl w:val="nil"/>
            </w:tcBorders>
            <w:noWrap w:val="0"/>
            <w:vAlign w:val="center"/>
          </w:tcPr>
          <w:p w14:paraId="5C4CE2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2313.18</w:t>
            </w:r>
          </w:p>
        </w:tc>
        <w:tc>
          <w:tcPr>
            <w:tcW w:w="452" w:type="pct"/>
            <w:tcBorders>
              <w:tl2br w:val="nil"/>
              <w:tr2bl w:val="nil"/>
            </w:tcBorders>
            <w:noWrap w:val="0"/>
            <w:vAlign w:val="center"/>
          </w:tcPr>
          <w:p w14:paraId="44E2B3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18.29</w:t>
            </w:r>
          </w:p>
        </w:tc>
      </w:tr>
      <w:tr w14:paraId="4CE108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4" w:type="pct"/>
            <w:tcBorders>
              <w:tl2br w:val="nil"/>
              <w:tr2bl w:val="nil"/>
            </w:tcBorders>
            <w:noWrap w:val="0"/>
            <w:vAlign w:val="center"/>
          </w:tcPr>
          <w:p w14:paraId="53C918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r>
              <w:rPr>
                <w:rFonts w:hint="default" w:ascii="Times New Roman" w:hAnsi="Times New Roman" w:eastAsia="宋体" w:cs="Times New Roman"/>
                <w:b w:val="0"/>
                <w:bCs w:val="0"/>
                <w:color w:val="000000"/>
                <w:kern w:val="0"/>
                <w:sz w:val="21"/>
                <w:szCs w:val="21"/>
                <w:highlight w:val="none"/>
                <w:vertAlign w:val="baseline"/>
                <w:lang w:val="en-US" w:eastAsia="zh-CN" w:bidi="ar-SA"/>
              </w:rPr>
              <w:t>草地生态系统</w:t>
            </w:r>
          </w:p>
        </w:tc>
        <w:tc>
          <w:tcPr>
            <w:tcW w:w="488" w:type="pct"/>
            <w:tcBorders>
              <w:tl2br w:val="nil"/>
              <w:tr2bl w:val="nil"/>
            </w:tcBorders>
            <w:noWrap w:val="0"/>
            <w:vAlign w:val="center"/>
          </w:tcPr>
          <w:p w14:paraId="329665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草地</w:t>
            </w:r>
          </w:p>
        </w:tc>
        <w:tc>
          <w:tcPr>
            <w:tcW w:w="483" w:type="pct"/>
            <w:tcBorders>
              <w:tl2br w:val="nil"/>
              <w:tr2bl w:val="nil"/>
            </w:tcBorders>
            <w:noWrap w:val="0"/>
            <w:vAlign w:val="center"/>
          </w:tcPr>
          <w:p w14:paraId="2172BE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r>
              <w:rPr>
                <w:rFonts w:hint="default" w:ascii="Times New Roman" w:hAnsi="Times New Roman" w:eastAsia="宋体" w:cs="Times New Roman"/>
                <w:b w:val="0"/>
                <w:bCs w:val="0"/>
                <w:color w:val="000000"/>
                <w:kern w:val="0"/>
                <w:sz w:val="21"/>
                <w:szCs w:val="21"/>
                <w:highlight w:val="none"/>
                <w:vertAlign w:val="baseline"/>
                <w:lang w:val="en-US" w:eastAsia="zh-CN"/>
              </w:rPr>
              <w:t>1580</w:t>
            </w:r>
          </w:p>
        </w:tc>
        <w:tc>
          <w:tcPr>
            <w:tcW w:w="610" w:type="pct"/>
            <w:tcBorders>
              <w:tl2br w:val="nil"/>
              <w:tr2bl w:val="nil"/>
            </w:tcBorders>
            <w:noWrap w:val="0"/>
            <w:vAlign w:val="center"/>
          </w:tcPr>
          <w:p w14:paraId="046368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9.25</w:t>
            </w:r>
          </w:p>
        </w:tc>
        <w:tc>
          <w:tcPr>
            <w:tcW w:w="590" w:type="pct"/>
            <w:tcBorders>
              <w:tl2br w:val="nil"/>
              <w:tr2bl w:val="nil"/>
            </w:tcBorders>
            <w:noWrap w:val="0"/>
            <w:vAlign w:val="center"/>
          </w:tcPr>
          <w:p w14:paraId="53C8EB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14615</w:t>
            </w:r>
          </w:p>
        </w:tc>
        <w:tc>
          <w:tcPr>
            <w:tcW w:w="438" w:type="pct"/>
            <w:tcBorders>
              <w:tl2br w:val="nil"/>
              <w:tr2bl w:val="nil"/>
            </w:tcBorders>
            <w:noWrap w:val="0"/>
            <w:vAlign w:val="center"/>
          </w:tcPr>
          <w:p w14:paraId="488455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60.69</w:t>
            </w:r>
          </w:p>
        </w:tc>
        <w:tc>
          <w:tcPr>
            <w:tcW w:w="716" w:type="pct"/>
            <w:tcBorders>
              <w:tl2br w:val="nil"/>
              <w:tr2bl w:val="nil"/>
            </w:tcBorders>
            <w:noWrap w:val="0"/>
            <w:vAlign w:val="center"/>
          </w:tcPr>
          <w:p w14:paraId="7772D7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6.54</w:t>
            </w:r>
          </w:p>
        </w:tc>
        <w:tc>
          <w:tcPr>
            <w:tcW w:w="655" w:type="pct"/>
            <w:tcBorders>
              <w:tl2br w:val="nil"/>
              <w:tr2bl w:val="nil"/>
            </w:tcBorders>
            <w:noWrap w:val="0"/>
            <w:vAlign w:val="center"/>
          </w:tcPr>
          <w:p w14:paraId="1CC9FF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10333.2</w:t>
            </w:r>
          </w:p>
        </w:tc>
        <w:tc>
          <w:tcPr>
            <w:tcW w:w="452" w:type="pct"/>
            <w:tcBorders>
              <w:tl2br w:val="nil"/>
              <w:tr2bl w:val="nil"/>
            </w:tcBorders>
            <w:noWrap w:val="0"/>
            <w:vAlign w:val="center"/>
          </w:tcPr>
          <w:p w14:paraId="6AC2E0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81.71</w:t>
            </w:r>
          </w:p>
        </w:tc>
      </w:tr>
      <w:tr w14:paraId="6C39DD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53" w:type="pct"/>
            <w:gridSpan w:val="2"/>
            <w:tcBorders>
              <w:tl2br w:val="nil"/>
              <w:tr2bl w:val="nil"/>
            </w:tcBorders>
            <w:noWrap w:val="0"/>
            <w:vAlign w:val="center"/>
          </w:tcPr>
          <w:p w14:paraId="304D93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t>合计</w:t>
            </w:r>
          </w:p>
        </w:tc>
        <w:tc>
          <w:tcPr>
            <w:tcW w:w="483" w:type="pct"/>
            <w:tcBorders>
              <w:tl2br w:val="nil"/>
              <w:tr2bl w:val="nil"/>
            </w:tcBorders>
            <w:noWrap w:val="0"/>
            <w:vAlign w:val="center"/>
          </w:tcPr>
          <w:p w14:paraId="74F12F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r>
              <w:rPr>
                <w:rFonts w:hint="default" w:ascii="Times New Roman" w:hAnsi="Times New Roman" w:eastAsia="宋体" w:cs="Times New Roman"/>
                <w:b w:val="0"/>
                <w:bCs w:val="0"/>
                <w:color w:val="000000"/>
                <w:kern w:val="0"/>
                <w:sz w:val="21"/>
                <w:szCs w:val="21"/>
                <w:highlight w:val="none"/>
                <w:vertAlign w:val="baseline"/>
                <w:lang w:val="en-US" w:eastAsia="zh-CN"/>
              </w:rPr>
              <w:fldChar w:fldCharType="begin"/>
            </w:r>
            <w:r>
              <w:rPr>
                <w:rFonts w:hint="default" w:ascii="Times New Roman" w:hAnsi="Times New Roman" w:eastAsia="宋体" w:cs="Times New Roman"/>
                <w:b w:val="0"/>
                <w:bCs w:val="0"/>
                <w:color w:val="000000"/>
                <w:kern w:val="0"/>
                <w:sz w:val="21"/>
                <w:szCs w:val="21"/>
                <w:highlight w:val="none"/>
                <w:vertAlign w:val="baseline"/>
                <w:lang w:val="en-US" w:eastAsia="zh-CN"/>
              </w:rPr>
              <w:instrText xml:space="preserve"> = sum(C3:C8) \* MERGEFORMAT </w:instrText>
            </w:r>
            <w:r>
              <w:rPr>
                <w:rFonts w:hint="default" w:ascii="Times New Roman" w:hAnsi="Times New Roman" w:eastAsia="宋体" w:cs="Times New Roman"/>
                <w:b w:val="0"/>
                <w:bCs w:val="0"/>
                <w:color w:val="000000"/>
                <w:kern w:val="0"/>
                <w:sz w:val="21"/>
                <w:szCs w:val="21"/>
                <w:highlight w:val="none"/>
                <w:vertAlign w:val="baseline"/>
                <w:lang w:val="en-US" w:eastAsia="zh-CN"/>
              </w:rPr>
              <w:fldChar w:fldCharType="separate"/>
            </w:r>
            <w:r>
              <w:rPr>
                <w:rFonts w:hint="default" w:ascii="Times New Roman" w:hAnsi="Times New Roman" w:eastAsia="宋体" w:cs="Times New Roman"/>
                <w:b w:val="0"/>
                <w:bCs w:val="0"/>
                <w:color w:val="000000"/>
                <w:kern w:val="0"/>
                <w:sz w:val="21"/>
                <w:szCs w:val="21"/>
                <w:highlight w:val="none"/>
                <w:vertAlign w:val="baseline"/>
                <w:lang w:val="en-US" w:eastAsia="zh-CN"/>
              </w:rPr>
              <w:t>262.48</w:t>
            </w:r>
            <w:r>
              <w:rPr>
                <w:rFonts w:hint="default" w:ascii="Times New Roman" w:hAnsi="Times New Roman" w:eastAsia="宋体" w:cs="Times New Roman"/>
                <w:b w:val="0"/>
                <w:bCs w:val="0"/>
                <w:color w:val="000000"/>
                <w:kern w:val="0"/>
                <w:sz w:val="21"/>
                <w:szCs w:val="21"/>
                <w:highlight w:val="none"/>
                <w:vertAlign w:val="baseline"/>
                <w:lang w:val="en-US" w:eastAsia="zh-CN"/>
              </w:rPr>
              <w:fldChar w:fldCharType="end"/>
            </w:r>
          </w:p>
        </w:tc>
        <w:tc>
          <w:tcPr>
            <w:tcW w:w="610" w:type="pct"/>
            <w:tcBorders>
              <w:tl2br w:val="nil"/>
              <w:tr2bl w:val="nil"/>
            </w:tcBorders>
            <w:noWrap w:val="0"/>
            <w:vAlign w:val="center"/>
          </w:tcPr>
          <w:p w14:paraId="1DDA19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r>
              <w:rPr>
                <w:rFonts w:hint="default" w:ascii="Times New Roman" w:hAnsi="Times New Roman" w:eastAsia="宋体" w:cs="Times New Roman"/>
                <w:b w:val="0"/>
                <w:bCs w:val="0"/>
                <w:color w:val="000000"/>
                <w:kern w:val="0"/>
                <w:sz w:val="21"/>
                <w:szCs w:val="21"/>
                <w:highlight w:val="none"/>
                <w:vertAlign w:val="baseline"/>
                <w:lang w:val="en-US" w:eastAsia="zh-CN"/>
              </w:rPr>
              <w:fldChar w:fldCharType="begin"/>
            </w:r>
            <w:r>
              <w:rPr>
                <w:rFonts w:hint="default" w:ascii="Times New Roman" w:hAnsi="Times New Roman" w:eastAsia="宋体" w:cs="Times New Roman"/>
                <w:b w:val="0"/>
                <w:bCs w:val="0"/>
                <w:color w:val="000000"/>
                <w:kern w:val="0"/>
                <w:sz w:val="21"/>
                <w:szCs w:val="21"/>
                <w:highlight w:val="none"/>
                <w:vertAlign w:val="baseline"/>
                <w:lang w:val="en-US" w:eastAsia="zh-CN"/>
              </w:rPr>
              <w:instrText xml:space="preserve"> = sum(D3:D8) \* MERGEFORMAT </w:instrText>
            </w:r>
            <w:r>
              <w:rPr>
                <w:rFonts w:hint="default" w:ascii="Times New Roman" w:hAnsi="Times New Roman" w:eastAsia="宋体" w:cs="Times New Roman"/>
                <w:b w:val="0"/>
                <w:bCs w:val="0"/>
                <w:color w:val="000000"/>
                <w:kern w:val="0"/>
                <w:sz w:val="21"/>
                <w:szCs w:val="21"/>
                <w:highlight w:val="none"/>
                <w:vertAlign w:val="baseline"/>
                <w:lang w:val="en-US" w:eastAsia="zh-CN"/>
              </w:rPr>
              <w:fldChar w:fldCharType="separate"/>
            </w:r>
            <w:r>
              <w:rPr>
                <w:rFonts w:hint="default" w:ascii="Times New Roman" w:hAnsi="Times New Roman" w:eastAsia="宋体" w:cs="Times New Roman"/>
                <w:b w:val="0"/>
                <w:bCs w:val="0"/>
                <w:color w:val="000000"/>
                <w:kern w:val="0"/>
                <w:sz w:val="21"/>
                <w:szCs w:val="21"/>
                <w:highlight w:val="none"/>
                <w:vertAlign w:val="baseline"/>
                <w:lang w:val="en-US" w:eastAsia="zh-CN"/>
              </w:rPr>
              <w:t>40.58</w:t>
            </w:r>
            <w:r>
              <w:rPr>
                <w:rFonts w:hint="default" w:ascii="Times New Roman" w:hAnsi="Times New Roman" w:eastAsia="宋体" w:cs="Times New Roman"/>
                <w:b w:val="0"/>
                <w:bCs w:val="0"/>
                <w:color w:val="000000"/>
                <w:kern w:val="0"/>
                <w:sz w:val="21"/>
                <w:szCs w:val="21"/>
                <w:highlight w:val="none"/>
                <w:vertAlign w:val="baseline"/>
                <w:lang w:val="en-US" w:eastAsia="zh-CN"/>
              </w:rPr>
              <w:fldChar w:fldCharType="end"/>
            </w:r>
          </w:p>
        </w:tc>
        <w:tc>
          <w:tcPr>
            <w:tcW w:w="590" w:type="pct"/>
            <w:tcBorders>
              <w:tl2br w:val="nil"/>
              <w:tr2bl w:val="nil"/>
            </w:tcBorders>
            <w:noWrap w:val="0"/>
            <w:vAlign w:val="center"/>
          </w:tcPr>
          <w:p w14:paraId="620DF9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r>
              <w:rPr>
                <w:rFonts w:hint="default" w:ascii="Times New Roman" w:hAnsi="Times New Roman" w:eastAsia="宋体" w:cs="Times New Roman"/>
                <w:b w:val="0"/>
                <w:bCs w:val="0"/>
                <w:color w:val="000000"/>
                <w:kern w:val="0"/>
                <w:sz w:val="21"/>
                <w:szCs w:val="21"/>
                <w:highlight w:val="none"/>
                <w:vertAlign w:val="baseline"/>
                <w:lang w:val="en-US" w:eastAsia="zh-CN"/>
              </w:rPr>
              <w:t>24079.49</w:t>
            </w:r>
          </w:p>
        </w:tc>
        <w:tc>
          <w:tcPr>
            <w:tcW w:w="438" w:type="pct"/>
            <w:tcBorders>
              <w:tl2br w:val="nil"/>
              <w:tr2bl w:val="nil"/>
            </w:tcBorders>
            <w:noWrap w:val="0"/>
            <w:vAlign w:val="center"/>
          </w:tcPr>
          <w:p w14:paraId="445665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rPr>
            </w:pPr>
            <w:r>
              <w:rPr>
                <w:rFonts w:hint="default" w:ascii="Times New Roman" w:hAnsi="Times New Roman" w:eastAsia="宋体" w:cs="Times New Roman"/>
                <w:b w:val="0"/>
                <w:bCs w:val="0"/>
                <w:color w:val="000000"/>
                <w:kern w:val="0"/>
                <w:sz w:val="21"/>
                <w:szCs w:val="21"/>
                <w:highlight w:val="none"/>
                <w:vertAlign w:val="baseline"/>
                <w:lang w:val="en-US" w:eastAsia="zh-CN"/>
              </w:rPr>
              <w:fldChar w:fldCharType="begin"/>
            </w:r>
            <w:r>
              <w:rPr>
                <w:rFonts w:hint="default" w:ascii="Times New Roman" w:hAnsi="Times New Roman" w:eastAsia="宋体" w:cs="Times New Roman"/>
                <w:b w:val="0"/>
                <w:bCs w:val="0"/>
                <w:color w:val="000000"/>
                <w:kern w:val="0"/>
                <w:sz w:val="21"/>
                <w:szCs w:val="21"/>
                <w:highlight w:val="none"/>
                <w:vertAlign w:val="baseline"/>
                <w:lang w:val="en-US" w:eastAsia="zh-CN"/>
              </w:rPr>
              <w:instrText xml:space="preserve"> = sum(F3:F8) \* MERGEFORMAT </w:instrText>
            </w:r>
            <w:r>
              <w:rPr>
                <w:rFonts w:hint="default" w:ascii="Times New Roman" w:hAnsi="Times New Roman" w:eastAsia="宋体" w:cs="Times New Roman"/>
                <w:b w:val="0"/>
                <w:bCs w:val="0"/>
                <w:color w:val="000000"/>
                <w:kern w:val="0"/>
                <w:sz w:val="21"/>
                <w:szCs w:val="21"/>
                <w:highlight w:val="none"/>
                <w:vertAlign w:val="baseline"/>
                <w:lang w:val="en-US" w:eastAsia="zh-CN"/>
              </w:rPr>
              <w:fldChar w:fldCharType="separate"/>
            </w:r>
            <w:r>
              <w:rPr>
                <w:rFonts w:hint="default" w:ascii="Times New Roman" w:hAnsi="Times New Roman" w:eastAsia="宋体" w:cs="Times New Roman"/>
                <w:b w:val="0"/>
                <w:bCs w:val="0"/>
                <w:color w:val="000000"/>
                <w:kern w:val="0"/>
                <w:sz w:val="21"/>
                <w:szCs w:val="21"/>
                <w:highlight w:val="none"/>
                <w:vertAlign w:val="baseline"/>
                <w:lang w:val="en-US" w:eastAsia="zh-CN"/>
              </w:rPr>
              <w:t>100</w:t>
            </w:r>
            <w:r>
              <w:rPr>
                <w:rFonts w:hint="default" w:ascii="Times New Roman" w:hAnsi="Times New Roman" w:eastAsia="宋体" w:cs="Times New Roman"/>
                <w:b w:val="0"/>
                <w:bCs w:val="0"/>
                <w:color w:val="000000"/>
                <w:kern w:val="0"/>
                <w:sz w:val="21"/>
                <w:szCs w:val="21"/>
                <w:highlight w:val="none"/>
                <w:vertAlign w:val="baseline"/>
                <w:lang w:val="en-US" w:eastAsia="zh-CN"/>
              </w:rPr>
              <w:fldChar w:fldCharType="end"/>
            </w:r>
          </w:p>
        </w:tc>
        <w:tc>
          <w:tcPr>
            <w:tcW w:w="716" w:type="pct"/>
            <w:tcBorders>
              <w:tl2br w:val="nil"/>
              <w:tr2bl w:val="nil"/>
            </w:tcBorders>
            <w:noWrap w:val="0"/>
            <w:vAlign w:val="center"/>
          </w:tcPr>
          <w:p w14:paraId="2A7799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r>
              <w:rPr>
                <w:rFonts w:hint="default" w:ascii="Times New Roman" w:hAnsi="Times New Roman" w:eastAsia="宋体" w:cs="Times New Roman"/>
                <w:b w:val="0"/>
                <w:bCs w:val="0"/>
                <w:color w:val="000000"/>
                <w:kern w:val="0"/>
                <w:sz w:val="21"/>
                <w:szCs w:val="21"/>
                <w:highlight w:val="none"/>
                <w:vertAlign w:val="baseline"/>
                <w:lang w:val="en-US" w:eastAsia="zh-CN"/>
              </w:rPr>
              <w:fldChar w:fldCharType="begin"/>
            </w:r>
            <w:r>
              <w:rPr>
                <w:rFonts w:hint="default" w:ascii="Times New Roman" w:hAnsi="Times New Roman" w:eastAsia="宋体" w:cs="Times New Roman"/>
                <w:b w:val="0"/>
                <w:bCs w:val="0"/>
                <w:color w:val="000000"/>
                <w:kern w:val="0"/>
                <w:sz w:val="21"/>
                <w:szCs w:val="21"/>
                <w:highlight w:val="none"/>
                <w:vertAlign w:val="baseline"/>
                <w:lang w:val="en-US" w:eastAsia="zh-CN"/>
              </w:rPr>
              <w:instrText xml:space="preserve"> = sum(G3:G8) \* MERGEFORMAT </w:instrText>
            </w:r>
            <w:r>
              <w:rPr>
                <w:rFonts w:hint="default" w:ascii="Times New Roman" w:hAnsi="Times New Roman" w:eastAsia="宋体" w:cs="Times New Roman"/>
                <w:b w:val="0"/>
                <w:bCs w:val="0"/>
                <w:color w:val="000000"/>
                <w:kern w:val="0"/>
                <w:sz w:val="21"/>
                <w:szCs w:val="21"/>
                <w:highlight w:val="none"/>
                <w:vertAlign w:val="baseline"/>
                <w:lang w:val="en-US" w:eastAsia="zh-CN"/>
              </w:rPr>
              <w:fldChar w:fldCharType="separate"/>
            </w:r>
            <w:r>
              <w:rPr>
                <w:rFonts w:hint="default" w:ascii="Times New Roman" w:hAnsi="Times New Roman" w:eastAsia="宋体" w:cs="Times New Roman"/>
                <w:b w:val="0"/>
                <w:bCs w:val="0"/>
                <w:color w:val="000000"/>
                <w:kern w:val="0"/>
                <w:sz w:val="21"/>
                <w:szCs w:val="21"/>
                <w:highlight w:val="none"/>
                <w:vertAlign w:val="baseline"/>
                <w:lang w:val="en-US" w:eastAsia="zh-CN"/>
              </w:rPr>
              <w:t>19.88</w:t>
            </w:r>
            <w:r>
              <w:rPr>
                <w:rFonts w:hint="default" w:ascii="Times New Roman" w:hAnsi="Times New Roman" w:eastAsia="宋体" w:cs="Times New Roman"/>
                <w:b w:val="0"/>
                <w:bCs w:val="0"/>
                <w:color w:val="000000"/>
                <w:kern w:val="0"/>
                <w:sz w:val="21"/>
                <w:szCs w:val="21"/>
                <w:highlight w:val="none"/>
                <w:vertAlign w:val="baseline"/>
                <w:lang w:val="en-US" w:eastAsia="zh-CN"/>
              </w:rPr>
              <w:fldChar w:fldCharType="end"/>
            </w:r>
          </w:p>
        </w:tc>
        <w:tc>
          <w:tcPr>
            <w:tcW w:w="655" w:type="pct"/>
            <w:tcBorders>
              <w:tl2br w:val="nil"/>
              <w:tr2bl w:val="nil"/>
            </w:tcBorders>
            <w:noWrap w:val="0"/>
            <w:vAlign w:val="center"/>
          </w:tcPr>
          <w:p w14:paraId="4EFCA6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r>
              <w:rPr>
                <w:rFonts w:hint="default" w:ascii="Times New Roman" w:hAnsi="Times New Roman" w:eastAsia="宋体" w:cs="Times New Roman"/>
                <w:b w:val="0"/>
                <w:bCs w:val="0"/>
                <w:color w:val="000000"/>
                <w:kern w:val="0"/>
                <w:sz w:val="21"/>
                <w:szCs w:val="21"/>
                <w:highlight w:val="none"/>
                <w:vertAlign w:val="baseline"/>
                <w:lang w:val="en-US" w:eastAsia="zh-CN"/>
              </w:rPr>
              <w:t>12646.38</w:t>
            </w:r>
          </w:p>
        </w:tc>
        <w:tc>
          <w:tcPr>
            <w:tcW w:w="452" w:type="pct"/>
            <w:tcBorders>
              <w:tl2br w:val="nil"/>
              <w:tr2bl w:val="nil"/>
            </w:tcBorders>
            <w:noWrap w:val="0"/>
            <w:vAlign w:val="center"/>
          </w:tcPr>
          <w:p w14:paraId="1F084E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vertAlign w:val="baseline"/>
                <w:lang w:val="en-US" w:eastAsia="zh-CN" w:bidi="ar-SA"/>
              </w:rPr>
            </w:pPr>
            <w:r>
              <w:rPr>
                <w:rFonts w:hint="default" w:ascii="Times New Roman" w:hAnsi="Times New Roman" w:eastAsia="宋体" w:cs="Times New Roman"/>
                <w:b w:val="0"/>
                <w:bCs w:val="0"/>
                <w:color w:val="000000"/>
                <w:kern w:val="0"/>
                <w:sz w:val="21"/>
                <w:szCs w:val="21"/>
                <w:highlight w:val="none"/>
                <w:vertAlign w:val="baseline"/>
                <w:lang w:val="en-US" w:eastAsia="zh-CN"/>
              </w:rPr>
              <w:fldChar w:fldCharType="begin"/>
            </w:r>
            <w:r>
              <w:rPr>
                <w:rFonts w:hint="default" w:ascii="Times New Roman" w:hAnsi="Times New Roman" w:eastAsia="宋体" w:cs="Times New Roman"/>
                <w:b w:val="0"/>
                <w:bCs w:val="0"/>
                <w:color w:val="000000"/>
                <w:kern w:val="0"/>
                <w:sz w:val="21"/>
                <w:szCs w:val="21"/>
                <w:highlight w:val="none"/>
                <w:vertAlign w:val="baseline"/>
                <w:lang w:val="en-US" w:eastAsia="zh-CN"/>
              </w:rPr>
              <w:instrText xml:space="preserve"> = sum(I3:I8) \* MERGEFORMAT </w:instrText>
            </w:r>
            <w:r>
              <w:rPr>
                <w:rFonts w:hint="default" w:ascii="Times New Roman" w:hAnsi="Times New Roman" w:eastAsia="宋体" w:cs="Times New Roman"/>
                <w:b w:val="0"/>
                <w:bCs w:val="0"/>
                <w:color w:val="000000"/>
                <w:kern w:val="0"/>
                <w:sz w:val="21"/>
                <w:szCs w:val="21"/>
                <w:highlight w:val="none"/>
                <w:vertAlign w:val="baseline"/>
                <w:lang w:val="en-US" w:eastAsia="zh-CN"/>
              </w:rPr>
              <w:fldChar w:fldCharType="separate"/>
            </w:r>
            <w:r>
              <w:rPr>
                <w:rFonts w:hint="default" w:ascii="Times New Roman" w:hAnsi="Times New Roman" w:eastAsia="宋体" w:cs="Times New Roman"/>
                <w:b w:val="0"/>
                <w:bCs w:val="0"/>
                <w:color w:val="000000"/>
                <w:kern w:val="0"/>
                <w:sz w:val="21"/>
                <w:szCs w:val="21"/>
                <w:highlight w:val="none"/>
                <w:vertAlign w:val="baseline"/>
                <w:lang w:val="en-US" w:eastAsia="zh-CN"/>
              </w:rPr>
              <w:t>100</w:t>
            </w:r>
            <w:r>
              <w:rPr>
                <w:rFonts w:hint="default" w:ascii="Times New Roman" w:hAnsi="Times New Roman" w:eastAsia="宋体" w:cs="Times New Roman"/>
                <w:b w:val="0"/>
                <w:bCs w:val="0"/>
                <w:color w:val="000000"/>
                <w:kern w:val="0"/>
                <w:sz w:val="21"/>
                <w:szCs w:val="21"/>
                <w:highlight w:val="none"/>
                <w:vertAlign w:val="baseline"/>
                <w:lang w:val="en-US" w:eastAsia="zh-CN"/>
              </w:rPr>
              <w:fldChar w:fldCharType="end"/>
            </w:r>
          </w:p>
        </w:tc>
      </w:tr>
    </w:tbl>
    <w:p w14:paraId="5922FA49">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outlineLvl w:val="2"/>
        <w:rPr>
          <w:rFonts w:hint="default" w:ascii="Times New Roman" w:hAnsi="Times New Roman" w:eastAsia="宋体" w:cs="Times New Roman"/>
          <w:color w:val="000000"/>
          <w:sz w:val="24"/>
          <w:szCs w:val="24"/>
          <w:highlight w:val="none"/>
          <w:lang w:val="en-US" w:eastAsia="zh-CN"/>
        </w:rPr>
      </w:pPr>
      <w:bookmarkStart w:id="123" w:name="_Toc11416"/>
      <w:r>
        <w:rPr>
          <w:rFonts w:hint="default" w:ascii="Times New Roman" w:hAnsi="Times New Roman" w:eastAsia="宋体" w:cs="Times New Roman"/>
          <w:color w:val="000000"/>
          <w:sz w:val="24"/>
          <w:szCs w:val="24"/>
          <w:highlight w:val="none"/>
          <w:lang w:val="en-US" w:eastAsia="zh-CN"/>
        </w:rPr>
        <w:t>2.3.6土壤现状评价</w:t>
      </w:r>
      <w:bookmarkEnd w:id="123"/>
    </w:p>
    <w:p w14:paraId="557CE73D">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规划区土壤自下而上分布着棕栗钙土、黑钙土，土壤类型图见图7。</w:t>
      </w:r>
    </w:p>
    <w:p w14:paraId="342FFC0E">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1）栗钙土</w:t>
      </w:r>
    </w:p>
    <w:p w14:paraId="6C1243CB">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是温带半干旱大陆气候和干</w:t>
      </w:r>
      <w:r>
        <w:rPr>
          <w:rFonts w:hint="default" w:ascii="Times New Roman" w:hAnsi="Times New Roman" w:eastAsia="宋体" w:cs="Times New Roman"/>
          <w:color w:val="000000"/>
          <w:sz w:val="24"/>
          <w:szCs w:val="24"/>
          <w:highlight w:val="none"/>
          <w:lang w:val="en-US" w:eastAsia="zh-CN"/>
        </w:rPr>
        <w:fldChar w:fldCharType="begin"/>
      </w:r>
      <w:r>
        <w:rPr>
          <w:rFonts w:hint="default" w:ascii="Times New Roman" w:hAnsi="Times New Roman" w:eastAsia="宋体" w:cs="Times New Roman"/>
          <w:color w:val="000000"/>
          <w:sz w:val="24"/>
          <w:szCs w:val="24"/>
          <w:highlight w:val="none"/>
          <w:lang w:val="en-US" w:eastAsia="zh-CN"/>
        </w:rPr>
        <w:instrText xml:space="preserve"> HYPERLINK "https://baike.baidu.com/item/%E8%8D%89%E5%8E%9F%E6%A4%8D%E8%A2%AB/10548205?fromModule=lemma_inlink" \t "https://baike.baidu.com/item/%E6%A0%97%E9%92%99%E5%9C%9F/_blank" </w:instrText>
      </w:r>
      <w:r>
        <w:rPr>
          <w:rFonts w:hint="default" w:ascii="Times New Roman" w:hAnsi="Times New Roman" w:eastAsia="宋体" w:cs="Times New Roman"/>
          <w:color w:val="000000"/>
          <w:sz w:val="24"/>
          <w:szCs w:val="24"/>
          <w:highlight w:val="none"/>
          <w:lang w:val="en-US" w:eastAsia="zh-CN"/>
        </w:rPr>
        <w:fldChar w:fldCharType="separate"/>
      </w:r>
      <w:r>
        <w:rPr>
          <w:rFonts w:hint="default" w:ascii="Times New Roman" w:hAnsi="Times New Roman" w:eastAsia="宋体" w:cs="Times New Roman"/>
          <w:color w:val="000000"/>
          <w:sz w:val="24"/>
          <w:szCs w:val="24"/>
          <w:highlight w:val="none"/>
          <w:lang w:val="en-US" w:eastAsia="zh-CN"/>
        </w:rPr>
        <w:t>草原植被</w:t>
      </w:r>
      <w:r>
        <w:rPr>
          <w:rFonts w:hint="default" w:ascii="Times New Roman" w:hAnsi="Times New Roman" w:eastAsia="宋体" w:cs="Times New Roman"/>
          <w:color w:val="000000"/>
          <w:sz w:val="24"/>
          <w:szCs w:val="24"/>
          <w:highlight w:val="none"/>
          <w:lang w:val="en-US" w:eastAsia="zh-CN"/>
        </w:rPr>
        <w:fldChar w:fldCharType="end"/>
      </w:r>
      <w:r>
        <w:rPr>
          <w:rFonts w:hint="default" w:ascii="Times New Roman" w:hAnsi="Times New Roman" w:eastAsia="宋体" w:cs="Times New Roman"/>
          <w:color w:val="000000"/>
          <w:sz w:val="24"/>
          <w:szCs w:val="24"/>
          <w:highlight w:val="none"/>
          <w:lang w:val="en-US" w:eastAsia="zh-CN"/>
        </w:rPr>
        <w:t>下经历腐殖质积累过程和钙积过程所形成的具有明显栗色腐殖质层和碳酸钙淀积层的钙积土壤。</w:t>
      </w:r>
    </w:p>
    <w:p w14:paraId="69447119">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2）黑钙土</w:t>
      </w:r>
    </w:p>
    <w:p w14:paraId="584CBAE2">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发育于温带半湿润半干旱地区</w:t>
      </w:r>
      <w:r>
        <w:rPr>
          <w:rFonts w:hint="default" w:ascii="Times New Roman" w:hAnsi="Times New Roman" w:eastAsia="宋体" w:cs="Times New Roman"/>
          <w:color w:val="000000"/>
          <w:sz w:val="24"/>
          <w:szCs w:val="24"/>
          <w:highlight w:val="none"/>
          <w:lang w:val="en-US" w:eastAsia="zh-CN"/>
        </w:rPr>
        <w:fldChar w:fldCharType="begin"/>
      </w:r>
      <w:r>
        <w:rPr>
          <w:rFonts w:hint="default" w:ascii="Times New Roman" w:hAnsi="Times New Roman" w:eastAsia="宋体" w:cs="Times New Roman"/>
          <w:color w:val="000000"/>
          <w:sz w:val="24"/>
          <w:szCs w:val="24"/>
          <w:highlight w:val="none"/>
          <w:lang w:val="en-US" w:eastAsia="zh-CN"/>
        </w:rPr>
        <w:instrText xml:space="preserve"> HYPERLINK "https://baike.baidu.com/item/%E8%8D%89%E7%94%B8%E8%8D%89%E5%8E%9F/10548133?fromModule=lemma_inlink" \t "https://baike.baidu.com/item/%E9%BB%91%E9%92%99%E5%9C%9F/_blank" </w:instrText>
      </w:r>
      <w:r>
        <w:rPr>
          <w:rFonts w:hint="default" w:ascii="Times New Roman" w:hAnsi="Times New Roman" w:eastAsia="宋体" w:cs="Times New Roman"/>
          <w:color w:val="000000"/>
          <w:sz w:val="24"/>
          <w:szCs w:val="24"/>
          <w:highlight w:val="none"/>
          <w:lang w:val="en-US" w:eastAsia="zh-CN"/>
        </w:rPr>
        <w:fldChar w:fldCharType="separate"/>
      </w:r>
      <w:r>
        <w:rPr>
          <w:rFonts w:hint="default" w:ascii="Times New Roman" w:hAnsi="Times New Roman" w:eastAsia="宋体" w:cs="Times New Roman"/>
          <w:color w:val="000000"/>
          <w:sz w:val="24"/>
          <w:szCs w:val="24"/>
          <w:highlight w:val="none"/>
          <w:lang w:val="en-US" w:eastAsia="zh-CN"/>
        </w:rPr>
        <w:t>草甸草原</w:t>
      </w:r>
      <w:r>
        <w:rPr>
          <w:rFonts w:hint="default" w:ascii="Times New Roman" w:hAnsi="Times New Roman" w:eastAsia="宋体" w:cs="Times New Roman"/>
          <w:color w:val="000000"/>
          <w:sz w:val="24"/>
          <w:szCs w:val="24"/>
          <w:highlight w:val="none"/>
          <w:lang w:val="en-US" w:eastAsia="zh-CN"/>
        </w:rPr>
        <w:fldChar w:fldCharType="end"/>
      </w:r>
      <w:r>
        <w:rPr>
          <w:rFonts w:hint="default" w:ascii="Times New Roman" w:hAnsi="Times New Roman" w:eastAsia="宋体" w:cs="Times New Roman"/>
          <w:color w:val="000000"/>
          <w:sz w:val="24"/>
          <w:szCs w:val="24"/>
          <w:highlight w:val="none"/>
          <w:lang w:val="en-US" w:eastAsia="zh-CN"/>
        </w:rPr>
        <w:t>和</w:t>
      </w:r>
      <w:r>
        <w:rPr>
          <w:rFonts w:hint="default" w:ascii="Times New Roman" w:hAnsi="Times New Roman" w:eastAsia="宋体" w:cs="Times New Roman"/>
          <w:color w:val="000000"/>
          <w:sz w:val="24"/>
          <w:szCs w:val="24"/>
          <w:highlight w:val="none"/>
          <w:lang w:val="en-US" w:eastAsia="zh-CN"/>
        </w:rPr>
        <w:fldChar w:fldCharType="begin"/>
      </w:r>
      <w:r>
        <w:rPr>
          <w:rFonts w:hint="default" w:ascii="Times New Roman" w:hAnsi="Times New Roman" w:eastAsia="宋体" w:cs="Times New Roman"/>
          <w:color w:val="000000"/>
          <w:sz w:val="24"/>
          <w:szCs w:val="24"/>
          <w:highlight w:val="none"/>
          <w:lang w:val="en-US" w:eastAsia="zh-CN"/>
        </w:rPr>
        <w:instrText xml:space="preserve"> HYPERLINK "https://baike.baidu.com/item/%E8%8D%89%E5%8E%9F%E6%A4%8D%E8%A2%AB/10548205?fromModule=lemma_inlink" \t "https://baike.baidu.com/item/%E9%BB%91%E9%92%99%E5%9C%9F/_blank" </w:instrText>
      </w:r>
      <w:r>
        <w:rPr>
          <w:rFonts w:hint="default" w:ascii="Times New Roman" w:hAnsi="Times New Roman" w:eastAsia="宋体" w:cs="Times New Roman"/>
          <w:color w:val="000000"/>
          <w:sz w:val="24"/>
          <w:szCs w:val="24"/>
          <w:highlight w:val="none"/>
          <w:lang w:val="en-US" w:eastAsia="zh-CN"/>
        </w:rPr>
        <w:fldChar w:fldCharType="separate"/>
      </w:r>
      <w:r>
        <w:rPr>
          <w:rFonts w:hint="default" w:ascii="Times New Roman" w:hAnsi="Times New Roman" w:eastAsia="宋体" w:cs="Times New Roman"/>
          <w:color w:val="000000"/>
          <w:sz w:val="24"/>
          <w:szCs w:val="24"/>
          <w:highlight w:val="none"/>
          <w:lang w:val="en-US" w:eastAsia="zh-CN"/>
        </w:rPr>
        <w:t>草原植被</w:t>
      </w:r>
      <w:r>
        <w:rPr>
          <w:rFonts w:hint="default" w:ascii="Times New Roman" w:hAnsi="Times New Roman" w:eastAsia="宋体" w:cs="Times New Roman"/>
          <w:color w:val="000000"/>
          <w:sz w:val="24"/>
          <w:szCs w:val="24"/>
          <w:highlight w:val="none"/>
          <w:lang w:val="en-US" w:eastAsia="zh-CN"/>
        </w:rPr>
        <w:fldChar w:fldCharType="end"/>
      </w:r>
      <w:r>
        <w:rPr>
          <w:rFonts w:hint="default" w:ascii="Times New Roman" w:hAnsi="Times New Roman" w:eastAsia="宋体" w:cs="Times New Roman"/>
          <w:color w:val="000000"/>
          <w:sz w:val="24"/>
          <w:szCs w:val="24"/>
          <w:highlight w:val="none"/>
          <w:lang w:val="en-US" w:eastAsia="zh-CN"/>
        </w:rPr>
        <w:t>下的土壤。其主要特征是土壤中</w:t>
      </w:r>
      <w:r>
        <w:rPr>
          <w:rFonts w:hint="default" w:ascii="Times New Roman" w:hAnsi="Times New Roman" w:eastAsia="宋体" w:cs="Times New Roman"/>
          <w:color w:val="000000"/>
          <w:sz w:val="24"/>
          <w:szCs w:val="24"/>
          <w:highlight w:val="none"/>
          <w:lang w:val="en-US" w:eastAsia="zh-CN"/>
        </w:rPr>
        <w:fldChar w:fldCharType="begin"/>
      </w:r>
      <w:r>
        <w:rPr>
          <w:rFonts w:hint="default" w:ascii="Times New Roman" w:hAnsi="Times New Roman" w:eastAsia="宋体" w:cs="Times New Roman"/>
          <w:color w:val="000000"/>
          <w:sz w:val="24"/>
          <w:szCs w:val="24"/>
          <w:highlight w:val="none"/>
          <w:lang w:val="en-US" w:eastAsia="zh-CN"/>
        </w:rPr>
        <w:instrText xml:space="preserve"> HYPERLINK "https://baike.baidu.com/item/%E6%9C%89%E6%9C%BA%E8%B4%A8/5936095?fromModule=lemma_inlink" \t "https://baike.baidu.com/item/%E9%BB%91%E9%92%99%E5%9C%9F/_blank" </w:instrText>
      </w:r>
      <w:r>
        <w:rPr>
          <w:rFonts w:hint="default" w:ascii="Times New Roman" w:hAnsi="Times New Roman" w:eastAsia="宋体" w:cs="Times New Roman"/>
          <w:color w:val="000000"/>
          <w:sz w:val="24"/>
          <w:szCs w:val="24"/>
          <w:highlight w:val="none"/>
          <w:lang w:val="en-US" w:eastAsia="zh-CN"/>
        </w:rPr>
        <w:fldChar w:fldCharType="separate"/>
      </w:r>
      <w:r>
        <w:rPr>
          <w:rFonts w:hint="default" w:ascii="Times New Roman" w:hAnsi="Times New Roman" w:eastAsia="宋体" w:cs="Times New Roman"/>
          <w:color w:val="000000"/>
          <w:sz w:val="24"/>
          <w:szCs w:val="24"/>
          <w:highlight w:val="none"/>
          <w:lang w:val="en-US" w:eastAsia="zh-CN"/>
        </w:rPr>
        <w:t>有机质</w:t>
      </w:r>
      <w:r>
        <w:rPr>
          <w:rFonts w:hint="default" w:ascii="Times New Roman" w:hAnsi="Times New Roman" w:eastAsia="宋体" w:cs="Times New Roman"/>
          <w:color w:val="000000"/>
          <w:sz w:val="24"/>
          <w:szCs w:val="24"/>
          <w:highlight w:val="none"/>
          <w:lang w:val="en-US" w:eastAsia="zh-CN"/>
        </w:rPr>
        <w:fldChar w:fldCharType="end"/>
      </w:r>
      <w:r>
        <w:rPr>
          <w:rFonts w:hint="default" w:ascii="Times New Roman" w:hAnsi="Times New Roman" w:eastAsia="宋体" w:cs="Times New Roman"/>
          <w:color w:val="000000"/>
          <w:sz w:val="24"/>
          <w:szCs w:val="24"/>
          <w:highlight w:val="none"/>
          <w:lang w:val="en-US" w:eastAsia="zh-CN"/>
        </w:rPr>
        <w:t>的积累量大于分解量，土层上部有一黑色或灰黑色肥沃的</w:t>
      </w:r>
      <w:r>
        <w:rPr>
          <w:rFonts w:hint="default" w:ascii="Times New Roman" w:hAnsi="Times New Roman" w:eastAsia="宋体" w:cs="Times New Roman"/>
          <w:color w:val="000000"/>
          <w:sz w:val="24"/>
          <w:szCs w:val="24"/>
          <w:highlight w:val="none"/>
          <w:lang w:val="en-US" w:eastAsia="zh-CN"/>
        </w:rPr>
        <w:fldChar w:fldCharType="begin"/>
      </w:r>
      <w:r>
        <w:rPr>
          <w:rFonts w:hint="default" w:ascii="Times New Roman" w:hAnsi="Times New Roman" w:eastAsia="宋体" w:cs="Times New Roman"/>
          <w:color w:val="000000"/>
          <w:sz w:val="24"/>
          <w:szCs w:val="24"/>
          <w:highlight w:val="none"/>
          <w:lang w:val="en-US" w:eastAsia="zh-CN"/>
        </w:rPr>
        <w:instrText xml:space="preserve"> HYPERLINK "https://baike.baidu.com/item/%E8%85%90%E6%AE%96%E8%B4%A8%E5%B1%82/1517754?fromModule=lemma_inlink" \t "https://baike.baidu.com/item/%E9%BB%91%E9%92%99%E5%9C%9F/_blank" </w:instrText>
      </w:r>
      <w:r>
        <w:rPr>
          <w:rFonts w:hint="default" w:ascii="Times New Roman" w:hAnsi="Times New Roman" w:eastAsia="宋体" w:cs="Times New Roman"/>
          <w:color w:val="000000"/>
          <w:sz w:val="24"/>
          <w:szCs w:val="24"/>
          <w:highlight w:val="none"/>
          <w:lang w:val="en-US" w:eastAsia="zh-CN"/>
        </w:rPr>
        <w:fldChar w:fldCharType="separate"/>
      </w:r>
      <w:r>
        <w:rPr>
          <w:rFonts w:hint="default" w:ascii="Times New Roman" w:hAnsi="Times New Roman" w:eastAsia="宋体" w:cs="Times New Roman"/>
          <w:color w:val="000000"/>
          <w:sz w:val="24"/>
          <w:szCs w:val="24"/>
          <w:highlight w:val="none"/>
          <w:lang w:val="en-US" w:eastAsia="zh-CN"/>
        </w:rPr>
        <w:t>腐殖质层</w:t>
      </w:r>
      <w:r>
        <w:rPr>
          <w:rFonts w:hint="default" w:ascii="Times New Roman" w:hAnsi="Times New Roman" w:eastAsia="宋体" w:cs="Times New Roman"/>
          <w:color w:val="000000"/>
          <w:sz w:val="24"/>
          <w:szCs w:val="24"/>
          <w:highlight w:val="none"/>
          <w:lang w:val="en-US" w:eastAsia="zh-CN"/>
        </w:rPr>
        <w:fldChar w:fldCharType="end"/>
      </w:r>
      <w:r>
        <w:rPr>
          <w:rFonts w:hint="default" w:ascii="Times New Roman" w:hAnsi="Times New Roman" w:eastAsia="宋体" w:cs="Times New Roman"/>
          <w:color w:val="000000"/>
          <w:sz w:val="24"/>
          <w:szCs w:val="24"/>
          <w:highlight w:val="none"/>
          <w:lang w:val="en-US" w:eastAsia="zh-CN"/>
        </w:rPr>
        <w:t>，在此层以下或土壤中下部有一石灰富积的钙积层，故名。主要分布于</w:t>
      </w:r>
      <w:r>
        <w:rPr>
          <w:rFonts w:hint="default" w:ascii="Times New Roman" w:hAnsi="Times New Roman" w:eastAsia="宋体" w:cs="Times New Roman"/>
          <w:color w:val="000000"/>
          <w:sz w:val="24"/>
          <w:szCs w:val="24"/>
          <w:highlight w:val="none"/>
          <w:lang w:val="en-US" w:eastAsia="zh-CN"/>
        </w:rPr>
        <w:fldChar w:fldCharType="begin"/>
      </w:r>
      <w:r>
        <w:rPr>
          <w:rFonts w:hint="default" w:ascii="Times New Roman" w:hAnsi="Times New Roman" w:eastAsia="宋体" w:cs="Times New Roman"/>
          <w:color w:val="000000"/>
          <w:sz w:val="24"/>
          <w:szCs w:val="24"/>
          <w:highlight w:val="none"/>
          <w:lang w:val="en-US" w:eastAsia="zh-CN"/>
        </w:rPr>
        <w:instrText xml:space="preserve"> HYPERLINK "https://baike.baidu.com/item/%E6%AC%A7%E4%BA%9A%E5%A4%A7%E9%99%86/4380766?fromModule=lemma_inlink" \t "https://baike.baidu.com/item/%E9%BB%91%E9%92%99%E5%9C%9F/_blank" </w:instrText>
      </w:r>
      <w:r>
        <w:rPr>
          <w:rFonts w:hint="default" w:ascii="Times New Roman" w:hAnsi="Times New Roman" w:eastAsia="宋体" w:cs="Times New Roman"/>
          <w:color w:val="000000"/>
          <w:sz w:val="24"/>
          <w:szCs w:val="24"/>
          <w:highlight w:val="none"/>
          <w:lang w:val="en-US" w:eastAsia="zh-CN"/>
        </w:rPr>
        <w:fldChar w:fldCharType="separate"/>
      </w:r>
      <w:r>
        <w:rPr>
          <w:rFonts w:hint="default" w:ascii="Times New Roman" w:hAnsi="Times New Roman" w:eastAsia="宋体" w:cs="Times New Roman"/>
          <w:color w:val="000000"/>
          <w:sz w:val="24"/>
          <w:szCs w:val="24"/>
          <w:highlight w:val="none"/>
          <w:lang w:val="en-US" w:eastAsia="zh-CN"/>
        </w:rPr>
        <w:t>欧亚大陆</w:t>
      </w:r>
      <w:r>
        <w:rPr>
          <w:rFonts w:hint="default" w:ascii="Times New Roman" w:hAnsi="Times New Roman" w:eastAsia="宋体" w:cs="Times New Roman"/>
          <w:color w:val="000000"/>
          <w:sz w:val="24"/>
          <w:szCs w:val="24"/>
          <w:highlight w:val="none"/>
          <w:lang w:val="en-US" w:eastAsia="zh-CN"/>
        </w:rPr>
        <w:fldChar w:fldCharType="end"/>
      </w:r>
      <w:r>
        <w:rPr>
          <w:rFonts w:hint="default" w:ascii="Times New Roman" w:hAnsi="Times New Roman" w:eastAsia="宋体" w:cs="Times New Roman"/>
          <w:color w:val="000000"/>
          <w:sz w:val="24"/>
          <w:szCs w:val="24"/>
          <w:highlight w:val="none"/>
          <w:lang w:val="en-US" w:eastAsia="zh-CN"/>
        </w:rPr>
        <w:t>和</w:t>
      </w:r>
      <w:r>
        <w:rPr>
          <w:rFonts w:hint="default" w:ascii="Times New Roman" w:hAnsi="Times New Roman" w:eastAsia="宋体" w:cs="Times New Roman"/>
          <w:color w:val="000000"/>
          <w:sz w:val="24"/>
          <w:szCs w:val="24"/>
          <w:highlight w:val="none"/>
          <w:lang w:val="en-US" w:eastAsia="zh-CN"/>
        </w:rPr>
        <w:fldChar w:fldCharType="begin"/>
      </w:r>
      <w:r>
        <w:rPr>
          <w:rFonts w:hint="default" w:ascii="Times New Roman" w:hAnsi="Times New Roman" w:eastAsia="宋体" w:cs="Times New Roman"/>
          <w:color w:val="000000"/>
          <w:sz w:val="24"/>
          <w:szCs w:val="24"/>
          <w:highlight w:val="none"/>
          <w:lang w:val="en-US" w:eastAsia="zh-CN"/>
        </w:rPr>
        <w:instrText xml:space="preserve"> HYPERLINK "https://baike.baidu.com/item/%E5%8C%97%E7%BE%8E%E6%B4%B2/135465?fromModule=lemma_inlink" \t "https://baike.baidu.com/item/%E9%BB%91%E9%92%99%E5%9C%9F/_blank" </w:instrText>
      </w:r>
      <w:r>
        <w:rPr>
          <w:rFonts w:hint="default" w:ascii="Times New Roman" w:hAnsi="Times New Roman" w:eastAsia="宋体" w:cs="Times New Roman"/>
          <w:color w:val="000000"/>
          <w:sz w:val="24"/>
          <w:szCs w:val="24"/>
          <w:highlight w:val="none"/>
          <w:lang w:val="en-US" w:eastAsia="zh-CN"/>
        </w:rPr>
        <w:fldChar w:fldCharType="separate"/>
      </w:r>
      <w:r>
        <w:rPr>
          <w:rFonts w:hint="default" w:ascii="Times New Roman" w:hAnsi="Times New Roman" w:eastAsia="宋体" w:cs="Times New Roman"/>
          <w:color w:val="000000"/>
          <w:sz w:val="24"/>
          <w:szCs w:val="24"/>
          <w:highlight w:val="none"/>
          <w:lang w:val="en-US" w:eastAsia="zh-CN"/>
        </w:rPr>
        <w:t>北美洲</w:t>
      </w:r>
      <w:r>
        <w:rPr>
          <w:rFonts w:hint="default" w:ascii="Times New Roman" w:hAnsi="Times New Roman" w:eastAsia="宋体" w:cs="Times New Roman"/>
          <w:color w:val="000000"/>
          <w:sz w:val="24"/>
          <w:szCs w:val="24"/>
          <w:highlight w:val="none"/>
          <w:lang w:val="en-US" w:eastAsia="zh-CN"/>
        </w:rPr>
        <w:fldChar w:fldCharType="end"/>
      </w:r>
      <w:r>
        <w:rPr>
          <w:rFonts w:hint="default" w:ascii="Times New Roman" w:hAnsi="Times New Roman" w:eastAsia="宋体" w:cs="Times New Roman"/>
          <w:color w:val="000000"/>
          <w:sz w:val="24"/>
          <w:szCs w:val="24"/>
          <w:highlight w:val="none"/>
          <w:lang w:val="en-US" w:eastAsia="zh-CN"/>
        </w:rPr>
        <w:t>的西部地区。中国大多分布在东北地区的西部和内蒙古东部，尤以大兴安岭东西两侧、</w:t>
      </w:r>
      <w:r>
        <w:rPr>
          <w:rFonts w:hint="default" w:ascii="Times New Roman" w:hAnsi="Times New Roman" w:eastAsia="宋体" w:cs="Times New Roman"/>
          <w:color w:val="000000"/>
          <w:sz w:val="24"/>
          <w:szCs w:val="24"/>
          <w:highlight w:val="none"/>
          <w:lang w:val="en-US" w:eastAsia="zh-CN"/>
        </w:rPr>
        <w:fldChar w:fldCharType="begin"/>
      </w:r>
      <w:r>
        <w:rPr>
          <w:rFonts w:hint="default" w:ascii="Times New Roman" w:hAnsi="Times New Roman" w:eastAsia="宋体" w:cs="Times New Roman"/>
          <w:color w:val="000000"/>
          <w:sz w:val="24"/>
          <w:szCs w:val="24"/>
          <w:highlight w:val="none"/>
          <w:lang w:val="en-US" w:eastAsia="zh-CN"/>
        </w:rPr>
        <w:instrText xml:space="preserve"> HYPERLINK "https://baike.baidu.com/item/%E6%9D%BE%E5%AB%A9%E5%B9%B3%E5%8E%9F/360602?fromModule=lemma_inlink" \t "https://baike.baidu.com/item/%E9%BB%91%E9%92%99%E5%9C%9F/_blank" </w:instrText>
      </w:r>
      <w:r>
        <w:rPr>
          <w:rFonts w:hint="default" w:ascii="Times New Roman" w:hAnsi="Times New Roman" w:eastAsia="宋体" w:cs="Times New Roman"/>
          <w:color w:val="000000"/>
          <w:sz w:val="24"/>
          <w:szCs w:val="24"/>
          <w:highlight w:val="none"/>
          <w:lang w:val="en-US" w:eastAsia="zh-CN"/>
        </w:rPr>
        <w:fldChar w:fldCharType="separate"/>
      </w:r>
      <w:r>
        <w:rPr>
          <w:rFonts w:hint="default" w:ascii="Times New Roman" w:hAnsi="Times New Roman" w:eastAsia="宋体" w:cs="Times New Roman"/>
          <w:color w:val="000000"/>
          <w:sz w:val="24"/>
          <w:szCs w:val="24"/>
          <w:highlight w:val="none"/>
          <w:lang w:val="en-US" w:eastAsia="zh-CN"/>
        </w:rPr>
        <w:t>松嫩平原</w:t>
      </w:r>
      <w:r>
        <w:rPr>
          <w:rFonts w:hint="default" w:ascii="Times New Roman" w:hAnsi="Times New Roman" w:eastAsia="宋体" w:cs="Times New Roman"/>
          <w:color w:val="000000"/>
          <w:sz w:val="24"/>
          <w:szCs w:val="24"/>
          <w:highlight w:val="none"/>
          <w:lang w:val="en-US" w:eastAsia="zh-CN"/>
        </w:rPr>
        <w:fldChar w:fldCharType="end"/>
      </w:r>
      <w:r>
        <w:rPr>
          <w:rFonts w:hint="default" w:ascii="Times New Roman" w:hAnsi="Times New Roman" w:eastAsia="宋体" w:cs="Times New Roman"/>
          <w:color w:val="000000"/>
          <w:sz w:val="24"/>
          <w:szCs w:val="24"/>
          <w:highlight w:val="none"/>
          <w:lang w:val="en-US" w:eastAsia="zh-CN"/>
        </w:rPr>
        <w:t>中部、松辽分水岭地区，以及向西延伸到燕山北坡和阴山山地的垂直带谱上更为集中。黑钙土潜在肥力较高，有相当一部分适宜发展粮食和油料作物。</w:t>
      </w:r>
    </w:p>
    <w:p w14:paraId="37964734">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b w:val="0"/>
          <w:bCs w:val="0"/>
          <w:color w:val="000000"/>
          <w:kern w:val="2"/>
          <w:sz w:val="24"/>
          <w:szCs w:val="24"/>
          <w:highlight w:val="none"/>
          <w:lang w:val="en-US" w:eastAsia="zh-CN" w:bidi="ar-SA"/>
        </w:rPr>
        <w:drawing>
          <wp:inline distT="0" distB="0" distL="114300" distR="114300">
            <wp:extent cx="5273040" cy="4081145"/>
            <wp:effectExtent l="0" t="0" r="3810" b="14605"/>
            <wp:docPr id="27" name="图片 40" descr="4fd73bea52f576a03226f5b740ef8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0" descr="4fd73bea52f576a03226f5b740ef8385"/>
                    <pic:cNvPicPr>
                      <a:picLocks noChangeAspect="1"/>
                    </pic:cNvPicPr>
                  </pic:nvPicPr>
                  <pic:blipFill>
                    <a:blip r:embed="rId52"/>
                    <a:stretch>
                      <a:fillRect/>
                    </a:stretch>
                  </pic:blipFill>
                  <pic:spPr>
                    <a:xfrm>
                      <a:off x="0" y="0"/>
                      <a:ext cx="5273040" cy="4081145"/>
                    </a:xfrm>
                    <a:prstGeom prst="rect">
                      <a:avLst/>
                    </a:prstGeom>
                    <a:noFill/>
                    <a:ln>
                      <a:noFill/>
                    </a:ln>
                  </pic:spPr>
                </pic:pic>
              </a:graphicData>
            </a:graphic>
          </wp:inline>
        </w:drawing>
      </w:r>
    </w:p>
    <w:p w14:paraId="5A99C5EB">
      <w:pPr>
        <w:pStyle w:val="13"/>
        <w:jc w:val="center"/>
        <w:rPr>
          <w:rFonts w:hint="default" w:ascii="Times New Roman" w:hAnsi="Times New Roman" w:eastAsia="宋体" w:cs="Times New Roman"/>
          <w:b/>
          <w:bCs/>
          <w:color w:val="000000"/>
          <w:sz w:val="24"/>
          <w:szCs w:val="24"/>
          <w:lang w:val="en-US" w:eastAsia="zh-CN"/>
        </w:rPr>
      </w:pPr>
      <w:r>
        <w:rPr>
          <w:rFonts w:hint="default" w:ascii="Times New Roman" w:hAnsi="Times New Roman" w:eastAsia="宋体" w:cs="Times New Roman"/>
          <w:b/>
          <w:bCs/>
          <w:color w:val="000000"/>
          <w:sz w:val="24"/>
          <w:szCs w:val="24"/>
          <w:lang w:val="en-US" w:eastAsia="zh-CN"/>
        </w:rPr>
        <w:t>图7   土壤类型图</w:t>
      </w:r>
    </w:p>
    <w:p w14:paraId="10758943">
      <w:pPr>
        <w:pStyle w:val="5"/>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b w:val="0"/>
          <w:bCs w:val="0"/>
          <w:color w:val="000000"/>
          <w:kern w:val="2"/>
          <w:sz w:val="24"/>
          <w:szCs w:val="24"/>
          <w:highlight w:val="none"/>
          <w:lang w:val="en-US" w:eastAsia="zh-CN" w:bidi="ar-SA"/>
        </w:rPr>
      </w:pPr>
      <w:bookmarkStart w:id="124" w:name="_Toc6834"/>
      <w:r>
        <w:rPr>
          <w:rFonts w:hint="default" w:ascii="Times New Roman" w:hAnsi="Times New Roman" w:eastAsia="宋体" w:cs="Times New Roman"/>
          <w:b w:val="0"/>
          <w:bCs w:val="0"/>
          <w:color w:val="000000"/>
          <w:kern w:val="2"/>
          <w:sz w:val="24"/>
          <w:szCs w:val="24"/>
          <w:highlight w:val="none"/>
          <w:lang w:val="en-US" w:eastAsia="zh-CN" w:bidi="ar-SA"/>
        </w:rPr>
        <w:t>2.3.7水土流失现状</w:t>
      </w:r>
      <w:bookmarkEnd w:id="124"/>
    </w:p>
    <w:p w14:paraId="211DE4D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textAlignment w:val="auto"/>
        <w:rPr>
          <w:rFonts w:hint="default" w:ascii="Times New Roman" w:hAnsi="Times New Roman" w:eastAsia="宋体" w:cs="Times New Roman"/>
          <w:b w:val="0"/>
          <w:bCs w:val="0"/>
          <w:color w:val="000000"/>
          <w:kern w:val="0"/>
          <w:sz w:val="24"/>
          <w:szCs w:val="24"/>
          <w:lang w:val="en-US" w:eastAsia="zh-CN"/>
        </w:rPr>
      </w:pPr>
      <w:r>
        <w:rPr>
          <w:rFonts w:hint="default" w:ascii="Times New Roman" w:hAnsi="Times New Roman" w:eastAsia="宋体" w:cs="Times New Roman"/>
          <w:b w:val="0"/>
          <w:bCs w:val="0"/>
          <w:color w:val="000000"/>
          <w:kern w:val="0"/>
          <w:sz w:val="24"/>
          <w:szCs w:val="24"/>
          <w:lang w:val="en-US" w:eastAsia="zh-CN"/>
        </w:rPr>
        <w:t>根据《水利部办公厅关于做好国家级水土流失重点预防区和重点治理区落地上图成果应用的通知》（办水保〔2025〕170号），结合《新疆自治区级水土流失重点预防区和治理区复核划分成果的通知》（新水〔2019〕4号），</w:t>
      </w:r>
      <w:r>
        <w:rPr>
          <w:rFonts w:hint="eastAsia" w:ascii="Times New Roman" w:hAnsi="Times New Roman" w:eastAsia="宋体" w:cs="Times New Roman"/>
          <w:b w:val="0"/>
          <w:bCs w:val="0"/>
          <w:color w:val="000000"/>
          <w:kern w:val="0"/>
          <w:sz w:val="24"/>
          <w:szCs w:val="24"/>
          <w:lang w:val="en-US" w:eastAsia="zh-CN"/>
        </w:rPr>
        <w:t>本</w:t>
      </w:r>
      <w:r>
        <w:rPr>
          <w:rFonts w:hint="default" w:ascii="Times New Roman" w:hAnsi="Times New Roman" w:eastAsia="宋体" w:cs="Times New Roman"/>
          <w:b w:val="0"/>
          <w:bCs w:val="0"/>
          <w:color w:val="000000"/>
          <w:kern w:val="0"/>
          <w:sz w:val="24"/>
          <w:szCs w:val="24"/>
          <w:lang w:val="en-US" w:eastAsia="zh-CN"/>
        </w:rPr>
        <w:t>项目</w:t>
      </w:r>
      <w:r>
        <w:rPr>
          <w:rFonts w:hint="eastAsia" w:ascii="Times New Roman" w:hAnsi="Times New Roman" w:eastAsia="宋体" w:cs="Times New Roman"/>
          <w:b w:val="0"/>
          <w:bCs w:val="0"/>
          <w:color w:val="000000"/>
          <w:kern w:val="0"/>
          <w:sz w:val="24"/>
          <w:szCs w:val="24"/>
          <w:lang w:val="en-US" w:eastAsia="zh-CN"/>
        </w:rPr>
        <w:t>位于</w:t>
      </w:r>
      <w:r>
        <w:rPr>
          <w:rFonts w:hint="default" w:ascii="Times New Roman" w:hAnsi="Times New Roman" w:eastAsia="宋体" w:cs="Times New Roman"/>
          <w:b w:val="0"/>
          <w:bCs w:val="0"/>
          <w:color w:val="000000"/>
          <w:kern w:val="0"/>
          <w:sz w:val="24"/>
          <w:szCs w:val="24"/>
          <w:lang w:val="en-US" w:eastAsia="zh-CN"/>
        </w:rPr>
        <w:t>II2天山北坡诸小河流域重点治理区。</w:t>
      </w:r>
    </w:p>
    <w:p w14:paraId="44006F2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right="0" w:firstLine="480" w:firstLineChars="200"/>
        <w:jc w:val="both"/>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b w:val="0"/>
          <w:bCs w:val="0"/>
          <w:color w:val="000000"/>
          <w:kern w:val="0"/>
          <w:sz w:val="24"/>
          <w:szCs w:val="24"/>
          <w:lang w:val="en-US" w:eastAsia="zh-CN"/>
        </w:rPr>
        <w:t>根据《新疆维吾尔自治区2025年度水土流失动态监测年报》，阜康市水土保持情况：2025年阜康市水土流失面积6567.37km</w:t>
      </w:r>
      <w:r>
        <w:rPr>
          <w:rFonts w:hint="default" w:ascii="Times New Roman" w:hAnsi="Times New Roman" w:eastAsia="宋体" w:cs="Times New Roman"/>
          <w:b w:val="0"/>
          <w:bCs w:val="0"/>
          <w:color w:val="000000"/>
          <w:kern w:val="0"/>
          <w:sz w:val="24"/>
          <w:szCs w:val="24"/>
          <w:vertAlign w:val="superscript"/>
          <w:lang w:val="en-US" w:eastAsia="zh-CN"/>
        </w:rPr>
        <w:t>2</w:t>
      </w:r>
      <w:r>
        <w:rPr>
          <w:rFonts w:hint="default" w:ascii="Times New Roman" w:hAnsi="Times New Roman" w:eastAsia="宋体" w:cs="Times New Roman"/>
          <w:b w:val="0"/>
          <w:bCs w:val="0"/>
          <w:color w:val="000000"/>
          <w:kern w:val="0"/>
          <w:sz w:val="24"/>
          <w:szCs w:val="24"/>
          <w:lang w:val="en-US" w:eastAsia="zh-CN"/>
        </w:rPr>
        <w:t>，占全市土地总面积的76.86%；其中水力侵蚀面积为664.12km</w:t>
      </w:r>
      <w:r>
        <w:rPr>
          <w:rFonts w:hint="default" w:ascii="Times New Roman" w:hAnsi="Times New Roman" w:eastAsia="宋体" w:cs="Times New Roman"/>
          <w:b w:val="0"/>
          <w:bCs w:val="0"/>
          <w:color w:val="000000"/>
          <w:kern w:val="0"/>
          <w:sz w:val="24"/>
          <w:szCs w:val="24"/>
          <w:vertAlign w:val="superscript"/>
          <w:lang w:val="en-US" w:eastAsia="zh-CN"/>
        </w:rPr>
        <w:t>2</w:t>
      </w:r>
      <w:r>
        <w:rPr>
          <w:rFonts w:hint="default" w:ascii="Times New Roman" w:hAnsi="Times New Roman" w:eastAsia="宋体" w:cs="Times New Roman"/>
          <w:b w:val="0"/>
          <w:bCs w:val="0"/>
          <w:color w:val="000000"/>
          <w:kern w:val="0"/>
          <w:sz w:val="24"/>
          <w:szCs w:val="24"/>
          <w:lang w:val="en-US" w:eastAsia="zh-CN"/>
        </w:rPr>
        <w:t>，占水土流失面积的10.11%；风力侵蚀面积为5903.25km</w:t>
      </w:r>
      <w:r>
        <w:rPr>
          <w:rFonts w:hint="default" w:ascii="Times New Roman" w:hAnsi="Times New Roman" w:eastAsia="宋体" w:cs="Times New Roman"/>
          <w:b w:val="0"/>
          <w:bCs w:val="0"/>
          <w:color w:val="000000"/>
          <w:kern w:val="0"/>
          <w:sz w:val="24"/>
          <w:szCs w:val="24"/>
          <w:vertAlign w:val="superscript"/>
          <w:lang w:val="en-US" w:eastAsia="zh-CN"/>
        </w:rPr>
        <w:t>2</w:t>
      </w:r>
      <w:r>
        <w:rPr>
          <w:rFonts w:hint="default" w:ascii="Times New Roman" w:hAnsi="Times New Roman" w:eastAsia="宋体" w:cs="Times New Roman"/>
          <w:b w:val="0"/>
          <w:bCs w:val="0"/>
          <w:color w:val="000000"/>
          <w:kern w:val="0"/>
          <w:sz w:val="24"/>
          <w:szCs w:val="24"/>
          <w:lang w:val="en-US" w:eastAsia="zh-CN"/>
        </w:rPr>
        <w:t>，占水土流失面积的89.89%。阜康市2025年水土流失面积比2024年减少了15.99km</w:t>
      </w:r>
      <w:r>
        <w:rPr>
          <w:rFonts w:hint="default" w:ascii="Times New Roman" w:hAnsi="Times New Roman" w:eastAsia="宋体" w:cs="Times New Roman"/>
          <w:b w:val="0"/>
          <w:bCs w:val="0"/>
          <w:color w:val="000000"/>
          <w:kern w:val="0"/>
          <w:sz w:val="24"/>
          <w:szCs w:val="24"/>
          <w:vertAlign w:val="superscript"/>
          <w:lang w:val="en-US" w:eastAsia="zh-CN"/>
        </w:rPr>
        <w:t>2</w:t>
      </w:r>
      <w:r>
        <w:rPr>
          <w:rFonts w:hint="default" w:ascii="Times New Roman" w:hAnsi="Times New Roman" w:eastAsia="宋体" w:cs="Times New Roman"/>
          <w:b w:val="0"/>
          <w:bCs w:val="0"/>
          <w:color w:val="000000"/>
          <w:kern w:val="0"/>
          <w:sz w:val="24"/>
          <w:szCs w:val="24"/>
          <w:lang w:val="en-US" w:eastAsia="zh-CN"/>
        </w:rPr>
        <w:t>。</w:t>
      </w:r>
    </w:p>
    <w:p w14:paraId="665E5847">
      <w:pPr>
        <w:pStyle w:val="4"/>
        <w:pageBreakBefore w:val="0"/>
        <w:widowControl w:val="0"/>
        <w:numPr>
          <w:ilvl w:val="1"/>
          <w:numId w:val="0"/>
        </w:numPr>
        <w:kinsoku/>
        <w:wordWrap/>
        <w:overflowPunct/>
        <w:topLinePunct w:val="0"/>
        <w:autoSpaceDE/>
        <w:autoSpaceDN/>
        <w:bidi w:val="0"/>
        <w:snapToGrid w:val="0"/>
        <w:spacing w:before="0" w:beforeLines="0" w:beforeAutospacing="0" w:after="0" w:afterLines="0" w:afterAutospacing="0" w:line="360" w:lineRule="auto"/>
        <w:jc w:val="both"/>
        <w:textAlignment w:val="auto"/>
        <w:rPr>
          <w:rFonts w:hint="default" w:ascii="Times New Roman" w:hAnsi="Times New Roman" w:eastAsia="宋体" w:cs="Times New Roman"/>
          <w:color w:val="000000"/>
          <w:sz w:val="24"/>
          <w:szCs w:val="24"/>
          <w:lang w:val="en-US" w:eastAsia="zh-CN"/>
        </w:rPr>
      </w:pPr>
      <w:bookmarkStart w:id="125" w:name="_Toc9762"/>
      <w:bookmarkStart w:id="126" w:name="_Toc30365"/>
      <w:bookmarkStart w:id="127" w:name="_Toc28007"/>
      <w:r>
        <w:rPr>
          <w:rFonts w:hint="default" w:ascii="Times New Roman" w:hAnsi="Times New Roman" w:eastAsia="宋体" w:cs="Times New Roman"/>
          <w:color w:val="000000"/>
          <w:sz w:val="24"/>
          <w:szCs w:val="24"/>
          <w:lang w:val="en-US" w:eastAsia="zh-CN"/>
        </w:rPr>
        <w:t>2.4生态保护目标</w:t>
      </w:r>
      <w:bookmarkEnd w:id="125"/>
      <w:bookmarkEnd w:id="126"/>
      <w:bookmarkEnd w:id="127"/>
    </w:p>
    <w:p w14:paraId="39BB0F4C">
      <w:pPr>
        <w:pStyle w:val="4"/>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360" w:lineRule="auto"/>
        <w:ind w:leftChars="0" w:firstLine="480" w:firstLineChars="200"/>
        <w:textAlignment w:val="auto"/>
        <w:outlineLvl w:val="2"/>
        <w:rPr>
          <w:rFonts w:hint="default" w:ascii="Times New Roman" w:hAnsi="Times New Roman" w:eastAsia="宋体" w:cs="Times New Roman"/>
          <w:b w:val="0"/>
          <w:bCs w:val="0"/>
          <w:color w:val="000000"/>
          <w:kern w:val="2"/>
          <w:sz w:val="24"/>
          <w:szCs w:val="24"/>
          <w:highlight w:val="none"/>
          <w:lang w:val="en-US" w:eastAsia="zh-CN" w:bidi="ar-SA"/>
        </w:rPr>
      </w:pPr>
      <w:bookmarkStart w:id="128" w:name="_Toc15524"/>
      <w:bookmarkStart w:id="129" w:name="_Toc2632"/>
      <w:bookmarkStart w:id="130" w:name="_Toc1329"/>
      <w:r>
        <w:rPr>
          <w:rFonts w:hint="default" w:ascii="Times New Roman" w:hAnsi="Times New Roman" w:eastAsia="宋体" w:cs="Times New Roman"/>
          <w:b w:val="0"/>
          <w:bCs w:val="0"/>
          <w:color w:val="000000"/>
          <w:kern w:val="2"/>
          <w:sz w:val="24"/>
          <w:szCs w:val="24"/>
          <w:highlight w:val="none"/>
          <w:lang w:val="en-US" w:eastAsia="zh-CN" w:bidi="ar-SA"/>
        </w:rPr>
        <w:t>2.4.1</w:t>
      </w:r>
      <w:bookmarkEnd w:id="128"/>
      <w:bookmarkEnd w:id="129"/>
      <w:bookmarkEnd w:id="130"/>
      <w:r>
        <w:rPr>
          <w:rFonts w:hint="eastAsia" w:ascii="Times New Roman" w:hAnsi="Times New Roman" w:eastAsia="宋体" w:cs="Times New Roman"/>
          <w:b w:val="0"/>
          <w:bCs w:val="0"/>
          <w:color w:val="000000"/>
          <w:kern w:val="2"/>
          <w:sz w:val="24"/>
          <w:szCs w:val="24"/>
          <w:highlight w:val="none"/>
          <w:lang w:val="en-US" w:eastAsia="zh-CN" w:bidi="ar-SA"/>
        </w:rPr>
        <w:t>新疆天山天池国家地质公园</w:t>
      </w:r>
    </w:p>
    <w:p w14:paraId="527FEAD2">
      <w:pPr>
        <w:pStyle w:val="6"/>
        <w:keepNext/>
        <w:keepLines/>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left="480" w:leftChars="0"/>
        <w:textAlignment w:val="auto"/>
        <w:outlineLvl w:val="3"/>
        <w:rPr>
          <w:rFonts w:hint="default" w:ascii="Times New Roman" w:hAnsi="Times New Roman" w:eastAsia="宋体" w:cs="Times New Roman"/>
          <w:b w:val="0"/>
          <w:bCs w:val="0"/>
          <w:color w:val="000000"/>
          <w:sz w:val="24"/>
          <w:szCs w:val="21"/>
          <w:lang w:val="en-US" w:eastAsia="zh-CN"/>
        </w:rPr>
      </w:pPr>
      <w:bookmarkStart w:id="131" w:name="_Toc2750"/>
      <w:bookmarkStart w:id="132" w:name="_Toc13136"/>
      <w:r>
        <w:rPr>
          <w:rFonts w:hint="default" w:ascii="Times New Roman" w:hAnsi="Times New Roman" w:eastAsia="宋体" w:cs="Times New Roman"/>
          <w:b w:val="0"/>
          <w:bCs w:val="0"/>
          <w:color w:val="000000"/>
          <w:sz w:val="24"/>
          <w:szCs w:val="21"/>
          <w:lang w:val="en-US" w:eastAsia="zh-CN"/>
        </w:rPr>
        <w:t>2.4.1.1概况</w:t>
      </w:r>
      <w:bookmarkEnd w:id="131"/>
      <w:bookmarkEnd w:id="132"/>
    </w:p>
    <w:p w14:paraId="7DA05F45">
      <w:pPr>
        <w:bidi w:val="0"/>
        <w:rPr>
          <w:rFonts w:hint="default"/>
          <w:lang w:val="en-US" w:eastAsia="zh-CN"/>
        </w:rPr>
      </w:pPr>
      <w:r>
        <w:rPr>
          <w:rFonts w:hint="eastAsia"/>
          <w:lang w:val="en-US" w:eastAsia="zh-CN"/>
        </w:rPr>
        <w:t>一、</w:t>
      </w:r>
      <w:r>
        <w:rPr>
          <w:rFonts w:hint="default"/>
          <w:lang w:val="en-US" w:eastAsia="zh-CN"/>
        </w:rPr>
        <w:t>总体布局</w:t>
      </w:r>
    </w:p>
    <w:p w14:paraId="2F05BDDF">
      <w:pPr>
        <w:bidi w:val="0"/>
        <w:rPr>
          <w:rFonts w:hint="default"/>
          <w:lang w:val="en-US" w:eastAsia="zh-CN"/>
        </w:rPr>
      </w:pPr>
      <w:r>
        <w:rPr>
          <w:rFonts w:hint="default"/>
          <w:lang w:val="en-US" w:eastAsia="zh-CN"/>
        </w:rPr>
        <w:t>根据公园的地质</w:t>
      </w:r>
      <w:r>
        <w:rPr>
          <w:rFonts w:hint="eastAsia"/>
          <w:lang w:val="en-US" w:eastAsia="zh-CN"/>
        </w:rPr>
        <w:t>遗迹</w:t>
      </w:r>
      <w:r>
        <w:rPr>
          <w:rFonts w:hint="default"/>
          <w:lang w:val="en-US" w:eastAsia="zh-CN"/>
        </w:rPr>
        <w:t>和其他景观资源的景观特征、地域分布、空间关系、内在联系，公园的总体结构布局为</w:t>
      </w:r>
      <w:r>
        <w:rPr>
          <w:rFonts w:hint="eastAsia"/>
          <w:lang w:val="en-US" w:eastAsia="zh-CN"/>
        </w:rPr>
        <w:t>：</w:t>
      </w:r>
    </w:p>
    <w:p w14:paraId="0FE7849B">
      <w:pPr>
        <w:bidi w:val="0"/>
        <w:rPr>
          <w:rFonts w:hint="default"/>
          <w:lang w:val="en-US" w:eastAsia="zh-CN"/>
        </w:rPr>
      </w:pPr>
      <w:r>
        <w:rPr>
          <w:rFonts w:hint="eastAsia"/>
          <w:lang w:val="en-US" w:eastAsia="zh-CN"/>
        </w:rPr>
        <w:t>1.</w:t>
      </w:r>
      <w:r>
        <w:rPr>
          <w:rFonts w:hint="default"/>
          <w:lang w:val="en-US" w:eastAsia="zh-CN"/>
        </w:rPr>
        <w:t>整个公园为1个独立园区，园区下分为4个景区，分别为天池景区</w:t>
      </w:r>
      <w:r>
        <w:rPr>
          <w:rFonts w:hint="eastAsia"/>
          <w:lang w:val="en-US" w:eastAsia="zh-CN"/>
        </w:rPr>
        <w:t>、</w:t>
      </w:r>
      <w:r>
        <w:rPr>
          <w:rFonts w:hint="default"/>
          <w:lang w:val="en-US" w:eastAsia="zh-CN"/>
        </w:rPr>
        <w:t>三工河景区、四工河景区、水磨河景区。</w:t>
      </w:r>
    </w:p>
    <w:p w14:paraId="031BF91B">
      <w:pPr>
        <w:bidi w:val="0"/>
        <w:rPr>
          <w:rFonts w:hint="default"/>
          <w:lang w:val="en-US" w:eastAsia="zh-CN"/>
        </w:rPr>
      </w:pPr>
      <w:r>
        <w:rPr>
          <w:rFonts w:hint="eastAsia"/>
          <w:lang w:val="en-US" w:eastAsia="zh-CN"/>
        </w:rPr>
        <w:t>2.</w:t>
      </w:r>
      <w:r>
        <w:rPr>
          <w:rFonts w:hint="default"/>
          <w:lang w:val="en-US" w:eastAsia="zh-CN"/>
        </w:rPr>
        <w:t>公园内主要地质遗迹分布具有集中性，其中三工河、四工河景区的地质遗迹分别沿着河谷呈带状分布</w:t>
      </w:r>
      <w:r>
        <w:rPr>
          <w:rFonts w:hint="eastAsia"/>
          <w:lang w:val="en-US" w:eastAsia="zh-CN"/>
        </w:rPr>
        <w:t>；</w:t>
      </w:r>
      <w:r>
        <w:rPr>
          <w:rFonts w:hint="default"/>
          <w:lang w:val="en-US" w:eastAsia="zh-CN"/>
        </w:rPr>
        <w:t>水磨河景区的地质遗迹沿</w:t>
      </w:r>
      <w:r>
        <w:rPr>
          <w:rFonts w:hint="eastAsia"/>
          <w:lang w:val="en-US" w:eastAsia="zh-CN"/>
        </w:rPr>
        <w:t>着</w:t>
      </w:r>
      <w:r>
        <w:rPr>
          <w:rFonts w:hint="default"/>
          <w:lang w:val="en-US" w:eastAsia="zh-CN"/>
        </w:rPr>
        <w:t>灯杆山及水磨河峡谷呈片状分布</w:t>
      </w:r>
      <w:r>
        <w:rPr>
          <w:rFonts w:hint="eastAsia"/>
          <w:lang w:val="en-US" w:eastAsia="zh-CN"/>
        </w:rPr>
        <w:t>；</w:t>
      </w:r>
      <w:r>
        <w:rPr>
          <w:rFonts w:hint="default"/>
          <w:lang w:val="en-US" w:eastAsia="zh-CN"/>
        </w:rPr>
        <w:t>天池景区的地质遗迹沿着天池周边呈放射状分布，同时博格达冰川一带则沿着冰川U谷分布。</w:t>
      </w:r>
    </w:p>
    <w:p w14:paraId="62B4669C">
      <w:pPr>
        <w:bidi w:val="0"/>
        <w:rPr>
          <w:rFonts w:hint="default"/>
          <w:lang w:val="en-US" w:eastAsia="zh-CN"/>
        </w:rPr>
      </w:pPr>
      <w:r>
        <w:rPr>
          <w:rFonts w:hint="eastAsia"/>
          <w:lang w:val="en-US" w:eastAsia="zh-CN"/>
        </w:rPr>
        <w:t>3.</w:t>
      </w:r>
      <w:r>
        <w:rPr>
          <w:rFonts w:hint="default"/>
          <w:lang w:val="en-US" w:eastAsia="zh-CN"/>
        </w:rPr>
        <w:t>公园内主要服务设施沿着三工河峡谷呈点状分布，以满足各景区游客需要其中博物馆、影视厅、主碑分布于公园外部的公园大门处，主要住宿、接待设施位于现在的公园游客服务区内。</w:t>
      </w:r>
    </w:p>
    <w:p w14:paraId="31CE9B5E">
      <w:pPr>
        <w:bidi w:val="0"/>
        <w:rPr>
          <w:rFonts w:hint="default"/>
          <w:lang w:val="en-US" w:eastAsia="zh-CN"/>
        </w:rPr>
      </w:pPr>
      <w:r>
        <w:rPr>
          <w:rFonts w:hint="eastAsia"/>
          <w:lang w:val="en-US" w:eastAsia="zh-CN"/>
        </w:rPr>
        <w:t>二、</w:t>
      </w:r>
      <w:r>
        <w:rPr>
          <w:rFonts w:hint="default"/>
          <w:lang w:val="en-US" w:eastAsia="zh-CN"/>
        </w:rPr>
        <w:t>园区、景区划分</w:t>
      </w:r>
    </w:p>
    <w:p w14:paraId="42DB0C8C">
      <w:pPr>
        <w:bidi w:val="0"/>
        <w:rPr>
          <w:rFonts w:hint="eastAsia"/>
          <w:lang w:val="en-US" w:eastAsia="zh-CN"/>
        </w:rPr>
      </w:pPr>
      <w:r>
        <w:rPr>
          <w:rFonts w:hint="default"/>
          <w:lang w:val="en-US" w:eastAsia="zh-CN"/>
        </w:rPr>
        <w:t>公园为一个独立园区，园区下分为4个景区</w:t>
      </w:r>
      <w:r>
        <w:rPr>
          <w:rFonts w:hint="eastAsia"/>
          <w:lang w:val="en-US" w:eastAsia="zh-CN"/>
        </w:rPr>
        <w:t>：</w:t>
      </w:r>
    </w:p>
    <w:p w14:paraId="23C6EF4E">
      <w:pPr>
        <w:bidi w:val="0"/>
        <w:rPr>
          <w:rFonts w:hint="default"/>
          <w:lang w:val="en-US" w:eastAsia="zh-CN"/>
        </w:rPr>
      </w:pPr>
      <w:r>
        <w:rPr>
          <w:rFonts w:hint="eastAsia"/>
          <w:lang w:val="en-US" w:eastAsia="zh-CN"/>
        </w:rPr>
        <w:t>（1）</w:t>
      </w:r>
      <w:r>
        <w:rPr>
          <w:rFonts w:hint="default"/>
          <w:lang w:val="en-US" w:eastAsia="zh-CN"/>
        </w:rPr>
        <w:t>天池景区</w:t>
      </w:r>
    </w:p>
    <w:p w14:paraId="538249E0">
      <w:pPr>
        <w:bidi w:val="0"/>
        <w:rPr>
          <w:rFonts w:hint="default"/>
          <w:lang w:val="en-US" w:eastAsia="zh-CN"/>
        </w:rPr>
      </w:pPr>
      <w:r>
        <w:rPr>
          <w:rFonts w:hint="default"/>
          <w:lang w:val="en-US" w:eastAsia="zh-CN"/>
        </w:rPr>
        <w:t>以天池为核心，面积262km</w:t>
      </w:r>
      <w:r>
        <w:rPr>
          <w:rFonts w:hint="eastAsia"/>
          <w:vertAlign w:val="superscript"/>
          <w:lang w:val="en-US" w:eastAsia="zh-CN"/>
        </w:rPr>
        <w:t>2</w:t>
      </w:r>
      <w:r>
        <w:rPr>
          <w:rFonts w:hint="default"/>
          <w:lang w:val="en-US" w:eastAsia="zh-CN"/>
        </w:rPr>
        <w:t>，规划天池四周的湖滨岸线和景观群落，计有7个景群，36个景点。景区以天池、马牙山火山岩石林等地质遗迹景观为主要特征。</w:t>
      </w:r>
    </w:p>
    <w:p w14:paraId="375AB6F4">
      <w:pPr>
        <w:bidi w:val="0"/>
        <w:rPr>
          <w:rFonts w:hint="default"/>
          <w:lang w:val="en-US" w:eastAsia="zh-CN"/>
        </w:rPr>
      </w:pPr>
      <w:r>
        <w:rPr>
          <w:rFonts w:hint="eastAsia"/>
          <w:lang w:val="en-US" w:eastAsia="zh-CN"/>
        </w:rPr>
        <w:t>（2）</w:t>
      </w:r>
      <w:r>
        <w:rPr>
          <w:rFonts w:hint="default"/>
          <w:lang w:val="en-US" w:eastAsia="zh-CN"/>
        </w:rPr>
        <w:t>三工河景区</w:t>
      </w:r>
    </w:p>
    <w:p w14:paraId="5D810181">
      <w:pPr>
        <w:bidi w:val="0"/>
        <w:rPr>
          <w:rFonts w:hint="default"/>
          <w:highlight w:val="none"/>
          <w:lang w:val="en-US" w:eastAsia="zh-CN"/>
        </w:rPr>
      </w:pPr>
      <w:r>
        <w:rPr>
          <w:rFonts w:hint="default"/>
          <w:lang w:val="en-US" w:eastAsia="zh-CN"/>
        </w:rPr>
        <w:t>三工河景区面积74km</w:t>
      </w:r>
      <w:r>
        <w:rPr>
          <w:rFonts w:hint="eastAsia"/>
          <w:vertAlign w:val="superscript"/>
          <w:lang w:val="en-US" w:eastAsia="zh-CN"/>
        </w:rPr>
        <w:t>2</w:t>
      </w:r>
      <w:r>
        <w:rPr>
          <w:rFonts w:hint="default"/>
          <w:lang w:val="en-US" w:eastAsia="zh-CN"/>
        </w:rPr>
        <w:t>。计有1个景群、5个景点</w:t>
      </w:r>
      <w:r>
        <w:rPr>
          <w:rFonts w:hint="default"/>
          <w:highlight w:val="none"/>
          <w:lang w:val="en-US" w:eastAsia="zh-CN"/>
        </w:rPr>
        <w:t>。景观类型有河流地貌、古冰川地貌、地质剖面、草原等，宜于开展科考、体验民族风情和科普观</w:t>
      </w:r>
      <w:r>
        <w:rPr>
          <w:rFonts w:hint="eastAsia"/>
          <w:highlight w:val="none"/>
          <w:lang w:val="en-US" w:eastAsia="zh-CN"/>
        </w:rPr>
        <w:t>光</w:t>
      </w:r>
      <w:r>
        <w:rPr>
          <w:rFonts w:hint="default"/>
          <w:highlight w:val="none"/>
          <w:lang w:val="en-US" w:eastAsia="zh-CN"/>
        </w:rPr>
        <w:t>等游赏项</w:t>
      </w:r>
      <w:r>
        <w:rPr>
          <w:rFonts w:hint="eastAsia"/>
          <w:highlight w:val="none"/>
          <w:lang w:val="en-US" w:eastAsia="zh-CN"/>
        </w:rPr>
        <w:t>目。</w:t>
      </w:r>
    </w:p>
    <w:p w14:paraId="0508C89B">
      <w:pPr>
        <w:bidi w:val="0"/>
        <w:rPr>
          <w:rFonts w:hint="default"/>
          <w:lang w:val="en-US" w:eastAsia="zh-CN"/>
        </w:rPr>
      </w:pPr>
      <w:r>
        <w:rPr>
          <w:rFonts w:hint="eastAsia"/>
          <w:lang w:val="en-US" w:eastAsia="zh-CN"/>
        </w:rPr>
        <w:t>（3）</w:t>
      </w:r>
      <w:r>
        <w:rPr>
          <w:rFonts w:hint="default"/>
          <w:lang w:val="en-US" w:eastAsia="zh-CN"/>
        </w:rPr>
        <w:t>四工河景区</w:t>
      </w:r>
    </w:p>
    <w:p w14:paraId="34CDC84C">
      <w:pPr>
        <w:bidi w:val="0"/>
        <w:rPr>
          <w:rFonts w:hint="default"/>
          <w:lang w:val="en-US" w:eastAsia="zh-CN"/>
        </w:rPr>
      </w:pPr>
      <w:r>
        <w:rPr>
          <w:rFonts w:hint="default"/>
          <w:lang w:val="en-US" w:eastAsia="zh-CN"/>
        </w:rPr>
        <w:t>四工河景区面积102km</w:t>
      </w:r>
      <w:r>
        <w:rPr>
          <w:rFonts w:hint="default"/>
          <w:vertAlign w:val="superscript"/>
          <w:lang w:val="en-US" w:eastAsia="zh-CN"/>
        </w:rPr>
        <w:t>2</w:t>
      </w:r>
      <w:r>
        <w:rPr>
          <w:rFonts w:hint="default"/>
          <w:lang w:val="en-US" w:eastAsia="zh-CN"/>
        </w:rPr>
        <w:t>，以第四纪冰川U型谷及河谷中的多期冰碛堤、森林和草原</w:t>
      </w:r>
      <w:r>
        <w:rPr>
          <w:rFonts w:hint="default"/>
          <w:highlight w:val="none"/>
          <w:lang w:val="en-US" w:eastAsia="zh-CN"/>
        </w:rPr>
        <w:t>为</w:t>
      </w:r>
      <w:r>
        <w:rPr>
          <w:rFonts w:hint="eastAsia"/>
          <w:highlight w:val="none"/>
          <w:lang w:val="en-US" w:eastAsia="zh-CN"/>
        </w:rPr>
        <w:t>主</w:t>
      </w:r>
      <w:r>
        <w:rPr>
          <w:rFonts w:hint="default"/>
          <w:highlight w:val="none"/>
          <w:lang w:val="en-US" w:eastAsia="zh-CN"/>
        </w:rPr>
        <w:t>要特</w:t>
      </w:r>
      <w:r>
        <w:rPr>
          <w:rFonts w:hint="default"/>
          <w:lang w:val="en-US" w:eastAsia="zh-CN"/>
        </w:rPr>
        <w:t>征，计有1个景群、4个景点。景观类型有古冰川地貌、草原、山坡等，宜于开展休闲娱乐、运动健身和体验民族风情等游赏项目。</w:t>
      </w:r>
    </w:p>
    <w:p w14:paraId="3923BB21">
      <w:pPr>
        <w:bidi w:val="0"/>
        <w:rPr>
          <w:rFonts w:hint="default"/>
          <w:lang w:val="en-US" w:eastAsia="zh-CN"/>
        </w:rPr>
      </w:pPr>
      <w:r>
        <w:rPr>
          <w:rFonts w:hint="eastAsia"/>
          <w:lang w:val="en-US" w:eastAsia="zh-CN"/>
        </w:rPr>
        <w:t>（4）</w:t>
      </w:r>
      <w:r>
        <w:rPr>
          <w:rFonts w:hint="default"/>
          <w:lang w:val="en-US" w:eastAsia="zh-CN"/>
        </w:rPr>
        <w:t>水磨河景区</w:t>
      </w:r>
    </w:p>
    <w:p w14:paraId="4FA9F423">
      <w:pPr>
        <w:bidi w:val="0"/>
        <w:rPr>
          <w:rFonts w:hint="default"/>
          <w:lang w:val="en-US" w:eastAsia="zh-CN"/>
        </w:rPr>
      </w:pPr>
      <w:r>
        <w:rPr>
          <w:rFonts w:hint="default"/>
          <w:lang w:val="en-US" w:eastAsia="zh-CN"/>
        </w:rPr>
        <w:t>水磨河景区面积10</w:t>
      </w:r>
      <w:r>
        <w:rPr>
          <w:rFonts w:hint="eastAsia"/>
          <w:lang w:val="en-US" w:eastAsia="zh-CN"/>
        </w:rPr>
        <w:t>5</w:t>
      </w:r>
      <w:r>
        <w:rPr>
          <w:rFonts w:hint="default"/>
          <w:lang w:val="en-US" w:eastAsia="zh-CN"/>
        </w:rPr>
        <w:t>km</w:t>
      </w:r>
      <w:r>
        <w:rPr>
          <w:rFonts w:hint="default"/>
          <w:vertAlign w:val="superscript"/>
          <w:lang w:val="en-US" w:eastAsia="zh-CN"/>
        </w:rPr>
        <w:t>2</w:t>
      </w:r>
      <w:r>
        <w:rPr>
          <w:rFonts w:hint="default"/>
          <w:lang w:val="en-US" w:eastAsia="zh-CN"/>
        </w:rPr>
        <w:t>，以第四纪冰川U型谷及河谷中的多期冰碛堤、森林和草原为主要特征，计有1个景群、3个景点。景观类型有古冰川地貌，草原、溪流等，宜于开展休闲娱乐、运动健身和体验民族风情等游赏项目。</w:t>
      </w:r>
    </w:p>
    <w:p w14:paraId="4336B48C">
      <w:pPr>
        <w:bidi w:val="0"/>
        <w:rPr>
          <w:rFonts w:hint="default"/>
          <w:lang w:val="en-US" w:eastAsia="zh-CN"/>
        </w:rPr>
      </w:pPr>
      <w:r>
        <w:rPr>
          <w:rFonts w:hint="eastAsia"/>
          <w:lang w:val="en-US" w:eastAsia="zh-CN"/>
        </w:rPr>
        <w:t>三、</w:t>
      </w:r>
      <w:r>
        <w:rPr>
          <w:rFonts w:hint="default"/>
          <w:lang w:val="en-US" w:eastAsia="zh-CN"/>
        </w:rPr>
        <w:t>功能区划分</w:t>
      </w:r>
    </w:p>
    <w:p w14:paraId="48CD3A81">
      <w:pPr>
        <w:bidi w:val="0"/>
        <w:rPr>
          <w:rFonts w:hint="default"/>
          <w:lang w:val="en-US" w:eastAsia="zh-CN"/>
        </w:rPr>
      </w:pPr>
      <w:r>
        <w:rPr>
          <w:rFonts w:hint="default"/>
          <w:lang w:val="en-US" w:eastAsia="zh-CN"/>
        </w:rPr>
        <w:t>公园规划为8个功能分区。</w:t>
      </w:r>
    </w:p>
    <w:p w14:paraId="24E39885">
      <w:pPr>
        <w:bidi w:val="0"/>
        <w:rPr>
          <w:rFonts w:hint="default"/>
          <w:lang w:val="en-US" w:eastAsia="zh-CN"/>
        </w:rPr>
      </w:pPr>
      <w:r>
        <w:rPr>
          <w:rFonts w:hint="eastAsia"/>
          <w:lang w:val="en-US" w:eastAsia="zh-CN"/>
        </w:rPr>
        <w:t>1.</w:t>
      </w:r>
      <w:r>
        <w:rPr>
          <w:rFonts w:hint="default"/>
          <w:lang w:val="en-US" w:eastAsia="zh-CN"/>
        </w:rPr>
        <w:t>门区</w:t>
      </w:r>
    </w:p>
    <w:p w14:paraId="5ED42A54">
      <w:pPr>
        <w:bidi w:val="0"/>
        <w:rPr>
          <w:rFonts w:hint="default"/>
          <w:lang w:val="en-US" w:eastAsia="zh-CN"/>
        </w:rPr>
      </w:pPr>
      <w:r>
        <w:rPr>
          <w:rFonts w:hint="default"/>
          <w:lang w:val="en-US" w:eastAsia="zh-CN"/>
        </w:rPr>
        <w:t>规划在目前正在修建的游人中心设置门区，该门区将修建成为大型综合游客集散中心，包含多种功能，包括公园大门、售票处、博物馆、影视厅、停车场等。</w:t>
      </w:r>
      <w:r>
        <w:rPr>
          <w:rFonts w:hint="eastAsia"/>
          <w:lang w:val="en-US" w:eastAsia="zh-CN"/>
        </w:rPr>
        <w:t>该</w:t>
      </w:r>
      <w:r>
        <w:rPr>
          <w:rFonts w:hint="default"/>
          <w:lang w:val="en-US" w:eastAsia="zh-CN"/>
        </w:rPr>
        <w:t>门区面积为1.21km</w:t>
      </w:r>
      <w:r>
        <w:rPr>
          <w:rFonts w:hint="default"/>
          <w:vertAlign w:val="superscript"/>
          <w:lang w:val="en-US" w:eastAsia="zh-CN"/>
        </w:rPr>
        <w:t>2</w:t>
      </w:r>
      <w:r>
        <w:rPr>
          <w:rFonts w:hint="default"/>
          <w:lang w:val="en-US" w:eastAsia="zh-CN"/>
        </w:rPr>
        <w:t>，占地质公园总面积的0.23%。</w:t>
      </w:r>
    </w:p>
    <w:p w14:paraId="2937C74B">
      <w:pPr>
        <w:bidi w:val="0"/>
        <w:rPr>
          <w:rFonts w:hint="default"/>
          <w:lang w:val="en-US" w:eastAsia="zh-CN"/>
        </w:rPr>
      </w:pPr>
      <w:r>
        <w:rPr>
          <w:rFonts w:hint="eastAsia"/>
          <w:lang w:val="en-US" w:eastAsia="zh-CN"/>
        </w:rPr>
        <w:t>2.</w:t>
      </w:r>
      <w:r>
        <w:rPr>
          <w:rFonts w:hint="default"/>
          <w:lang w:val="en-US" w:eastAsia="zh-CN"/>
        </w:rPr>
        <w:t>游客服务区</w:t>
      </w:r>
    </w:p>
    <w:p w14:paraId="38A2AD79">
      <w:pPr>
        <w:bidi w:val="0"/>
        <w:rPr>
          <w:rFonts w:hint="eastAsia"/>
          <w:lang w:val="en-US" w:eastAsia="zh-CN"/>
        </w:rPr>
      </w:pPr>
      <w:r>
        <w:rPr>
          <w:rFonts w:hint="default"/>
          <w:lang w:val="en-US" w:eastAsia="zh-CN"/>
        </w:rPr>
        <w:t>规划6处游客服务区与服务点，面积为9.91km</w:t>
      </w:r>
      <w:r>
        <w:rPr>
          <w:rFonts w:hint="eastAsia"/>
          <w:vertAlign w:val="superscript"/>
          <w:lang w:val="en-US" w:eastAsia="zh-CN"/>
        </w:rPr>
        <w:t>2</w:t>
      </w:r>
      <w:r>
        <w:rPr>
          <w:rFonts w:hint="default"/>
          <w:lang w:val="en-US" w:eastAsia="zh-CN"/>
        </w:rPr>
        <w:t>，占园区面积的1.92%</w:t>
      </w:r>
      <w:r>
        <w:rPr>
          <w:rFonts w:hint="eastAsia"/>
          <w:lang w:val="en-US" w:eastAsia="zh-CN"/>
        </w:rPr>
        <w:t>。</w:t>
      </w:r>
    </w:p>
    <w:p w14:paraId="07B1671F">
      <w:pPr>
        <w:bidi w:val="0"/>
        <w:rPr>
          <w:rFonts w:hint="default"/>
          <w:lang w:val="en-US" w:eastAsia="zh-CN"/>
        </w:rPr>
      </w:pPr>
      <w:r>
        <w:rPr>
          <w:rFonts w:hint="eastAsia"/>
          <w:lang w:val="en-US" w:eastAsia="zh-CN"/>
        </w:rPr>
        <w:t>1）</w:t>
      </w:r>
      <w:r>
        <w:rPr>
          <w:rFonts w:hint="default"/>
          <w:lang w:val="en-US" w:eastAsia="zh-CN"/>
        </w:rPr>
        <w:t>游人中心游客服务区，面积为0.14km</w:t>
      </w:r>
      <w:r>
        <w:rPr>
          <w:rFonts w:hint="default"/>
          <w:vertAlign w:val="superscript"/>
          <w:lang w:val="en-US" w:eastAsia="zh-CN"/>
        </w:rPr>
        <w:t>2</w:t>
      </w:r>
      <w:r>
        <w:rPr>
          <w:rFonts w:hint="eastAsia"/>
          <w:lang w:val="en-US" w:eastAsia="zh-CN"/>
        </w:rPr>
        <w:t>；</w:t>
      </w:r>
    </w:p>
    <w:p w14:paraId="776F9E5E">
      <w:pPr>
        <w:bidi w:val="0"/>
        <w:rPr>
          <w:rFonts w:hint="default"/>
          <w:lang w:val="en-US" w:eastAsia="zh-CN"/>
        </w:rPr>
      </w:pPr>
      <w:r>
        <w:rPr>
          <w:rFonts w:hint="eastAsia"/>
          <w:lang w:val="en-US" w:eastAsia="zh-CN"/>
        </w:rPr>
        <w:t>2）</w:t>
      </w:r>
      <w:r>
        <w:rPr>
          <w:rFonts w:hint="default"/>
          <w:lang w:val="en-US" w:eastAsia="zh-CN"/>
        </w:rPr>
        <w:t>三工河民俗风情游客服务区，面积为1.43km</w:t>
      </w:r>
      <w:r>
        <w:rPr>
          <w:rFonts w:hint="default"/>
          <w:vertAlign w:val="superscript"/>
          <w:lang w:val="en-US" w:eastAsia="zh-CN"/>
        </w:rPr>
        <w:t>2</w:t>
      </w:r>
      <w:r>
        <w:rPr>
          <w:rFonts w:hint="eastAsia"/>
          <w:lang w:val="en-US" w:eastAsia="zh-CN"/>
        </w:rPr>
        <w:t>；</w:t>
      </w:r>
    </w:p>
    <w:p w14:paraId="3F11E1FF">
      <w:pPr>
        <w:bidi w:val="0"/>
        <w:rPr>
          <w:rFonts w:hint="default"/>
          <w:lang w:val="en-US" w:eastAsia="zh-CN"/>
        </w:rPr>
      </w:pPr>
      <w:r>
        <w:rPr>
          <w:rFonts w:hint="eastAsia"/>
          <w:lang w:val="en-US" w:eastAsia="zh-CN"/>
        </w:rPr>
        <w:t>3）</w:t>
      </w:r>
      <w:r>
        <w:rPr>
          <w:rFonts w:hint="default"/>
          <w:lang w:val="en-US" w:eastAsia="zh-CN"/>
        </w:rPr>
        <w:t>滑雪场游客服务区，面积为7.39km</w:t>
      </w:r>
      <w:r>
        <w:rPr>
          <w:rFonts w:hint="eastAsia"/>
          <w:vertAlign w:val="superscript"/>
          <w:lang w:val="en-US" w:eastAsia="zh-CN"/>
        </w:rPr>
        <w:t>2</w:t>
      </w:r>
      <w:r>
        <w:rPr>
          <w:rFonts w:hint="eastAsia"/>
          <w:lang w:val="en-US" w:eastAsia="zh-CN"/>
        </w:rPr>
        <w:t>；</w:t>
      </w:r>
    </w:p>
    <w:p w14:paraId="643B1930">
      <w:pPr>
        <w:bidi w:val="0"/>
        <w:rPr>
          <w:rFonts w:hint="default"/>
          <w:lang w:val="en-US" w:eastAsia="zh-CN"/>
        </w:rPr>
      </w:pPr>
      <w:r>
        <w:rPr>
          <w:rFonts w:hint="eastAsia"/>
          <w:lang w:val="en-US" w:eastAsia="zh-CN"/>
        </w:rPr>
        <w:t>4）</w:t>
      </w:r>
      <w:r>
        <w:rPr>
          <w:rFonts w:hint="default"/>
          <w:lang w:val="en-US" w:eastAsia="zh-CN"/>
        </w:rPr>
        <w:t>天池游客服务中心服务区，面积为0.95km</w:t>
      </w:r>
      <w:r>
        <w:rPr>
          <w:rFonts w:hint="eastAsia"/>
          <w:vertAlign w:val="superscript"/>
          <w:lang w:val="en-US" w:eastAsia="zh-CN"/>
        </w:rPr>
        <w:t>2</w:t>
      </w:r>
      <w:r>
        <w:rPr>
          <w:rFonts w:hint="eastAsia"/>
          <w:lang w:val="en-US" w:eastAsia="zh-CN"/>
        </w:rPr>
        <w:t>；</w:t>
      </w:r>
    </w:p>
    <w:p w14:paraId="1800F339">
      <w:pPr>
        <w:bidi w:val="0"/>
        <w:rPr>
          <w:rFonts w:hint="default"/>
          <w:lang w:val="en-US" w:eastAsia="zh-CN"/>
        </w:rPr>
      </w:pPr>
      <w:r>
        <w:rPr>
          <w:rFonts w:hint="default"/>
          <w:lang w:val="en-US" w:eastAsia="zh-CN"/>
        </w:rPr>
        <w:t>5</w:t>
      </w:r>
      <w:r>
        <w:rPr>
          <w:rFonts w:hint="eastAsia"/>
          <w:lang w:val="en-US" w:eastAsia="zh-CN"/>
        </w:rPr>
        <w:t>）</w:t>
      </w:r>
      <w:r>
        <w:rPr>
          <w:rFonts w:hint="default"/>
          <w:lang w:val="en-US" w:eastAsia="zh-CN"/>
        </w:rPr>
        <w:t>白杨沟游客服务接待点</w:t>
      </w:r>
      <w:r>
        <w:rPr>
          <w:rFonts w:hint="eastAsia"/>
          <w:lang w:val="en-US" w:eastAsia="zh-CN"/>
        </w:rPr>
        <w:t>；</w:t>
      </w:r>
    </w:p>
    <w:p w14:paraId="2D9ECC56">
      <w:pPr>
        <w:bidi w:val="0"/>
        <w:rPr>
          <w:rFonts w:hint="default"/>
          <w:lang w:val="en-US" w:eastAsia="zh-CN"/>
        </w:rPr>
      </w:pPr>
      <w:r>
        <w:rPr>
          <w:rFonts w:hint="eastAsia"/>
          <w:lang w:val="en-US" w:eastAsia="zh-CN"/>
        </w:rPr>
        <w:t>6）</w:t>
      </w:r>
      <w:r>
        <w:rPr>
          <w:rFonts w:hint="default"/>
          <w:lang w:val="en-US" w:eastAsia="zh-CN"/>
        </w:rPr>
        <w:t>天池海南游客服务接待点。</w:t>
      </w:r>
    </w:p>
    <w:p w14:paraId="449DEEB9">
      <w:pPr>
        <w:bidi w:val="0"/>
        <w:rPr>
          <w:rFonts w:hint="default"/>
          <w:lang w:val="en-US" w:eastAsia="zh-CN"/>
        </w:rPr>
      </w:pPr>
      <w:r>
        <w:rPr>
          <w:rFonts w:hint="eastAsia"/>
          <w:lang w:val="en-US" w:eastAsia="zh-CN"/>
        </w:rPr>
        <w:t>3.</w:t>
      </w:r>
      <w:r>
        <w:rPr>
          <w:rFonts w:hint="default"/>
          <w:lang w:val="en-US" w:eastAsia="zh-CN"/>
        </w:rPr>
        <w:t>科普教育区</w:t>
      </w:r>
    </w:p>
    <w:p w14:paraId="0AB4D999">
      <w:pPr>
        <w:bidi w:val="0"/>
        <w:rPr>
          <w:rFonts w:hint="default"/>
          <w:lang w:val="en-US" w:eastAsia="zh-CN"/>
        </w:rPr>
      </w:pPr>
      <w:r>
        <w:rPr>
          <w:rFonts w:hint="default"/>
          <w:lang w:val="en-US" w:eastAsia="zh-CN"/>
        </w:rPr>
        <w:t>规划两处科普教育区，总面积为0.12km</w:t>
      </w:r>
      <w:r>
        <w:rPr>
          <w:rFonts w:hint="eastAsia"/>
          <w:vertAlign w:val="superscript"/>
          <w:lang w:val="en-US" w:eastAsia="zh-CN"/>
        </w:rPr>
        <w:t>2</w:t>
      </w:r>
      <w:r>
        <w:rPr>
          <w:rFonts w:hint="default"/>
          <w:lang w:val="en-US" w:eastAsia="zh-CN"/>
        </w:rPr>
        <w:t>，占总面积的0.02%。</w:t>
      </w:r>
    </w:p>
    <w:p w14:paraId="20FF52C2">
      <w:pPr>
        <w:bidi w:val="0"/>
        <w:rPr>
          <w:rFonts w:hint="default"/>
          <w:lang w:val="en-US" w:eastAsia="zh-CN"/>
        </w:rPr>
      </w:pPr>
      <w:r>
        <w:rPr>
          <w:rFonts w:hint="default"/>
          <w:lang w:val="en-US" w:eastAsia="zh-CN"/>
        </w:rPr>
        <w:t>1</w:t>
      </w:r>
      <w:r>
        <w:rPr>
          <w:rFonts w:hint="eastAsia"/>
          <w:lang w:val="en-US" w:eastAsia="zh-CN"/>
        </w:rPr>
        <w:t>）</w:t>
      </w:r>
      <w:r>
        <w:rPr>
          <w:rFonts w:hint="default"/>
          <w:lang w:val="en-US" w:eastAsia="zh-CN"/>
        </w:rPr>
        <w:t>游人中心科普教育区，面积为0.07km</w:t>
      </w:r>
      <w:r>
        <w:rPr>
          <w:rFonts w:hint="eastAsia"/>
          <w:vertAlign w:val="superscript"/>
          <w:lang w:val="en-US" w:eastAsia="zh-CN"/>
        </w:rPr>
        <w:t>2</w:t>
      </w:r>
      <w:r>
        <w:rPr>
          <w:rFonts w:hint="default"/>
          <w:lang w:val="en-US" w:eastAsia="zh-CN"/>
        </w:rPr>
        <w:t>，设置博物馆与影视厅，为游客进行科普教育宣传</w:t>
      </w:r>
      <w:r>
        <w:rPr>
          <w:rFonts w:hint="eastAsia"/>
          <w:lang w:val="en-US" w:eastAsia="zh-CN"/>
        </w:rPr>
        <w:t>。</w:t>
      </w:r>
    </w:p>
    <w:p w14:paraId="584DCB79">
      <w:pPr>
        <w:bidi w:val="0"/>
        <w:rPr>
          <w:rFonts w:hint="default"/>
          <w:lang w:val="en-US" w:eastAsia="zh-CN"/>
        </w:rPr>
      </w:pPr>
      <w:r>
        <w:rPr>
          <w:rFonts w:hint="default"/>
          <w:lang w:val="en-US" w:eastAsia="zh-CN"/>
        </w:rPr>
        <w:t>2</w:t>
      </w:r>
      <w:r>
        <w:rPr>
          <w:rFonts w:hint="eastAsia"/>
          <w:lang w:val="en-US" w:eastAsia="zh-CN"/>
        </w:rPr>
        <w:t>）</w:t>
      </w:r>
      <w:r>
        <w:rPr>
          <w:rFonts w:hint="default"/>
          <w:lang w:val="en-US" w:eastAsia="zh-CN"/>
        </w:rPr>
        <w:t>天池海西学生科普教育区，面积为0.05km</w:t>
      </w:r>
      <w:r>
        <w:rPr>
          <w:rFonts w:hint="eastAsia"/>
          <w:vertAlign w:val="superscript"/>
          <w:lang w:val="en-US" w:eastAsia="zh-CN"/>
        </w:rPr>
        <w:t>2</w:t>
      </w:r>
      <w:r>
        <w:rPr>
          <w:rFonts w:hint="eastAsia"/>
          <w:lang w:val="en-US" w:eastAsia="zh-CN"/>
        </w:rPr>
        <w:t>；</w:t>
      </w:r>
      <w:r>
        <w:rPr>
          <w:rFonts w:hint="default"/>
          <w:lang w:val="en-US" w:eastAsia="zh-CN"/>
        </w:rPr>
        <w:t>在此处将组织大专院校、中小学生的科普教育及实习基地。</w:t>
      </w:r>
    </w:p>
    <w:p w14:paraId="533D3AA2">
      <w:pPr>
        <w:bidi w:val="0"/>
        <w:rPr>
          <w:rFonts w:hint="default"/>
          <w:lang w:val="en-US" w:eastAsia="zh-CN"/>
        </w:rPr>
      </w:pPr>
      <w:bookmarkStart w:id="133" w:name="_Toc26528"/>
      <w:bookmarkStart w:id="134" w:name="_Toc29959"/>
      <w:r>
        <w:rPr>
          <w:rFonts w:hint="eastAsia"/>
          <w:lang w:val="en-US" w:eastAsia="zh-CN"/>
        </w:rPr>
        <w:t>4.</w:t>
      </w:r>
      <w:r>
        <w:rPr>
          <w:rFonts w:hint="default"/>
          <w:lang w:val="en-US" w:eastAsia="zh-CN"/>
        </w:rPr>
        <w:t>地质遗迹保护区</w:t>
      </w:r>
    </w:p>
    <w:p w14:paraId="150AE6A8">
      <w:pPr>
        <w:bidi w:val="0"/>
        <w:rPr>
          <w:rFonts w:hint="default"/>
          <w:lang w:val="en-US" w:eastAsia="zh-CN"/>
        </w:rPr>
      </w:pPr>
      <w:r>
        <w:rPr>
          <w:rFonts w:hint="default"/>
          <w:lang w:val="en-US" w:eastAsia="zh-CN"/>
        </w:rPr>
        <w:t>规划5处地质遗迹保护区，并规划一处地质遗迹保护点。总面积为199.01km²，占园区面积的36.65%。</w:t>
      </w:r>
    </w:p>
    <w:p w14:paraId="45274914">
      <w:pPr>
        <w:bidi w:val="0"/>
        <w:rPr>
          <w:rFonts w:hint="default"/>
          <w:lang w:val="en-US" w:eastAsia="zh-CN"/>
        </w:rPr>
      </w:pPr>
      <w:r>
        <w:rPr>
          <w:rFonts w:hint="default"/>
          <w:lang w:val="en-US" w:eastAsia="zh-CN"/>
        </w:rPr>
        <w:t>1）博格达地质遗迹保护区，面积为118.79km²。</w:t>
      </w:r>
    </w:p>
    <w:p w14:paraId="621A4DCB">
      <w:pPr>
        <w:bidi w:val="0"/>
        <w:rPr>
          <w:rFonts w:hint="default"/>
          <w:lang w:val="en-US" w:eastAsia="zh-CN"/>
        </w:rPr>
      </w:pPr>
      <w:r>
        <w:rPr>
          <w:rFonts w:hint="default"/>
          <w:lang w:val="en-US" w:eastAsia="zh-CN"/>
        </w:rPr>
        <w:t>主要以保护博格达现代冰川为主。</w:t>
      </w:r>
    </w:p>
    <w:p w14:paraId="2003BA63">
      <w:pPr>
        <w:bidi w:val="0"/>
        <w:rPr>
          <w:rFonts w:hint="default"/>
          <w:lang w:val="en-US" w:eastAsia="zh-CN"/>
        </w:rPr>
      </w:pPr>
      <w:r>
        <w:rPr>
          <w:rFonts w:hint="default"/>
          <w:lang w:val="en-US" w:eastAsia="zh-CN"/>
        </w:rPr>
        <w:t>2）吉沿坚—马鹿沟地质遗迹保护区，面积为60.21km²。</w:t>
      </w:r>
    </w:p>
    <w:p w14:paraId="10751557">
      <w:pPr>
        <w:bidi w:val="0"/>
        <w:rPr>
          <w:rFonts w:hint="default"/>
          <w:lang w:val="en-US" w:eastAsia="zh-CN"/>
        </w:rPr>
      </w:pPr>
      <w:r>
        <w:rPr>
          <w:rFonts w:hint="default"/>
          <w:lang w:val="en-US" w:eastAsia="zh-CN"/>
        </w:rPr>
        <w:t>主要以保护天池地质公园内的古冰川遗迹为主。</w:t>
      </w:r>
    </w:p>
    <w:p w14:paraId="5A580FBF">
      <w:pPr>
        <w:bidi w:val="0"/>
        <w:rPr>
          <w:rFonts w:hint="default"/>
          <w:lang w:val="en-US" w:eastAsia="zh-CN"/>
        </w:rPr>
      </w:pPr>
      <w:r>
        <w:rPr>
          <w:rFonts w:hint="default"/>
          <w:lang w:val="en-US" w:eastAsia="zh-CN"/>
        </w:rPr>
        <w:t>3）马牙山地质遗迹保护区，面积为6.55km²。</w:t>
      </w:r>
    </w:p>
    <w:p w14:paraId="3099AC87">
      <w:pPr>
        <w:bidi w:val="0"/>
        <w:rPr>
          <w:rFonts w:hint="default"/>
          <w:lang w:val="en-US" w:eastAsia="zh-CN"/>
        </w:rPr>
      </w:pPr>
      <w:r>
        <w:rPr>
          <w:rFonts w:hint="default"/>
          <w:lang w:val="en-US" w:eastAsia="zh-CN"/>
        </w:rPr>
        <w:t>主要以保护马牙山火山岩型石林为主。</w:t>
      </w:r>
    </w:p>
    <w:p w14:paraId="04B63763">
      <w:pPr>
        <w:bidi w:val="0"/>
        <w:rPr>
          <w:rFonts w:hint="default"/>
          <w:lang w:val="en-US" w:eastAsia="zh-CN"/>
        </w:rPr>
      </w:pPr>
      <w:r>
        <w:rPr>
          <w:rFonts w:hint="default"/>
          <w:lang w:val="en-US" w:eastAsia="zh-CN"/>
        </w:rPr>
        <w:t>4）天池及天池堤坝地质遗迹保护区，面积为2.99km²；</w:t>
      </w:r>
    </w:p>
    <w:p w14:paraId="67D0A06C">
      <w:pPr>
        <w:bidi w:val="0"/>
        <w:rPr>
          <w:rFonts w:hint="default"/>
          <w:lang w:val="en-US" w:eastAsia="zh-CN"/>
        </w:rPr>
      </w:pPr>
      <w:r>
        <w:rPr>
          <w:rFonts w:hint="default"/>
          <w:lang w:val="en-US" w:eastAsia="zh-CN"/>
        </w:rPr>
        <w:t>主要以保护天池水体及天池堤坝为主。</w:t>
      </w:r>
    </w:p>
    <w:p w14:paraId="30479B51">
      <w:pPr>
        <w:bidi w:val="0"/>
        <w:rPr>
          <w:rFonts w:hint="default"/>
          <w:lang w:val="en-US" w:eastAsia="zh-CN"/>
        </w:rPr>
      </w:pPr>
      <w:r>
        <w:rPr>
          <w:rFonts w:hint="default"/>
          <w:lang w:val="en-US" w:eastAsia="zh-CN"/>
        </w:rPr>
        <w:t>5）三工河沿线地质遗迹保护区，面积为10.47 km²；</w:t>
      </w:r>
    </w:p>
    <w:p w14:paraId="6D7D2A5E">
      <w:pPr>
        <w:bidi w:val="0"/>
        <w:rPr>
          <w:rFonts w:hint="default"/>
          <w:lang w:val="en-US" w:eastAsia="zh-CN"/>
        </w:rPr>
      </w:pPr>
      <w:r>
        <w:rPr>
          <w:rFonts w:hint="default"/>
          <w:lang w:val="en-US" w:eastAsia="zh-CN"/>
        </w:rPr>
        <w:t>主要以保护三工河沿线的河谷及部分地质遗迹景观为主。</w:t>
      </w:r>
    </w:p>
    <w:p w14:paraId="5578DFBA">
      <w:pPr>
        <w:bidi w:val="0"/>
        <w:rPr>
          <w:rFonts w:hint="default"/>
          <w:lang w:val="en-US" w:eastAsia="zh-CN"/>
        </w:rPr>
      </w:pPr>
      <w:r>
        <w:rPr>
          <w:rFonts w:hint="default"/>
          <w:lang w:val="en-US" w:eastAsia="zh-CN"/>
        </w:rPr>
        <w:t>6）化石山地质遗迹保护点，面积为10.47 km²；</w:t>
      </w:r>
    </w:p>
    <w:p w14:paraId="1078049D">
      <w:pPr>
        <w:bidi w:val="0"/>
        <w:rPr>
          <w:rFonts w:hint="default"/>
          <w:lang w:val="en-US" w:eastAsia="zh-CN"/>
        </w:rPr>
      </w:pPr>
      <w:r>
        <w:rPr>
          <w:rFonts w:hint="default"/>
          <w:lang w:val="en-US" w:eastAsia="zh-CN"/>
        </w:rPr>
        <w:t>主要以保护化石山古生物化石遗迹为主。</w:t>
      </w:r>
    </w:p>
    <w:p w14:paraId="53E58AD5">
      <w:pPr>
        <w:bidi w:val="0"/>
        <w:rPr>
          <w:rFonts w:hint="default"/>
          <w:lang w:val="en-US" w:eastAsia="zh-CN"/>
        </w:rPr>
      </w:pPr>
      <w:r>
        <w:rPr>
          <w:rFonts w:hint="eastAsia"/>
          <w:lang w:val="en-US" w:eastAsia="zh-CN"/>
        </w:rPr>
        <w:t>5.</w:t>
      </w:r>
      <w:r>
        <w:rPr>
          <w:rFonts w:hint="default"/>
          <w:lang w:val="en-US" w:eastAsia="zh-CN"/>
        </w:rPr>
        <w:t>自然生态区</w:t>
      </w:r>
    </w:p>
    <w:p w14:paraId="74615D4B">
      <w:pPr>
        <w:bidi w:val="0"/>
        <w:rPr>
          <w:rFonts w:hint="default"/>
          <w:lang w:val="en-US" w:eastAsia="zh-CN"/>
        </w:rPr>
      </w:pPr>
      <w:r>
        <w:rPr>
          <w:rFonts w:hint="default"/>
          <w:lang w:val="en-US" w:eastAsia="zh-CN"/>
        </w:rPr>
        <w:t>用以保护和维持生态环境的功能区。面积为284.85km²，占公园面积的54.24%。</w:t>
      </w:r>
    </w:p>
    <w:p w14:paraId="554DF33E">
      <w:pPr>
        <w:bidi w:val="0"/>
        <w:rPr>
          <w:rFonts w:hint="default"/>
          <w:lang w:val="en-US" w:eastAsia="zh-CN"/>
        </w:rPr>
      </w:pPr>
      <w:r>
        <w:rPr>
          <w:rFonts w:hint="eastAsia"/>
          <w:lang w:val="en-US" w:eastAsia="zh-CN"/>
        </w:rPr>
        <w:t>6.</w:t>
      </w:r>
      <w:r>
        <w:rPr>
          <w:rFonts w:hint="default"/>
          <w:lang w:val="en-US" w:eastAsia="zh-CN"/>
        </w:rPr>
        <w:t>游览区</w:t>
      </w:r>
    </w:p>
    <w:p w14:paraId="4B35430F">
      <w:pPr>
        <w:bidi w:val="0"/>
        <w:rPr>
          <w:rFonts w:hint="default"/>
          <w:lang w:val="en-US" w:eastAsia="zh-CN"/>
        </w:rPr>
      </w:pPr>
      <w:r>
        <w:rPr>
          <w:rFonts w:hint="default"/>
          <w:lang w:val="en-US" w:eastAsia="zh-CN"/>
        </w:rPr>
        <w:t>规划一处以游览环线为主体的综合游览区，规划面积为44.01km</w:t>
      </w:r>
      <w:r>
        <w:rPr>
          <w:rFonts w:hint="default"/>
          <w:vertAlign w:val="superscript"/>
          <w:lang w:val="en-US" w:eastAsia="zh-CN"/>
        </w:rPr>
        <w:t>2</w:t>
      </w:r>
      <w:r>
        <w:rPr>
          <w:rFonts w:hint="default"/>
          <w:lang w:val="en-US" w:eastAsia="zh-CN"/>
        </w:rPr>
        <w:t>，占公园面积的8.35%。</w:t>
      </w:r>
    </w:p>
    <w:p w14:paraId="75056D63">
      <w:pPr>
        <w:bidi w:val="0"/>
        <w:rPr>
          <w:rFonts w:hint="default"/>
          <w:lang w:val="en-US" w:eastAsia="zh-CN"/>
        </w:rPr>
      </w:pPr>
      <w:r>
        <w:rPr>
          <w:rFonts w:hint="eastAsia"/>
          <w:lang w:val="en-US" w:eastAsia="zh-CN"/>
        </w:rPr>
        <w:t>7.</w:t>
      </w:r>
      <w:r>
        <w:rPr>
          <w:rFonts w:hint="default"/>
          <w:lang w:val="en-US" w:eastAsia="zh-CN"/>
        </w:rPr>
        <w:t>公园管理区</w:t>
      </w:r>
    </w:p>
    <w:p w14:paraId="4CE8F4E1">
      <w:pPr>
        <w:bidi w:val="0"/>
        <w:rPr>
          <w:rFonts w:hint="default"/>
          <w:lang w:val="en-US" w:eastAsia="zh-CN"/>
        </w:rPr>
      </w:pPr>
      <w:r>
        <w:rPr>
          <w:rFonts w:hint="default"/>
          <w:lang w:val="en-US" w:eastAsia="zh-CN"/>
        </w:rPr>
        <w:t>规划公园管理区为2处，总面积为1.05km</w:t>
      </w:r>
      <w:r>
        <w:rPr>
          <w:rFonts w:hint="default"/>
          <w:vertAlign w:val="superscript"/>
          <w:lang w:val="en-US" w:eastAsia="zh-CN"/>
        </w:rPr>
        <w:t>2</w:t>
      </w:r>
      <w:r>
        <w:rPr>
          <w:rFonts w:hint="default"/>
          <w:lang w:val="en-US" w:eastAsia="zh-CN"/>
        </w:rPr>
        <w:t>，占公园总面积的0.2%。</w:t>
      </w:r>
    </w:p>
    <w:p w14:paraId="60026B59">
      <w:pPr>
        <w:bidi w:val="0"/>
        <w:rPr>
          <w:rFonts w:hint="default"/>
          <w:lang w:val="en-US" w:eastAsia="zh-CN"/>
        </w:rPr>
      </w:pPr>
      <w:r>
        <w:rPr>
          <w:rFonts w:hint="default"/>
          <w:lang w:val="en-US" w:eastAsia="zh-CN"/>
        </w:rPr>
        <w:t>1）天池阜康林场公园管理区，面积为0.92km²。</w:t>
      </w:r>
    </w:p>
    <w:p w14:paraId="7040C9D1">
      <w:pPr>
        <w:bidi w:val="0"/>
        <w:rPr>
          <w:rFonts w:hint="default"/>
          <w:lang w:val="en-US" w:eastAsia="zh-CN"/>
        </w:rPr>
      </w:pPr>
      <w:r>
        <w:rPr>
          <w:rFonts w:hint="default"/>
          <w:lang w:val="en-US" w:eastAsia="zh-CN"/>
        </w:rPr>
        <w:t>2）天池海北公园管理区，面积为0.13km²。</w:t>
      </w:r>
    </w:p>
    <w:p w14:paraId="781A5DFA">
      <w:pPr>
        <w:pageBreakBefore w:val="0"/>
        <w:widowControl w:val="0"/>
        <w:kinsoku/>
        <w:wordWrap/>
        <w:overflowPunct/>
        <w:topLinePunct w:val="0"/>
        <w:autoSpaceDE/>
        <w:autoSpaceDN/>
        <w:bidi w:val="0"/>
        <w:textAlignment w:val="auto"/>
        <w:rPr>
          <w:rFonts w:hint="default"/>
          <w:lang w:val="en-US" w:eastAsia="zh-CN"/>
        </w:rPr>
      </w:pPr>
      <w:r>
        <w:rPr>
          <w:rFonts w:hint="eastAsia"/>
          <w:lang w:val="en-US" w:eastAsia="zh-CN"/>
        </w:rPr>
        <w:t>8.</w:t>
      </w:r>
      <w:r>
        <w:rPr>
          <w:rFonts w:hint="default"/>
          <w:lang w:val="en-US" w:eastAsia="zh-CN"/>
        </w:rPr>
        <w:t>居民点保留区</w:t>
      </w:r>
    </w:p>
    <w:p w14:paraId="327BC086">
      <w:pPr>
        <w:pageBreakBefore w:val="0"/>
        <w:widowControl w:val="0"/>
        <w:kinsoku/>
        <w:wordWrap/>
        <w:overflowPunct/>
        <w:topLinePunct w:val="0"/>
        <w:autoSpaceDE/>
        <w:autoSpaceDN/>
        <w:bidi w:val="0"/>
        <w:textAlignment w:val="auto"/>
        <w:rPr>
          <w:rFonts w:hint="default"/>
          <w:lang w:val="en-US" w:eastAsia="zh-CN"/>
        </w:rPr>
      </w:pPr>
      <w:r>
        <w:rPr>
          <w:rFonts w:hint="default"/>
          <w:lang w:val="en-US" w:eastAsia="zh-CN"/>
        </w:rPr>
        <w:t>规划1处原有居民保留区，位于三工河乡政府周围的部分区域，面积为2.84km²，占公园总面积的0.54%。</w:t>
      </w:r>
    </w:p>
    <w:p w14:paraId="77C95C64">
      <w:pPr>
        <w:pStyle w:val="6"/>
        <w:keepNext/>
        <w:keepLines/>
        <w:pageBreakBefore w:val="0"/>
        <w:widowControl w:val="0"/>
        <w:numPr>
          <w:ilvl w:val="3"/>
          <w:numId w:val="0"/>
        </w:numPr>
        <w:kinsoku/>
        <w:wordWrap/>
        <w:overflowPunct/>
        <w:topLinePunct w:val="0"/>
        <w:autoSpaceDE/>
        <w:autoSpaceDN/>
        <w:bidi w:val="0"/>
        <w:adjustRightInd/>
        <w:snapToGrid w:val="0"/>
        <w:spacing w:before="0" w:beforeLines="0" w:beforeAutospacing="0" w:after="0" w:afterLines="0" w:afterAutospacing="0" w:line="360" w:lineRule="auto"/>
        <w:ind w:left="0" w:leftChars="0" w:firstLine="480" w:firstLineChars="200"/>
        <w:textAlignment w:val="auto"/>
        <w:outlineLvl w:val="3"/>
        <w:rPr>
          <w:rFonts w:hint="default" w:ascii="Times New Roman" w:hAnsi="Times New Roman" w:eastAsia="宋体" w:cs="Times New Roman"/>
          <w:b w:val="0"/>
          <w:bCs w:val="0"/>
          <w:color w:val="000000"/>
          <w:sz w:val="24"/>
          <w:szCs w:val="21"/>
          <w:lang w:val="en-US" w:eastAsia="zh-CN"/>
        </w:rPr>
      </w:pPr>
      <w:r>
        <w:rPr>
          <w:rFonts w:hint="default" w:ascii="Times New Roman" w:hAnsi="Times New Roman" w:eastAsia="宋体" w:cs="Times New Roman"/>
          <w:b w:val="0"/>
          <w:bCs w:val="0"/>
          <w:color w:val="000000"/>
          <w:sz w:val="24"/>
          <w:szCs w:val="21"/>
          <w:lang w:val="en-US" w:eastAsia="zh-CN"/>
        </w:rPr>
        <w:t>2.4.1.2与</w:t>
      </w:r>
      <w:r>
        <w:rPr>
          <w:rFonts w:hint="eastAsia" w:ascii="Times New Roman" w:hAnsi="Times New Roman" w:eastAsia="宋体" w:cs="Times New Roman"/>
          <w:b w:val="0"/>
          <w:bCs w:val="0"/>
          <w:color w:val="000000"/>
          <w:sz w:val="24"/>
          <w:szCs w:val="21"/>
          <w:lang w:val="en-US" w:eastAsia="zh-CN"/>
        </w:rPr>
        <w:t>新疆天山天池国家地质公园</w:t>
      </w:r>
      <w:r>
        <w:rPr>
          <w:rFonts w:hint="default" w:ascii="Times New Roman" w:hAnsi="Times New Roman" w:eastAsia="宋体" w:cs="Times New Roman"/>
          <w:b w:val="0"/>
          <w:bCs w:val="0"/>
          <w:color w:val="000000"/>
          <w:sz w:val="24"/>
          <w:szCs w:val="21"/>
          <w:lang w:val="en-US" w:eastAsia="zh-CN"/>
        </w:rPr>
        <w:t>位置关系</w:t>
      </w:r>
      <w:bookmarkEnd w:id="133"/>
      <w:bookmarkEnd w:id="134"/>
    </w:p>
    <w:p w14:paraId="586892DD">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本项目位于</w:t>
      </w:r>
      <w:r>
        <w:rPr>
          <w:rFonts w:hint="default" w:ascii="Times New Roman" w:hAnsi="Times New Roman" w:eastAsia="宋体" w:cs="Times New Roman"/>
          <w:color w:val="000000"/>
          <w:szCs w:val="21"/>
          <w:highlight w:val="none"/>
          <w:lang w:val="en-US" w:eastAsia="zh-CN"/>
        </w:rPr>
        <w:t>新疆维吾尔自治区昌吉回族自治州阜康市三工河哈萨克乡花儿沟村</w:t>
      </w:r>
      <w:r>
        <w:rPr>
          <w:rFonts w:hint="default" w:ascii="Times New Roman" w:hAnsi="Times New Roman" w:eastAsia="宋体" w:cs="Times New Roman"/>
          <w:b w:val="0"/>
          <w:bCs w:val="0"/>
          <w:color w:val="000000"/>
          <w:kern w:val="0"/>
          <w:sz w:val="24"/>
          <w:szCs w:val="24"/>
          <w:highlight w:val="none"/>
          <w:lang w:val="en-US" w:eastAsia="zh-CN"/>
        </w:rPr>
        <w:t>，根据《</w:t>
      </w:r>
      <w:r>
        <w:rPr>
          <w:rFonts w:hint="eastAsia" w:ascii="Times New Roman" w:hAnsi="Times New Roman" w:eastAsia="宋体" w:cs="Times New Roman"/>
          <w:color w:val="000000"/>
          <w:kern w:val="0"/>
          <w:sz w:val="24"/>
          <w:szCs w:val="24"/>
          <w:lang w:val="en-US" w:eastAsia="zh-CN" w:bidi="ar"/>
        </w:rPr>
        <w:t>新疆天山天池国家地质公园总体规划</w:t>
      </w:r>
      <w:r>
        <w:rPr>
          <w:rFonts w:hint="default" w:ascii="Times New Roman" w:hAnsi="Times New Roman" w:eastAsia="宋体" w:cs="Times New Roman"/>
          <w:color w:val="000000"/>
          <w:kern w:val="0"/>
          <w:sz w:val="24"/>
          <w:lang w:val="en-US" w:eastAsia="zh-CN"/>
        </w:rPr>
        <w:t>（2012</w:t>
      </w:r>
      <w:r>
        <w:rPr>
          <w:rFonts w:hint="eastAsia" w:cs="Times New Roman"/>
          <w:color w:val="000000"/>
          <w:kern w:val="0"/>
          <w:sz w:val="24"/>
          <w:lang w:val="en-US" w:eastAsia="zh-CN"/>
        </w:rPr>
        <w:t>—</w:t>
      </w:r>
      <w:r>
        <w:rPr>
          <w:rFonts w:hint="default" w:ascii="Times New Roman" w:hAnsi="Times New Roman" w:eastAsia="宋体" w:cs="Times New Roman"/>
          <w:color w:val="000000"/>
          <w:kern w:val="0"/>
          <w:sz w:val="24"/>
          <w:lang w:val="en-US" w:eastAsia="zh-CN"/>
        </w:rPr>
        <w:t>2020年）</w:t>
      </w:r>
      <w:r>
        <w:rPr>
          <w:rFonts w:hint="default" w:ascii="Times New Roman" w:hAnsi="Times New Roman" w:eastAsia="宋体" w:cs="Times New Roman"/>
          <w:b w:val="0"/>
          <w:bCs w:val="0"/>
          <w:color w:val="000000"/>
          <w:kern w:val="0"/>
          <w:sz w:val="24"/>
          <w:szCs w:val="24"/>
          <w:highlight w:val="none"/>
          <w:lang w:val="en-US" w:eastAsia="zh-CN"/>
        </w:rPr>
        <w:t>》</w:t>
      </w:r>
      <w:r>
        <w:rPr>
          <w:rFonts w:hint="eastAsia" w:ascii="Times New Roman" w:hAnsi="Times New Roman" w:eastAsia="宋体" w:cs="Times New Roman"/>
          <w:b w:val="0"/>
          <w:bCs w:val="0"/>
          <w:color w:val="000000"/>
          <w:kern w:val="0"/>
          <w:sz w:val="24"/>
          <w:szCs w:val="24"/>
          <w:highlight w:val="none"/>
          <w:lang w:val="en-US" w:eastAsia="zh-CN"/>
        </w:rPr>
        <w:t>的总体布局，本项目位于</w:t>
      </w:r>
      <w:r>
        <w:rPr>
          <w:rFonts w:hint="eastAsia" w:ascii="Times New Roman" w:hAnsi="Times New Roman" w:eastAsia="宋体" w:cs="Times New Roman"/>
          <w:color w:val="000000"/>
          <w:kern w:val="0"/>
          <w:sz w:val="24"/>
          <w:szCs w:val="24"/>
          <w:lang w:val="en-US" w:eastAsia="zh-CN" w:bidi="ar"/>
        </w:rPr>
        <w:t>新疆天山天池国家地质公园总体规划的三工河景区</w:t>
      </w:r>
      <w:r>
        <w:rPr>
          <w:rFonts w:hint="default" w:ascii="Times New Roman" w:hAnsi="Times New Roman" w:eastAsia="宋体" w:cs="Times New Roman"/>
          <w:b w:val="0"/>
          <w:bCs w:val="0"/>
          <w:color w:val="000000"/>
          <w:kern w:val="0"/>
          <w:sz w:val="24"/>
          <w:szCs w:val="24"/>
          <w:highlight w:val="none"/>
          <w:lang w:val="en-US" w:eastAsia="zh-CN"/>
        </w:rPr>
        <w:t>。</w:t>
      </w:r>
    </w:p>
    <w:p w14:paraId="4EEE2B3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本项目与</w:t>
      </w:r>
      <w:r>
        <w:rPr>
          <w:rFonts w:hint="eastAsia" w:ascii="Times New Roman" w:hAnsi="Times New Roman" w:eastAsia="宋体" w:cs="Times New Roman"/>
          <w:b w:val="0"/>
          <w:bCs w:val="0"/>
          <w:color w:val="000000"/>
          <w:kern w:val="0"/>
          <w:sz w:val="24"/>
          <w:szCs w:val="24"/>
          <w:highlight w:val="none"/>
          <w:lang w:val="en-US" w:eastAsia="zh-CN"/>
        </w:rPr>
        <w:t>新疆天山天池国家地质公园</w:t>
      </w:r>
      <w:r>
        <w:rPr>
          <w:rFonts w:hint="default" w:ascii="Times New Roman" w:hAnsi="Times New Roman" w:eastAsia="宋体" w:cs="Times New Roman"/>
          <w:b w:val="0"/>
          <w:bCs w:val="0"/>
          <w:color w:val="000000"/>
          <w:kern w:val="0"/>
          <w:sz w:val="24"/>
          <w:szCs w:val="24"/>
          <w:highlight w:val="none"/>
          <w:lang w:val="en-US" w:eastAsia="zh-CN"/>
        </w:rPr>
        <w:t>位置关系详见图8。</w:t>
      </w:r>
    </w:p>
    <w:p w14:paraId="5FD5D612">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left="0" w:leftChars="0" w:firstLine="0" w:firstLineChars="0"/>
        <w:jc w:val="both"/>
        <w:textAlignment w:val="auto"/>
        <w:outlineLvl w:val="9"/>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color w:val="000000"/>
          <w:sz w:val="24"/>
        </w:rPr>
        <mc:AlternateContent>
          <mc:Choice Requires="wps">
            <w:drawing>
              <wp:anchor distT="0" distB="0" distL="114300" distR="114300" simplePos="0" relativeHeight="251661312" behindDoc="0" locked="0" layoutInCell="1" allowOverlap="1">
                <wp:simplePos x="0" y="0"/>
                <wp:positionH relativeFrom="column">
                  <wp:posOffset>780415</wp:posOffset>
                </wp:positionH>
                <wp:positionV relativeFrom="paragraph">
                  <wp:posOffset>479425</wp:posOffset>
                </wp:positionV>
                <wp:extent cx="1270000" cy="528955"/>
                <wp:effectExtent l="158115" t="4445" r="19685" b="285750"/>
                <wp:wrapNone/>
                <wp:docPr id="7" name="圆角矩形标注 6"/>
                <wp:cNvGraphicFramePr/>
                <a:graphic xmlns:a="http://schemas.openxmlformats.org/drawingml/2006/main">
                  <a:graphicData uri="http://schemas.microsoft.com/office/word/2010/wordprocessingShape">
                    <wps:wsp>
                      <wps:cNvSpPr/>
                      <wps:spPr>
                        <a:xfrm>
                          <a:off x="2223770" y="3145155"/>
                          <a:ext cx="1270000" cy="528955"/>
                        </a:xfrm>
                        <a:prstGeom prst="wedgeRoundRectCallout">
                          <a:avLst>
                            <a:gd name="adj1" fmla="val -60049"/>
                            <a:gd name="adj2" fmla="val 98499"/>
                            <a:gd name="adj3" fmla="val 16667"/>
                          </a:avLst>
                        </a:prstGeom>
                        <a:noFill/>
                        <a:ln w="9525" cap="flat" cmpd="sng" algn="ctr">
                          <a:solidFill>
                            <a:srgbClr val="FF0000"/>
                          </a:solidFill>
                          <a:prstDash val="solid"/>
                          <a:miter lim="800000"/>
                        </a:ln>
                        <a:effectLst/>
                      </wps:spPr>
                      <wps:txbx>
                        <w:txbxContent>
                          <w:p w14:paraId="67F2A51F">
                            <w:pPr>
                              <w:ind w:left="0" w:leftChars="0" w:firstLine="0" w:firstLineChars="0"/>
                              <w:jc w:val="both"/>
                              <w:rPr>
                                <w:rFonts w:hint="default" w:eastAsia="宋体"/>
                                <w:b/>
                                <w:bCs/>
                                <w:color w:val="000000"/>
                                <w:sz w:val="24"/>
                                <w:szCs w:val="24"/>
                                <w:lang w:val="en-US" w:eastAsia="zh-CN"/>
                              </w:rPr>
                            </w:pPr>
                            <w:r>
                              <w:rPr>
                                <w:rFonts w:hint="eastAsia"/>
                                <w:b/>
                                <w:bCs/>
                                <w:color w:val="000000"/>
                                <w:sz w:val="24"/>
                                <w:szCs w:val="24"/>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6" o:spid="_x0000_s1026" o:spt="62" type="#_x0000_t62" style="position:absolute;left:0pt;margin-left:61.45pt;margin-top:37.75pt;height:41.65pt;width:100pt;z-index:251661312;v-text-anchor:middle;mso-width-relative:page;mso-height-relative:page;" filled="f" stroked="t" coordsize="21600,21600" o:gfxdata="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DAYiujWAAAACgEAAA8AAAAAAAAAAQAgAAAAIgAAAGRycy9kb3ducmV2LnhtbFBLAQIUABQAAAAI&#10;AIdO4kAxPfyf0wIAAIIFAAAOAAAAAAAAAAEAIAAAACUBAABkcnMvZTJvRG9jLnhtbFBLBQYAAAAA&#10;BgAGAFkBAABqBgAAAAA=&#10;" adj="-2171,32076,14400">
                <v:fill on="f" focussize="0,0"/>
                <v:stroke color="#FF0000" miterlimit="8" joinstyle="miter"/>
                <v:imagedata o:title=""/>
                <o:lock v:ext="edit" aspectratio="f"/>
                <v:textbox>
                  <w:txbxContent>
                    <w:p w14:paraId="67F2A51F">
                      <w:pPr>
                        <w:ind w:left="0" w:leftChars="0" w:firstLine="0" w:firstLineChars="0"/>
                        <w:jc w:val="both"/>
                        <w:rPr>
                          <w:rFonts w:hint="default" w:eastAsia="宋体"/>
                          <w:b/>
                          <w:bCs/>
                          <w:color w:val="000000"/>
                          <w:sz w:val="24"/>
                          <w:szCs w:val="24"/>
                          <w:lang w:val="en-US" w:eastAsia="zh-CN"/>
                        </w:rPr>
                      </w:pPr>
                      <w:r>
                        <w:rPr>
                          <w:rFonts w:hint="eastAsia"/>
                          <w:b/>
                          <w:bCs/>
                          <w:color w:val="000000"/>
                          <w:sz w:val="24"/>
                          <w:szCs w:val="24"/>
                          <w:lang w:val="en-US" w:eastAsia="zh-CN"/>
                        </w:rPr>
                        <w:t>项目所在地</w:t>
                      </w:r>
                    </w:p>
                  </w:txbxContent>
                </v:textbox>
              </v:shape>
            </w:pict>
          </mc:Fallback>
        </mc:AlternateContent>
      </w:r>
      <w:r>
        <w:rPr>
          <w:rFonts w:hint="default" w:ascii="Times New Roman" w:hAnsi="Times New Roman" w:eastAsia="宋体" w:cs="Times New Roman"/>
          <w:color w:val="000000"/>
          <w:sz w:val="24"/>
        </w:rPr>
        <w:drawing>
          <wp:inline distT="0" distB="0" distL="114300" distR="114300">
            <wp:extent cx="5271135" cy="5694045"/>
            <wp:effectExtent l="0" t="0" r="5715" b="1905"/>
            <wp:docPr id="28" name="图片 37" descr="d680363037c7c54612aa828f25a3eb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7" descr="d680363037c7c54612aa828f25a3eb86"/>
                    <pic:cNvPicPr>
                      <a:picLocks noChangeAspect="1"/>
                    </pic:cNvPicPr>
                  </pic:nvPicPr>
                  <pic:blipFill>
                    <a:blip r:embed="rId53"/>
                    <a:stretch>
                      <a:fillRect/>
                    </a:stretch>
                  </pic:blipFill>
                  <pic:spPr>
                    <a:xfrm>
                      <a:off x="0" y="0"/>
                      <a:ext cx="5271135" cy="5694045"/>
                    </a:xfrm>
                    <a:prstGeom prst="rect">
                      <a:avLst/>
                    </a:prstGeom>
                    <a:noFill/>
                    <a:ln>
                      <a:noFill/>
                    </a:ln>
                  </pic:spPr>
                </pic:pic>
              </a:graphicData>
            </a:graphic>
          </wp:inline>
        </w:drawing>
      </w:r>
    </w:p>
    <w:p w14:paraId="313EBDA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firstLine="482" w:firstLineChars="200"/>
        <w:jc w:val="center"/>
        <w:textAlignment w:val="auto"/>
        <w:outlineLvl w:val="9"/>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bCs/>
          <w:color w:val="000000"/>
          <w:kern w:val="2"/>
          <w:sz w:val="24"/>
          <w:szCs w:val="24"/>
          <w:highlight w:val="none"/>
          <w:lang w:val="en-US" w:eastAsia="zh-CN" w:bidi="ar-SA"/>
        </w:rPr>
        <w:t>图8   本项目与</w:t>
      </w:r>
      <w:r>
        <w:rPr>
          <w:rFonts w:hint="eastAsia" w:ascii="Times New Roman" w:hAnsi="Times New Roman" w:eastAsia="宋体" w:cs="Times New Roman"/>
          <w:b/>
          <w:bCs/>
          <w:color w:val="000000"/>
          <w:kern w:val="2"/>
          <w:sz w:val="24"/>
          <w:szCs w:val="24"/>
          <w:highlight w:val="none"/>
          <w:lang w:val="en-US" w:eastAsia="zh-CN" w:bidi="ar-SA"/>
        </w:rPr>
        <w:t>新疆天山天池国家地质公园</w:t>
      </w:r>
      <w:r>
        <w:rPr>
          <w:rFonts w:hint="default" w:ascii="Times New Roman" w:hAnsi="Times New Roman" w:eastAsia="宋体" w:cs="Times New Roman"/>
          <w:b/>
          <w:bCs/>
          <w:color w:val="000000"/>
          <w:kern w:val="2"/>
          <w:sz w:val="24"/>
          <w:szCs w:val="24"/>
          <w:highlight w:val="none"/>
          <w:lang w:val="en-US" w:eastAsia="zh-CN" w:bidi="ar-SA"/>
        </w:rPr>
        <w:t>位置关系图</w:t>
      </w:r>
    </w:p>
    <w:p w14:paraId="3C11DEEF">
      <w:pPr>
        <w:pStyle w:val="6"/>
        <w:keepNext/>
        <w:keepLines/>
        <w:pageBreakBefore w:val="0"/>
        <w:widowControl w:val="0"/>
        <w:numPr>
          <w:ilvl w:val="0"/>
          <w:numId w:val="0"/>
        </w:numPr>
        <w:kinsoku/>
        <w:wordWrap/>
        <w:overflowPunct/>
        <w:topLinePunct w:val="0"/>
        <w:autoSpaceDE/>
        <w:autoSpaceDN/>
        <w:bidi w:val="0"/>
        <w:adjustRightInd/>
        <w:snapToGrid w:val="0"/>
        <w:spacing w:before="0" w:beforeLines="0" w:after="0" w:afterLines="0" w:line="360" w:lineRule="auto"/>
        <w:ind w:left="0" w:leftChars="0" w:firstLine="480" w:firstLineChars="200"/>
        <w:textAlignment w:val="auto"/>
        <w:outlineLvl w:val="3"/>
        <w:rPr>
          <w:rFonts w:hint="default" w:ascii="Times New Roman" w:hAnsi="Times New Roman" w:eastAsia="宋体" w:cs="Times New Roman"/>
          <w:b w:val="0"/>
          <w:bCs w:val="0"/>
          <w:color w:val="000000"/>
          <w:sz w:val="24"/>
          <w:szCs w:val="21"/>
          <w:highlight w:val="none"/>
          <w:lang w:val="en-US" w:eastAsia="zh-CN"/>
        </w:rPr>
      </w:pPr>
      <w:r>
        <w:rPr>
          <w:rFonts w:hint="default" w:ascii="Times New Roman" w:hAnsi="Times New Roman" w:eastAsia="宋体" w:cs="Times New Roman"/>
          <w:b w:val="0"/>
          <w:bCs w:val="0"/>
          <w:color w:val="000000"/>
          <w:sz w:val="24"/>
          <w:szCs w:val="21"/>
          <w:lang w:val="en-US" w:eastAsia="zh-CN"/>
        </w:rPr>
        <w:t>2.4.1.3与《国家级自然公园管理办法（试行）》</w:t>
      </w:r>
      <w:r>
        <w:rPr>
          <w:rFonts w:hint="eastAsia" w:ascii="Times New Roman" w:hAnsi="Times New Roman" w:eastAsia="宋体" w:cs="Times New Roman"/>
          <w:b w:val="0"/>
          <w:bCs w:val="0"/>
          <w:color w:val="000000"/>
          <w:sz w:val="24"/>
          <w:szCs w:val="21"/>
          <w:lang w:val="en-US" w:eastAsia="zh-CN"/>
        </w:rPr>
        <w:t>（林保</w:t>
      </w:r>
      <w:r>
        <w:rPr>
          <w:rFonts w:hint="eastAsia" w:ascii="Times New Roman" w:hAnsi="Times New Roman" w:eastAsia="宋体" w:cs="Times New Roman"/>
          <w:b w:val="0"/>
          <w:bCs w:val="0"/>
          <w:color w:val="000000"/>
          <w:sz w:val="24"/>
          <w:szCs w:val="21"/>
          <w:highlight w:val="none"/>
          <w:lang w:val="en-US" w:eastAsia="zh-CN"/>
        </w:rPr>
        <w:t>规〔2023〕4号）</w:t>
      </w:r>
      <w:r>
        <w:rPr>
          <w:rFonts w:hint="default" w:ascii="Times New Roman" w:hAnsi="Times New Roman" w:eastAsia="宋体" w:cs="Times New Roman"/>
          <w:b w:val="0"/>
          <w:bCs w:val="0"/>
          <w:color w:val="000000"/>
          <w:sz w:val="24"/>
          <w:szCs w:val="21"/>
          <w:highlight w:val="none"/>
          <w:lang w:val="en-US" w:eastAsia="zh-CN"/>
        </w:rPr>
        <w:t>的符合性分析</w:t>
      </w:r>
    </w:p>
    <w:p w14:paraId="42FB3203">
      <w:pPr>
        <w:pStyle w:val="107"/>
        <w:keepNext w:val="0"/>
        <w:keepLines w:val="0"/>
        <w:pageBreakBefore w:val="0"/>
        <w:widowControl w:val="0"/>
        <w:kinsoku/>
        <w:wordWrap/>
        <w:overflowPunct/>
        <w:topLinePunct w:val="0"/>
        <w:autoSpaceDE/>
        <w:autoSpaceDN/>
        <w:bidi w:val="0"/>
        <w:adjustRightInd/>
        <w:snapToGrid w:val="0"/>
        <w:spacing w:line="360" w:lineRule="auto"/>
        <w:ind w:left="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本项目与《</w:t>
      </w:r>
      <w:r>
        <w:rPr>
          <w:rFonts w:hint="default" w:ascii="Times New Roman" w:hAnsi="Times New Roman" w:eastAsia="宋体" w:cs="Times New Roman"/>
          <w:b w:val="0"/>
          <w:bCs w:val="0"/>
          <w:color w:val="000000"/>
          <w:sz w:val="24"/>
          <w:szCs w:val="21"/>
          <w:highlight w:val="none"/>
          <w:lang w:val="en-US" w:eastAsia="zh-CN"/>
        </w:rPr>
        <w:t>国家级自然公园管理办法（试行）</w:t>
      </w:r>
      <w:r>
        <w:rPr>
          <w:rFonts w:hint="default" w:ascii="Times New Roman" w:hAnsi="Times New Roman" w:eastAsia="宋体" w:cs="Times New Roman"/>
          <w:color w:val="000000"/>
          <w:highlight w:val="none"/>
          <w:lang w:val="en-US" w:eastAsia="zh-CN"/>
        </w:rPr>
        <w:t>》</w:t>
      </w:r>
      <w:r>
        <w:rPr>
          <w:rFonts w:hint="eastAsia" w:ascii="Times New Roman" w:hAnsi="Times New Roman" w:eastAsia="宋体" w:cs="Times New Roman"/>
          <w:b w:val="0"/>
          <w:bCs w:val="0"/>
          <w:color w:val="000000"/>
          <w:sz w:val="24"/>
          <w:szCs w:val="21"/>
          <w:highlight w:val="none"/>
          <w:lang w:val="en-US" w:eastAsia="zh-CN"/>
        </w:rPr>
        <w:t>（林保规〔2023〕4号</w:t>
      </w:r>
      <w:r>
        <w:rPr>
          <w:rFonts w:hint="eastAsia" w:ascii="Times New Roman" w:hAnsi="Times New Roman" w:eastAsia="宋体" w:cs="Times New Roman"/>
          <w:b w:val="0"/>
          <w:bCs w:val="0"/>
          <w:color w:val="000000"/>
          <w:sz w:val="24"/>
          <w:szCs w:val="21"/>
          <w:lang w:val="en-US" w:eastAsia="zh-CN"/>
        </w:rPr>
        <w:t>）</w:t>
      </w:r>
      <w:r>
        <w:rPr>
          <w:rFonts w:hint="default" w:ascii="Times New Roman" w:hAnsi="Times New Roman" w:eastAsia="宋体" w:cs="Times New Roman"/>
          <w:color w:val="000000"/>
          <w:highlight w:val="none"/>
          <w:lang w:val="en-US" w:eastAsia="zh-CN"/>
        </w:rPr>
        <w:t>的符合性分析详见表1</w:t>
      </w:r>
      <w:r>
        <w:rPr>
          <w:rFonts w:hint="eastAsia" w:cs="Times New Roman"/>
          <w:color w:val="000000"/>
          <w:highlight w:val="none"/>
          <w:lang w:val="en-US" w:eastAsia="zh-CN"/>
        </w:rPr>
        <w:t>7</w:t>
      </w:r>
      <w:r>
        <w:rPr>
          <w:rFonts w:hint="default" w:ascii="Times New Roman" w:hAnsi="Times New Roman" w:eastAsia="宋体" w:cs="Times New Roman"/>
          <w:color w:val="000000"/>
          <w:highlight w:val="none"/>
          <w:lang w:val="en-US" w:eastAsia="zh-CN"/>
        </w:rPr>
        <w:t>。</w:t>
      </w:r>
    </w:p>
    <w:p w14:paraId="6D2D4D9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表1</w:t>
      </w:r>
      <w:r>
        <w:rPr>
          <w:rFonts w:hint="eastAsia" w:cs="Times New Roman"/>
          <w:b/>
          <w:bCs/>
          <w:color w:val="000000"/>
          <w:kern w:val="0"/>
          <w:sz w:val="21"/>
          <w:szCs w:val="21"/>
          <w:highlight w:val="none"/>
          <w:lang w:val="en-US" w:eastAsia="zh-CN"/>
        </w:rPr>
        <w:t>7</w:t>
      </w:r>
      <w:r>
        <w:rPr>
          <w:rFonts w:hint="default" w:ascii="Times New Roman" w:hAnsi="Times New Roman" w:eastAsia="宋体" w:cs="Times New Roman"/>
          <w:b/>
          <w:bCs/>
          <w:color w:val="000000"/>
          <w:kern w:val="0"/>
          <w:sz w:val="21"/>
          <w:szCs w:val="21"/>
          <w:highlight w:val="none"/>
          <w:lang w:val="en-US" w:eastAsia="zh-CN"/>
        </w:rPr>
        <w:t xml:space="preserve">   与《国家级自然公园管理办法（试行）》的符合性分析一览表</w:t>
      </w:r>
    </w:p>
    <w:tbl>
      <w:tblPr>
        <w:tblStyle w:val="33"/>
        <w:tblW w:w="494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587"/>
        <w:gridCol w:w="3170"/>
        <w:gridCol w:w="675"/>
      </w:tblGrid>
      <w:tr w14:paraId="2F3947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5" w:hRule="atLeast"/>
          <w:tblHeader/>
          <w:jc w:val="center"/>
        </w:trPr>
        <w:tc>
          <w:tcPr>
            <w:tcW w:w="2719" w:type="pct"/>
            <w:tcBorders>
              <w:tl2br w:val="nil"/>
              <w:tr2bl w:val="nil"/>
            </w:tcBorders>
            <w:noWrap w:val="0"/>
            <w:vAlign w:val="center"/>
          </w:tcPr>
          <w:p w14:paraId="1992C7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规划要求</w:t>
            </w:r>
          </w:p>
        </w:tc>
        <w:tc>
          <w:tcPr>
            <w:tcW w:w="1879" w:type="pct"/>
            <w:tcBorders>
              <w:tl2br w:val="nil"/>
              <w:tr2bl w:val="nil"/>
            </w:tcBorders>
            <w:noWrap w:val="0"/>
            <w:vAlign w:val="center"/>
          </w:tcPr>
          <w:p w14:paraId="203721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本项目情况</w:t>
            </w:r>
          </w:p>
        </w:tc>
        <w:tc>
          <w:tcPr>
            <w:tcW w:w="400" w:type="pct"/>
            <w:tcBorders>
              <w:tl2br w:val="nil"/>
              <w:tr2bl w:val="nil"/>
            </w:tcBorders>
            <w:noWrap w:val="0"/>
            <w:vAlign w:val="center"/>
          </w:tcPr>
          <w:p w14:paraId="601EC5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符合性</w:t>
            </w:r>
          </w:p>
        </w:tc>
      </w:tr>
      <w:tr w14:paraId="0E830E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2719" w:type="pct"/>
            <w:tcBorders>
              <w:tl2br w:val="nil"/>
              <w:tr2bl w:val="nil"/>
            </w:tcBorders>
            <w:noWrap w:val="0"/>
            <w:vAlign w:val="center"/>
          </w:tcPr>
          <w:p w14:paraId="735DB4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第十四条国家级自然公园按照一般控制区管理，可结合自然公园规划编制，分区细化差别化的管理要求。</w:t>
            </w:r>
          </w:p>
          <w:p w14:paraId="1D85A3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国家级自然公园根据资源禀赋、功能定位和利用强度，可以规划生态保育区和合理利用区，统筹生态保护修复、旅游活动和资源利用，合理布局相关基础设施、服务设施及配套设施建设，加强精细化管理，实现生态保护、绿色发展、民生改善相统一。规划的活动和设施应当符合本办法第十九条的管控要求。</w:t>
            </w:r>
          </w:p>
          <w:p w14:paraId="083DF6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生态保育区以承担生态系统保护和修复为主要功能，可以规划保护、培育、修复、管理活动和相关的必要设施建设，以及适度的观光游览活动。根据保护管理需要，可以在生态保育区内划定不对公众开放或者季节性开放区域。</w:t>
            </w:r>
          </w:p>
          <w:p w14:paraId="599B9D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合理利用区以开展自然体验、科普教育、观光游览、休闲健身等旅游活动为主要功能，兼顾自然公园内居民和其他合法权益主体的正常生产生活和资源利用。不得规划房地产、高尔夫球场、开发区等开发项目以及与保护管理目标不一致的旅游项目。严格控制索道、滑雪场、游乐场以及人造景观等对生态和景观影响较大的建设项目，确需规划的，应当附专题论证报告。</w:t>
            </w:r>
          </w:p>
        </w:tc>
        <w:tc>
          <w:tcPr>
            <w:tcW w:w="1879" w:type="pct"/>
            <w:tcBorders>
              <w:tl2br w:val="nil"/>
              <w:tr2bl w:val="nil"/>
            </w:tcBorders>
            <w:noWrap w:val="0"/>
            <w:vAlign w:val="center"/>
          </w:tcPr>
          <w:p w14:paraId="607F05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本项目位于新疆维吾尔自治区昌吉回族自治州阜康市三工河哈萨克乡花儿沟村，属于旅游基础设施建设，包括民宿、游牧风情院、观景平台</w:t>
            </w:r>
            <w:r>
              <w:rPr>
                <w:rFonts w:hint="eastAsia" w:ascii="Times New Roman" w:hAnsi="Times New Roman" w:eastAsia="宋体" w:cs="Times New Roman"/>
                <w:b w:val="0"/>
                <w:bCs w:val="0"/>
                <w:color w:val="000000"/>
                <w:kern w:val="0"/>
                <w:sz w:val="21"/>
                <w:szCs w:val="21"/>
                <w:highlight w:val="none"/>
                <w:lang w:val="en-US" w:eastAsia="zh-CN"/>
              </w:rPr>
              <w:t>、多功能会客厅</w:t>
            </w:r>
            <w:r>
              <w:rPr>
                <w:rFonts w:hint="default" w:ascii="Times New Roman" w:hAnsi="Times New Roman" w:eastAsia="宋体" w:cs="Times New Roman"/>
                <w:b w:val="0"/>
                <w:bCs w:val="0"/>
                <w:color w:val="000000"/>
                <w:kern w:val="0"/>
                <w:sz w:val="21"/>
                <w:szCs w:val="21"/>
                <w:highlight w:val="none"/>
                <w:lang w:val="en-US" w:eastAsia="zh-CN"/>
              </w:rPr>
              <w:t>及其配套附属设施等</w:t>
            </w:r>
            <w:r>
              <w:rPr>
                <w:rFonts w:hint="eastAsia" w:ascii="Times New Roman" w:hAnsi="Times New Roman" w:eastAsia="宋体" w:cs="Times New Roman"/>
                <w:b w:val="0"/>
                <w:bCs w:val="0"/>
                <w:color w:val="000000"/>
                <w:kern w:val="0"/>
                <w:sz w:val="21"/>
                <w:szCs w:val="21"/>
                <w:highlight w:val="none"/>
                <w:lang w:val="en-US" w:eastAsia="zh-CN"/>
              </w:rPr>
              <w:t>。</w:t>
            </w:r>
          </w:p>
        </w:tc>
        <w:tc>
          <w:tcPr>
            <w:tcW w:w="400" w:type="pct"/>
            <w:tcBorders>
              <w:tl2br w:val="nil"/>
              <w:tr2bl w:val="nil"/>
            </w:tcBorders>
            <w:noWrap w:val="0"/>
            <w:vAlign w:val="center"/>
          </w:tcPr>
          <w:p w14:paraId="1F92DE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符合</w:t>
            </w:r>
          </w:p>
        </w:tc>
      </w:tr>
      <w:tr w14:paraId="013F86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8" w:hRule="atLeast"/>
          <w:jc w:val="center"/>
        </w:trPr>
        <w:tc>
          <w:tcPr>
            <w:tcW w:w="2719" w:type="pct"/>
            <w:tcBorders>
              <w:tl2br w:val="nil"/>
              <w:tr2bl w:val="nil"/>
            </w:tcBorders>
            <w:noWrap w:val="0"/>
            <w:vAlign w:val="center"/>
          </w:tcPr>
          <w:p w14:paraId="21C02C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第十八条严格保护国家级自然公园内的森林、草原、湿地、荒漠、海洋、水域、生物等珍贵自然资源，以及自然遗迹、自然景观和文物古迹等人文景观。在国家级自然公园内开展相关活动和设施建设，不得擅自改变其自然状态和历史风貌。</w:t>
            </w:r>
          </w:p>
          <w:p w14:paraId="0BFCBC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禁止擅自在国家级自然公园内从事采矿、房地产、开发区、高尔夫球场、风力光伏电场等不符合管控要求的开发活动。禁止违规侵占国家级自然公园，排放不符合水污染物排放标准的工业废水、生活污水及其他的废水、污水，倾倒、堆放、丢弃、遗撒固体废物等污染生态环境的行为。</w:t>
            </w:r>
          </w:p>
        </w:tc>
        <w:tc>
          <w:tcPr>
            <w:tcW w:w="1879" w:type="pct"/>
            <w:tcBorders>
              <w:tl2br w:val="nil"/>
              <w:tr2bl w:val="nil"/>
            </w:tcBorders>
            <w:noWrap w:val="0"/>
            <w:vAlign w:val="center"/>
          </w:tcPr>
          <w:p w14:paraId="48C427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ascii="Times New Roman" w:hAnsi="Times New Roman" w:eastAsia="宋体" w:cs="Times New Roman"/>
                <w:b w:val="0"/>
                <w:bCs w:val="0"/>
                <w:color w:val="000000"/>
                <w:kern w:val="0"/>
                <w:sz w:val="21"/>
                <w:szCs w:val="21"/>
                <w:highlight w:val="none"/>
                <w:lang w:val="en-US" w:eastAsia="zh-CN"/>
              </w:rPr>
              <w:t>本项目</w:t>
            </w:r>
            <w:r>
              <w:rPr>
                <w:rFonts w:hint="default" w:ascii="Times New Roman" w:hAnsi="Times New Roman" w:eastAsia="宋体" w:cs="Times New Roman"/>
                <w:b w:val="0"/>
                <w:bCs w:val="0"/>
                <w:color w:val="000000"/>
                <w:kern w:val="0"/>
                <w:sz w:val="21"/>
                <w:szCs w:val="21"/>
                <w:highlight w:val="none"/>
                <w:lang w:val="en-US" w:eastAsia="zh-CN"/>
              </w:rPr>
              <w:t>属于旅游基础设施建设，包括民宿、游牧风情院、观景平台</w:t>
            </w:r>
            <w:r>
              <w:rPr>
                <w:rFonts w:hint="eastAsia" w:ascii="Times New Roman" w:hAnsi="Times New Roman" w:eastAsia="宋体" w:cs="Times New Roman"/>
                <w:b w:val="0"/>
                <w:bCs w:val="0"/>
                <w:color w:val="000000"/>
                <w:kern w:val="0"/>
                <w:sz w:val="21"/>
                <w:szCs w:val="21"/>
                <w:highlight w:val="none"/>
                <w:lang w:val="en-US" w:eastAsia="zh-CN"/>
              </w:rPr>
              <w:t>、多功能会客厅</w:t>
            </w:r>
            <w:r>
              <w:rPr>
                <w:rFonts w:hint="default" w:ascii="Times New Roman" w:hAnsi="Times New Roman" w:eastAsia="宋体" w:cs="Times New Roman"/>
                <w:b w:val="0"/>
                <w:bCs w:val="0"/>
                <w:color w:val="000000"/>
                <w:kern w:val="0"/>
                <w:sz w:val="21"/>
                <w:szCs w:val="21"/>
                <w:highlight w:val="none"/>
                <w:lang w:val="en-US" w:eastAsia="zh-CN"/>
              </w:rPr>
              <w:t>及其配套附属设施等</w:t>
            </w:r>
            <w:r>
              <w:rPr>
                <w:rFonts w:hint="eastAsia" w:ascii="Times New Roman" w:hAnsi="Times New Roman" w:eastAsia="宋体" w:cs="Times New Roman"/>
                <w:b w:val="0"/>
                <w:bCs w:val="0"/>
                <w:color w:val="000000"/>
                <w:kern w:val="0"/>
                <w:sz w:val="21"/>
                <w:szCs w:val="21"/>
                <w:highlight w:val="none"/>
                <w:lang w:val="en-US" w:eastAsia="zh-CN"/>
              </w:rPr>
              <w:t>，生活污水经化粪池处理后由吸污车定期抽走至阜康市污水处理厂处理。</w:t>
            </w:r>
          </w:p>
        </w:tc>
        <w:tc>
          <w:tcPr>
            <w:tcW w:w="400" w:type="pct"/>
            <w:tcBorders>
              <w:tl2br w:val="nil"/>
              <w:tr2bl w:val="nil"/>
            </w:tcBorders>
            <w:noWrap w:val="0"/>
            <w:vAlign w:val="center"/>
          </w:tcPr>
          <w:p w14:paraId="2433FB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符合</w:t>
            </w:r>
          </w:p>
        </w:tc>
      </w:tr>
      <w:tr w14:paraId="0A2F59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2719" w:type="pct"/>
            <w:tcBorders>
              <w:tl2br w:val="nil"/>
              <w:tr2bl w:val="nil"/>
            </w:tcBorders>
            <w:noWrap w:val="0"/>
            <w:vAlign w:val="center"/>
          </w:tcPr>
          <w:p w14:paraId="022970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第十九条国家级自然公园范围内除国家重大项目外，仅允许对生态功能不造成破坏的有限人为活动：</w:t>
            </w:r>
          </w:p>
          <w:p w14:paraId="3812A3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（一）自然公园内居民和其他合法权益主体依法依规开展的生产生活及设施建设。</w:t>
            </w:r>
          </w:p>
          <w:p w14:paraId="0FB95E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（二）符合自然公园保护管理要求的文化、体育活动和必要的配套设施建设。</w:t>
            </w:r>
          </w:p>
          <w:p w14:paraId="577845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（三）符合生态保护红线管控要求的其他活动和设施建设。</w:t>
            </w:r>
          </w:p>
          <w:p w14:paraId="5CAD95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（四）法律法规和国家政策允许在自然公园内开展的其他活动。</w:t>
            </w:r>
          </w:p>
        </w:tc>
        <w:tc>
          <w:tcPr>
            <w:tcW w:w="1879" w:type="pct"/>
            <w:tcBorders>
              <w:tl2br w:val="nil"/>
              <w:tr2bl w:val="nil"/>
            </w:tcBorders>
            <w:noWrap w:val="0"/>
            <w:vAlign w:val="center"/>
          </w:tcPr>
          <w:p w14:paraId="28B0D5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ascii="Times New Roman" w:hAnsi="Times New Roman" w:eastAsia="宋体" w:cs="Times New Roman"/>
                <w:b w:val="0"/>
                <w:bCs w:val="0"/>
                <w:color w:val="000000"/>
                <w:kern w:val="0"/>
                <w:sz w:val="21"/>
                <w:szCs w:val="21"/>
                <w:highlight w:val="none"/>
                <w:lang w:val="en-US" w:eastAsia="zh-CN"/>
              </w:rPr>
              <w:t>本项目属于</w:t>
            </w:r>
            <w:r>
              <w:rPr>
                <w:rFonts w:hint="default" w:ascii="Times New Roman" w:hAnsi="Times New Roman" w:eastAsia="宋体" w:cs="Times New Roman"/>
                <w:b w:val="0"/>
                <w:bCs w:val="0"/>
                <w:color w:val="000000"/>
                <w:kern w:val="0"/>
                <w:sz w:val="21"/>
                <w:szCs w:val="21"/>
                <w:highlight w:val="none"/>
                <w:lang w:val="en-US" w:eastAsia="zh-CN"/>
              </w:rPr>
              <w:t>旅游基础设施建设，包括民宿、游牧风情院、观景平台</w:t>
            </w:r>
            <w:r>
              <w:rPr>
                <w:rFonts w:hint="eastAsia" w:ascii="Times New Roman" w:hAnsi="Times New Roman" w:eastAsia="宋体" w:cs="Times New Roman"/>
                <w:b w:val="0"/>
                <w:bCs w:val="0"/>
                <w:color w:val="000000"/>
                <w:kern w:val="0"/>
                <w:sz w:val="21"/>
                <w:szCs w:val="21"/>
                <w:highlight w:val="none"/>
                <w:lang w:val="en-US" w:eastAsia="zh-CN"/>
              </w:rPr>
              <w:t>、多功能会客厅</w:t>
            </w:r>
            <w:r>
              <w:rPr>
                <w:rFonts w:hint="default" w:ascii="Times New Roman" w:hAnsi="Times New Roman" w:eastAsia="宋体" w:cs="Times New Roman"/>
                <w:b w:val="0"/>
                <w:bCs w:val="0"/>
                <w:color w:val="000000"/>
                <w:kern w:val="0"/>
                <w:sz w:val="21"/>
                <w:szCs w:val="21"/>
                <w:highlight w:val="none"/>
                <w:lang w:val="en-US" w:eastAsia="zh-CN"/>
              </w:rPr>
              <w:t>及其配套附属设施等</w:t>
            </w:r>
            <w:r>
              <w:rPr>
                <w:rFonts w:hint="eastAsia" w:ascii="Times New Roman" w:hAnsi="Times New Roman" w:eastAsia="宋体" w:cs="Times New Roman"/>
                <w:b w:val="0"/>
                <w:bCs w:val="0"/>
                <w:color w:val="000000"/>
                <w:kern w:val="0"/>
                <w:sz w:val="21"/>
                <w:szCs w:val="21"/>
                <w:highlight w:val="none"/>
                <w:lang w:val="en-US" w:eastAsia="zh-CN"/>
              </w:rPr>
              <w:t>，符合《新疆天山天池国家地质公园总体规划（2012</w:t>
            </w:r>
            <w:r>
              <w:rPr>
                <w:rFonts w:hint="eastAsia" w:cs="Times New Roman"/>
                <w:b w:val="0"/>
                <w:bCs w:val="0"/>
                <w:color w:val="000000"/>
                <w:kern w:val="0"/>
                <w:sz w:val="21"/>
                <w:szCs w:val="21"/>
                <w:highlight w:val="none"/>
                <w:lang w:val="en-US" w:eastAsia="zh-CN"/>
              </w:rPr>
              <w:t>—</w:t>
            </w:r>
            <w:r>
              <w:rPr>
                <w:rFonts w:hint="eastAsia" w:ascii="Times New Roman" w:hAnsi="Times New Roman" w:eastAsia="宋体" w:cs="Times New Roman"/>
                <w:b w:val="0"/>
                <w:bCs w:val="0"/>
                <w:color w:val="000000"/>
                <w:kern w:val="0"/>
                <w:sz w:val="21"/>
                <w:szCs w:val="21"/>
                <w:highlight w:val="none"/>
                <w:lang w:val="en-US" w:eastAsia="zh-CN"/>
              </w:rPr>
              <w:t>2020年）》。</w:t>
            </w:r>
          </w:p>
        </w:tc>
        <w:tc>
          <w:tcPr>
            <w:tcW w:w="400" w:type="pct"/>
            <w:tcBorders>
              <w:tl2br w:val="nil"/>
              <w:tr2bl w:val="nil"/>
            </w:tcBorders>
            <w:noWrap w:val="0"/>
            <w:vAlign w:val="center"/>
          </w:tcPr>
          <w:p w14:paraId="1DC661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符合</w:t>
            </w:r>
          </w:p>
        </w:tc>
      </w:tr>
      <w:tr w14:paraId="1C3887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2719" w:type="pct"/>
            <w:tcBorders>
              <w:tl2br w:val="nil"/>
              <w:tr2bl w:val="nil"/>
            </w:tcBorders>
            <w:noWrap w:val="0"/>
            <w:vAlign w:val="center"/>
          </w:tcPr>
          <w:p w14:paraId="48FA6F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第二十七条国家级自然公园管理单位应当建立健全自然教育和科普宣传系统，完善自然教育和科普设施建设，加强与科研院所、学校以及社会组织等机构合作，组织策划针对不同社会群体的自然教育和科普宣传项目，开展形式多样的自然教育和科普宣传活动，促进公众了解自然公园。</w:t>
            </w:r>
          </w:p>
        </w:tc>
        <w:tc>
          <w:tcPr>
            <w:tcW w:w="1879" w:type="pct"/>
            <w:tcBorders>
              <w:tl2br w:val="nil"/>
              <w:tr2bl w:val="nil"/>
            </w:tcBorders>
            <w:noWrap w:val="0"/>
            <w:vAlign w:val="center"/>
          </w:tcPr>
          <w:p w14:paraId="6534D8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ascii="Times New Roman" w:hAnsi="Times New Roman" w:eastAsia="宋体" w:cs="Times New Roman"/>
                <w:b w:val="0"/>
                <w:bCs w:val="0"/>
                <w:color w:val="000000"/>
                <w:kern w:val="0"/>
                <w:sz w:val="21"/>
                <w:szCs w:val="21"/>
                <w:highlight w:val="none"/>
                <w:lang w:val="en-US" w:eastAsia="zh-CN"/>
              </w:rPr>
              <w:t>本项目翻新的多功能会客厅，包括多功能厅、研学区、红砖剧场，建立了</w:t>
            </w:r>
            <w:r>
              <w:rPr>
                <w:rFonts w:hint="default" w:ascii="Times New Roman" w:hAnsi="Times New Roman" w:eastAsia="宋体" w:cs="Times New Roman"/>
                <w:b w:val="0"/>
                <w:bCs w:val="0"/>
                <w:color w:val="000000"/>
                <w:kern w:val="0"/>
                <w:sz w:val="21"/>
                <w:szCs w:val="21"/>
                <w:highlight w:val="none"/>
                <w:lang w:val="en-US" w:eastAsia="zh-CN"/>
              </w:rPr>
              <w:t>自然教育和科普宣传系统</w:t>
            </w:r>
          </w:p>
        </w:tc>
        <w:tc>
          <w:tcPr>
            <w:tcW w:w="400" w:type="pct"/>
            <w:tcBorders>
              <w:tl2br w:val="nil"/>
              <w:tr2bl w:val="nil"/>
            </w:tcBorders>
            <w:noWrap w:val="0"/>
            <w:vAlign w:val="center"/>
          </w:tcPr>
          <w:p w14:paraId="5402F8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符合</w:t>
            </w:r>
          </w:p>
        </w:tc>
      </w:tr>
    </w:tbl>
    <w:p w14:paraId="607D53E0">
      <w:pPr>
        <w:pStyle w:val="6"/>
        <w:keepNext/>
        <w:keepLines/>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3"/>
        <w:rPr>
          <w:rFonts w:hint="default" w:ascii="Times New Roman" w:hAnsi="Times New Roman" w:eastAsia="宋体" w:cs="Times New Roman"/>
          <w:b w:val="0"/>
          <w:bCs w:val="0"/>
          <w:color w:val="000000"/>
          <w:kern w:val="2"/>
          <w:sz w:val="24"/>
          <w:szCs w:val="21"/>
          <w:lang w:val="en-US" w:eastAsia="zh-CN" w:bidi="ar-SA"/>
        </w:rPr>
      </w:pPr>
      <w:bookmarkStart w:id="135" w:name="_Toc26231"/>
      <w:bookmarkStart w:id="136" w:name="_Toc6090"/>
      <w:r>
        <w:rPr>
          <w:rFonts w:hint="default" w:ascii="Times New Roman" w:hAnsi="Times New Roman" w:eastAsia="宋体" w:cs="Times New Roman"/>
          <w:b w:val="0"/>
          <w:bCs w:val="0"/>
          <w:color w:val="000000"/>
          <w:kern w:val="2"/>
          <w:sz w:val="24"/>
          <w:szCs w:val="21"/>
          <w:lang w:val="en-US" w:eastAsia="zh-CN" w:bidi="ar-SA"/>
        </w:rPr>
        <w:t>2.4.1.4与《新疆天山天池</w:t>
      </w:r>
      <w:r>
        <w:rPr>
          <w:rFonts w:hint="eastAsia" w:ascii="Times New Roman" w:hAnsi="Times New Roman" w:eastAsia="宋体" w:cs="Times New Roman"/>
          <w:b w:val="0"/>
          <w:bCs w:val="0"/>
          <w:color w:val="000000"/>
          <w:kern w:val="2"/>
          <w:sz w:val="24"/>
          <w:szCs w:val="21"/>
          <w:lang w:val="en-US" w:eastAsia="zh-CN" w:bidi="ar-SA"/>
        </w:rPr>
        <w:t>国家地质公园</w:t>
      </w:r>
      <w:r>
        <w:rPr>
          <w:rFonts w:hint="default" w:ascii="Times New Roman" w:hAnsi="Times New Roman" w:eastAsia="宋体" w:cs="Times New Roman"/>
          <w:b w:val="0"/>
          <w:bCs w:val="0"/>
          <w:color w:val="000000"/>
          <w:kern w:val="2"/>
          <w:sz w:val="24"/>
          <w:szCs w:val="21"/>
          <w:lang w:val="en-US" w:eastAsia="zh-CN" w:bidi="ar-SA"/>
        </w:rPr>
        <w:t>总体规划》（20</w:t>
      </w:r>
      <w:r>
        <w:rPr>
          <w:rFonts w:hint="eastAsia" w:ascii="Times New Roman" w:hAnsi="Times New Roman" w:eastAsia="宋体" w:cs="Times New Roman"/>
          <w:b w:val="0"/>
          <w:bCs w:val="0"/>
          <w:color w:val="000000"/>
          <w:kern w:val="2"/>
          <w:sz w:val="24"/>
          <w:szCs w:val="21"/>
          <w:lang w:val="en-US" w:eastAsia="zh-CN" w:bidi="ar-SA"/>
        </w:rPr>
        <w:t>12—2020</w:t>
      </w:r>
      <w:r>
        <w:rPr>
          <w:rFonts w:hint="default" w:ascii="Times New Roman" w:hAnsi="Times New Roman" w:eastAsia="宋体" w:cs="Times New Roman"/>
          <w:b w:val="0"/>
          <w:bCs w:val="0"/>
          <w:color w:val="000000"/>
          <w:kern w:val="2"/>
          <w:sz w:val="24"/>
          <w:szCs w:val="21"/>
          <w:lang w:val="en-US" w:eastAsia="zh-CN" w:bidi="ar-SA"/>
        </w:rPr>
        <w:t>年）的符合性分析</w:t>
      </w:r>
      <w:bookmarkEnd w:id="135"/>
      <w:bookmarkEnd w:id="136"/>
    </w:p>
    <w:p w14:paraId="3028C88E">
      <w:pPr>
        <w:pStyle w:val="107"/>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both"/>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本项目与《新疆天山天池</w:t>
      </w:r>
      <w:r>
        <w:rPr>
          <w:rFonts w:hint="eastAsia" w:ascii="Times New Roman" w:hAnsi="Times New Roman" w:eastAsia="宋体" w:cs="Times New Roman"/>
          <w:b w:val="0"/>
          <w:bCs w:val="0"/>
          <w:color w:val="000000"/>
          <w:kern w:val="2"/>
          <w:sz w:val="24"/>
          <w:szCs w:val="21"/>
          <w:lang w:val="en-US" w:eastAsia="zh-CN" w:bidi="ar-SA"/>
        </w:rPr>
        <w:t>国家地质公园</w:t>
      </w:r>
      <w:r>
        <w:rPr>
          <w:rFonts w:hint="default" w:ascii="Times New Roman" w:hAnsi="Times New Roman" w:eastAsia="宋体" w:cs="Times New Roman"/>
          <w:b w:val="0"/>
          <w:bCs w:val="0"/>
          <w:color w:val="000000"/>
          <w:kern w:val="2"/>
          <w:sz w:val="24"/>
          <w:szCs w:val="21"/>
          <w:lang w:val="en-US" w:eastAsia="zh-CN" w:bidi="ar-SA"/>
        </w:rPr>
        <w:t>总体规划</w:t>
      </w:r>
      <w:r>
        <w:rPr>
          <w:rFonts w:hint="default" w:ascii="Times New Roman" w:hAnsi="Times New Roman" w:eastAsia="宋体" w:cs="Times New Roman"/>
          <w:color w:val="000000"/>
          <w:highlight w:val="none"/>
          <w:lang w:val="en-US" w:eastAsia="zh-CN"/>
        </w:rPr>
        <w:t>》（20</w:t>
      </w:r>
      <w:r>
        <w:rPr>
          <w:rFonts w:hint="eastAsia" w:ascii="Times New Roman" w:hAnsi="Times New Roman" w:eastAsia="宋体" w:cs="Times New Roman"/>
          <w:color w:val="000000"/>
          <w:highlight w:val="none"/>
          <w:lang w:val="en-US" w:eastAsia="zh-CN"/>
        </w:rPr>
        <w:t>12</w:t>
      </w:r>
      <w:r>
        <w:rPr>
          <w:rFonts w:hint="eastAsia" w:cs="Times New Roman"/>
          <w:color w:val="000000"/>
          <w:highlight w:val="none"/>
          <w:lang w:val="en-US" w:eastAsia="zh-CN"/>
        </w:rPr>
        <w:t>—</w:t>
      </w:r>
      <w:r>
        <w:rPr>
          <w:rFonts w:hint="eastAsia" w:ascii="Times New Roman" w:hAnsi="Times New Roman" w:eastAsia="宋体" w:cs="Times New Roman"/>
          <w:color w:val="000000"/>
          <w:highlight w:val="none"/>
          <w:lang w:val="en-US" w:eastAsia="zh-CN"/>
        </w:rPr>
        <w:t>2020</w:t>
      </w:r>
      <w:r>
        <w:rPr>
          <w:rFonts w:hint="default" w:ascii="Times New Roman" w:hAnsi="Times New Roman" w:eastAsia="宋体" w:cs="Times New Roman"/>
          <w:color w:val="000000"/>
          <w:highlight w:val="none"/>
          <w:lang w:val="en-US" w:eastAsia="zh-CN"/>
        </w:rPr>
        <w:t>年）的符合性分析详见表1</w:t>
      </w:r>
      <w:r>
        <w:rPr>
          <w:rFonts w:hint="eastAsia" w:cs="Times New Roman"/>
          <w:color w:val="000000"/>
          <w:highlight w:val="none"/>
          <w:lang w:val="en-US" w:eastAsia="zh-CN"/>
        </w:rPr>
        <w:t>8</w:t>
      </w:r>
      <w:r>
        <w:rPr>
          <w:rFonts w:hint="default" w:ascii="Times New Roman" w:hAnsi="Times New Roman" w:eastAsia="宋体" w:cs="Times New Roman"/>
          <w:color w:val="000000"/>
          <w:highlight w:val="none"/>
          <w:lang w:val="en-US" w:eastAsia="zh-CN"/>
        </w:rPr>
        <w:t>。</w:t>
      </w:r>
    </w:p>
    <w:p w14:paraId="71E325E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表1</w:t>
      </w:r>
      <w:r>
        <w:rPr>
          <w:rFonts w:hint="eastAsia" w:cs="Times New Roman"/>
          <w:b/>
          <w:bCs/>
          <w:color w:val="000000"/>
          <w:kern w:val="0"/>
          <w:sz w:val="21"/>
          <w:szCs w:val="21"/>
          <w:highlight w:val="none"/>
          <w:lang w:val="en-US" w:eastAsia="zh-CN"/>
        </w:rPr>
        <w:t>8</w:t>
      </w:r>
      <w:r>
        <w:rPr>
          <w:rFonts w:hint="default" w:ascii="Times New Roman" w:hAnsi="Times New Roman" w:eastAsia="宋体" w:cs="Times New Roman"/>
          <w:b/>
          <w:bCs/>
          <w:color w:val="000000"/>
          <w:kern w:val="0"/>
          <w:sz w:val="21"/>
          <w:szCs w:val="21"/>
          <w:highlight w:val="none"/>
          <w:lang w:val="en-US" w:eastAsia="zh-CN"/>
        </w:rPr>
        <w:t xml:space="preserve">   与《新疆天山天池国家地质公园总体规划》（20</w:t>
      </w:r>
      <w:r>
        <w:rPr>
          <w:rFonts w:hint="eastAsia" w:ascii="Times New Roman" w:hAnsi="Times New Roman" w:eastAsia="宋体" w:cs="Times New Roman"/>
          <w:b/>
          <w:bCs/>
          <w:color w:val="000000"/>
          <w:kern w:val="0"/>
          <w:sz w:val="21"/>
          <w:szCs w:val="21"/>
          <w:highlight w:val="none"/>
          <w:lang w:val="en-US" w:eastAsia="zh-CN"/>
        </w:rPr>
        <w:t>12</w:t>
      </w:r>
      <w:r>
        <w:rPr>
          <w:rFonts w:hint="eastAsia" w:cs="Times New Roman"/>
          <w:b/>
          <w:bCs/>
          <w:color w:val="000000"/>
          <w:kern w:val="0"/>
          <w:sz w:val="21"/>
          <w:szCs w:val="21"/>
          <w:highlight w:val="none"/>
          <w:lang w:val="en-US" w:eastAsia="zh-CN"/>
        </w:rPr>
        <w:t>—</w:t>
      </w:r>
      <w:r>
        <w:rPr>
          <w:rFonts w:hint="eastAsia" w:ascii="Times New Roman" w:hAnsi="Times New Roman" w:eastAsia="宋体" w:cs="Times New Roman"/>
          <w:b/>
          <w:bCs/>
          <w:color w:val="000000"/>
          <w:kern w:val="0"/>
          <w:sz w:val="21"/>
          <w:szCs w:val="21"/>
          <w:highlight w:val="none"/>
          <w:lang w:val="en-US" w:eastAsia="zh-CN"/>
        </w:rPr>
        <w:t>2020</w:t>
      </w:r>
      <w:r>
        <w:rPr>
          <w:rFonts w:hint="default" w:ascii="Times New Roman" w:hAnsi="Times New Roman" w:eastAsia="宋体" w:cs="Times New Roman"/>
          <w:b/>
          <w:bCs/>
          <w:color w:val="000000"/>
          <w:kern w:val="0"/>
          <w:sz w:val="21"/>
          <w:szCs w:val="21"/>
          <w:highlight w:val="none"/>
          <w:lang w:val="en-US" w:eastAsia="zh-CN"/>
        </w:rPr>
        <w:t>年）的符合性分析一览表</w:t>
      </w:r>
    </w:p>
    <w:tbl>
      <w:tblPr>
        <w:tblStyle w:val="33"/>
        <w:tblW w:w="494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4696"/>
        <w:gridCol w:w="2272"/>
        <w:gridCol w:w="638"/>
      </w:tblGrid>
      <w:tr w14:paraId="7CB0E6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5" w:hRule="atLeast"/>
          <w:tblHeader/>
          <w:jc w:val="center"/>
        </w:trPr>
        <w:tc>
          <w:tcPr>
            <w:tcW w:w="3274" w:type="pct"/>
            <w:gridSpan w:val="2"/>
            <w:tcBorders>
              <w:tl2br w:val="nil"/>
              <w:tr2bl w:val="nil"/>
            </w:tcBorders>
            <w:noWrap w:val="0"/>
            <w:vAlign w:val="center"/>
          </w:tcPr>
          <w:p w14:paraId="02427F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规划要求</w:t>
            </w:r>
          </w:p>
        </w:tc>
        <w:tc>
          <w:tcPr>
            <w:tcW w:w="1347" w:type="pct"/>
            <w:tcBorders>
              <w:tl2br w:val="nil"/>
              <w:tr2bl w:val="nil"/>
            </w:tcBorders>
            <w:noWrap w:val="0"/>
            <w:vAlign w:val="center"/>
          </w:tcPr>
          <w:p w14:paraId="0945F5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本项目情况</w:t>
            </w:r>
          </w:p>
        </w:tc>
        <w:tc>
          <w:tcPr>
            <w:tcW w:w="378" w:type="pct"/>
            <w:tcBorders>
              <w:tl2br w:val="nil"/>
              <w:tr2bl w:val="nil"/>
            </w:tcBorders>
            <w:noWrap w:val="0"/>
            <w:vAlign w:val="center"/>
          </w:tcPr>
          <w:p w14:paraId="65FDAD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符合性</w:t>
            </w:r>
          </w:p>
        </w:tc>
      </w:tr>
      <w:tr w14:paraId="48D895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90" w:type="pct"/>
            <w:tcBorders>
              <w:tl2br w:val="nil"/>
              <w:tr2bl w:val="nil"/>
            </w:tcBorders>
            <w:noWrap w:val="0"/>
            <w:vAlign w:val="center"/>
          </w:tcPr>
          <w:p w14:paraId="1DD059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ascii="Times New Roman" w:hAnsi="Times New Roman" w:eastAsia="宋体" w:cs="Times New Roman"/>
                <w:b w:val="0"/>
                <w:bCs w:val="0"/>
                <w:color w:val="000000"/>
                <w:kern w:val="0"/>
                <w:sz w:val="21"/>
                <w:szCs w:val="21"/>
                <w:highlight w:val="none"/>
                <w:lang w:val="en-US" w:eastAsia="zh-CN"/>
              </w:rPr>
              <w:t>总体布局</w:t>
            </w:r>
          </w:p>
        </w:tc>
        <w:tc>
          <w:tcPr>
            <w:tcW w:w="2783" w:type="pct"/>
            <w:tcBorders>
              <w:tl2br w:val="nil"/>
              <w:tr2bl w:val="nil"/>
            </w:tcBorders>
            <w:noWrap w:val="0"/>
            <w:vAlign w:val="center"/>
          </w:tcPr>
          <w:p w14:paraId="663901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根据公园的地质</w:t>
            </w:r>
            <w:r>
              <w:rPr>
                <w:rFonts w:hint="eastAsia" w:ascii="Times New Roman" w:hAnsi="Times New Roman" w:eastAsia="宋体" w:cs="Times New Roman"/>
                <w:b w:val="0"/>
                <w:bCs w:val="0"/>
                <w:color w:val="000000"/>
                <w:kern w:val="0"/>
                <w:sz w:val="21"/>
                <w:szCs w:val="21"/>
                <w:highlight w:val="none"/>
                <w:lang w:val="en-US" w:eastAsia="zh-CN"/>
              </w:rPr>
              <w:t>遗迹</w:t>
            </w:r>
            <w:r>
              <w:rPr>
                <w:rFonts w:hint="default" w:ascii="Times New Roman" w:hAnsi="Times New Roman" w:eastAsia="宋体" w:cs="Times New Roman"/>
                <w:b w:val="0"/>
                <w:bCs w:val="0"/>
                <w:color w:val="000000"/>
                <w:kern w:val="0"/>
                <w:sz w:val="21"/>
                <w:szCs w:val="21"/>
                <w:highlight w:val="none"/>
                <w:lang w:val="en-US" w:eastAsia="zh-CN"/>
              </w:rPr>
              <w:t>和其他景观资源的景观特征、地域分布、空间关系、内在联系，公园的总体结构布局为</w:t>
            </w:r>
            <w:r>
              <w:rPr>
                <w:rFonts w:hint="eastAsia" w:ascii="Times New Roman" w:hAnsi="Times New Roman" w:eastAsia="宋体" w:cs="Times New Roman"/>
                <w:b w:val="0"/>
                <w:bCs w:val="0"/>
                <w:color w:val="000000"/>
                <w:kern w:val="0"/>
                <w:sz w:val="21"/>
                <w:szCs w:val="21"/>
                <w:highlight w:val="none"/>
                <w:lang w:val="en-US" w:eastAsia="zh-CN"/>
              </w:rPr>
              <w:t>：</w:t>
            </w:r>
            <w:r>
              <w:rPr>
                <w:rFonts w:hint="eastAsia" w:cs="Times New Roman"/>
                <w:b w:val="0"/>
                <w:bCs w:val="0"/>
                <w:color w:val="000000"/>
                <w:kern w:val="0"/>
                <w:sz w:val="21"/>
                <w:szCs w:val="21"/>
                <w:highlight w:val="none"/>
                <w:lang w:val="en-US" w:eastAsia="zh-CN"/>
              </w:rPr>
              <w:t>1.</w:t>
            </w:r>
            <w:r>
              <w:rPr>
                <w:rFonts w:hint="default" w:ascii="Times New Roman" w:hAnsi="Times New Roman" w:eastAsia="宋体" w:cs="Times New Roman"/>
                <w:b w:val="0"/>
                <w:bCs w:val="0"/>
                <w:color w:val="000000"/>
                <w:kern w:val="0"/>
                <w:sz w:val="21"/>
                <w:szCs w:val="21"/>
                <w:highlight w:val="none"/>
                <w:lang w:val="en-US" w:eastAsia="zh-CN"/>
              </w:rPr>
              <w:t>整个公园为1个独立园区，园区下分为4个景区，分别为天池景区、三工河景区、四工河景区、水磨河景区。四工河景区面积102km</w:t>
            </w:r>
            <w:r>
              <w:rPr>
                <w:rFonts w:hint="default" w:ascii="Times New Roman" w:hAnsi="Times New Roman" w:eastAsia="宋体" w:cs="Times New Roman"/>
                <w:b w:val="0"/>
                <w:bCs w:val="0"/>
                <w:color w:val="000000"/>
                <w:kern w:val="0"/>
                <w:sz w:val="21"/>
                <w:szCs w:val="21"/>
                <w:highlight w:val="none"/>
                <w:vertAlign w:val="superscript"/>
                <w:lang w:val="en-US" w:eastAsia="zh-CN"/>
              </w:rPr>
              <w:t>2</w:t>
            </w:r>
            <w:r>
              <w:rPr>
                <w:rFonts w:hint="default" w:ascii="Times New Roman" w:hAnsi="Times New Roman" w:eastAsia="宋体" w:cs="Times New Roman"/>
                <w:b w:val="0"/>
                <w:bCs w:val="0"/>
                <w:color w:val="000000"/>
                <w:kern w:val="0"/>
                <w:sz w:val="21"/>
                <w:szCs w:val="21"/>
                <w:highlight w:val="none"/>
                <w:lang w:val="en-US" w:eastAsia="zh-CN"/>
              </w:rPr>
              <w:t>，以第四纪冰川U型谷及河谷中的多期冰碛堤、森林和草原为</w:t>
            </w:r>
            <w:r>
              <w:rPr>
                <w:rFonts w:hint="eastAsia" w:ascii="Times New Roman" w:hAnsi="Times New Roman" w:eastAsia="宋体" w:cs="Times New Roman"/>
                <w:b w:val="0"/>
                <w:bCs w:val="0"/>
                <w:color w:val="000000"/>
                <w:kern w:val="0"/>
                <w:sz w:val="21"/>
                <w:szCs w:val="21"/>
                <w:highlight w:val="none"/>
                <w:lang w:val="en-US" w:eastAsia="zh-CN"/>
              </w:rPr>
              <w:t>主要</w:t>
            </w:r>
            <w:r>
              <w:rPr>
                <w:rFonts w:hint="default" w:ascii="Times New Roman" w:hAnsi="Times New Roman" w:eastAsia="宋体" w:cs="Times New Roman"/>
                <w:b w:val="0"/>
                <w:bCs w:val="0"/>
                <w:color w:val="000000"/>
                <w:kern w:val="0"/>
                <w:sz w:val="21"/>
                <w:szCs w:val="21"/>
                <w:highlight w:val="none"/>
                <w:lang w:val="en-US" w:eastAsia="zh-CN"/>
              </w:rPr>
              <w:t>特征，计有1个景群、4个景点。景观类型有古冰川地貌、草原、山坡等，宜于开展休闲娱乐、运动健身和体验民族风情等游赏项目。</w:t>
            </w:r>
          </w:p>
        </w:tc>
        <w:tc>
          <w:tcPr>
            <w:tcW w:w="1347" w:type="pct"/>
            <w:tcBorders>
              <w:tl2br w:val="nil"/>
              <w:tr2bl w:val="nil"/>
            </w:tcBorders>
            <w:noWrap w:val="0"/>
            <w:vAlign w:val="center"/>
          </w:tcPr>
          <w:p w14:paraId="33F434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本项目位于新疆维吾尔自治区昌吉回族自治州阜康市三工河哈萨克乡花儿沟村，</w:t>
            </w:r>
            <w:r>
              <w:rPr>
                <w:rFonts w:hint="eastAsia" w:ascii="Times New Roman" w:hAnsi="Times New Roman" w:eastAsia="宋体" w:cs="Times New Roman"/>
                <w:b w:val="0"/>
                <w:bCs w:val="0"/>
                <w:color w:val="000000"/>
                <w:kern w:val="0"/>
                <w:sz w:val="21"/>
                <w:szCs w:val="21"/>
                <w:highlight w:val="none"/>
                <w:lang w:val="en-US" w:eastAsia="zh-CN"/>
              </w:rPr>
              <w:t>位于</w:t>
            </w:r>
            <w:r>
              <w:rPr>
                <w:rFonts w:hint="default" w:ascii="Times New Roman" w:hAnsi="Times New Roman" w:eastAsia="宋体" w:cs="Times New Roman"/>
                <w:b w:val="0"/>
                <w:bCs w:val="0"/>
                <w:color w:val="000000"/>
                <w:kern w:val="0"/>
                <w:sz w:val="21"/>
                <w:szCs w:val="21"/>
                <w:highlight w:val="none"/>
                <w:lang w:val="en-US" w:eastAsia="zh-CN"/>
              </w:rPr>
              <w:t>三工河景区</w:t>
            </w:r>
            <w:r>
              <w:rPr>
                <w:rFonts w:hint="eastAsia" w:ascii="Times New Roman" w:hAnsi="Times New Roman" w:eastAsia="宋体" w:cs="Times New Roman"/>
                <w:b w:val="0"/>
                <w:bCs w:val="0"/>
                <w:color w:val="000000"/>
                <w:kern w:val="0"/>
                <w:sz w:val="21"/>
                <w:szCs w:val="21"/>
                <w:highlight w:val="none"/>
                <w:lang w:val="en-US" w:eastAsia="zh-CN"/>
              </w:rPr>
              <w:t>，本项目新建精品民宿和乡村会客厅等，可供游客体验民族风情，符合三工河景区的总体布局。</w:t>
            </w:r>
          </w:p>
        </w:tc>
        <w:tc>
          <w:tcPr>
            <w:tcW w:w="378" w:type="pct"/>
            <w:tcBorders>
              <w:tl2br w:val="nil"/>
              <w:tr2bl w:val="nil"/>
            </w:tcBorders>
            <w:noWrap w:val="0"/>
            <w:vAlign w:val="center"/>
          </w:tcPr>
          <w:p w14:paraId="556024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符合</w:t>
            </w:r>
          </w:p>
        </w:tc>
      </w:tr>
      <w:tr w14:paraId="703DE4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90" w:type="pct"/>
            <w:tcBorders>
              <w:tl2br w:val="nil"/>
              <w:tr2bl w:val="nil"/>
            </w:tcBorders>
            <w:noWrap w:val="0"/>
            <w:vAlign w:val="center"/>
          </w:tcPr>
          <w:p w14:paraId="76E224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功能区划分</w:t>
            </w:r>
          </w:p>
        </w:tc>
        <w:tc>
          <w:tcPr>
            <w:tcW w:w="2783" w:type="pct"/>
            <w:tcBorders>
              <w:tl2br w:val="nil"/>
              <w:tr2bl w:val="nil"/>
            </w:tcBorders>
            <w:noWrap w:val="0"/>
            <w:vAlign w:val="center"/>
          </w:tcPr>
          <w:p w14:paraId="2992F1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公园规划为8个功能分区。</w:t>
            </w:r>
          </w:p>
          <w:p w14:paraId="6FD59B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cs="Times New Roman"/>
                <w:b w:val="0"/>
                <w:bCs w:val="0"/>
                <w:color w:val="000000"/>
                <w:kern w:val="0"/>
                <w:sz w:val="21"/>
                <w:szCs w:val="21"/>
                <w:highlight w:val="none"/>
                <w:lang w:val="en-US" w:eastAsia="zh-CN"/>
              </w:rPr>
              <w:t>1.</w:t>
            </w:r>
            <w:r>
              <w:rPr>
                <w:rFonts w:hint="default" w:ascii="Times New Roman" w:hAnsi="Times New Roman" w:eastAsia="宋体" w:cs="Times New Roman"/>
                <w:b w:val="0"/>
                <w:bCs w:val="0"/>
                <w:color w:val="000000"/>
                <w:kern w:val="0"/>
                <w:sz w:val="21"/>
                <w:szCs w:val="21"/>
                <w:highlight w:val="none"/>
                <w:lang w:val="en-US" w:eastAsia="zh-CN"/>
              </w:rPr>
              <w:t>门区</w:t>
            </w:r>
          </w:p>
          <w:p w14:paraId="5EFD24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规划在目前正在修建的游人中心设置门区，该门区将修建成为大型综合游客集散中心，包含多种功能，包括公园大门、售票处、博物馆、影视厅、停车场等。该门区面积为1.21km</w:t>
            </w:r>
            <w:r>
              <w:rPr>
                <w:rFonts w:hint="default" w:ascii="Times New Roman" w:hAnsi="Times New Roman" w:eastAsia="宋体" w:cs="Times New Roman"/>
                <w:b w:val="0"/>
                <w:bCs w:val="0"/>
                <w:color w:val="000000"/>
                <w:kern w:val="0"/>
                <w:sz w:val="21"/>
                <w:szCs w:val="21"/>
                <w:highlight w:val="none"/>
                <w:vertAlign w:val="superscript"/>
                <w:lang w:val="en-US" w:eastAsia="zh-CN"/>
              </w:rPr>
              <w:t>2</w:t>
            </w:r>
            <w:r>
              <w:rPr>
                <w:rFonts w:hint="default" w:ascii="Times New Roman" w:hAnsi="Times New Roman" w:eastAsia="宋体" w:cs="Times New Roman"/>
                <w:b w:val="0"/>
                <w:bCs w:val="0"/>
                <w:color w:val="000000"/>
                <w:kern w:val="0"/>
                <w:sz w:val="21"/>
                <w:szCs w:val="21"/>
                <w:highlight w:val="none"/>
                <w:lang w:val="en-US" w:eastAsia="zh-CN"/>
              </w:rPr>
              <w:t>，占地质公园总面积的0.23%。</w:t>
            </w:r>
          </w:p>
          <w:p w14:paraId="338533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cs="Times New Roman"/>
                <w:b w:val="0"/>
                <w:bCs w:val="0"/>
                <w:color w:val="000000"/>
                <w:kern w:val="0"/>
                <w:sz w:val="21"/>
                <w:szCs w:val="21"/>
                <w:highlight w:val="none"/>
                <w:lang w:val="en-US" w:eastAsia="zh-CN"/>
              </w:rPr>
              <w:t>2.</w:t>
            </w:r>
            <w:r>
              <w:rPr>
                <w:rFonts w:hint="default" w:ascii="Times New Roman" w:hAnsi="Times New Roman" w:eastAsia="宋体" w:cs="Times New Roman"/>
                <w:b w:val="0"/>
                <w:bCs w:val="0"/>
                <w:color w:val="000000"/>
                <w:kern w:val="0"/>
                <w:sz w:val="21"/>
                <w:szCs w:val="21"/>
                <w:highlight w:val="none"/>
                <w:lang w:val="en-US" w:eastAsia="zh-CN"/>
              </w:rPr>
              <w:t>游客服务区</w:t>
            </w:r>
          </w:p>
          <w:p w14:paraId="7C1CF1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规划6处游客服务区与服务点，面积为9.91km</w:t>
            </w:r>
            <w:r>
              <w:rPr>
                <w:rFonts w:hint="default" w:ascii="Times New Roman" w:hAnsi="Times New Roman" w:eastAsia="宋体" w:cs="Times New Roman"/>
                <w:b w:val="0"/>
                <w:bCs w:val="0"/>
                <w:color w:val="000000"/>
                <w:kern w:val="0"/>
                <w:sz w:val="21"/>
                <w:szCs w:val="21"/>
                <w:highlight w:val="none"/>
                <w:vertAlign w:val="superscript"/>
                <w:lang w:val="en-US" w:eastAsia="zh-CN"/>
              </w:rPr>
              <w:t>2</w:t>
            </w:r>
            <w:r>
              <w:rPr>
                <w:rFonts w:hint="default" w:ascii="Times New Roman" w:hAnsi="Times New Roman" w:eastAsia="宋体" w:cs="Times New Roman"/>
                <w:b w:val="0"/>
                <w:bCs w:val="0"/>
                <w:color w:val="000000"/>
                <w:kern w:val="0"/>
                <w:sz w:val="21"/>
                <w:szCs w:val="21"/>
                <w:highlight w:val="none"/>
                <w:lang w:val="en-US" w:eastAsia="zh-CN"/>
              </w:rPr>
              <w:t>，占园区面积的1.92%。</w:t>
            </w:r>
          </w:p>
          <w:p w14:paraId="6D8B2F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cs="Times New Roman"/>
                <w:b w:val="0"/>
                <w:bCs w:val="0"/>
                <w:color w:val="000000"/>
                <w:kern w:val="0"/>
                <w:sz w:val="21"/>
                <w:szCs w:val="21"/>
                <w:highlight w:val="none"/>
                <w:lang w:val="en-US" w:eastAsia="zh-CN"/>
              </w:rPr>
              <w:t>1）</w:t>
            </w:r>
            <w:r>
              <w:rPr>
                <w:rFonts w:hint="default" w:ascii="Times New Roman" w:hAnsi="Times New Roman" w:eastAsia="宋体" w:cs="Times New Roman"/>
                <w:b w:val="0"/>
                <w:bCs w:val="0"/>
                <w:color w:val="000000"/>
                <w:kern w:val="0"/>
                <w:sz w:val="21"/>
                <w:szCs w:val="21"/>
                <w:highlight w:val="none"/>
                <w:lang w:val="en-US" w:eastAsia="zh-CN"/>
              </w:rPr>
              <w:t>游人中心游客服务区，面积为0.14km</w:t>
            </w:r>
            <w:r>
              <w:rPr>
                <w:rFonts w:hint="default" w:ascii="Times New Roman" w:hAnsi="Times New Roman" w:eastAsia="宋体" w:cs="Times New Roman"/>
                <w:b w:val="0"/>
                <w:bCs w:val="0"/>
                <w:color w:val="000000"/>
                <w:kern w:val="0"/>
                <w:sz w:val="21"/>
                <w:szCs w:val="21"/>
                <w:highlight w:val="none"/>
                <w:vertAlign w:val="superscript"/>
                <w:lang w:val="en-US" w:eastAsia="zh-CN"/>
              </w:rPr>
              <w:t>2</w:t>
            </w:r>
            <w:r>
              <w:rPr>
                <w:rFonts w:hint="default" w:ascii="Times New Roman" w:hAnsi="Times New Roman" w:eastAsia="宋体" w:cs="Times New Roman"/>
                <w:b w:val="0"/>
                <w:bCs w:val="0"/>
                <w:color w:val="000000"/>
                <w:kern w:val="0"/>
                <w:sz w:val="21"/>
                <w:szCs w:val="21"/>
                <w:highlight w:val="none"/>
                <w:lang w:val="en-US" w:eastAsia="zh-CN"/>
              </w:rPr>
              <w:t>；</w:t>
            </w:r>
          </w:p>
          <w:p w14:paraId="428936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cs="Times New Roman"/>
                <w:b w:val="0"/>
                <w:bCs w:val="0"/>
                <w:color w:val="000000"/>
                <w:kern w:val="0"/>
                <w:sz w:val="21"/>
                <w:szCs w:val="21"/>
                <w:highlight w:val="none"/>
                <w:lang w:val="en-US" w:eastAsia="zh-CN"/>
              </w:rPr>
              <w:t>2）</w:t>
            </w:r>
            <w:r>
              <w:rPr>
                <w:rFonts w:hint="default" w:ascii="Times New Roman" w:hAnsi="Times New Roman" w:eastAsia="宋体" w:cs="Times New Roman"/>
                <w:b w:val="0"/>
                <w:bCs w:val="0"/>
                <w:color w:val="000000"/>
                <w:kern w:val="0"/>
                <w:sz w:val="21"/>
                <w:szCs w:val="21"/>
                <w:highlight w:val="none"/>
                <w:lang w:val="en-US" w:eastAsia="zh-CN"/>
              </w:rPr>
              <w:t>三工河民俗风情游客服务区，面积为1.43km</w:t>
            </w:r>
            <w:r>
              <w:rPr>
                <w:rFonts w:hint="default" w:ascii="Times New Roman" w:hAnsi="Times New Roman" w:eastAsia="宋体" w:cs="Times New Roman"/>
                <w:b w:val="0"/>
                <w:bCs w:val="0"/>
                <w:color w:val="000000"/>
                <w:kern w:val="0"/>
                <w:sz w:val="21"/>
                <w:szCs w:val="21"/>
                <w:highlight w:val="none"/>
                <w:vertAlign w:val="superscript"/>
                <w:lang w:val="en-US" w:eastAsia="zh-CN"/>
              </w:rPr>
              <w:t>2</w:t>
            </w:r>
            <w:r>
              <w:rPr>
                <w:rFonts w:hint="default" w:ascii="Times New Roman" w:hAnsi="Times New Roman" w:eastAsia="宋体" w:cs="Times New Roman"/>
                <w:b w:val="0"/>
                <w:bCs w:val="0"/>
                <w:color w:val="000000"/>
                <w:kern w:val="0"/>
                <w:sz w:val="21"/>
                <w:szCs w:val="21"/>
                <w:highlight w:val="none"/>
                <w:lang w:val="en-US" w:eastAsia="zh-CN"/>
              </w:rPr>
              <w:t>；</w:t>
            </w:r>
          </w:p>
          <w:p w14:paraId="229F61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cs="Times New Roman"/>
                <w:b w:val="0"/>
                <w:bCs w:val="0"/>
                <w:color w:val="000000"/>
                <w:kern w:val="0"/>
                <w:sz w:val="21"/>
                <w:szCs w:val="21"/>
                <w:highlight w:val="none"/>
                <w:lang w:val="en-US" w:eastAsia="zh-CN"/>
              </w:rPr>
              <w:t>3）</w:t>
            </w:r>
            <w:r>
              <w:rPr>
                <w:rFonts w:hint="default" w:ascii="Times New Roman" w:hAnsi="Times New Roman" w:eastAsia="宋体" w:cs="Times New Roman"/>
                <w:b w:val="0"/>
                <w:bCs w:val="0"/>
                <w:color w:val="000000"/>
                <w:kern w:val="0"/>
                <w:sz w:val="21"/>
                <w:szCs w:val="21"/>
                <w:highlight w:val="none"/>
                <w:lang w:val="en-US" w:eastAsia="zh-CN"/>
              </w:rPr>
              <w:t>滑雪场游客服务区，面积为7.39km</w:t>
            </w:r>
            <w:r>
              <w:rPr>
                <w:rFonts w:hint="default" w:ascii="Times New Roman" w:hAnsi="Times New Roman" w:eastAsia="宋体" w:cs="Times New Roman"/>
                <w:b w:val="0"/>
                <w:bCs w:val="0"/>
                <w:color w:val="000000"/>
                <w:kern w:val="0"/>
                <w:sz w:val="21"/>
                <w:szCs w:val="21"/>
                <w:highlight w:val="none"/>
                <w:vertAlign w:val="superscript"/>
                <w:lang w:val="en-US" w:eastAsia="zh-CN"/>
              </w:rPr>
              <w:t>2</w:t>
            </w:r>
            <w:r>
              <w:rPr>
                <w:rFonts w:hint="default" w:ascii="Times New Roman" w:hAnsi="Times New Roman" w:eastAsia="宋体" w:cs="Times New Roman"/>
                <w:b w:val="0"/>
                <w:bCs w:val="0"/>
                <w:color w:val="000000"/>
                <w:kern w:val="0"/>
                <w:sz w:val="21"/>
                <w:szCs w:val="21"/>
                <w:highlight w:val="none"/>
                <w:lang w:val="en-US" w:eastAsia="zh-CN"/>
              </w:rPr>
              <w:t>；</w:t>
            </w:r>
          </w:p>
          <w:p w14:paraId="4EF436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cs="Times New Roman"/>
                <w:b w:val="0"/>
                <w:bCs w:val="0"/>
                <w:color w:val="000000"/>
                <w:kern w:val="0"/>
                <w:sz w:val="21"/>
                <w:szCs w:val="21"/>
                <w:highlight w:val="none"/>
                <w:lang w:val="en-US" w:eastAsia="zh-CN"/>
              </w:rPr>
              <w:t>4）</w:t>
            </w:r>
            <w:r>
              <w:rPr>
                <w:rFonts w:hint="default" w:ascii="Times New Roman" w:hAnsi="Times New Roman" w:eastAsia="宋体" w:cs="Times New Roman"/>
                <w:b w:val="0"/>
                <w:bCs w:val="0"/>
                <w:color w:val="000000"/>
                <w:kern w:val="0"/>
                <w:sz w:val="21"/>
                <w:szCs w:val="21"/>
                <w:highlight w:val="none"/>
                <w:lang w:val="en-US" w:eastAsia="zh-CN"/>
              </w:rPr>
              <w:t>天池游客服务中心服务区，面积为0.95km</w:t>
            </w:r>
            <w:r>
              <w:rPr>
                <w:rFonts w:hint="default" w:ascii="Times New Roman" w:hAnsi="Times New Roman" w:eastAsia="宋体" w:cs="Times New Roman"/>
                <w:b w:val="0"/>
                <w:bCs w:val="0"/>
                <w:color w:val="000000"/>
                <w:kern w:val="0"/>
                <w:sz w:val="21"/>
                <w:szCs w:val="21"/>
                <w:highlight w:val="none"/>
                <w:vertAlign w:val="superscript"/>
                <w:lang w:val="en-US" w:eastAsia="zh-CN"/>
              </w:rPr>
              <w:t>2</w:t>
            </w:r>
            <w:r>
              <w:rPr>
                <w:rFonts w:hint="default" w:ascii="Times New Roman" w:hAnsi="Times New Roman" w:eastAsia="宋体" w:cs="Times New Roman"/>
                <w:b w:val="0"/>
                <w:bCs w:val="0"/>
                <w:color w:val="000000"/>
                <w:kern w:val="0"/>
                <w:sz w:val="21"/>
                <w:szCs w:val="21"/>
                <w:highlight w:val="none"/>
                <w:lang w:val="en-US" w:eastAsia="zh-CN"/>
              </w:rPr>
              <w:t>；</w:t>
            </w:r>
          </w:p>
          <w:p w14:paraId="7DAAB5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cs="Times New Roman"/>
                <w:b w:val="0"/>
                <w:bCs w:val="0"/>
                <w:color w:val="000000"/>
                <w:kern w:val="0"/>
                <w:sz w:val="21"/>
                <w:szCs w:val="21"/>
                <w:highlight w:val="none"/>
                <w:lang w:val="en-US" w:eastAsia="zh-CN"/>
              </w:rPr>
              <w:t>5）</w:t>
            </w:r>
            <w:r>
              <w:rPr>
                <w:rFonts w:hint="default" w:ascii="Times New Roman" w:hAnsi="Times New Roman" w:eastAsia="宋体" w:cs="Times New Roman"/>
                <w:b w:val="0"/>
                <w:bCs w:val="0"/>
                <w:color w:val="000000"/>
                <w:kern w:val="0"/>
                <w:sz w:val="21"/>
                <w:szCs w:val="21"/>
                <w:highlight w:val="none"/>
                <w:lang w:val="en-US" w:eastAsia="zh-CN"/>
              </w:rPr>
              <w:t>白杨沟游客服务接待点；</w:t>
            </w:r>
          </w:p>
          <w:p w14:paraId="5069FB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cs="Times New Roman"/>
                <w:b w:val="0"/>
                <w:bCs w:val="0"/>
                <w:color w:val="000000"/>
                <w:kern w:val="0"/>
                <w:sz w:val="21"/>
                <w:szCs w:val="21"/>
                <w:highlight w:val="none"/>
                <w:lang w:val="en-US" w:eastAsia="zh-CN"/>
              </w:rPr>
              <w:t>6）</w:t>
            </w:r>
            <w:r>
              <w:rPr>
                <w:rFonts w:hint="default" w:ascii="Times New Roman" w:hAnsi="Times New Roman" w:eastAsia="宋体" w:cs="Times New Roman"/>
                <w:b w:val="0"/>
                <w:bCs w:val="0"/>
                <w:color w:val="000000"/>
                <w:kern w:val="0"/>
                <w:sz w:val="21"/>
                <w:szCs w:val="21"/>
                <w:highlight w:val="none"/>
                <w:lang w:val="en-US" w:eastAsia="zh-CN"/>
              </w:rPr>
              <w:t>天池海南游客服务接待点。</w:t>
            </w:r>
          </w:p>
          <w:p w14:paraId="207699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eastAsia" w:cs="Times New Roman"/>
                <w:b w:val="0"/>
                <w:bCs w:val="0"/>
                <w:color w:val="000000"/>
                <w:kern w:val="0"/>
                <w:sz w:val="21"/>
                <w:szCs w:val="21"/>
                <w:highlight w:val="none"/>
                <w:lang w:val="en-US" w:eastAsia="zh-CN"/>
              </w:rPr>
              <w:t>3.</w:t>
            </w:r>
            <w:r>
              <w:rPr>
                <w:rFonts w:hint="default" w:ascii="Times New Roman" w:hAnsi="Times New Roman" w:eastAsia="宋体" w:cs="Times New Roman"/>
                <w:b w:val="0"/>
                <w:bCs w:val="0"/>
                <w:color w:val="000000"/>
                <w:kern w:val="0"/>
                <w:sz w:val="21"/>
                <w:szCs w:val="21"/>
                <w:highlight w:val="none"/>
                <w:lang w:val="en-US" w:eastAsia="zh-CN"/>
              </w:rPr>
              <w:t>科普教育区</w:t>
            </w:r>
          </w:p>
          <w:p w14:paraId="46BDA2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规划两处科普教育区，总面积为0.12km</w:t>
            </w:r>
            <w:r>
              <w:rPr>
                <w:rFonts w:hint="default" w:ascii="Times New Roman" w:hAnsi="Times New Roman" w:eastAsia="宋体" w:cs="Times New Roman"/>
                <w:b w:val="0"/>
                <w:bCs w:val="0"/>
                <w:color w:val="000000"/>
                <w:kern w:val="0"/>
                <w:sz w:val="21"/>
                <w:szCs w:val="21"/>
                <w:highlight w:val="none"/>
                <w:vertAlign w:val="superscript"/>
                <w:lang w:val="en-US" w:eastAsia="zh-CN"/>
              </w:rPr>
              <w:t>2</w:t>
            </w:r>
            <w:r>
              <w:rPr>
                <w:rFonts w:hint="default" w:ascii="Times New Roman" w:hAnsi="Times New Roman" w:eastAsia="宋体" w:cs="Times New Roman"/>
                <w:b w:val="0"/>
                <w:bCs w:val="0"/>
                <w:color w:val="000000"/>
                <w:kern w:val="0"/>
                <w:sz w:val="21"/>
                <w:szCs w:val="21"/>
                <w:highlight w:val="none"/>
                <w:lang w:val="en-US" w:eastAsia="zh-CN"/>
              </w:rPr>
              <w:t>，占总面积的0.02%。</w:t>
            </w:r>
          </w:p>
          <w:p w14:paraId="2DC949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1）游人中心科普教育区，面积为0.07km</w:t>
            </w:r>
            <w:r>
              <w:rPr>
                <w:rFonts w:hint="default" w:ascii="Times New Roman" w:hAnsi="Times New Roman" w:eastAsia="宋体" w:cs="Times New Roman"/>
                <w:b w:val="0"/>
                <w:bCs w:val="0"/>
                <w:color w:val="000000"/>
                <w:kern w:val="0"/>
                <w:sz w:val="21"/>
                <w:szCs w:val="21"/>
                <w:highlight w:val="none"/>
                <w:vertAlign w:val="superscript"/>
                <w:lang w:val="en-US" w:eastAsia="zh-CN"/>
              </w:rPr>
              <w:t>2</w:t>
            </w:r>
            <w:r>
              <w:rPr>
                <w:rFonts w:hint="default" w:ascii="Times New Roman" w:hAnsi="Times New Roman" w:eastAsia="宋体" w:cs="Times New Roman"/>
                <w:b w:val="0"/>
                <w:bCs w:val="0"/>
                <w:color w:val="000000"/>
                <w:kern w:val="0"/>
                <w:sz w:val="21"/>
                <w:szCs w:val="21"/>
                <w:highlight w:val="none"/>
                <w:lang w:val="en-US" w:eastAsia="zh-CN"/>
              </w:rPr>
              <w:t>，设置博物馆与影视厅，为游客进行科普教育宣传。</w:t>
            </w:r>
          </w:p>
          <w:p w14:paraId="2C8434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2）天池海西学生科普教育区，面积为0.05km</w:t>
            </w:r>
            <w:r>
              <w:rPr>
                <w:rFonts w:hint="default" w:ascii="Times New Roman" w:hAnsi="Times New Roman" w:eastAsia="宋体" w:cs="Times New Roman"/>
                <w:b w:val="0"/>
                <w:bCs w:val="0"/>
                <w:color w:val="000000"/>
                <w:kern w:val="0"/>
                <w:sz w:val="21"/>
                <w:szCs w:val="21"/>
                <w:highlight w:val="none"/>
                <w:vertAlign w:val="superscript"/>
                <w:lang w:val="en-US" w:eastAsia="zh-CN"/>
              </w:rPr>
              <w:t>2</w:t>
            </w:r>
            <w:r>
              <w:rPr>
                <w:rFonts w:hint="default" w:ascii="Times New Roman" w:hAnsi="Times New Roman" w:eastAsia="宋体" w:cs="Times New Roman"/>
                <w:b w:val="0"/>
                <w:bCs w:val="0"/>
                <w:color w:val="000000"/>
                <w:kern w:val="0"/>
                <w:sz w:val="21"/>
                <w:szCs w:val="21"/>
                <w:highlight w:val="none"/>
                <w:lang w:val="en-US" w:eastAsia="zh-CN"/>
              </w:rPr>
              <w:t>；在此处将组织大专院校、中小学生的科普教育及实习基地。</w:t>
            </w:r>
          </w:p>
        </w:tc>
        <w:tc>
          <w:tcPr>
            <w:tcW w:w="1347" w:type="pct"/>
            <w:tcBorders>
              <w:tl2br w:val="nil"/>
              <w:tr2bl w:val="nil"/>
            </w:tcBorders>
            <w:noWrap w:val="0"/>
            <w:vAlign w:val="center"/>
          </w:tcPr>
          <w:p w14:paraId="66693D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本项目位于新疆维吾尔自治区昌吉回族自治州阜康市三工河哈萨克乡花儿沟村，</w:t>
            </w:r>
            <w:r>
              <w:rPr>
                <w:rFonts w:hint="eastAsia" w:ascii="Times New Roman" w:hAnsi="Times New Roman" w:eastAsia="宋体" w:cs="Times New Roman"/>
                <w:b w:val="0"/>
                <w:bCs w:val="0"/>
                <w:color w:val="000000"/>
                <w:kern w:val="0"/>
                <w:sz w:val="21"/>
                <w:szCs w:val="21"/>
                <w:highlight w:val="none"/>
                <w:lang w:val="en-US" w:eastAsia="zh-CN"/>
              </w:rPr>
              <w:t>位于</w:t>
            </w:r>
            <w:r>
              <w:rPr>
                <w:rFonts w:hint="default" w:ascii="Times New Roman" w:hAnsi="Times New Roman" w:eastAsia="宋体" w:cs="Times New Roman"/>
                <w:b w:val="0"/>
                <w:bCs w:val="0"/>
                <w:color w:val="000000"/>
                <w:kern w:val="0"/>
                <w:sz w:val="21"/>
                <w:szCs w:val="21"/>
                <w:highlight w:val="none"/>
                <w:lang w:val="en-US" w:eastAsia="zh-CN"/>
              </w:rPr>
              <w:t>三工河民俗风情游客服务区</w:t>
            </w:r>
            <w:r>
              <w:rPr>
                <w:rFonts w:hint="eastAsia" w:ascii="Times New Roman" w:hAnsi="Times New Roman" w:eastAsia="宋体" w:cs="Times New Roman"/>
                <w:b w:val="0"/>
                <w:bCs w:val="0"/>
                <w:color w:val="000000"/>
                <w:kern w:val="0"/>
                <w:sz w:val="21"/>
                <w:szCs w:val="21"/>
                <w:highlight w:val="none"/>
                <w:lang w:val="en-US" w:eastAsia="zh-CN"/>
              </w:rPr>
              <w:t>。</w:t>
            </w:r>
            <w:r>
              <w:rPr>
                <w:rFonts w:hint="eastAsia" w:cs="Times New Roman"/>
                <w:b w:val="0"/>
                <w:bCs w:val="0"/>
                <w:color w:val="000000"/>
                <w:kern w:val="0"/>
                <w:sz w:val="21"/>
                <w:szCs w:val="21"/>
                <w:highlight w:val="none"/>
                <w:lang w:val="en-US" w:eastAsia="zh-CN"/>
              </w:rPr>
              <w:t>符合《新疆天山天池国家地质公园总体规划》（2012—2020年）功能区划分</w:t>
            </w:r>
          </w:p>
        </w:tc>
        <w:tc>
          <w:tcPr>
            <w:tcW w:w="378" w:type="pct"/>
            <w:tcBorders>
              <w:tl2br w:val="nil"/>
              <w:tr2bl w:val="nil"/>
            </w:tcBorders>
            <w:noWrap w:val="0"/>
            <w:vAlign w:val="center"/>
          </w:tcPr>
          <w:p w14:paraId="7678E9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rPr>
              <w:t>符合</w:t>
            </w:r>
          </w:p>
        </w:tc>
      </w:tr>
    </w:tbl>
    <w:p w14:paraId="0FCE9ED7">
      <w:pPr>
        <w:pStyle w:val="6"/>
        <w:keepNext/>
        <w:keepLines/>
        <w:pageBreakBefore w:val="0"/>
        <w:widowControl w:val="0"/>
        <w:numPr>
          <w:ilvl w:val="0"/>
          <w:numId w:val="0"/>
        </w:numPr>
        <w:kinsoku/>
        <w:wordWrap/>
        <w:overflowPunct/>
        <w:topLinePunct w:val="0"/>
        <w:autoSpaceDE/>
        <w:autoSpaceDN/>
        <w:bidi w:val="0"/>
        <w:adjustRightInd/>
        <w:snapToGrid w:val="0"/>
        <w:spacing w:before="0" w:beforeLines="0" w:after="0" w:afterLines="0" w:line="360" w:lineRule="auto"/>
        <w:ind w:left="0" w:leftChars="0" w:firstLine="480" w:firstLineChars="200"/>
        <w:textAlignment w:val="auto"/>
        <w:outlineLvl w:val="3"/>
        <w:rPr>
          <w:rFonts w:hint="default" w:ascii="Times New Roman" w:hAnsi="Times New Roman" w:eastAsia="宋体" w:cs="Times New Roman"/>
          <w:b w:val="0"/>
          <w:bCs w:val="0"/>
          <w:color w:val="000000"/>
          <w:kern w:val="2"/>
          <w:sz w:val="24"/>
          <w:szCs w:val="21"/>
          <w:highlight w:val="none"/>
          <w:lang w:val="en-US" w:eastAsia="zh-CN" w:bidi="ar-SA"/>
        </w:rPr>
      </w:pPr>
      <w:bookmarkStart w:id="137" w:name="_Toc20574"/>
      <w:bookmarkStart w:id="138" w:name="_Toc20054"/>
      <w:r>
        <w:rPr>
          <w:rFonts w:hint="default" w:ascii="Times New Roman" w:hAnsi="Times New Roman" w:eastAsia="宋体" w:cs="Times New Roman"/>
          <w:b w:val="0"/>
          <w:bCs w:val="0"/>
          <w:color w:val="000000"/>
          <w:kern w:val="2"/>
          <w:sz w:val="24"/>
          <w:szCs w:val="21"/>
          <w:highlight w:val="none"/>
          <w:lang w:val="en-US" w:eastAsia="zh-CN" w:bidi="ar-SA"/>
        </w:rPr>
        <w:t>2.4.1.5对</w:t>
      </w:r>
      <w:r>
        <w:rPr>
          <w:rFonts w:hint="eastAsia" w:ascii="Times New Roman" w:hAnsi="Times New Roman" w:eastAsia="宋体" w:cs="Times New Roman"/>
          <w:b w:val="0"/>
          <w:bCs w:val="0"/>
          <w:color w:val="000000"/>
          <w:kern w:val="2"/>
          <w:sz w:val="24"/>
          <w:szCs w:val="21"/>
          <w:highlight w:val="none"/>
          <w:lang w:val="en-US" w:eastAsia="zh-CN" w:bidi="ar-SA"/>
        </w:rPr>
        <w:t>新疆</w:t>
      </w:r>
      <w:r>
        <w:rPr>
          <w:rFonts w:hint="default" w:ascii="Times New Roman" w:hAnsi="Times New Roman" w:eastAsia="宋体" w:cs="Times New Roman"/>
          <w:b w:val="0"/>
          <w:bCs w:val="0"/>
          <w:color w:val="000000"/>
          <w:kern w:val="2"/>
          <w:sz w:val="24"/>
          <w:szCs w:val="21"/>
          <w:highlight w:val="none"/>
          <w:lang w:val="en-US" w:eastAsia="zh-CN" w:bidi="ar-SA"/>
        </w:rPr>
        <w:t>天山天池</w:t>
      </w:r>
      <w:r>
        <w:rPr>
          <w:rFonts w:hint="eastAsia" w:ascii="Times New Roman" w:hAnsi="Times New Roman" w:eastAsia="宋体" w:cs="Times New Roman"/>
          <w:b w:val="0"/>
          <w:bCs w:val="0"/>
          <w:color w:val="000000"/>
          <w:kern w:val="2"/>
          <w:sz w:val="24"/>
          <w:szCs w:val="21"/>
          <w:highlight w:val="none"/>
          <w:lang w:val="en-US" w:eastAsia="zh-CN" w:bidi="ar-SA"/>
        </w:rPr>
        <w:t>国家地质公园</w:t>
      </w:r>
      <w:r>
        <w:rPr>
          <w:rFonts w:hint="default" w:ascii="Times New Roman" w:hAnsi="Times New Roman" w:eastAsia="宋体" w:cs="Times New Roman"/>
          <w:b w:val="0"/>
          <w:bCs w:val="0"/>
          <w:color w:val="000000"/>
          <w:kern w:val="2"/>
          <w:sz w:val="24"/>
          <w:szCs w:val="21"/>
          <w:highlight w:val="none"/>
          <w:lang w:val="en-US" w:eastAsia="zh-CN" w:bidi="ar-SA"/>
        </w:rPr>
        <w:t>的影响</w:t>
      </w:r>
      <w:bookmarkEnd w:id="137"/>
      <w:bookmarkEnd w:id="138"/>
    </w:p>
    <w:p w14:paraId="67A068A3">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ascii="宋体" w:hAnsi="宋体" w:eastAsia="宋体" w:cs="宋体"/>
          <w:sz w:val="24"/>
          <w:szCs w:val="24"/>
        </w:rPr>
        <w:t>本民宿选址位于天山天池国家地质公园外围缓冲管控区域，不属于地质遗迹核心保护区与生态核心保育区，</w:t>
      </w:r>
      <w:r>
        <w:rPr>
          <w:rFonts w:hint="eastAsia" w:ascii="宋体" w:hAnsi="宋体" w:eastAsia="宋体" w:cs="宋体"/>
          <w:sz w:val="24"/>
          <w:szCs w:val="24"/>
          <w:lang w:val="en-US" w:eastAsia="zh-CN"/>
        </w:rPr>
        <w:t>项目</w:t>
      </w:r>
      <w:r>
        <w:rPr>
          <w:rFonts w:hint="default" w:ascii="Times New Roman" w:hAnsi="Times New Roman" w:eastAsia="宋体" w:cs="Times New Roman"/>
          <w:b w:val="0"/>
          <w:bCs w:val="0"/>
          <w:color w:val="000000"/>
          <w:kern w:val="0"/>
          <w:sz w:val="24"/>
          <w:szCs w:val="24"/>
          <w:highlight w:val="none"/>
          <w:lang w:val="en-US" w:eastAsia="zh-CN" w:bidi="ar"/>
        </w:rPr>
        <w:t>总用地面积为24858m</w:t>
      </w:r>
      <w:r>
        <w:rPr>
          <w:rFonts w:hint="default" w:ascii="Times New Roman" w:hAnsi="Times New Roman" w:eastAsia="宋体" w:cs="Times New Roman"/>
          <w:b w:val="0"/>
          <w:bCs w:val="0"/>
          <w:color w:val="000000"/>
          <w:kern w:val="0"/>
          <w:sz w:val="24"/>
          <w:szCs w:val="24"/>
          <w:highlight w:val="none"/>
          <w:vertAlign w:val="superscript"/>
          <w:lang w:val="en-US" w:eastAsia="zh-CN" w:bidi="ar"/>
        </w:rPr>
        <w:t>2</w:t>
      </w:r>
      <w:r>
        <w:rPr>
          <w:rFonts w:hint="default" w:ascii="Times New Roman" w:hAnsi="Times New Roman" w:eastAsia="宋体" w:cs="Times New Roman"/>
          <w:b w:val="0"/>
          <w:bCs w:val="0"/>
          <w:color w:val="000000"/>
          <w:kern w:val="0"/>
          <w:sz w:val="24"/>
          <w:szCs w:val="24"/>
          <w:highlight w:val="none"/>
          <w:lang w:val="en-US" w:eastAsia="zh-CN" w:bidi="ar"/>
        </w:rPr>
        <w:t>，其中建设用地10215m</w:t>
      </w:r>
      <w:r>
        <w:rPr>
          <w:rFonts w:hint="default" w:ascii="Times New Roman" w:hAnsi="Times New Roman" w:eastAsia="宋体" w:cs="Times New Roman"/>
          <w:b w:val="0"/>
          <w:bCs w:val="0"/>
          <w:color w:val="000000"/>
          <w:kern w:val="0"/>
          <w:sz w:val="24"/>
          <w:szCs w:val="24"/>
          <w:highlight w:val="none"/>
          <w:vertAlign w:val="superscript"/>
          <w:lang w:val="en-US" w:eastAsia="zh-CN" w:bidi="ar"/>
        </w:rPr>
        <w:t>2</w:t>
      </w:r>
      <w:r>
        <w:rPr>
          <w:rFonts w:hint="default" w:ascii="Times New Roman" w:hAnsi="Times New Roman" w:eastAsia="宋体" w:cs="Times New Roman"/>
          <w:b w:val="0"/>
          <w:bCs w:val="0"/>
          <w:color w:val="000000"/>
          <w:kern w:val="0"/>
          <w:sz w:val="24"/>
          <w:szCs w:val="24"/>
          <w:highlight w:val="none"/>
          <w:lang w:val="en-US" w:eastAsia="zh-CN" w:bidi="ar"/>
        </w:rPr>
        <w:t>，林草地14643m</w:t>
      </w:r>
      <w:r>
        <w:rPr>
          <w:rFonts w:hint="default" w:ascii="Times New Roman" w:hAnsi="Times New Roman" w:eastAsia="宋体" w:cs="Times New Roman"/>
          <w:b w:val="0"/>
          <w:bCs w:val="0"/>
          <w:color w:val="000000"/>
          <w:kern w:val="0"/>
          <w:sz w:val="24"/>
          <w:szCs w:val="24"/>
          <w:highlight w:val="none"/>
          <w:vertAlign w:val="superscript"/>
          <w:lang w:val="en-US" w:eastAsia="zh-CN" w:bidi="ar"/>
        </w:rPr>
        <w:t>2</w:t>
      </w:r>
      <w:r>
        <w:rPr>
          <w:rFonts w:hint="default" w:ascii="Times New Roman" w:hAnsi="Times New Roman" w:eastAsia="宋体" w:cs="Times New Roman"/>
          <w:b w:val="0"/>
          <w:bCs w:val="0"/>
          <w:color w:val="000000"/>
          <w:kern w:val="0"/>
          <w:sz w:val="24"/>
          <w:szCs w:val="24"/>
          <w:highlight w:val="none"/>
          <w:vertAlign w:val="baseline"/>
          <w:lang w:val="en-US" w:eastAsia="zh-CN" w:bidi="ar"/>
        </w:rPr>
        <w:t>。</w:t>
      </w:r>
      <w:r>
        <w:rPr>
          <w:rFonts w:hint="eastAsia" w:ascii="Times New Roman" w:hAnsi="Times New Roman" w:eastAsia="宋体" w:cs="Times New Roman"/>
          <w:b w:val="0"/>
          <w:bCs w:val="0"/>
          <w:color w:val="000000"/>
          <w:kern w:val="0"/>
          <w:sz w:val="24"/>
          <w:szCs w:val="24"/>
          <w:highlight w:val="none"/>
          <w:vertAlign w:val="baseline"/>
          <w:lang w:val="en-US" w:eastAsia="zh-CN" w:bidi="ar"/>
        </w:rPr>
        <w:t>林草地的征地已办理补偿手续</w:t>
      </w:r>
      <w:r>
        <w:rPr>
          <w:rFonts w:ascii="宋体" w:hAnsi="宋体" w:eastAsia="宋体" w:cs="宋体"/>
          <w:sz w:val="24"/>
          <w:szCs w:val="24"/>
        </w:rPr>
        <w:t>。施工期短暂土方开挖、机械作业会产生扬尘、噪声，短时惊扰周边野生动物，施工场地杂乱堆放也会短暂影响区域自然景观协调性；运营期若游客活动、生活污水、生活垃圾管控不当，存在人员越界踩踏外围植被、污水渗漏污染流域水环境、破坏区域原生生态格局的轻微风险。总体来看，项目扰动具备暂时性、可逆性，在落实各项生态环保治理措施前提下，对天山天池国家地质公园地质遗迹、生态系统、水环境、景观格局负面影响轻微，处于管控可接受范围，且盘活闲置</w:t>
      </w:r>
      <w:r>
        <w:rPr>
          <w:rFonts w:hint="eastAsia" w:ascii="宋体" w:hAnsi="宋体" w:eastAsia="宋体" w:cs="宋体"/>
          <w:sz w:val="24"/>
          <w:szCs w:val="24"/>
          <w:lang w:val="en-US" w:eastAsia="zh-CN"/>
        </w:rPr>
        <w:t>建筑</w:t>
      </w:r>
      <w:r>
        <w:rPr>
          <w:rFonts w:ascii="宋体" w:hAnsi="宋体" w:eastAsia="宋体" w:cs="宋体"/>
          <w:sz w:val="24"/>
          <w:szCs w:val="24"/>
        </w:rPr>
        <w:t>有利于遏制周边无序私搭乱建，契合</w:t>
      </w:r>
      <w:r>
        <w:rPr>
          <w:rFonts w:hint="eastAsia" w:ascii="Times New Roman" w:hAnsi="Times New Roman" w:eastAsia="宋体" w:cs="Times New Roman"/>
          <w:b w:val="0"/>
          <w:bCs w:val="0"/>
          <w:color w:val="000000"/>
          <w:kern w:val="2"/>
          <w:sz w:val="24"/>
          <w:szCs w:val="21"/>
          <w:highlight w:val="none"/>
          <w:lang w:val="en-US" w:eastAsia="zh-CN" w:bidi="ar-SA"/>
        </w:rPr>
        <w:t>新疆</w:t>
      </w:r>
      <w:r>
        <w:rPr>
          <w:rFonts w:hint="default" w:ascii="Times New Roman" w:hAnsi="Times New Roman" w:eastAsia="宋体" w:cs="Times New Roman"/>
          <w:b w:val="0"/>
          <w:bCs w:val="0"/>
          <w:color w:val="000000"/>
          <w:kern w:val="2"/>
          <w:sz w:val="24"/>
          <w:szCs w:val="21"/>
          <w:highlight w:val="none"/>
          <w:lang w:val="en-US" w:eastAsia="zh-CN" w:bidi="ar-SA"/>
        </w:rPr>
        <w:t>天山天池</w:t>
      </w:r>
      <w:r>
        <w:rPr>
          <w:rFonts w:hint="eastAsia" w:ascii="Times New Roman" w:hAnsi="Times New Roman" w:eastAsia="宋体" w:cs="Times New Roman"/>
          <w:b w:val="0"/>
          <w:bCs w:val="0"/>
          <w:color w:val="000000"/>
          <w:kern w:val="2"/>
          <w:sz w:val="24"/>
          <w:szCs w:val="21"/>
          <w:highlight w:val="none"/>
          <w:lang w:val="en-US" w:eastAsia="zh-CN" w:bidi="ar-SA"/>
        </w:rPr>
        <w:t>国家地质公园的</w:t>
      </w:r>
      <w:r>
        <w:rPr>
          <w:rFonts w:ascii="宋体" w:hAnsi="宋体" w:eastAsia="宋体" w:cs="宋体"/>
          <w:sz w:val="24"/>
          <w:szCs w:val="24"/>
        </w:rPr>
        <w:t>发展规划定位。</w:t>
      </w:r>
    </w:p>
    <w:p w14:paraId="1015BFF9">
      <w:pPr>
        <w:pStyle w:val="6"/>
        <w:keepNext/>
        <w:keepLines/>
        <w:pageBreakBefore w:val="0"/>
        <w:widowControl w:val="0"/>
        <w:numPr>
          <w:ilvl w:val="0"/>
          <w:numId w:val="0"/>
        </w:numPr>
        <w:kinsoku/>
        <w:wordWrap/>
        <w:overflowPunct/>
        <w:topLinePunct w:val="0"/>
        <w:autoSpaceDE/>
        <w:autoSpaceDN/>
        <w:bidi w:val="0"/>
        <w:adjustRightInd/>
        <w:snapToGrid w:val="0"/>
        <w:spacing w:before="0" w:beforeLines="0" w:after="0" w:afterLines="0" w:line="360" w:lineRule="auto"/>
        <w:ind w:left="0" w:leftChars="0" w:firstLine="480" w:firstLineChars="200"/>
        <w:textAlignment w:val="auto"/>
        <w:outlineLvl w:val="3"/>
        <w:rPr>
          <w:rFonts w:hint="default" w:ascii="Times New Roman" w:hAnsi="Times New Roman" w:eastAsia="宋体" w:cs="Times New Roman"/>
          <w:b w:val="0"/>
          <w:bCs w:val="0"/>
          <w:color w:val="000000"/>
          <w:kern w:val="2"/>
          <w:sz w:val="24"/>
          <w:szCs w:val="21"/>
          <w:lang w:val="en-US" w:eastAsia="zh-CN" w:bidi="ar-SA"/>
        </w:rPr>
      </w:pPr>
      <w:bookmarkStart w:id="139" w:name="_Toc26778"/>
      <w:bookmarkStart w:id="140" w:name="_Toc1750"/>
      <w:r>
        <w:rPr>
          <w:rFonts w:hint="default" w:ascii="Times New Roman" w:hAnsi="Times New Roman" w:eastAsia="宋体" w:cs="Times New Roman"/>
          <w:b w:val="0"/>
          <w:bCs w:val="0"/>
          <w:color w:val="000000"/>
          <w:kern w:val="2"/>
          <w:sz w:val="24"/>
          <w:szCs w:val="21"/>
          <w:lang w:val="en-US" w:eastAsia="zh-CN" w:bidi="ar-SA"/>
        </w:rPr>
        <w:t>2.4.1.6 对</w:t>
      </w:r>
      <w:r>
        <w:rPr>
          <w:rFonts w:hint="eastAsia" w:ascii="Times New Roman" w:hAnsi="Times New Roman" w:eastAsia="宋体" w:cs="Times New Roman"/>
          <w:b w:val="0"/>
          <w:bCs w:val="0"/>
          <w:color w:val="000000"/>
          <w:kern w:val="2"/>
          <w:sz w:val="24"/>
          <w:szCs w:val="21"/>
          <w:lang w:val="en-US" w:eastAsia="zh-CN" w:bidi="ar-SA"/>
        </w:rPr>
        <w:t>新疆</w:t>
      </w:r>
      <w:r>
        <w:rPr>
          <w:rFonts w:hint="default" w:ascii="Times New Roman" w:hAnsi="Times New Roman" w:eastAsia="宋体" w:cs="Times New Roman"/>
          <w:b w:val="0"/>
          <w:bCs w:val="0"/>
          <w:color w:val="000000"/>
          <w:kern w:val="2"/>
          <w:sz w:val="24"/>
          <w:szCs w:val="21"/>
          <w:lang w:val="en-US" w:eastAsia="zh-CN" w:bidi="ar-SA"/>
        </w:rPr>
        <w:t>天山天池</w:t>
      </w:r>
      <w:r>
        <w:rPr>
          <w:rFonts w:hint="eastAsia" w:ascii="Times New Roman" w:hAnsi="Times New Roman" w:eastAsia="宋体" w:cs="Times New Roman"/>
          <w:b w:val="0"/>
          <w:bCs w:val="0"/>
          <w:color w:val="000000"/>
          <w:kern w:val="2"/>
          <w:sz w:val="24"/>
          <w:szCs w:val="21"/>
          <w:lang w:val="en-US" w:eastAsia="zh-CN" w:bidi="ar-SA"/>
        </w:rPr>
        <w:t>国家地质公园</w:t>
      </w:r>
      <w:r>
        <w:rPr>
          <w:rFonts w:hint="default" w:ascii="Times New Roman" w:hAnsi="Times New Roman" w:eastAsia="宋体" w:cs="Times New Roman"/>
          <w:b w:val="0"/>
          <w:bCs w:val="0"/>
          <w:color w:val="000000"/>
          <w:kern w:val="2"/>
          <w:sz w:val="24"/>
          <w:szCs w:val="21"/>
          <w:lang w:val="en-US" w:eastAsia="zh-CN" w:bidi="ar-SA"/>
        </w:rPr>
        <w:t>的环境保护措施</w:t>
      </w:r>
      <w:bookmarkEnd w:id="139"/>
      <w:bookmarkEnd w:id="140"/>
    </w:p>
    <w:p w14:paraId="6A67235D">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ascii="宋体" w:hAnsi="宋体" w:eastAsia="宋体" w:cs="宋体"/>
          <w:sz w:val="24"/>
          <w:szCs w:val="24"/>
        </w:rPr>
        <w:t>项目开工前完成天池管委会准入备案，严格划定施工红线，设置连续封闭围挡杜绝越界扰动外围植被，建筑风貌、体量、色调匹配天池景区管控要求；施工落实扬尘“六个百分百”、昼间限噪施工、大风天气停工抑尘，配套临时截排水沟、</w:t>
      </w:r>
      <w:r>
        <w:rPr>
          <w:rFonts w:hint="eastAsia" w:ascii="宋体" w:hAnsi="宋体" w:cs="宋体"/>
          <w:sz w:val="24"/>
          <w:szCs w:val="24"/>
          <w:lang w:eastAsia="zh-CN"/>
        </w:rPr>
        <w:t>沉沙池</w:t>
      </w:r>
      <w:r>
        <w:rPr>
          <w:rFonts w:ascii="宋体" w:hAnsi="宋体" w:eastAsia="宋体" w:cs="宋体"/>
          <w:sz w:val="24"/>
          <w:szCs w:val="24"/>
        </w:rPr>
        <w:t>、裸土全覆盖等水土保持措施，防范泥沙进入三工河。按照</w:t>
      </w:r>
      <w:r>
        <w:rPr>
          <w:rFonts w:hint="default" w:ascii="Times New Roman" w:hAnsi="Times New Roman" w:eastAsia="宋体" w:cs="Times New Roman"/>
          <w:sz w:val="24"/>
          <w:szCs w:val="24"/>
        </w:rPr>
        <w:t>HJ610-2016</w:t>
      </w:r>
      <w:r>
        <w:rPr>
          <w:rFonts w:ascii="宋体" w:hAnsi="宋体" w:eastAsia="宋体" w:cs="宋体"/>
          <w:sz w:val="24"/>
          <w:szCs w:val="24"/>
        </w:rPr>
        <w:t>开展分区防渗，化粪池</w:t>
      </w:r>
      <w:r>
        <w:rPr>
          <w:rFonts w:hint="eastAsia" w:ascii="宋体" w:hAnsi="宋体" w:cs="宋体"/>
          <w:sz w:val="24"/>
          <w:szCs w:val="24"/>
          <w:lang w:eastAsia="zh-CN"/>
        </w:rPr>
        <w:t>、</w:t>
      </w:r>
      <w:r>
        <w:rPr>
          <w:rFonts w:ascii="宋体" w:hAnsi="宋体" w:eastAsia="宋体" w:cs="宋体"/>
          <w:sz w:val="24"/>
          <w:szCs w:val="24"/>
        </w:rPr>
        <w:t>隔油池划为一般防渗区，生活污水经处理后</w:t>
      </w:r>
      <w:r>
        <w:rPr>
          <w:rFonts w:hint="eastAsia" w:ascii="宋体" w:hAnsi="宋体" w:eastAsia="宋体" w:cs="宋体"/>
          <w:sz w:val="24"/>
          <w:szCs w:val="24"/>
          <w:lang w:val="en-US" w:eastAsia="zh-CN"/>
        </w:rPr>
        <w:t>由吸污车定期抽走拉至阜康市污水处理厂处理</w:t>
      </w:r>
      <w:r>
        <w:rPr>
          <w:rFonts w:ascii="宋体" w:hAnsi="宋体" w:eastAsia="宋体" w:cs="宋体"/>
          <w:sz w:val="24"/>
          <w:szCs w:val="24"/>
        </w:rPr>
        <w:t>；生活垃圾密闭收集日产日清，</w:t>
      </w:r>
      <w:r>
        <w:rPr>
          <w:rFonts w:hint="eastAsia" w:ascii="宋体" w:hAnsi="宋体" w:eastAsia="宋体" w:cs="宋体"/>
          <w:sz w:val="24"/>
          <w:szCs w:val="24"/>
          <w:lang w:val="en-US" w:eastAsia="zh-CN"/>
        </w:rPr>
        <w:t>餐厨垃圾</w:t>
      </w:r>
      <w:r>
        <w:rPr>
          <w:rFonts w:ascii="宋体" w:hAnsi="宋体" w:eastAsia="宋体" w:cs="宋体"/>
          <w:sz w:val="24"/>
          <w:szCs w:val="24"/>
        </w:rPr>
        <w:t>交由资质单位处置。施工避开野生动物繁殖高峰期，场地周边设置生态保护警示牌；运营期配备专人常态化巡查边界围栏，约束游客活动范围，客房设置生态环保提示，杜绝人员进入外围生态区域；按要求落实生态补偿与后期植被管护工作，全方位降低项目对天山天池国家地质公园的环境扰动。</w:t>
      </w:r>
    </w:p>
    <w:p w14:paraId="15F08F41">
      <w:pPr>
        <w:pStyle w:val="6"/>
        <w:keepNext/>
        <w:keepLines/>
        <w:pageBreakBefore w:val="0"/>
        <w:widowControl w:val="0"/>
        <w:numPr>
          <w:ilvl w:val="0"/>
          <w:numId w:val="0"/>
        </w:numPr>
        <w:kinsoku/>
        <w:wordWrap/>
        <w:overflowPunct/>
        <w:topLinePunct w:val="0"/>
        <w:autoSpaceDE/>
        <w:autoSpaceDN/>
        <w:bidi w:val="0"/>
        <w:adjustRightInd/>
        <w:snapToGrid w:val="0"/>
        <w:spacing w:before="0" w:beforeLines="0" w:after="0" w:afterLines="0" w:line="360" w:lineRule="auto"/>
        <w:ind w:left="0" w:leftChars="0" w:firstLine="480" w:firstLineChars="200"/>
        <w:textAlignment w:val="auto"/>
        <w:outlineLvl w:val="3"/>
        <w:rPr>
          <w:rFonts w:hint="default" w:ascii="Times New Roman" w:hAnsi="Times New Roman" w:eastAsia="宋体" w:cs="Times New Roman"/>
          <w:b w:val="0"/>
          <w:bCs w:val="0"/>
          <w:color w:val="000000"/>
          <w:kern w:val="2"/>
          <w:sz w:val="24"/>
          <w:szCs w:val="21"/>
          <w:lang w:val="en-US" w:eastAsia="zh-CN" w:bidi="ar-SA"/>
        </w:rPr>
      </w:pPr>
      <w:bookmarkStart w:id="141" w:name="_Toc15532"/>
      <w:bookmarkStart w:id="142" w:name="_Toc5935"/>
      <w:r>
        <w:rPr>
          <w:rFonts w:hint="default" w:ascii="Times New Roman" w:hAnsi="Times New Roman" w:eastAsia="宋体" w:cs="Times New Roman"/>
          <w:b w:val="0"/>
          <w:bCs w:val="0"/>
          <w:color w:val="000000"/>
          <w:kern w:val="2"/>
          <w:sz w:val="24"/>
          <w:szCs w:val="21"/>
          <w:lang w:val="en-US" w:eastAsia="zh-CN" w:bidi="ar-SA"/>
        </w:rPr>
        <w:t>2.4.1.7小结</w:t>
      </w:r>
      <w:bookmarkEnd w:id="141"/>
      <w:bookmarkEnd w:id="142"/>
    </w:p>
    <w:p w14:paraId="1ACC3D2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rPr>
      </w:pPr>
      <w:r>
        <w:rPr>
          <w:rFonts w:hint="default" w:ascii="Times New Roman" w:hAnsi="Times New Roman" w:eastAsia="宋体" w:cs="Times New Roman"/>
          <w:b w:val="0"/>
          <w:bCs w:val="0"/>
          <w:color w:val="000000"/>
          <w:kern w:val="0"/>
          <w:sz w:val="24"/>
          <w:szCs w:val="24"/>
          <w:highlight w:val="none"/>
          <w:lang w:val="en-US" w:eastAsia="zh-CN"/>
        </w:rPr>
        <w:t>本项目位于</w:t>
      </w:r>
      <w:r>
        <w:rPr>
          <w:rFonts w:hint="eastAsia" w:ascii="Times New Roman" w:hAnsi="Times New Roman" w:eastAsia="宋体" w:cs="Times New Roman"/>
          <w:b w:val="0"/>
          <w:bCs w:val="0"/>
          <w:color w:val="000000"/>
          <w:kern w:val="0"/>
          <w:sz w:val="24"/>
          <w:szCs w:val="24"/>
          <w:highlight w:val="none"/>
          <w:lang w:val="en-US" w:eastAsia="zh-CN"/>
        </w:rPr>
        <w:t>新疆</w:t>
      </w:r>
      <w:r>
        <w:rPr>
          <w:rFonts w:hint="default" w:ascii="Times New Roman" w:hAnsi="Times New Roman" w:eastAsia="宋体" w:cs="Times New Roman"/>
          <w:b w:val="0"/>
          <w:bCs w:val="0"/>
          <w:color w:val="000000"/>
          <w:kern w:val="0"/>
          <w:sz w:val="24"/>
          <w:szCs w:val="24"/>
          <w:highlight w:val="none"/>
          <w:lang w:val="en-US" w:eastAsia="zh-CN"/>
        </w:rPr>
        <w:t>天山天池</w:t>
      </w:r>
      <w:r>
        <w:rPr>
          <w:rFonts w:hint="eastAsia" w:ascii="Times New Roman" w:hAnsi="Times New Roman" w:eastAsia="宋体" w:cs="Times New Roman"/>
          <w:b w:val="0"/>
          <w:bCs w:val="0"/>
          <w:color w:val="000000"/>
          <w:kern w:val="0"/>
          <w:sz w:val="24"/>
          <w:szCs w:val="24"/>
          <w:highlight w:val="none"/>
          <w:lang w:val="en-US" w:eastAsia="zh-CN"/>
        </w:rPr>
        <w:t>国家地质公园的三工河景区</w:t>
      </w:r>
      <w:r>
        <w:rPr>
          <w:rFonts w:hint="default" w:ascii="Times New Roman" w:hAnsi="Times New Roman" w:eastAsia="宋体" w:cs="Times New Roman"/>
          <w:b w:val="0"/>
          <w:bCs w:val="0"/>
          <w:color w:val="000000"/>
          <w:kern w:val="0"/>
          <w:sz w:val="24"/>
          <w:szCs w:val="24"/>
          <w:highlight w:val="none"/>
          <w:lang w:val="en-US" w:eastAsia="zh-CN"/>
        </w:rPr>
        <w:t>，符合《</w:t>
      </w:r>
      <w:r>
        <w:rPr>
          <w:rFonts w:hint="default" w:ascii="Times New Roman" w:hAnsi="Times New Roman" w:eastAsia="宋体" w:cs="Times New Roman"/>
          <w:b w:val="0"/>
          <w:bCs w:val="0"/>
          <w:color w:val="000000"/>
          <w:sz w:val="24"/>
          <w:szCs w:val="21"/>
          <w:lang w:val="en-US" w:eastAsia="zh-CN"/>
        </w:rPr>
        <w:t>国家级自然公园管理办法（试行）</w:t>
      </w:r>
      <w:r>
        <w:rPr>
          <w:rFonts w:hint="eastAsia" w:ascii="Times New Roman" w:hAnsi="Times New Roman" w:eastAsia="宋体" w:cs="Times New Roman"/>
          <w:b w:val="0"/>
          <w:bCs w:val="0"/>
          <w:color w:val="000000"/>
          <w:sz w:val="24"/>
          <w:szCs w:val="21"/>
          <w:lang w:val="en-US" w:eastAsia="zh-CN"/>
        </w:rPr>
        <w:t>》和</w:t>
      </w:r>
      <w:r>
        <w:rPr>
          <w:rFonts w:hint="default" w:ascii="Times New Roman" w:hAnsi="Times New Roman" w:eastAsia="宋体" w:cs="Times New Roman"/>
          <w:b w:val="0"/>
          <w:bCs w:val="0"/>
          <w:color w:val="000000"/>
          <w:kern w:val="0"/>
          <w:sz w:val="24"/>
          <w:szCs w:val="24"/>
          <w:highlight w:val="none"/>
          <w:lang w:val="en-US" w:eastAsia="zh-CN"/>
        </w:rPr>
        <w:t>《</w:t>
      </w:r>
      <w:r>
        <w:rPr>
          <w:rFonts w:hint="eastAsia" w:ascii="Times New Roman" w:hAnsi="Times New Roman" w:eastAsia="宋体" w:cs="Times New Roman"/>
          <w:b w:val="0"/>
          <w:bCs w:val="0"/>
          <w:color w:val="000000"/>
          <w:kern w:val="0"/>
          <w:sz w:val="24"/>
          <w:szCs w:val="24"/>
          <w:highlight w:val="none"/>
          <w:lang w:val="en-US" w:eastAsia="zh-CN"/>
        </w:rPr>
        <w:t>新疆天山天池国家地质公园总体规划</w:t>
      </w:r>
      <w:r>
        <w:rPr>
          <w:rFonts w:hint="default" w:ascii="Times New Roman" w:hAnsi="Times New Roman" w:eastAsia="宋体" w:cs="Times New Roman"/>
          <w:b w:val="0"/>
          <w:bCs w:val="0"/>
          <w:color w:val="000000"/>
          <w:kern w:val="0"/>
          <w:sz w:val="24"/>
          <w:szCs w:val="24"/>
          <w:highlight w:val="none"/>
          <w:lang w:val="en-US" w:eastAsia="zh-CN"/>
        </w:rPr>
        <w:t>》（20</w:t>
      </w:r>
      <w:r>
        <w:rPr>
          <w:rFonts w:hint="eastAsia" w:ascii="Times New Roman" w:hAnsi="Times New Roman" w:eastAsia="宋体" w:cs="Times New Roman"/>
          <w:b w:val="0"/>
          <w:bCs w:val="0"/>
          <w:color w:val="000000"/>
          <w:kern w:val="0"/>
          <w:sz w:val="24"/>
          <w:szCs w:val="24"/>
          <w:highlight w:val="none"/>
          <w:lang w:val="en-US" w:eastAsia="zh-CN"/>
        </w:rPr>
        <w:t>12</w:t>
      </w:r>
      <w:r>
        <w:rPr>
          <w:rFonts w:hint="eastAsia" w:cs="Times New Roman"/>
          <w:b w:val="0"/>
          <w:bCs w:val="0"/>
          <w:color w:val="000000"/>
          <w:kern w:val="0"/>
          <w:sz w:val="24"/>
          <w:szCs w:val="24"/>
          <w:highlight w:val="none"/>
          <w:lang w:val="en-US" w:eastAsia="zh-CN"/>
        </w:rPr>
        <w:t>—</w:t>
      </w:r>
      <w:r>
        <w:rPr>
          <w:rFonts w:hint="eastAsia" w:ascii="Times New Roman" w:hAnsi="Times New Roman" w:eastAsia="宋体" w:cs="Times New Roman"/>
          <w:b w:val="0"/>
          <w:bCs w:val="0"/>
          <w:color w:val="000000"/>
          <w:kern w:val="0"/>
          <w:sz w:val="24"/>
          <w:szCs w:val="24"/>
          <w:highlight w:val="none"/>
          <w:lang w:val="en-US" w:eastAsia="zh-CN"/>
        </w:rPr>
        <w:t>2020</w:t>
      </w:r>
      <w:r>
        <w:rPr>
          <w:rFonts w:hint="default" w:ascii="Times New Roman" w:hAnsi="Times New Roman" w:eastAsia="宋体" w:cs="Times New Roman"/>
          <w:b w:val="0"/>
          <w:bCs w:val="0"/>
          <w:color w:val="000000"/>
          <w:kern w:val="0"/>
          <w:sz w:val="24"/>
          <w:szCs w:val="24"/>
          <w:highlight w:val="none"/>
          <w:lang w:val="en-US" w:eastAsia="zh-CN"/>
        </w:rPr>
        <w:t>年）的管理规定和保护要求。</w:t>
      </w:r>
      <w:r>
        <w:rPr>
          <w:rFonts w:hint="eastAsia" w:ascii="Times New Roman" w:hAnsi="Times New Roman" w:eastAsia="宋体" w:cs="Times New Roman"/>
          <w:b w:val="0"/>
          <w:bCs w:val="0"/>
          <w:color w:val="000000"/>
          <w:kern w:val="0"/>
          <w:sz w:val="24"/>
          <w:szCs w:val="24"/>
          <w:highlight w:val="none"/>
          <w:lang w:val="en-US" w:eastAsia="zh-CN"/>
        </w:rPr>
        <w:t>施工期和</w:t>
      </w:r>
      <w:r>
        <w:rPr>
          <w:rFonts w:hint="default" w:ascii="Times New Roman" w:hAnsi="Times New Roman" w:eastAsia="宋体" w:cs="Times New Roman"/>
          <w:b w:val="0"/>
          <w:bCs w:val="0"/>
          <w:color w:val="000000"/>
          <w:kern w:val="0"/>
          <w:sz w:val="24"/>
          <w:szCs w:val="24"/>
          <w:highlight w:val="none"/>
          <w:lang w:val="en-US" w:eastAsia="zh-CN"/>
        </w:rPr>
        <w:t>运营期严格落实</w:t>
      </w:r>
      <w:r>
        <w:rPr>
          <w:rFonts w:hint="eastAsia" w:ascii="Times New Roman" w:hAnsi="Times New Roman" w:eastAsia="宋体" w:cs="Times New Roman"/>
          <w:b w:val="0"/>
          <w:bCs w:val="0"/>
          <w:color w:val="000000"/>
          <w:kern w:val="0"/>
          <w:sz w:val="24"/>
          <w:szCs w:val="24"/>
          <w:highlight w:val="none"/>
          <w:lang w:val="en-US" w:eastAsia="zh-CN"/>
        </w:rPr>
        <w:t>新疆天山天池国家地质公园</w:t>
      </w:r>
      <w:r>
        <w:rPr>
          <w:rFonts w:hint="default" w:ascii="Times New Roman" w:hAnsi="Times New Roman" w:eastAsia="宋体" w:cs="Times New Roman"/>
          <w:b w:val="0"/>
          <w:bCs w:val="0"/>
          <w:color w:val="000000"/>
          <w:kern w:val="0"/>
          <w:sz w:val="24"/>
          <w:szCs w:val="24"/>
          <w:highlight w:val="none"/>
          <w:lang w:val="en-US" w:eastAsia="zh-CN"/>
        </w:rPr>
        <w:t>分级保护规划的控制要求与保护措施的前提下，本项目运营对</w:t>
      </w:r>
      <w:r>
        <w:rPr>
          <w:rFonts w:hint="eastAsia" w:ascii="Times New Roman" w:hAnsi="Times New Roman" w:eastAsia="宋体" w:cs="Times New Roman"/>
          <w:b w:val="0"/>
          <w:bCs w:val="0"/>
          <w:color w:val="000000"/>
          <w:kern w:val="0"/>
          <w:sz w:val="24"/>
          <w:szCs w:val="24"/>
          <w:highlight w:val="none"/>
          <w:lang w:val="en-US" w:eastAsia="zh-CN"/>
        </w:rPr>
        <w:t>新疆天山天池国家地质公园</w:t>
      </w:r>
      <w:r>
        <w:rPr>
          <w:rFonts w:hint="default" w:ascii="Times New Roman" w:hAnsi="Times New Roman" w:eastAsia="宋体" w:cs="Times New Roman"/>
          <w:b w:val="0"/>
          <w:bCs w:val="0"/>
          <w:color w:val="000000"/>
          <w:kern w:val="0"/>
          <w:sz w:val="24"/>
          <w:szCs w:val="24"/>
          <w:highlight w:val="none"/>
          <w:lang w:val="en-US" w:eastAsia="zh-CN"/>
        </w:rPr>
        <w:t>的影响较小。</w:t>
      </w:r>
    </w:p>
    <w:p w14:paraId="54AC9D50">
      <w:pPr>
        <w:pStyle w:val="3"/>
        <w:pageBreakBefore w:val="0"/>
        <w:widowControl w:val="0"/>
        <w:kinsoku/>
        <w:wordWrap/>
        <w:topLinePunct w:val="0"/>
        <w:autoSpaceDE/>
        <w:autoSpaceDN/>
        <w:bidi w:val="0"/>
        <w:snapToGrid w:val="0"/>
        <w:spacing w:before="0" w:beforeAutospacing="0" w:after="0" w:afterAutospacing="0" w:line="360" w:lineRule="auto"/>
        <w:ind w:left="0" w:leftChars="0" w:firstLine="0" w:firstLineChars="0"/>
        <w:textAlignment w:val="auto"/>
        <w:rPr>
          <w:rFonts w:hint="default" w:ascii="Times New Roman" w:hAnsi="Times New Roman" w:eastAsia="宋体" w:cs="Times New Roman"/>
          <w:b/>
          <w:bCs/>
          <w:color w:val="000000"/>
          <w:sz w:val="28"/>
          <w:szCs w:val="28"/>
          <w:lang w:val="en-US" w:eastAsia="zh-CN"/>
        </w:rPr>
      </w:pPr>
      <w:bookmarkStart w:id="143" w:name="_Toc28030"/>
      <w:bookmarkStart w:id="144" w:name="_Toc15503"/>
      <w:bookmarkStart w:id="145" w:name="_Toc4811"/>
      <w:bookmarkStart w:id="146" w:name="_Toc3039"/>
      <w:r>
        <w:rPr>
          <w:rFonts w:hint="eastAsia" w:eastAsia="宋体" w:cs="Times New Roman"/>
          <w:b/>
          <w:bCs/>
          <w:color w:val="000000"/>
          <w:sz w:val="28"/>
          <w:szCs w:val="28"/>
          <w:lang w:val="en-US" w:eastAsia="zh-CN"/>
        </w:rPr>
        <w:t>3.</w:t>
      </w:r>
      <w:r>
        <w:rPr>
          <w:rFonts w:hint="default" w:ascii="Times New Roman" w:hAnsi="Times New Roman" w:eastAsia="宋体" w:cs="Times New Roman"/>
          <w:b/>
          <w:bCs/>
          <w:color w:val="000000"/>
          <w:sz w:val="28"/>
          <w:szCs w:val="28"/>
          <w:lang w:val="en-US" w:eastAsia="zh-CN"/>
        </w:rPr>
        <w:t>生态环境影响分析</w:t>
      </w:r>
      <w:bookmarkEnd w:id="143"/>
      <w:bookmarkEnd w:id="144"/>
      <w:bookmarkEnd w:id="145"/>
      <w:bookmarkEnd w:id="146"/>
    </w:p>
    <w:p w14:paraId="455BC9F3">
      <w:pPr>
        <w:pStyle w:val="4"/>
        <w:pageBreakBefore w:val="0"/>
        <w:widowControl w:val="0"/>
        <w:numPr>
          <w:ilvl w:val="1"/>
          <w:numId w:val="0"/>
        </w:numPr>
        <w:kinsoku/>
        <w:wordWrap/>
        <w:overflowPunct/>
        <w:topLinePunct w:val="0"/>
        <w:autoSpaceDE/>
        <w:autoSpaceDN/>
        <w:bidi w:val="0"/>
        <w:snapToGrid w:val="0"/>
        <w:spacing w:before="0" w:beforeLines="0" w:after="0" w:afterLines="0" w:line="360" w:lineRule="auto"/>
        <w:jc w:val="both"/>
        <w:textAlignment w:val="auto"/>
        <w:rPr>
          <w:rFonts w:hint="default" w:ascii="Times New Roman" w:hAnsi="Times New Roman" w:eastAsia="宋体" w:cs="Times New Roman"/>
          <w:color w:val="000000"/>
          <w:sz w:val="24"/>
          <w:szCs w:val="24"/>
          <w:lang w:val="en-US" w:eastAsia="zh-CN"/>
        </w:rPr>
      </w:pPr>
      <w:bookmarkStart w:id="147" w:name="_Toc32752"/>
      <w:bookmarkStart w:id="148" w:name="_Toc17405"/>
      <w:bookmarkStart w:id="149" w:name="_Toc15344"/>
      <w:r>
        <w:rPr>
          <w:rFonts w:hint="eastAsia" w:ascii="Times New Roman" w:hAnsi="Times New Roman" w:eastAsia="宋体" w:cs="Times New Roman"/>
          <w:color w:val="000000"/>
          <w:sz w:val="24"/>
          <w:szCs w:val="24"/>
          <w:lang w:val="en-US" w:eastAsia="zh-CN"/>
        </w:rPr>
        <w:t>3.1施工期生态环境影响分析</w:t>
      </w:r>
    </w:p>
    <w:p w14:paraId="5AA5A8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（1）对陆生动物影响分析</w:t>
      </w:r>
    </w:p>
    <w:p w14:paraId="34ED56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施工期施工机械作业、车辆运输及人员活动将产生短时噪声、扬尘扰动，对场地周边野兔、啮齿类、小型鸟类、蜥蜴等常见陆生动物产生轻微惊扰，促使其向周边林草地迁移。本项目选址为村庄建成区，长期受人类活动干扰，并非野生动物核心栖息、繁殖及觅食栖息地，无集中陆生动物种群分布。项目施工范围严格受控，不破坏动物迁徙通道与活动廊道，不会造成陆生动物死亡、种群减少及栖息地破碎化。</w:t>
      </w:r>
    </w:p>
    <w:p w14:paraId="1FEE36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（2）对植被影响分析</w:t>
      </w:r>
    </w:p>
    <w:p w14:paraId="13E61B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项目主体工程的建设和道路系统的建设，会对原生植被损毁。项目严格控制施工边界，不大规模开挖、碾压外围成片林草地、山地灌丛及草本植被，不会破坏天山北坡原生草原植被群落结构。施工期临时裸露地表、局部扬尘沉降会对周边近</w:t>
      </w:r>
      <w:r>
        <w:rPr>
          <w:rFonts w:hint="eastAsia" w:cs="Times New Roman"/>
          <w:color w:val="000000"/>
          <w:kern w:val="0"/>
          <w:sz w:val="24"/>
          <w:szCs w:val="24"/>
          <w:highlight w:val="none"/>
          <w:lang w:val="en-US" w:eastAsia="zh-CN" w:bidi="ar"/>
        </w:rPr>
        <w:t>距离</w:t>
      </w:r>
      <w:r>
        <w:rPr>
          <w:rFonts w:hint="default" w:ascii="Times New Roman" w:hAnsi="Times New Roman" w:eastAsia="宋体" w:cs="Times New Roman"/>
          <w:color w:val="000000"/>
          <w:kern w:val="0"/>
          <w:sz w:val="24"/>
          <w:szCs w:val="24"/>
          <w:highlight w:val="none"/>
          <w:lang w:val="en-US" w:eastAsia="zh-CN" w:bidi="ar"/>
        </w:rPr>
        <w:t>草本植被产生短暂轻微影响，通过裸土全覆盖、常态化洒水抑尘、划定施工红线等措施可有效消除扰动。</w:t>
      </w:r>
    </w:p>
    <w:p w14:paraId="4A65FBA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sz w:val="24"/>
          <w:szCs w:val="24"/>
        </w:rPr>
        <w:t>项目建设扰动地表，造成区域植被生物量损失。根据占地类型统计，永久占用天然草地</w:t>
      </w:r>
      <w:r>
        <w:rPr>
          <w:rFonts w:hint="default" w:ascii="Times New Roman" w:hAnsi="Times New Roman" w:eastAsia="宋体" w:cs="Times New Roman"/>
          <w:sz w:val="24"/>
          <w:szCs w:val="24"/>
          <w:lang w:val="en-US" w:eastAsia="zh-CN"/>
        </w:rPr>
        <w:t>1.2253</w:t>
      </w:r>
      <w:r>
        <w:rPr>
          <w:rFonts w:hint="default" w:ascii="Times New Roman" w:hAnsi="Times New Roman" w:eastAsia="宋体" w:cs="Times New Roman"/>
          <w:sz w:val="24"/>
          <w:szCs w:val="24"/>
        </w:rPr>
        <w:t>hm²，参照天</w:t>
      </w:r>
      <w:r>
        <w:rPr>
          <w:rFonts w:hint="default" w:ascii="Times New Roman" w:hAnsi="Times New Roman" w:eastAsia="宋体" w:cs="Times New Roman"/>
          <w:sz w:val="24"/>
          <w:szCs w:val="24"/>
          <w:lang w:val="en-US" w:eastAsia="zh-CN"/>
        </w:rPr>
        <w:t>山北坡温性草原单位面积地上生物量2.5t/hm²进行核算，项目永久植被生物损失量约</w:t>
      </w:r>
      <w:r>
        <w:rPr>
          <w:rFonts w:hint="eastAsia" w:ascii="Times New Roman" w:hAnsi="Times New Roman" w:eastAsia="宋体" w:cs="Times New Roman"/>
          <w:sz w:val="24"/>
          <w:szCs w:val="24"/>
          <w:lang w:val="en-US" w:eastAsia="zh-CN"/>
        </w:rPr>
        <w:t>3.063</w:t>
      </w:r>
      <w:r>
        <w:rPr>
          <w:rFonts w:hint="default" w:ascii="Times New Roman" w:hAnsi="Times New Roman" w:eastAsia="宋体" w:cs="Times New Roman"/>
          <w:sz w:val="24"/>
          <w:szCs w:val="24"/>
          <w:lang w:val="en-US" w:eastAsia="zh-CN"/>
        </w:rPr>
        <w:t>t</w:t>
      </w:r>
      <w:r>
        <w:rPr>
          <w:rFonts w:hint="eastAsia" w:eastAsia="宋体" w:cs="Times New Roman"/>
          <w:sz w:val="24"/>
          <w:szCs w:val="24"/>
          <w:lang w:val="en-US" w:eastAsia="zh-CN"/>
        </w:rPr>
        <w:t>。</w:t>
      </w:r>
    </w:p>
    <w:p w14:paraId="28591D5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（3）</w:t>
      </w:r>
      <w:r>
        <w:rPr>
          <w:rFonts w:hint="default" w:ascii="Times New Roman" w:hAnsi="Times New Roman" w:eastAsia="宋体" w:cs="Times New Roman"/>
          <w:color w:val="000000"/>
          <w:kern w:val="0"/>
          <w:sz w:val="24"/>
          <w:szCs w:val="24"/>
          <w:highlight w:val="none"/>
          <w:lang w:val="en-US" w:eastAsia="zh-CN" w:bidi="ar"/>
        </w:rPr>
        <w:t>对珍稀保护植物及古树名木、生态公益林、珍稀保护动物影响分析</w:t>
      </w:r>
    </w:p>
    <w:p w14:paraId="242F6E0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经现场全面踏勘，项目建设用地及周边扰动范围内无古树名木分布，无雪莲、野生贝母等珍稀保护野生植物，项目建设不会造成珍稀植物损毁、生境破坏。项目建设范围不占用、不侵占生态公益林，施工活动不越界扰动公益林植被与土壤，不影响公益林水源涵养、水土保持核心生态功能。区域分布的雪豹、北山羊、马鹿、猞猁、暗腹雪鸡等珍稀保护动物，多活动于高海拔深山保育区域，本项目所在村庄区域无珍稀动物固定栖息、繁殖点位，施工仅产生短时、轻微惊扰，不会阻断动物迁徙廊道、破坏栖息地，不会对珍稀保护动物种群生存造成不利影响。</w:t>
      </w:r>
    </w:p>
    <w:p w14:paraId="66BDDB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4</w:t>
      </w:r>
      <w:r>
        <w:rPr>
          <w:rFonts w:hint="default" w:ascii="Times New Roman" w:hAnsi="Times New Roman" w:eastAsia="宋体" w:cs="Times New Roman"/>
          <w:color w:val="000000"/>
          <w:kern w:val="0"/>
          <w:sz w:val="24"/>
          <w:szCs w:val="24"/>
          <w:highlight w:val="none"/>
          <w:lang w:val="en-US" w:eastAsia="zh-CN" w:bidi="ar"/>
        </w:rPr>
        <w:t>）景观影响分析</w:t>
      </w:r>
    </w:p>
    <w:p w14:paraId="2A981D2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由于工程建设活动施工会对局部地形、植被带来一定的破坏，施工场地的布设等等，都会对景观与视觉环境造成不良影响，破坏场地原有的环境的景观，影响对施工场地原有良好的视觉效果。施工期的景观影响短暂的，随着施工的结束对景观的影响也随之消失。</w:t>
      </w:r>
    </w:p>
    <w:p w14:paraId="2E64084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5</w:t>
      </w:r>
      <w:r>
        <w:rPr>
          <w:rFonts w:hint="default" w:ascii="Times New Roman" w:hAnsi="Times New Roman" w:eastAsia="宋体" w:cs="Times New Roman"/>
          <w:color w:val="000000"/>
          <w:kern w:val="0"/>
          <w:sz w:val="24"/>
          <w:szCs w:val="24"/>
          <w:highlight w:val="none"/>
          <w:lang w:val="en-US" w:eastAsia="zh-CN" w:bidi="ar"/>
        </w:rPr>
        <w:t>）对农业系统的影响分析</w:t>
      </w:r>
    </w:p>
    <w:p w14:paraId="0874C5D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本项目利用存量建设用地</w:t>
      </w:r>
      <w:r>
        <w:rPr>
          <w:rFonts w:hint="eastAsia" w:ascii="Times New Roman" w:hAnsi="Times New Roman" w:eastAsia="宋体" w:cs="Times New Roman"/>
          <w:color w:val="000000"/>
          <w:kern w:val="0"/>
          <w:sz w:val="24"/>
          <w:szCs w:val="24"/>
          <w:highlight w:val="none"/>
          <w:lang w:val="en-US" w:eastAsia="zh-CN" w:bidi="ar"/>
        </w:rPr>
        <w:t>、少量林草地</w:t>
      </w:r>
      <w:r>
        <w:rPr>
          <w:rFonts w:hint="default" w:ascii="Times New Roman" w:hAnsi="Times New Roman" w:eastAsia="宋体" w:cs="Times New Roman"/>
          <w:color w:val="000000"/>
          <w:kern w:val="0"/>
          <w:sz w:val="24"/>
          <w:szCs w:val="24"/>
          <w:highlight w:val="none"/>
          <w:lang w:val="en-US" w:eastAsia="zh-CN" w:bidi="ar"/>
        </w:rPr>
        <w:t>建设，不占用耕地、基本农田、饲草基地及各类农业生产用地，不会造成农业用地减少、农业产能下降。施工期轻微扬尘、噪声对周边零星农牧种植、草场生长仅存在短时轻微影响，可通过围挡隔离、洒水抑尘有效消减。</w:t>
      </w:r>
    </w:p>
    <w:p w14:paraId="292685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6</w:t>
      </w:r>
      <w:r>
        <w:rPr>
          <w:rFonts w:hint="default" w:ascii="Times New Roman" w:hAnsi="Times New Roman" w:eastAsia="宋体" w:cs="Times New Roman"/>
          <w:color w:val="000000"/>
          <w:kern w:val="0"/>
          <w:sz w:val="24"/>
          <w:szCs w:val="24"/>
          <w:highlight w:val="none"/>
          <w:lang w:val="en-US" w:eastAsia="zh-CN" w:bidi="ar"/>
        </w:rPr>
        <w:t>）对生态系统稳定性的影响分析</w:t>
      </w:r>
    </w:p>
    <w:p w14:paraId="5180246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项目所在区域为</w:t>
      </w:r>
      <w:r>
        <w:rPr>
          <w:rFonts w:hint="default" w:ascii="Times New Roman" w:hAnsi="Times New Roman" w:eastAsia="宋体" w:cs="Times New Roman"/>
          <w:color w:val="000000"/>
          <w:highlight w:val="none"/>
          <w:lang w:val="en-US" w:eastAsia="zh-CN"/>
        </w:rPr>
        <w:t>天山北坡东段博格达峰及天池自然景观保护生态功能区</w:t>
      </w:r>
      <w:r>
        <w:rPr>
          <w:rFonts w:hint="default" w:ascii="Times New Roman" w:hAnsi="Times New Roman" w:eastAsia="宋体" w:cs="Times New Roman"/>
          <w:color w:val="000000"/>
          <w:kern w:val="0"/>
          <w:sz w:val="24"/>
          <w:szCs w:val="24"/>
          <w:highlight w:val="none"/>
          <w:lang w:val="en-US" w:eastAsia="zh-CN" w:bidi="ar"/>
        </w:rPr>
        <w:t>，本项目扰动范围小、扰动强度低，施工及运营均严格限定在建设用地范围内，未破坏区域原生植被群落、未切割生态连通格局、未损毁</w:t>
      </w:r>
      <w:r>
        <w:rPr>
          <w:rFonts w:hint="eastAsia" w:cs="Times New Roman"/>
          <w:color w:val="000000"/>
          <w:kern w:val="0"/>
          <w:sz w:val="24"/>
          <w:szCs w:val="24"/>
          <w:highlight w:val="none"/>
          <w:lang w:val="en-US" w:eastAsia="zh-CN" w:bidi="ar"/>
        </w:rPr>
        <w:t>水源涵养与水土保持</w:t>
      </w:r>
      <w:r>
        <w:rPr>
          <w:rFonts w:hint="default" w:ascii="Times New Roman" w:hAnsi="Times New Roman" w:eastAsia="宋体" w:cs="Times New Roman"/>
          <w:color w:val="000000"/>
          <w:kern w:val="0"/>
          <w:sz w:val="24"/>
          <w:szCs w:val="24"/>
          <w:highlight w:val="none"/>
          <w:lang w:val="en-US" w:eastAsia="zh-CN" w:bidi="ar"/>
        </w:rPr>
        <w:t>生态载体。项目建设不会改变区域生态系统物质循环、能量流动及生物栖息格局，生态系统生产者、消费者、分解者结构完整，食物链稳定连续。施工期短暂扰动可通过生态修复、水土保持措施快速恢复</w:t>
      </w:r>
    </w:p>
    <w:p w14:paraId="68B322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7</w:t>
      </w:r>
      <w:r>
        <w:rPr>
          <w:rFonts w:hint="default" w:ascii="Times New Roman" w:hAnsi="Times New Roman" w:eastAsia="宋体" w:cs="Times New Roman"/>
          <w:color w:val="000000"/>
          <w:kern w:val="0"/>
          <w:sz w:val="24"/>
          <w:szCs w:val="24"/>
          <w:highlight w:val="none"/>
          <w:lang w:val="en-US" w:eastAsia="zh-CN" w:bidi="ar"/>
        </w:rPr>
        <w:t>）对</w:t>
      </w:r>
      <w:r>
        <w:rPr>
          <w:rFonts w:hint="eastAsia" w:ascii="Times New Roman" w:hAnsi="Times New Roman" w:eastAsia="宋体" w:cs="Times New Roman"/>
          <w:color w:val="000000"/>
          <w:kern w:val="0"/>
          <w:sz w:val="24"/>
          <w:szCs w:val="24"/>
          <w:highlight w:val="none"/>
          <w:lang w:val="en-US" w:eastAsia="zh-CN" w:bidi="ar"/>
        </w:rPr>
        <w:t>新疆天山天池国家地质公园</w:t>
      </w:r>
      <w:r>
        <w:rPr>
          <w:rFonts w:hint="default" w:ascii="Times New Roman" w:hAnsi="Times New Roman" w:eastAsia="宋体" w:cs="Times New Roman"/>
          <w:color w:val="000000"/>
          <w:kern w:val="0"/>
          <w:sz w:val="24"/>
          <w:szCs w:val="24"/>
          <w:highlight w:val="none"/>
          <w:lang w:val="en-US" w:eastAsia="zh-CN" w:bidi="ar"/>
        </w:rPr>
        <w:t>影响分析</w:t>
      </w:r>
    </w:p>
    <w:p w14:paraId="4BB0FD2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项目选址范围内及周边管控区域无永久基本农田分布，建设过程不涉及永久基本农田占用、扰动、损毁，严格符合耕地保护相关管控要求。项目位于天山天池国家地质公园外围管控区域，不属于核心保育区与地质遗迹核心保护区，项目</w:t>
      </w:r>
      <w:r>
        <w:rPr>
          <w:rFonts w:hint="eastAsia" w:ascii="Times New Roman" w:hAnsi="Times New Roman" w:eastAsia="宋体" w:cs="Times New Roman"/>
          <w:color w:val="000000"/>
          <w:kern w:val="0"/>
          <w:sz w:val="24"/>
          <w:szCs w:val="24"/>
          <w:highlight w:val="none"/>
          <w:lang w:val="en-US" w:eastAsia="zh-CN" w:bidi="ar"/>
        </w:rPr>
        <w:t>占用少量林草地（已签订林草地补偿协议，见附件）和</w:t>
      </w:r>
      <w:r>
        <w:rPr>
          <w:rFonts w:hint="default" w:ascii="Times New Roman" w:hAnsi="Times New Roman" w:eastAsia="宋体" w:cs="Times New Roman"/>
          <w:color w:val="000000"/>
          <w:kern w:val="0"/>
          <w:sz w:val="24"/>
          <w:szCs w:val="24"/>
          <w:highlight w:val="none"/>
          <w:lang w:val="en-US" w:eastAsia="zh-CN" w:bidi="ar"/>
        </w:rPr>
        <w:t>依托</w:t>
      </w:r>
      <w:r>
        <w:rPr>
          <w:rFonts w:hint="eastAsia" w:ascii="Times New Roman" w:hAnsi="Times New Roman" w:eastAsia="宋体" w:cs="Times New Roman"/>
          <w:color w:val="000000"/>
          <w:kern w:val="0"/>
          <w:sz w:val="24"/>
          <w:szCs w:val="24"/>
          <w:highlight w:val="none"/>
          <w:lang w:val="en-US" w:eastAsia="zh-CN" w:bidi="ar"/>
        </w:rPr>
        <w:t>花儿沟村宅基地以及已有建筑物改造</w:t>
      </w:r>
      <w:r>
        <w:rPr>
          <w:rFonts w:hint="default" w:ascii="Times New Roman" w:hAnsi="Times New Roman" w:eastAsia="宋体" w:cs="Times New Roman"/>
          <w:color w:val="000000"/>
          <w:kern w:val="0"/>
          <w:sz w:val="24"/>
          <w:szCs w:val="24"/>
          <w:highlight w:val="none"/>
          <w:lang w:val="en-US" w:eastAsia="zh-CN" w:bidi="ar"/>
        </w:rPr>
        <w:t>建设，不破坏地质公园地质地貌、地质遗迹资源，不新增生态用地占用。项目严格落实一类区大气、水环境管控要求，废气、废水、固废、噪声均得到有效治理，施工不越界扰动原生生态，运营符合景区规划管控要求，不会损害天池地质公园生态屏障功能与景观完整性，对天山天池国家地质公园整体生态、地质资源影响轻微且可接受。</w:t>
      </w:r>
    </w:p>
    <w:p w14:paraId="0B52CE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8</w:t>
      </w:r>
      <w:r>
        <w:rPr>
          <w:rFonts w:hint="default" w:ascii="Times New Roman" w:hAnsi="Times New Roman" w:eastAsia="宋体" w:cs="Times New Roman"/>
          <w:color w:val="000000"/>
          <w:kern w:val="0"/>
          <w:sz w:val="24"/>
          <w:szCs w:val="24"/>
          <w:highlight w:val="none"/>
          <w:lang w:val="en-US" w:eastAsia="zh-CN" w:bidi="ar"/>
        </w:rPr>
        <w:t>）水体流失影响分析</w:t>
      </w:r>
    </w:p>
    <w:p w14:paraId="673D9D43">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firstLine="480" w:firstLineChars="200"/>
        <w:jc w:val="both"/>
        <w:textAlignment w:val="auto"/>
        <w:rPr>
          <w:rFonts w:hint="eastAsia"/>
          <w:lang w:val="en-US" w:eastAsia="zh-CN"/>
        </w:rPr>
      </w:pPr>
      <w:r>
        <w:rPr>
          <w:rFonts w:hint="default" w:ascii="Times New Roman" w:hAnsi="Times New Roman" w:eastAsia="宋体" w:cs="Times New Roman"/>
          <w:sz w:val="24"/>
          <w:szCs w:val="24"/>
          <w:lang w:val="en-US" w:eastAsia="zh-CN"/>
        </w:rPr>
        <w:t>项目防治责任范围1.99hm²，地处天山北坡浅山区域，气候干旱、多大风，同时存在短时暴雨，风蚀、水蚀双重侵蚀风险突出。经预测，不采取任何水土保持措施条件下，项目建设期间水土流失总量96t；工程新增土壤流失量68t；落实表土防护、截排水、苫盖、植被恢复等综合水土保持措施后，可减少土壤流失量28t。场地平整、建筑基础开挖破坏原有地表结皮与植被固土体系，裸露松散土体在春</w:t>
      </w:r>
      <w:r>
        <w:rPr>
          <w:rFonts w:hint="default" w:ascii="宋体" w:hAnsi="宋体" w:eastAsia="宋体" w:cs="宋体"/>
          <w:sz w:val="24"/>
          <w:szCs w:val="24"/>
          <w:lang w:val="en-US" w:eastAsia="zh-CN"/>
        </w:rPr>
        <w:t>季大风天气易产生风蚀扬尘；雨季短时径流冲刷开挖坡面、表土堆体，诱发面蚀、细沟侵蚀。永久占地硬化区域地表径流系数增大；临时占地若防护不到位，松散土方随径流汇入周边天然冲沟、草地，引发泥沙淤积，加剧区域水土流失。</w:t>
      </w:r>
    </w:p>
    <w:p w14:paraId="3C7C06D0">
      <w:pPr>
        <w:pStyle w:val="4"/>
        <w:pageBreakBefore w:val="0"/>
        <w:widowControl w:val="0"/>
        <w:numPr>
          <w:ilvl w:val="1"/>
          <w:numId w:val="0"/>
        </w:numPr>
        <w:kinsoku/>
        <w:wordWrap/>
        <w:overflowPunct/>
        <w:topLinePunct w:val="0"/>
        <w:autoSpaceDE/>
        <w:autoSpaceDN/>
        <w:bidi w:val="0"/>
        <w:snapToGrid w:val="0"/>
        <w:spacing w:before="0" w:beforeLines="0" w:after="0" w:afterLines="0" w:line="360" w:lineRule="auto"/>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3.</w:t>
      </w:r>
      <w:r>
        <w:rPr>
          <w:rFonts w:hint="eastAsia" w:ascii="Times New Roman" w:hAnsi="Times New Roman" w:eastAsia="宋体" w:cs="Times New Roman"/>
          <w:color w:val="000000"/>
          <w:sz w:val="24"/>
          <w:szCs w:val="24"/>
          <w:lang w:val="en-US" w:eastAsia="zh-CN"/>
        </w:rPr>
        <w:t>2</w:t>
      </w:r>
      <w:r>
        <w:rPr>
          <w:rFonts w:hint="eastAsia" w:ascii="Times New Roman" w:hAnsi="Times New Roman" w:cs="Times New Roman"/>
          <w:color w:val="000000"/>
          <w:sz w:val="24"/>
          <w:szCs w:val="24"/>
          <w:lang w:val="en-US" w:eastAsia="zh-CN"/>
        </w:rPr>
        <w:t>运营期</w:t>
      </w:r>
      <w:r>
        <w:rPr>
          <w:rFonts w:hint="default" w:ascii="Times New Roman" w:hAnsi="Times New Roman" w:eastAsia="宋体" w:cs="Times New Roman"/>
          <w:color w:val="000000"/>
          <w:sz w:val="24"/>
          <w:szCs w:val="24"/>
          <w:lang w:val="en-US" w:eastAsia="zh-CN"/>
        </w:rPr>
        <w:t>生态环境影响分析</w:t>
      </w:r>
      <w:bookmarkEnd w:id="147"/>
      <w:bookmarkEnd w:id="148"/>
      <w:bookmarkEnd w:id="149"/>
    </w:p>
    <w:p w14:paraId="4534AFD2">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（1）</w:t>
      </w:r>
      <w:r>
        <w:rPr>
          <w:rFonts w:hint="default" w:ascii="Times New Roman" w:hAnsi="Times New Roman" w:eastAsia="宋体" w:cs="Times New Roman"/>
          <w:b w:val="0"/>
          <w:bCs w:val="0"/>
          <w:color w:val="000000"/>
          <w:kern w:val="0"/>
          <w:sz w:val="24"/>
          <w:szCs w:val="24"/>
          <w:highlight w:val="none"/>
          <w:lang w:val="en-US" w:eastAsia="zh-CN" w:bidi="ar"/>
        </w:rPr>
        <w:t xml:space="preserve">对植被的影响 </w:t>
      </w:r>
    </w:p>
    <w:p w14:paraId="4BF87B50">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firstLine="480" w:firstLineChars="20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 xml:space="preserve">运营期项目配套庭院绿化、景观植被提升，新增乡土绿植点缀，局部植被覆盖度得到改善，同时通过边界围挡管控，杜绝游客踩踏外围林草，对区域植被生态总体影响轻微且可控。 </w:t>
      </w:r>
    </w:p>
    <w:p w14:paraId="4C04D9A2">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（2）</w:t>
      </w:r>
      <w:r>
        <w:rPr>
          <w:rFonts w:hint="default" w:ascii="Times New Roman" w:hAnsi="Times New Roman" w:eastAsia="宋体" w:cs="Times New Roman"/>
          <w:b w:val="0"/>
          <w:bCs w:val="0"/>
          <w:color w:val="000000"/>
          <w:kern w:val="0"/>
          <w:sz w:val="24"/>
          <w:szCs w:val="24"/>
          <w:highlight w:val="none"/>
          <w:lang w:val="en-US" w:eastAsia="zh-CN" w:bidi="ar"/>
        </w:rPr>
        <w:t xml:space="preserve">对动物的影响 </w:t>
      </w:r>
    </w:p>
    <w:p w14:paraId="111035AF">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 xml:space="preserve">运营期民宿人为活动强度温和，扰动范围局限于建设用地内部，周边陆生动物可逐步适应人工环境，对区域陆生动物群落结构、种群数量及活动规律基本无不利影响。 </w:t>
      </w:r>
    </w:p>
    <w:p w14:paraId="2F59E94D">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eastAsia" w:ascii="Times New Roman" w:hAnsi="Times New Roman" w:eastAsia="宋体" w:cs="Times New Roman"/>
          <w:b w:val="0"/>
          <w:bCs w:val="0"/>
          <w:color w:val="000000"/>
          <w:kern w:val="0"/>
          <w:sz w:val="24"/>
          <w:szCs w:val="24"/>
          <w:highlight w:val="none"/>
          <w:lang w:val="en-US" w:eastAsia="zh-CN" w:bidi="ar"/>
        </w:rPr>
        <w:t>（3）</w:t>
      </w:r>
      <w:r>
        <w:rPr>
          <w:rFonts w:hint="default" w:ascii="Times New Roman" w:hAnsi="Times New Roman" w:eastAsia="宋体" w:cs="Times New Roman"/>
          <w:b w:val="0"/>
          <w:bCs w:val="0"/>
          <w:color w:val="000000"/>
          <w:kern w:val="0"/>
          <w:sz w:val="24"/>
          <w:szCs w:val="24"/>
          <w:highlight w:val="none"/>
          <w:lang w:val="en-US" w:eastAsia="zh-CN" w:bidi="ar"/>
        </w:rPr>
        <w:t xml:space="preserve">对生态系统稳定性的影响分析 </w:t>
      </w:r>
    </w:p>
    <w:p w14:paraId="77845998">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firstLine="480" w:firstLineChars="200"/>
        <w:jc w:val="both"/>
        <w:textAlignment w:val="auto"/>
        <w:rPr>
          <w:rFonts w:hint="default" w:ascii="Times New Roman" w:hAnsi="Times New Roman" w:eastAsia="宋体" w:cs="Times New Roman"/>
          <w:b w:val="0"/>
          <w:bCs w:val="0"/>
          <w:color w:val="000000"/>
          <w:kern w:val="2"/>
          <w:sz w:val="24"/>
          <w:szCs w:val="24"/>
          <w:lang w:val="en-US" w:eastAsia="zh-CN" w:bidi="ar-SA"/>
        </w:rPr>
      </w:pPr>
      <w:r>
        <w:rPr>
          <w:rFonts w:hint="default" w:ascii="Times New Roman" w:hAnsi="Times New Roman" w:eastAsia="宋体" w:cs="Times New Roman"/>
          <w:b w:val="0"/>
          <w:bCs w:val="0"/>
          <w:color w:val="000000"/>
          <w:kern w:val="0"/>
          <w:sz w:val="24"/>
          <w:szCs w:val="24"/>
          <w:highlight w:val="none"/>
          <w:lang w:val="en-US" w:eastAsia="zh-CN" w:bidi="ar"/>
        </w:rPr>
        <w:t xml:space="preserve">运营期人为扰动平稳可控，区域生态系统可维持原有自我调节与恢复能力，不会发生生态退化、群落逆向演替，区域生态系统整体保持稳定。 </w:t>
      </w:r>
    </w:p>
    <w:p w14:paraId="1665070E">
      <w:pPr>
        <w:pStyle w:val="97"/>
        <w:keepNext w:val="0"/>
        <w:keepLines w:val="0"/>
        <w:pageBreakBefore w:val="0"/>
        <w:widowControl/>
        <w:kinsoku/>
        <w:wordWrap/>
        <w:overflowPunct/>
        <w:topLinePunct w:val="0"/>
        <w:autoSpaceDE/>
        <w:autoSpaceDN/>
        <w:bidi w:val="0"/>
        <w:snapToGrid w:val="0"/>
        <w:rPr>
          <w:rFonts w:hint="default" w:ascii="Times New Roman" w:hAnsi="Times New Roman" w:eastAsia="宋体" w:cs="Times New Roman"/>
          <w:b w:val="0"/>
          <w:bCs w:val="0"/>
          <w:color w:val="000000"/>
          <w:lang w:val="en-US" w:eastAsia="zh-CN"/>
        </w:rPr>
      </w:pPr>
      <w:r>
        <w:rPr>
          <w:rFonts w:hint="eastAsia" w:ascii="Times New Roman" w:hAnsi="Times New Roman" w:eastAsia="宋体" w:cs="Times New Roman"/>
          <w:b w:val="0"/>
          <w:bCs w:val="0"/>
          <w:color w:val="000000"/>
          <w:lang w:val="en-US" w:eastAsia="zh-CN"/>
        </w:rPr>
        <w:t>（4）</w:t>
      </w:r>
      <w:r>
        <w:rPr>
          <w:rFonts w:hint="default" w:ascii="Times New Roman" w:hAnsi="Times New Roman" w:eastAsia="宋体" w:cs="Times New Roman"/>
          <w:b w:val="0"/>
          <w:bCs w:val="0"/>
          <w:color w:val="000000"/>
          <w:lang w:val="en-US" w:eastAsia="zh-CN"/>
        </w:rPr>
        <w:t>对景观影响分析</w:t>
      </w:r>
    </w:p>
    <w:p w14:paraId="43430411">
      <w:pPr>
        <w:keepNext w:val="0"/>
        <w:keepLines w:val="0"/>
        <w:pageBreakBefore w:val="0"/>
        <w:widowControl/>
        <w:suppressLineNumbers w:val="0"/>
        <w:kinsoku/>
        <w:wordWrap/>
        <w:overflowPunct/>
        <w:topLinePunct w:val="0"/>
        <w:autoSpaceDE/>
        <w:autoSpaceDN/>
        <w:bidi w:val="0"/>
        <w:snapToGrid w:val="0"/>
        <w:jc w:val="left"/>
        <w:rPr>
          <w:rFonts w:hint="default" w:ascii="Times New Roman" w:hAnsi="Times New Roman" w:eastAsia="宋体" w:cs="Times New Roman"/>
          <w:b w:val="0"/>
          <w:bCs w:val="0"/>
          <w:color w:val="000000"/>
        </w:rPr>
      </w:pPr>
      <w:r>
        <w:rPr>
          <w:rFonts w:hint="default" w:ascii="Times New Roman" w:hAnsi="Times New Roman" w:eastAsia="宋体" w:cs="Times New Roman"/>
          <w:b w:val="0"/>
          <w:bCs w:val="0"/>
          <w:color w:val="000000"/>
        </w:rPr>
        <w:t>运营期项目建筑风格贴合北疆乡村民俗风貌，低矮院落、特色毡房及生态塑木观景平台体量轻盈、色调素雅，契合天山天池外围乡村景观管控要求，无突兀硬质建设痕迹。项目通过庭院绿化、乡土植被配植优化场地景观层次，盘活原有老旧危房低效用地，改造后整体景观整洁有序，与周边山地自然景观、乡村风貌高度协调，对区域景观体系以优化提升为主，负面影响极小。</w:t>
      </w:r>
    </w:p>
    <w:p w14:paraId="5D69B1CD">
      <w:pPr>
        <w:keepNext w:val="0"/>
        <w:keepLines w:val="0"/>
        <w:pageBreakBefore w:val="0"/>
        <w:widowControl/>
        <w:suppressLineNumbers w:val="0"/>
        <w:kinsoku/>
        <w:wordWrap/>
        <w:overflowPunct/>
        <w:topLinePunct w:val="0"/>
        <w:autoSpaceDE/>
        <w:autoSpaceDN/>
        <w:bidi w:val="0"/>
        <w:snapToGrid w:val="0"/>
        <w:jc w:val="left"/>
        <w:rPr>
          <w:rFonts w:hint="default"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（5）</w:t>
      </w:r>
      <w:r>
        <w:rPr>
          <w:rFonts w:hint="default" w:ascii="Times New Roman" w:hAnsi="Times New Roman" w:eastAsia="宋体" w:cs="Times New Roman"/>
          <w:b w:val="0"/>
          <w:bCs w:val="0"/>
          <w:color w:val="000000"/>
          <w:kern w:val="0"/>
          <w:sz w:val="24"/>
          <w:szCs w:val="24"/>
          <w:lang w:val="en-US" w:eastAsia="zh-CN" w:bidi="ar"/>
        </w:rPr>
        <w:t>对农业系统的影响分析</w:t>
      </w:r>
    </w:p>
    <w:p w14:paraId="7B27D031">
      <w:pPr>
        <w:keepNext w:val="0"/>
        <w:keepLines w:val="0"/>
        <w:pageBreakBefore w:val="0"/>
        <w:widowControl/>
        <w:suppressLineNumbers w:val="0"/>
        <w:kinsoku/>
        <w:wordWrap/>
        <w:overflowPunct/>
        <w:topLinePunct w:val="0"/>
        <w:autoSpaceDE/>
        <w:autoSpaceDN/>
        <w:bidi w:val="0"/>
        <w:snapToGrid w:val="0"/>
        <w:jc w:val="left"/>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项目运营后可有效带动本地农牧产品销售、吸纳村民就近就业，助力乡村农旅融合发展，提升区域农业、牧业附加值，对当地农业生产体系、农牧产业结构无负面冲击，整体对区域农业系统产生正向促进作用。</w:t>
      </w:r>
    </w:p>
    <w:p w14:paraId="56A7BB8B">
      <w:pPr>
        <w:pStyle w:val="13"/>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default" w:cs="Times New Roman"/>
          <w:b w:val="0"/>
          <w:bCs w:val="0"/>
          <w:color w:val="000000"/>
          <w:kern w:val="0"/>
          <w:sz w:val="24"/>
          <w:szCs w:val="24"/>
          <w:highlight w:val="none"/>
          <w:lang w:val="en-US" w:eastAsia="zh-CN" w:bidi="ar"/>
        </w:rPr>
      </w:pPr>
      <w:r>
        <w:rPr>
          <w:rFonts w:hint="eastAsia" w:cs="Times New Roman"/>
          <w:b w:val="0"/>
          <w:bCs w:val="0"/>
          <w:color w:val="000000"/>
          <w:kern w:val="0"/>
          <w:sz w:val="24"/>
          <w:szCs w:val="24"/>
          <w:highlight w:val="none"/>
          <w:lang w:val="en-US" w:eastAsia="zh-CN" w:bidi="ar"/>
        </w:rPr>
        <w:t>（6）游客增加对生态环境影响分析</w:t>
      </w:r>
    </w:p>
    <w:p w14:paraId="5D2B9564">
      <w:pPr>
        <w:keepNext w:val="0"/>
        <w:keepLines w:val="0"/>
        <w:pageBreakBefore w:val="0"/>
        <w:widowControl/>
        <w:suppressLineNumbers w:val="0"/>
        <w:kinsoku/>
        <w:wordWrap/>
        <w:overflowPunct/>
        <w:topLinePunct w:val="0"/>
        <w:autoSpaceDE/>
        <w:autoSpaceDN/>
        <w:bidi w:val="0"/>
        <w:snapToGrid w:val="0"/>
        <w:jc w:val="left"/>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植被踩踏退化：部分游客超出游览道路随意进入周边天然草地，长期踩踏破坏草本根系与地表生物结皮，造成草地盖度下降，局部草原退化、土壤裸露，加剧风蚀沙化风险。</w:t>
      </w:r>
    </w:p>
    <w:p w14:paraId="312254C6">
      <w:pPr>
        <w:keepNext w:val="0"/>
        <w:keepLines w:val="0"/>
        <w:pageBreakBefore w:val="0"/>
        <w:widowControl/>
        <w:suppressLineNumbers w:val="0"/>
        <w:kinsoku/>
        <w:wordWrap/>
        <w:overflowPunct/>
        <w:topLinePunct w:val="0"/>
        <w:autoSpaceDE/>
        <w:autoSpaceDN/>
        <w:bidi w:val="0"/>
        <w:snapToGrid w:val="0"/>
        <w:jc w:val="left"/>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野生动物扰动：游客活动、车辆噪声、人群惊扰，影响区域小型兽类、鸟类正常觅食、栖息，压缩野生动物活动空间。</w:t>
      </w:r>
    </w:p>
    <w:p w14:paraId="35D6D826">
      <w:pPr>
        <w:keepNext w:val="0"/>
        <w:keepLines w:val="0"/>
        <w:pageBreakBefore w:val="0"/>
        <w:widowControl/>
        <w:suppressLineNumbers w:val="0"/>
        <w:kinsoku/>
        <w:wordWrap/>
        <w:overflowPunct/>
        <w:topLinePunct w:val="0"/>
        <w:autoSpaceDE/>
        <w:autoSpaceDN/>
        <w:bidi w:val="0"/>
        <w:snapToGrid w:val="0"/>
        <w:jc w:val="left"/>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污染带来生态胁迫：游客产生生活垃圾若管控疏漏，散落进入草原、沟谷，污染土壤；游客餐饮废水、固废不当排放，易造成面源污染，影响草地土壤与季节性径流水质。</w:t>
      </w:r>
    </w:p>
    <w:p w14:paraId="2217B1C6">
      <w:pPr>
        <w:keepNext w:val="0"/>
        <w:keepLines w:val="0"/>
        <w:pageBreakBefore w:val="0"/>
        <w:widowControl/>
        <w:suppressLineNumbers w:val="0"/>
        <w:kinsoku/>
        <w:wordWrap/>
        <w:overflowPunct/>
        <w:topLinePunct w:val="0"/>
        <w:autoSpaceDE/>
        <w:autoSpaceDN/>
        <w:bidi w:val="0"/>
        <w:adjustRightInd/>
        <w:snapToGrid w:val="0"/>
        <w:spacing w:line="360" w:lineRule="auto"/>
        <w:ind w:right="0"/>
        <w:jc w:val="left"/>
        <w:textAlignment w:val="auto"/>
        <w:rPr>
          <w:rFonts w:hint="default" w:ascii="Times New Roman" w:hAnsi="Times New Roman" w:eastAsia="宋体" w:cs="Times New Roman"/>
          <w:color w:val="000000"/>
          <w:lang w:val="en-US"/>
        </w:rPr>
      </w:pPr>
      <w:r>
        <w:rPr>
          <w:rFonts w:hint="default" w:ascii="Times New Roman" w:hAnsi="Times New Roman" w:eastAsia="宋体" w:cs="Times New Roman"/>
          <w:color w:val="000000"/>
          <w:kern w:val="0"/>
          <w:sz w:val="24"/>
          <w:szCs w:val="24"/>
          <w:lang w:val="en-US" w:eastAsia="zh-CN" w:bidi="ar"/>
        </w:rPr>
        <w:t>生态负荷持续上升：旅游旺季客流集中，短时间内人为扰动强度激增，超出局部草地生态承载力，长期累积易造成生态退化。</w:t>
      </w:r>
    </w:p>
    <w:p w14:paraId="2F44D86C">
      <w:pPr>
        <w:pStyle w:val="3"/>
        <w:pageBreakBefore w:val="0"/>
        <w:widowControl w:val="0"/>
        <w:kinsoku/>
        <w:wordWrap/>
        <w:topLinePunct w:val="0"/>
        <w:autoSpaceDE/>
        <w:autoSpaceDN/>
        <w:bidi w:val="0"/>
        <w:snapToGrid w:val="0"/>
        <w:spacing w:before="0" w:beforeAutospacing="0" w:after="0" w:afterAutospacing="0" w:line="360" w:lineRule="auto"/>
        <w:ind w:left="0" w:leftChars="0" w:firstLine="0" w:firstLineChars="0"/>
        <w:textAlignment w:val="auto"/>
        <w:rPr>
          <w:rFonts w:hint="default" w:ascii="Times New Roman" w:hAnsi="Times New Roman" w:eastAsia="宋体" w:cs="Times New Roman"/>
          <w:b/>
          <w:bCs/>
          <w:color w:val="000000"/>
          <w:sz w:val="28"/>
          <w:szCs w:val="28"/>
          <w:lang w:val="en-US" w:eastAsia="zh-CN"/>
        </w:rPr>
      </w:pPr>
      <w:bookmarkStart w:id="150" w:name="_Toc13479"/>
      <w:bookmarkStart w:id="151" w:name="_Toc32301"/>
      <w:bookmarkStart w:id="152" w:name="_Toc29600"/>
      <w:bookmarkStart w:id="153" w:name="_Toc10470"/>
      <w:r>
        <w:rPr>
          <w:rFonts w:hint="eastAsia" w:eastAsia="宋体" w:cs="Times New Roman"/>
          <w:b/>
          <w:bCs/>
          <w:color w:val="000000"/>
          <w:sz w:val="28"/>
          <w:szCs w:val="28"/>
          <w:lang w:val="en-US" w:eastAsia="zh-CN"/>
        </w:rPr>
        <w:t>4.</w:t>
      </w:r>
      <w:r>
        <w:rPr>
          <w:rFonts w:hint="default" w:ascii="Times New Roman" w:hAnsi="Times New Roman" w:eastAsia="宋体" w:cs="Times New Roman"/>
          <w:b/>
          <w:bCs/>
          <w:color w:val="000000"/>
          <w:sz w:val="28"/>
          <w:szCs w:val="28"/>
          <w:lang w:val="en-US" w:eastAsia="zh-CN"/>
        </w:rPr>
        <w:t>生态环境保护措施</w:t>
      </w:r>
      <w:bookmarkEnd w:id="150"/>
      <w:bookmarkEnd w:id="151"/>
      <w:bookmarkEnd w:id="152"/>
      <w:bookmarkEnd w:id="153"/>
    </w:p>
    <w:p w14:paraId="2F5ECA1F">
      <w:pPr>
        <w:pStyle w:val="4"/>
        <w:pageBreakBefore w:val="0"/>
        <w:widowControl w:val="0"/>
        <w:numPr>
          <w:ilvl w:val="1"/>
          <w:numId w:val="0"/>
        </w:numPr>
        <w:kinsoku/>
        <w:wordWrap/>
        <w:overflowPunct/>
        <w:topLinePunct w:val="0"/>
        <w:autoSpaceDE/>
        <w:autoSpaceDN/>
        <w:bidi w:val="0"/>
        <w:snapToGrid w:val="0"/>
        <w:spacing w:before="0" w:beforeLines="0" w:after="0" w:afterLines="0" w:line="360" w:lineRule="auto"/>
        <w:jc w:val="both"/>
        <w:textAlignment w:val="auto"/>
        <w:rPr>
          <w:rFonts w:hint="default" w:ascii="Times New Roman" w:hAnsi="Times New Roman" w:eastAsia="宋体" w:cs="Times New Roman"/>
          <w:color w:val="000000"/>
          <w:sz w:val="24"/>
          <w:szCs w:val="24"/>
          <w:lang w:val="en-US" w:eastAsia="zh-CN"/>
        </w:rPr>
      </w:pPr>
      <w:bookmarkStart w:id="154" w:name="_Toc31878"/>
      <w:bookmarkStart w:id="155" w:name="_Toc28107"/>
      <w:bookmarkStart w:id="156" w:name="_Toc1762"/>
      <w:r>
        <w:rPr>
          <w:rFonts w:hint="eastAsia" w:ascii="Times New Roman" w:hAnsi="Times New Roman" w:eastAsia="宋体" w:cs="Times New Roman"/>
          <w:color w:val="000000"/>
          <w:sz w:val="24"/>
          <w:szCs w:val="24"/>
          <w:lang w:val="en-US" w:eastAsia="zh-CN"/>
        </w:rPr>
        <w:t>4.1施工期生态保护措施</w:t>
      </w:r>
    </w:p>
    <w:p w14:paraId="4A88F4CD">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4.1.1植被保护措施</w:t>
      </w:r>
    </w:p>
    <w:p w14:paraId="68928C29">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（1）严格划定施工红线，实行“边界刚性管控”，仅在建设用地及审批允许林草地扰动范围内施工，严禁超范围清表、碾压、铲挖原生林草植被，最大限度保留周边原有灌草生态带。</w:t>
      </w:r>
    </w:p>
    <w:p w14:paraId="41B99633">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（2）对施工边界外侧原生林草地设置连续硬质围挡防护，防止施工机械、人员、车辆越界碾压、踩踏植被；围挡底部封闭，避免扬尘沉降长期覆盖周边草本植物影响光合作用。</w:t>
      </w:r>
    </w:p>
    <w:p w14:paraId="1714BFAF">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（3）施工过程中尽量保留场地内长势良好的乡土植被，禁止随意砍伐灌木、铲除草本；确需清表区域仅清除施工必要范围植被，减少生物量损失。</w:t>
      </w:r>
    </w:p>
    <w:p w14:paraId="5F1E7BC1">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（4）临时裸土、堆土全部采用防尘网全覆盖，及时洒水保湿，减少扬尘对周边植被的胁迫影响；施工结</w:t>
      </w:r>
      <w:r>
        <w:rPr>
          <w:rFonts w:hint="eastAsia" w:ascii="Times New Roman" w:hAnsi="Times New Roman" w:cs="Times New Roman"/>
          <w:color w:val="000000"/>
          <w:kern w:val="0"/>
          <w:sz w:val="24"/>
          <w:szCs w:val="24"/>
          <w:lang w:val="en-US" w:eastAsia="zh-CN" w:bidi="ar"/>
        </w:rPr>
        <w:t>束后</w:t>
      </w:r>
      <w:r>
        <w:rPr>
          <w:rFonts w:hint="eastAsia" w:ascii="Times New Roman" w:hAnsi="Times New Roman" w:eastAsia="宋体" w:cs="Times New Roman"/>
          <w:color w:val="000000"/>
          <w:kern w:val="0"/>
          <w:sz w:val="24"/>
          <w:szCs w:val="24"/>
          <w:lang w:val="en-US" w:eastAsia="zh-CN" w:bidi="ar"/>
        </w:rPr>
        <w:t>立即对临时占地进行土地平整、播撒乡土草种，快速恢复植被覆盖。</w:t>
      </w:r>
    </w:p>
    <w:p w14:paraId="2FC0123A">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4.1.2陆生动物保护措施</w:t>
      </w:r>
    </w:p>
    <w:p w14:paraId="75C09357">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（1）合理优化施工时序，尽量避开4～7月野生动物繁殖、育雏高峰期开展大规模土方开挖作业，减少对小型兽类、鸟类、爬行类的繁殖干扰。</w:t>
      </w:r>
    </w:p>
    <w:p w14:paraId="78F3DC6F">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（2）施工选用低噪声设备，高噪声作业集中在昼间开展，严禁夜间施工，降低噪声惊扰；施工车</w:t>
      </w:r>
      <w:r>
        <w:rPr>
          <w:rFonts w:hint="eastAsia" w:ascii="Times New Roman" w:hAnsi="Times New Roman" w:cs="Times New Roman"/>
          <w:color w:val="000000"/>
          <w:kern w:val="0"/>
          <w:sz w:val="24"/>
          <w:szCs w:val="24"/>
          <w:lang w:val="en-US" w:eastAsia="zh-CN" w:bidi="ar"/>
        </w:rPr>
        <w:t>辆在</w:t>
      </w:r>
      <w:r>
        <w:rPr>
          <w:rFonts w:hint="eastAsia" w:ascii="Times New Roman" w:hAnsi="Times New Roman" w:eastAsia="宋体" w:cs="Times New Roman"/>
          <w:color w:val="000000"/>
          <w:kern w:val="0"/>
          <w:sz w:val="24"/>
          <w:szCs w:val="24"/>
          <w:lang w:val="en-US" w:eastAsia="zh-CN" w:bidi="ar"/>
        </w:rPr>
        <w:t>场内限速行驶，减少突发噪声与震动。</w:t>
      </w:r>
    </w:p>
    <w:p w14:paraId="5FD5B793">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（3）施工区设置野生动物保护警示牌，严禁施工人员捕猎、投喂、惊扰野生动物，禁止破坏鸟巢、动物巢穴。</w:t>
      </w:r>
    </w:p>
    <w:p w14:paraId="3D12357A">
      <w:pPr>
        <w:pStyle w:val="8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right="0" w:rightChars="0" w:firstLine="480" w:firstLineChars="200"/>
        <w:jc w:val="both"/>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（4）施工结</w:t>
      </w:r>
      <w:r>
        <w:rPr>
          <w:rFonts w:hint="eastAsia" w:ascii="Times New Roman" w:hAnsi="Times New Roman" w:cs="Times New Roman"/>
          <w:color w:val="000000"/>
          <w:kern w:val="0"/>
          <w:sz w:val="24"/>
          <w:szCs w:val="24"/>
          <w:lang w:val="en-US" w:eastAsia="zh-CN" w:bidi="ar"/>
        </w:rPr>
        <w:t>束后</w:t>
      </w:r>
      <w:r>
        <w:rPr>
          <w:rFonts w:hint="eastAsia" w:ascii="Times New Roman" w:hAnsi="Times New Roman" w:eastAsia="宋体" w:cs="Times New Roman"/>
          <w:color w:val="000000"/>
          <w:kern w:val="0"/>
          <w:sz w:val="24"/>
          <w:szCs w:val="24"/>
          <w:lang w:val="en-US" w:eastAsia="zh-CN" w:bidi="ar"/>
        </w:rPr>
        <w:t>及时清理建筑垃圾，消除动物误入施工坑槽、堆土区造成的受伤风险，保障周边动物正常觅食、迁徙活动。</w:t>
      </w:r>
    </w:p>
    <w:p w14:paraId="3D4703DE">
      <w:pPr>
        <w:keepNext w:val="0"/>
        <w:keepLines w:val="0"/>
        <w:widowControl/>
        <w:suppressLineNumbers w:val="0"/>
        <w:jc w:val="left"/>
      </w:pPr>
      <w:r>
        <w:rPr>
          <w:rFonts w:hint="eastAsia" w:ascii="Times New Roman" w:hAnsi="Times New Roman" w:eastAsia="宋体" w:cs="Times New Roman"/>
          <w:color w:val="000000"/>
          <w:kern w:val="0"/>
          <w:sz w:val="24"/>
          <w:szCs w:val="24"/>
          <w:lang w:val="en-US" w:eastAsia="zh-CN" w:bidi="ar"/>
        </w:rPr>
        <w:t>4.1.3</w:t>
      </w:r>
      <w:r>
        <w:t>生态系统保护措施</w:t>
      </w:r>
    </w:p>
    <w:p w14:paraId="4939BCF2">
      <w:pPr>
        <w:keepNext w:val="0"/>
        <w:keepLines w:val="0"/>
        <w:widowControl/>
        <w:suppressLineNumbers w:val="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严格控制林草地扰动面积，不破坏区域草原—灌木生态系统结构完整性，不切断野生动物活动廊道，维持区域生态连通性。</w:t>
      </w:r>
    </w:p>
    <w:p w14:paraId="53A2CEFA">
      <w:pPr>
        <w:keepNext w:val="0"/>
        <w:keepLines w:val="0"/>
        <w:widowControl/>
        <w:suppressLineNumbers w:val="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施工废水全部收集回用、不外排，生活污水</w:t>
      </w:r>
      <w:r>
        <w:rPr>
          <w:rFonts w:hint="eastAsia" w:ascii="宋体" w:hAnsi="宋体" w:eastAsia="宋体" w:cs="宋体"/>
          <w:kern w:val="0"/>
          <w:sz w:val="24"/>
          <w:szCs w:val="24"/>
          <w:lang w:val="en-US" w:eastAsia="zh-CN" w:bidi="ar"/>
        </w:rPr>
        <w:t>由吸污车定期拉运至阜康市污水处理厂处理，</w:t>
      </w:r>
      <w:r>
        <w:rPr>
          <w:rFonts w:ascii="宋体" w:hAnsi="宋体" w:eastAsia="宋体" w:cs="宋体"/>
          <w:kern w:val="0"/>
          <w:sz w:val="24"/>
          <w:szCs w:val="24"/>
          <w:lang w:val="en-US" w:eastAsia="zh-CN" w:bidi="ar"/>
        </w:rPr>
        <w:t>杜绝面源污染破坏区域土壤及植被生态系统；固废全部清运处置，不就地填埋、不遗留生态隐患。</w:t>
      </w:r>
    </w:p>
    <w:p w14:paraId="30148DCA">
      <w:pPr>
        <w:keepNext w:val="0"/>
        <w:keepLines w:val="0"/>
        <w:widowControl/>
        <w:suppressLineNumbers w:val="0"/>
        <w:jc w:val="left"/>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对扰动区域表层腐殖土单独剥离、集中堆放、妥善保护，施工结</w:t>
      </w:r>
      <w:r>
        <w:rPr>
          <w:rFonts w:hint="eastAsia" w:ascii="宋体" w:hAnsi="宋体" w:cs="宋体"/>
          <w:kern w:val="0"/>
          <w:sz w:val="24"/>
          <w:szCs w:val="24"/>
          <w:lang w:val="en-US" w:eastAsia="zh-CN" w:bidi="ar"/>
        </w:rPr>
        <w:t>束后</w:t>
      </w:r>
      <w:r>
        <w:rPr>
          <w:rFonts w:ascii="宋体" w:hAnsi="宋体" w:eastAsia="宋体" w:cs="宋体"/>
          <w:kern w:val="0"/>
          <w:sz w:val="24"/>
          <w:szCs w:val="24"/>
          <w:lang w:val="en-US" w:eastAsia="zh-CN" w:bidi="ar"/>
        </w:rPr>
        <w:t>回覆复绿，保障土壤生态功能快速恢复，避免生态系统逆向退化。</w:t>
      </w:r>
    </w:p>
    <w:p w14:paraId="3C7C27A9">
      <w:pPr>
        <w:keepNext w:val="0"/>
        <w:keepLines w:val="0"/>
        <w:widowControl/>
        <w:suppressLineNumbers w:val="0"/>
        <w:jc w:val="left"/>
      </w:pPr>
      <w:r>
        <w:rPr>
          <w:rFonts w:hint="eastAsia" w:ascii="Times New Roman" w:hAnsi="Times New Roman" w:eastAsia="宋体" w:cs="Times New Roman"/>
          <w:color w:val="000000"/>
          <w:kern w:val="0"/>
          <w:sz w:val="24"/>
          <w:szCs w:val="24"/>
          <w:lang w:val="en-US" w:eastAsia="zh-CN" w:bidi="ar"/>
        </w:rPr>
        <w:t>4.1.4</w:t>
      </w:r>
      <w:r>
        <w:t>景观保护措施</w:t>
      </w:r>
    </w:p>
    <w:p w14:paraId="20B94DA1">
      <w:pPr>
        <w:keepNext w:val="0"/>
        <w:keepLines w:val="0"/>
        <w:widowControl/>
        <w:suppressLineNumbers w:val="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施工围挡统一规整、外观整洁，遮挡杂乱施工场面，降低对天山天池外围自然景观的视觉干扰；建筑垃圾、弃土及时清运，不长期露天堆放。</w:t>
      </w:r>
    </w:p>
    <w:p w14:paraId="2221EB70">
      <w:pPr>
        <w:keepNext w:val="0"/>
        <w:keepLines w:val="0"/>
        <w:widowControl/>
        <w:suppressLineNumbers w:val="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禁止随意开挖山体、破坏原有地形地貌，保持区域微地形、自然坡面景观完整性。</w:t>
      </w:r>
    </w:p>
    <w:p w14:paraId="6BAC093F">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施工材料有序堆放、分区管理，减少杂乱人工痕迹，最大限度维持区域草原自然景观协调性。</w:t>
      </w:r>
    </w:p>
    <w:p w14:paraId="1EBDB1CF">
      <w:pPr>
        <w:keepNext w:val="0"/>
        <w:keepLines w:val="0"/>
        <w:widowControl/>
        <w:suppressLineNumbers w:val="0"/>
        <w:jc w:val="left"/>
      </w:pPr>
      <w:r>
        <w:rPr>
          <w:rFonts w:hint="eastAsia" w:ascii="Times New Roman" w:hAnsi="Times New Roman" w:eastAsia="宋体" w:cs="Times New Roman"/>
          <w:color w:val="000000"/>
          <w:kern w:val="0"/>
          <w:sz w:val="24"/>
          <w:szCs w:val="24"/>
          <w:lang w:val="en-US" w:eastAsia="zh-CN" w:bidi="ar"/>
        </w:rPr>
        <w:t>4.1.5</w:t>
      </w:r>
      <w:r>
        <w:t>水土流失防治措施</w:t>
      </w:r>
    </w:p>
    <w:p w14:paraId="515B22F6">
      <w:pPr>
        <w:keepNext w:val="0"/>
        <w:keepLines w:val="0"/>
        <w:widowControl/>
        <w:suppressLineNumbers w:val="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施工场地四周布设临时截排水沟、</w:t>
      </w:r>
      <w:r>
        <w:rPr>
          <w:rFonts w:hint="eastAsia" w:ascii="宋体" w:hAnsi="宋体" w:cs="宋体"/>
          <w:kern w:val="0"/>
          <w:sz w:val="24"/>
          <w:szCs w:val="24"/>
          <w:lang w:val="en-US" w:eastAsia="zh-CN" w:bidi="ar"/>
        </w:rPr>
        <w:t>沉沙池</w:t>
      </w:r>
      <w:r>
        <w:rPr>
          <w:rFonts w:ascii="宋体" w:hAnsi="宋体" w:eastAsia="宋体" w:cs="宋体"/>
          <w:kern w:val="0"/>
          <w:sz w:val="24"/>
          <w:szCs w:val="24"/>
          <w:lang w:val="en-US" w:eastAsia="zh-CN" w:bidi="ar"/>
        </w:rPr>
        <w:t>，有效拦截融雪、降雨径流，防止泥沙外泄。</w:t>
      </w:r>
    </w:p>
    <w:p w14:paraId="762EB226">
      <w:pPr>
        <w:keepNext w:val="0"/>
        <w:keepLines w:val="0"/>
        <w:widowControl/>
        <w:suppressLineNumbers w:val="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所有临时堆土设置挡土围堰、全覆盖防尘网，分级堆放、分层压实，减少坡面冲刷侵蚀。</w:t>
      </w:r>
    </w:p>
    <w:p w14:paraId="10FABDE3">
      <w:pPr>
        <w:keepNext w:val="0"/>
        <w:keepLines w:val="0"/>
        <w:widowControl/>
        <w:suppressLineNumbers w:val="0"/>
        <w:jc w:val="left"/>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林草地清表分段施工、随挖随整、随裸随覆，缩短地表裸露时间，最大限度降低人为加速水土流失强度。</w:t>
      </w:r>
    </w:p>
    <w:p w14:paraId="7855E034">
      <w:pPr>
        <w:keepNext w:val="0"/>
        <w:keepLines w:val="0"/>
        <w:widowControl/>
        <w:suppressLineNumbers w:val="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w:t>
      </w:r>
      <w:r>
        <w:rPr>
          <w:rFonts w:ascii="宋体" w:hAnsi="宋体" w:eastAsia="宋体" w:cs="宋体"/>
          <w:kern w:val="0"/>
          <w:sz w:val="24"/>
          <w:szCs w:val="24"/>
          <w:lang w:val="en-US" w:eastAsia="zh-CN" w:bidi="ar"/>
        </w:rPr>
        <w:t>施工道路定期洒水、清扫，减少道路起尘和径流冲刷泥沙流失；大风、暴雨、融雪期暂停土方作业。</w:t>
      </w:r>
    </w:p>
    <w:p w14:paraId="2F45E79D">
      <w:pPr>
        <w:keepNext w:val="0"/>
        <w:keepLines w:val="0"/>
        <w:widowControl/>
        <w:suppressLineNumbers w:val="0"/>
        <w:jc w:val="left"/>
        <w:rPr>
          <w:rFonts w:hint="eastAsia" w:eastAsia="宋体"/>
          <w:lang w:val="en-US" w:eastAsia="zh-CN"/>
        </w:rPr>
      </w:pPr>
      <w:r>
        <w:rPr>
          <w:rFonts w:hint="eastAsia" w:eastAsia="宋体"/>
          <w:lang w:val="en-US" w:eastAsia="zh-CN"/>
        </w:rPr>
        <w:t>4.1.6林地、草地保护和避让措施</w:t>
      </w:r>
    </w:p>
    <w:p w14:paraId="112989B3">
      <w:pPr>
        <w:keepNext w:val="0"/>
        <w:keepLines w:val="0"/>
        <w:widowControl/>
        <w:suppressLineNumbers w:val="0"/>
        <w:jc w:val="left"/>
        <w:rPr>
          <w:rFonts w:hint="default" w:eastAsia="宋体"/>
          <w:lang w:val="en-US" w:eastAsia="zh-CN"/>
        </w:rPr>
      </w:pPr>
      <w:r>
        <w:rPr>
          <w:rFonts w:ascii="宋体" w:hAnsi="宋体" w:eastAsia="宋体" w:cs="宋体"/>
          <w:sz w:val="24"/>
          <w:szCs w:val="24"/>
        </w:rPr>
        <w:t>项目优先优化布局避让成片林地、优质天然草原；施工区设置围挡界定作业红线，严禁超范围碾压破坏植被；作业区内可移植乡土苗木就近移栽，草皮、表土单独剥离防护；避开草原生长旺季施工；施工结束后所有临时占地覆土、播撒乡土草种，原地恢复林草植被，永久占地依法缴纳植被恢复费落实生态补偿。</w:t>
      </w:r>
    </w:p>
    <w:p w14:paraId="200E99EB">
      <w:pPr>
        <w:pStyle w:val="4"/>
        <w:pageBreakBefore w:val="0"/>
        <w:widowControl w:val="0"/>
        <w:numPr>
          <w:ilvl w:val="1"/>
          <w:numId w:val="0"/>
        </w:numPr>
        <w:kinsoku/>
        <w:wordWrap/>
        <w:overflowPunct/>
        <w:topLinePunct w:val="0"/>
        <w:autoSpaceDE/>
        <w:autoSpaceDN/>
        <w:bidi w:val="0"/>
        <w:snapToGrid w:val="0"/>
        <w:spacing w:before="0" w:beforeLines="0" w:after="0" w:afterLines="0" w:line="360" w:lineRule="auto"/>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4.</w:t>
      </w:r>
      <w:r>
        <w:rPr>
          <w:rFonts w:hint="eastAsia"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lang w:val="en-US" w:eastAsia="zh-CN"/>
        </w:rPr>
        <w:t>运营期生态保护措施</w:t>
      </w:r>
      <w:bookmarkEnd w:id="154"/>
      <w:bookmarkEnd w:id="155"/>
      <w:bookmarkEnd w:id="156"/>
    </w:p>
    <w:p w14:paraId="224AEB76">
      <w:pPr>
        <w:keepNext w:val="0"/>
        <w:keepLines w:val="0"/>
        <w:widowControl/>
        <w:suppressLineNumbers w:val="0"/>
        <w:jc w:val="left"/>
      </w:pPr>
      <w:r>
        <w:rPr>
          <w:rFonts w:hint="eastAsia" w:ascii="Times New Roman" w:hAnsi="Times New Roman" w:eastAsia="宋体" w:cs="Times New Roman"/>
          <w:color w:val="000000"/>
          <w:lang w:val="en-US" w:eastAsia="zh-CN"/>
        </w:rPr>
        <w:t>4.2.1</w:t>
      </w:r>
      <w:r>
        <w:t>植被保护措施</w:t>
      </w:r>
    </w:p>
    <w:p w14:paraId="3994A11A">
      <w:pPr>
        <w:keepNext w:val="0"/>
        <w:keepLines w:val="0"/>
        <w:widowControl/>
        <w:suppressLineNumbers w:val="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项目边界设置永久性防护围栏，严格限制游客活动范围，杜绝人员翻越踩踏、采摘外围林草地植被，防止边缘植被退化。</w:t>
      </w:r>
    </w:p>
    <w:p w14:paraId="55E8C616">
      <w:pPr>
        <w:keepNext w:val="0"/>
        <w:keepLines w:val="0"/>
        <w:widowControl/>
        <w:suppressLineNumbers w:val="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场区绿化全部选用本土乡土草种、灌木品种，严禁引入外来入侵物种，维持本地植被群落原生结构。</w:t>
      </w:r>
    </w:p>
    <w:p w14:paraId="3FF70AFC">
      <w:pPr>
        <w:keepNext w:val="0"/>
        <w:keepLines w:val="0"/>
        <w:widowControl/>
        <w:suppressLineNumbers w:val="0"/>
        <w:jc w:val="left"/>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庭院绿化采用有机肥养护，减少化肥、农药使用，防止土壤污染、植被退化；采用人工除草代替化学除草，保护林下草本植被。</w:t>
      </w:r>
    </w:p>
    <w:p w14:paraId="608397BB">
      <w:pPr>
        <w:keepNext w:val="0"/>
        <w:keepLines w:val="0"/>
        <w:widowControl/>
        <w:suppressLineNumbers w:val="0"/>
        <w:jc w:val="left"/>
      </w:pPr>
      <w:r>
        <w:rPr>
          <w:rFonts w:hint="eastAsia" w:ascii="宋体" w:hAnsi="宋体" w:eastAsia="宋体" w:cs="宋体"/>
          <w:kern w:val="0"/>
          <w:sz w:val="24"/>
          <w:szCs w:val="24"/>
          <w:lang w:val="en-US" w:eastAsia="zh-CN" w:bidi="ar"/>
        </w:rPr>
        <w:t>（4）</w:t>
      </w:r>
      <w:r>
        <w:rPr>
          <w:rFonts w:ascii="宋体" w:hAnsi="宋体" w:eastAsia="宋体" w:cs="宋体"/>
          <w:kern w:val="0"/>
          <w:sz w:val="24"/>
          <w:szCs w:val="24"/>
          <w:lang w:val="en-US" w:eastAsia="zh-CN" w:bidi="ar"/>
        </w:rPr>
        <w:t>对临时占地恢复植被定期养护、补播补植，确保恢复植被成活率，实现林草地占补平衡、生态功能恢复。</w:t>
      </w:r>
    </w:p>
    <w:p w14:paraId="7885FB24">
      <w:pPr>
        <w:keepNext w:val="0"/>
        <w:keepLines w:val="0"/>
        <w:widowControl/>
        <w:suppressLineNumbers w:val="0"/>
        <w:jc w:val="left"/>
      </w:pPr>
      <w:r>
        <w:rPr>
          <w:rFonts w:hint="eastAsia" w:ascii="Times New Roman" w:hAnsi="Times New Roman" w:eastAsia="宋体" w:cs="Times New Roman"/>
          <w:color w:val="000000"/>
          <w:lang w:val="en-US" w:eastAsia="zh-CN"/>
        </w:rPr>
        <w:t>4.2.2</w:t>
      </w:r>
      <w:r>
        <w:t>陆生动物保护措施</w:t>
      </w:r>
    </w:p>
    <w:p w14:paraId="4AE04F22">
      <w:pPr>
        <w:keepNext w:val="0"/>
        <w:keepLines w:val="0"/>
        <w:widowControl/>
        <w:suppressLineNumbers w:val="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民宿常态化开展生态宣传，设置保护提示牌，禁止游客追打、投喂、惊扰野生动物，杜绝人为干扰动物栖息。</w:t>
      </w:r>
    </w:p>
    <w:p w14:paraId="3CD19B51">
      <w:pPr>
        <w:keepNext w:val="0"/>
        <w:keepLines w:val="0"/>
        <w:widowControl/>
        <w:suppressLineNumbers w:val="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严控夜间灯光、人为喧哗，降低夜间光污染和声污染，保障周边野生动物正常栖息、活动节律。</w:t>
      </w:r>
    </w:p>
    <w:p w14:paraId="3186F738">
      <w:pPr>
        <w:keepNext w:val="0"/>
        <w:keepLines w:val="0"/>
        <w:widowControl/>
        <w:suppressLineNumbers w:val="0"/>
        <w:jc w:val="left"/>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保持项目外围林草地、灌丛廊道完整畅通，不封闭、不阻断野生动物迁徙、觅食通道，维持动物群落稳定。</w:t>
      </w:r>
    </w:p>
    <w:p w14:paraId="6497B050">
      <w:pPr>
        <w:keepNext w:val="0"/>
        <w:keepLines w:val="0"/>
        <w:widowControl/>
        <w:suppressLineNumbers w:val="0"/>
        <w:jc w:val="left"/>
      </w:pPr>
      <w:r>
        <w:rPr>
          <w:rFonts w:hint="eastAsia" w:ascii="Times New Roman" w:hAnsi="Times New Roman" w:eastAsia="宋体" w:cs="Times New Roman"/>
          <w:color w:val="000000"/>
          <w:lang w:val="en-US" w:eastAsia="zh-CN"/>
        </w:rPr>
        <w:t>4.2.3</w:t>
      </w:r>
      <w:r>
        <w:t>生态系统保护措施</w:t>
      </w:r>
    </w:p>
    <w:p w14:paraId="31829E37">
      <w:pPr>
        <w:keepNext w:val="0"/>
        <w:keepLines w:val="0"/>
        <w:widowControl/>
        <w:suppressLineNumbers w:val="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严格落实分区防渗措施，污水、固废全闭环处置，杜绝土壤、地下水污染，保障区域草原生态系统稳定。</w:t>
      </w:r>
    </w:p>
    <w:p w14:paraId="6FE7AF5A">
      <w:pPr>
        <w:keepNext w:val="0"/>
        <w:keepLines w:val="0"/>
        <w:widowControl/>
        <w:suppressLineNumbers w:val="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持续开展场区及周边植被管护，及时补植退化植被，提升场地生态自我修复能力，维持区域水源涵养、水土保持生态功能。</w:t>
      </w:r>
    </w:p>
    <w:p w14:paraId="68F89CA6">
      <w:pPr>
        <w:keepNext w:val="0"/>
        <w:keepLines w:val="0"/>
        <w:widowControl/>
        <w:suppressLineNumbers w:val="0"/>
        <w:jc w:val="left"/>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建立常态化生态巡查制度，及时制止破坏植被、惊扰动物、违规进入生态区域等行为，保障天山天池地质公园外围生态系统完整性。</w:t>
      </w:r>
    </w:p>
    <w:p w14:paraId="231A5D9F">
      <w:pPr>
        <w:pStyle w:val="100"/>
        <w:keepNext w:val="0"/>
        <w:keepLines w:val="0"/>
        <w:pageBreakBefore w:val="0"/>
        <w:kinsoku/>
        <w:wordWrap/>
        <w:overflowPunct/>
        <w:topLinePunct w:val="0"/>
        <w:bidi w:val="0"/>
        <w:snapToGrid w:val="0"/>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4.</w:t>
      </w:r>
      <w:r>
        <w:rPr>
          <w:rFonts w:hint="eastAsia" w:ascii="Times New Roman" w:hAnsi="Times New Roman" w:eastAsia="宋体" w:cs="Times New Roman"/>
          <w:color w:val="000000"/>
          <w:kern w:val="2"/>
          <w:sz w:val="24"/>
          <w:szCs w:val="24"/>
          <w:lang w:val="en-US" w:eastAsia="zh-CN" w:bidi="ar-SA"/>
        </w:rPr>
        <w:t>2</w:t>
      </w:r>
      <w:r>
        <w:rPr>
          <w:rFonts w:hint="default" w:ascii="Times New Roman" w:hAnsi="Times New Roman" w:eastAsia="宋体" w:cs="Times New Roman"/>
          <w:color w:val="000000"/>
          <w:kern w:val="2"/>
          <w:sz w:val="24"/>
          <w:szCs w:val="24"/>
          <w:lang w:val="en-US" w:eastAsia="zh-CN" w:bidi="ar-SA"/>
        </w:rPr>
        <w:t>.4地下水、土壤污染防治</w:t>
      </w:r>
    </w:p>
    <w:p w14:paraId="2EBC081C">
      <w:pPr>
        <w:pStyle w:val="100"/>
        <w:keepNext w:val="0"/>
        <w:keepLines w:val="0"/>
        <w:pageBreakBefore w:val="0"/>
        <w:kinsoku/>
        <w:wordWrap/>
        <w:overflowPunct/>
        <w:topLinePunct w:val="0"/>
        <w:bidi w:val="0"/>
        <w:snapToGrid w:val="0"/>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为有效规避地下水、土壤环境污染的风险，应做好污染预防措施，应按照“源头控制、分区控制”相结合的防渗原则。本项目拟采取的地下水、土壤污染防治措施如下所述：</w:t>
      </w:r>
    </w:p>
    <w:p w14:paraId="4D417080">
      <w:pPr>
        <w:keepNext w:val="0"/>
        <w:keepLines w:val="0"/>
        <w:widowControl/>
        <w:suppressLineNumbers w:val="0"/>
        <w:jc w:val="left"/>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w:t>
      </w:r>
      <w:r>
        <w:rPr>
          <w:rFonts w:hint="default" w:ascii="Times New Roman" w:hAnsi="Times New Roman" w:eastAsia="宋体" w:cs="Times New Roman"/>
          <w:kern w:val="0"/>
          <w:sz w:val="24"/>
          <w:szCs w:val="24"/>
          <w:lang w:val="en-US" w:eastAsia="zh-CN" w:bidi="ar"/>
        </w:rPr>
        <w:t>根据导则分区原则，将化粪池</w:t>
      </w:r>
      <w:r>
        <w:rPr>
          <w:rFonts w:hint="eastAsia" w:cs="Times New Roman"/>
          <w:kern w:val="0"/>
          <w:sz w:val="24"/>
          <w:szCs w:val="24"/>
          <w:lang w:val="en-US" w:eastAsia="zh-CN" w:bidi="ar"/>
        </w:rPr>
        <w:t>、</w:t>
      </w:r>
      <w:r>
        <w:rPr>
          <w:rFonts w:hint="default" w:ascii="Times New Roman" w:hAnsi="Times New Roman" w:eastAsia="宋体" w:cs="Times New Roman"/>
          <w:kern w:val="0"/>
          <w:sz w:val="24"/>
          <w:szCs w:val="24"/>
          <w:lang w:val="en-US" w:eastAsia="zh-CN" w:bidi="ar"/>
        </w:rPr>
        <w:t>隔油池划为一般防渗区，采用C20抗渗混凝土硬化地面，防渗层厚度不小于15cm，满足等效黏土防渗层≥1.5m、渗透系数≤1.0×10</w:t>
      </w:r>
      <w:r>
        <w:rPr>
          <w:rFonts w:hint="eastAsia" w:ascii="Times New Roman" w:hAnsi="Times New Roman" w:eastAsia="宋体" w:cs="Times New Roman"/>
          <w:kern w:val="0"/>
          <w:sz w:val="24"/>
          <w:szCs w:val="24"/>
          <w:vertAlign w:val="superscript"/>
          <w:lang w:val="en-US" w:eastAsia="zh-CN" w:bidi="ar"/>
        </w:rPr>
        <w:t>-7</w:t>
      </w:r>
      <w:r>
        <w:rPr>
          <w:rFonts w:hint="default" w:ascii="Times New Roman" w:hAnsi="Times New Roman" w:eastAsia="宋体" w:cs="Times New Roman"/>
          <w:kern w:val="0"/>
          <w:sz w:val="24"/>
          <w:szCs w:val="24"/>
          <w:lang w:val="en-US" w:eastAsia="zh-CN" w:bidi="ar"/>
        </w:rPr>
        <w:t>cm/s。全场污水管道采用防渗管材，管沟铺设防渗垫层，接口、转弯位置密封防渗，杜绝污水渗漏下渗污染土壤和地下水。</w:t>
      </w:r>
    </w:p>
    <w:p w14:paraId="5B66E002">
      <w:pPr>
        <w:keepNext w:val="0"/>
        <w:keepLines w:val="0"/>
        <w:widowControl/>
        <w:suppressLineNumbers w:val="0"/>
        <w:jc w:val="left"/>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（2）</w:t>
      </w:r>
      <w:r>
        <w:rPr>
          <w:rFonts w:ascii="宋体" w:hAnsi="宋体" w:eastAsia="宋体" w:cs="宋体"/>
          <w:kern w:val="0"/>
          <w:sz w:val="24"/>
          <w:szCs w:val="24"/>
          <w:lang w:val="en-US" w:eastAsia="zh-CN" w:bidi="ar"/>
        </w:rPr>
        <w:t>项目生活污水及餐厨废水全部收集，餐厨废水经隔油池预处理后进入化粪池处理，</w:t>
      </w:r>
      <w:r>
        <w:rPr>
          <w:rFonts w:hint="eastAsia" w:ascii="宋体" w:hAnsi="宋体" w:eastAsia="宋体" w:cs="宋体"/>
          <w:kern w:val="0"/>
          <w:sz w:val="24"/>
          <w:szCs w:val="24"/>
          <w:lang w:val="en-US" w:eastAsia="zh-CN" w:bidi="ar"/>
        </w:rPr>
        <w:t>处理后的污水定期由吸污车拉运至阜康市污水处理厂处理</w:t>
      </w:r>
      <w:r>
        <w:rPr>
          <w:rFonts w:ascii="宋体" w:hAnsi="宋体" w:eastAsia="宋体" w:cs="宋体"/>
          <w:kern w:val="0"/>
          <w:sz w:val="24"/>
          <w:szCs w:val="24"/>
          <w:lang w:val="en-US" w:eastAsia="zh-CN" w:bidi="ar"/>
        </w:rPr>
        <w:t>。定期对污水设施、管网、隔油池进行清淤、检修，污泥规范清运处置，避免长期淤积渗漏。</w:t>
      </w:r>
    </w:p>
    <w:p w14:paraId="237F9A9B">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Times New Roman" w:hAnsi="Times New Roman" w:eastAsia="宋体" w:cs="Times New Roman"/>
          <w:color w:val="000000"/>
          <w:kern w:val="2"/>
          <w:sz w:val="24"/>
          <w:szCs w:val="24"/>
          <w:lang w:val="en-US" w:eastAsia="zh-CN" w:bidi="ar-SA"/>
        </w:rPr>
        <w:t>（3）</w:t>
      </w:r>
      <w:r>
        <w:rPr>
          <w:rFonts w:ascii="宋体" w:hAnsi="宋体" w:eastAsia="宋体" w:cs="宋体"/>
          <w:kern w:val="0"/>
          <w:sz w:val="24"/>
          <w:szCs w:val="24"/>
          <w:lang w:val="en-US" w:eastAsia="zh-CN" w:bidi="ar"/>
        </w:rPr>
        <w:t>场区设置密闭垃圾收集点，地面硬化防渗，生活垃圾日产日清，统一交</w:t>
      </w:r>
      <w:r>
        <w:rPr>
          <w:rFonts w:hint="eastAsia" w:ascii="宋体" w:hAnsi="宋体" w:cs="宋体"/>
          <w:kern w:val="0"/>
          <w:sz w:val="24"/>
          <w:szCs w:val="24"/>
          <w:lang w:val="en-US" w:eastAsia="zh-CN" w:bidi="ar"/>
        </w:rPr>
        <w:t>委托环卫部门统一</w:t>
      </w:r>
      <w:r>
        <w:rPr>
          <w:rFonts w:hint="eastAsia" w:ascii="宋体" w:hAnsi="宋体" w:eastAsia="宋体" w:cs="宋体"/>
          <w:kern w:val="0"/>
          <w:sz w:val="24"/>
          <w:szCs w:val="24"/>
          <w:lang w:val="en-US" w:eastAsia="zh-CN" w:bidi="ar"/>
        </w:rPr>
        <w:t>拉运至阜康市生活垃圾填埋场填埋</w:t>
      </w:r>
      <w:r>
        <w:rPr>
          <w:rFonts w:ascii="宋体" w:hAnsi="宋体" w:eastAsia="宋体" w:cs="宋体"/>
          <w:kern w:val="0"/>
          <w:sz w:val="24"/>
          <w:szCs w:val="24"/>
          <w:lang w:val="en-US" w:eastAsia="zh-CN" w:bidi="ar"/>
        </w:rPr>
        <w:t>，无就地堆放、填埋情况。食堂</w:t>
      </w:r>
      <w:r>
        <w:rPr>
          <w:rFonts w:hint="eastAsia" w:ascii="宋体" w:hAnsi="宋体" w:eastAsia="宋体" w:cs="宋体"/>
          <w:kern w:val="0"/>
          <w:sz w:val="24"/>
          <w:szCs w:val="24"/>
          <w:lang w:val="en-US" w:eastAsia="zh-CN" w:bidi="ar"/>
        </w:rPr>
        <w:t>餐厨垃圾单独设置密闭收集容器，日产日清，交由阜康市餐厨垃圾处理对应运营单位接收处置，建立收运台账，严禁餐厨垃圾混入生活垃圾随意丢弃。</w:t>
      </w:r>
    </w:p>
    <w:p w14:paraId="30AA6E80">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w:t>
      </w:r>
      <w:r>
        <w:rPr>
          <w:rFonts w:ascii="宋体" w:hAnsi="宋体" w:eastAsia="宋体" w:cs="宋体"/>
          <w:kern w:val="0"/>
          <w:sz w:val="24"/>
          <w:szCs w:val="24"/>
          <w:lang w:val="en-US" w:eastAsia="zh-CN" w:bidi="ar"/>
        </w:rPr>
        <w:t>场区绿化优先施用有机肥，采用人工除草，严格控制化肥、农药使用量，避免药剂、肥料随雨水淋溶造成土壤和地下水面源污染。场内完善永久排水系统，合理设置排水坡度，有序导排融雪及降雨径流，防止积水浸泡土壤、造成污染物下渗。严禁随意倾倒洗涤废水、消杀废液，杜绝点状土壤污染。</w:t>
      </w:r>
    </w:p>
    <w:p w14:paraId="2C6D7ABA">
      <w:pPr>
        <w:keepNext w:val="0"/>
        <w:keepLines w:val="0"/>
        <w:widowControl/>
        <w:suppressLineNumbers w:val="0"/>
        <w:jc w:val="left"/>
      </w:pPr>
      <w:r>
        <w:rPr>
          <w:rFonts w:hint="eastAsia" w:ascii="Times New Roman" w:hAnsi="Times New Roman" w:eastAsia="宋体" w:cs="Times New Roman"/>
          <w:color w:val="000000"/>
          <w:lang w:val="en-US" w:eastAsia="zh-CN"/>
        </w:rPr>
        <w:t>4.2.5</w:t>
      </w:r>
      <w:r>
        <w:t>景观保护措施</w:t>
      </w:r>
    </w:p>
    <w:p w14:paraId="3771C65C">
      <w:pPr>
        <w:keepNext w:val="0"/>
        <w:keepLines w:val="0"/>
        <w:widowControl/>
        <w:suppressLineNumbers w:val="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民宿建筑、毡房、观景平台整体风貌保持低矮、素雅、民俗化风格，与天山山地草原自然景观协调统一，无突兀人工构筑物。</w:t>
      </w:r>
    </w:p>
    <w:p w14:paraId="7B3173CB">
      <w:pPr>
        <w:keepNext w:val="0"/>
        <w:keepLines w:val="0"/>
        <w:widowControl/>
        <w:suppressLineNumbers w:val="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观景平台采用塑木生态材料，减少硬质硬化，弱化人工建设痕迹；场区全面绿化美化，提升乡村景观品质。</w:t>
      </w:r>
    </w:p>
    <w:p w14:paraId="50965437">
      <w:pPr>
        <w:keepNext w:val="0"/>
        <w:keepLines w:val="0"/>
        <w:widowControl/>
        <w:suppressLineNumbers w:val="0"/>
        <w:jc w:val="left"/>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规范游客经营活动，禁止私搭乱建、乱摆乱放，保持场地整洁美观，维持天池外围整体景观风貌。</w:t>
      </w:r>
    </w:p>
    <w:p w14:paraId="1575D8F7">
      <w:pPr>
        <w:pStyle w:val="100"/>
        <w:keepNext w:val="0"/>
        <w:keepLines w:val="0"/>
        <w:pageBreakBefore w:val="0"/>
        <w:kinsoku/>
        <w:wordWrap/>
        <w:overflowPunct/>
        <w:topLinePunct w:val="0"/>
        <w:bidi w:val="0"/>
        <w:snapToGrid w:val="0"/>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4.</w:t>
      </w:r>
      <w:r>
        <w:rPr>
          <w:rFonts w:hint="eastAsia" w:ascii="Times New Roman" w:hAnsi="Times New Roman" w:eastAsia="宋体" w:cs="Times New Roman"/>
          <w:color w:val="000000"/>
          <w:lang w:val="en-US" w:eastAsia="zh-CN"/>
        </w:rPr>
        <w:t>2</w:t>
      </w:r>
      <w:r>
        <w:rPr>
          <w:rFonts w:hint="default" w:ascii="Times New Roman" w:hAnsi="Times New Roman" w:eastAsia="宋体" w:cs="Times New Roman"/>
          <w:color w:val="000000"/>
          <w:lang w:val="en-US" w:eastAsia="zh-CN"/>
        </w:rPr>
        <w:t xml:space="preserve">.6加强生态保护管理 </w:t>
      </w:r>
    </w:p>
    <w:p w14:paraId="34D95598">
      <w:pPr>
        <w:pStyle w:val="100"/>
        <w:keepNext w:val="0"/>
        <w:keepLines w:val="0"/>
        <w:pageBreakBefore w:val="0"/>
        <w:kinsoku/>
        <w:wordWrap/>
        <w:overflowPunct/>
        <w:topLinePunct w:val="0"/>
        <w:bidi w:val="0"/>
        <w:snapToGrid w:val="0"/>
        <w:ind w:left="0" w:leftChars="0" w:firstLine="480" w:firstLineChars="200"/>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加强宣传教育及防范。景区设立森林防火法规宣传牌和禁火告示牌，并控制游人活动范围和吸烟行为。同时建立旅游区灾害监管体系，对旅游景点进行严格监控，完善防灾设施和管理方法，防止游客带来新的生态破坏和损失。</w:t>
      </w:r>
    </w:p>
    <w:p w14:paraId="4224EAFD">
      <w:pPr>
        <w:keepNext w:val="0"/>
        <w:keepLines w:val="0"/>
        <w:pageBreakBefore w:val="0"/>
        <w:kinsoku/>
        <w:wordWrap/>
        <w:overflowPunct/>
        <w:topLinePunct w:val="0"/>
        <w:autoSpaceDE/>
        <w:autoSpaceDN/>
        <w:bidi w:val="0"/>
        <w:adjustRightInd/>
        <w:snapToGrid w:val="0"/>
        <w:textAlignment w:val="auto"/>
      </w:pPr>
      <w:r>
        <w:rPr>
          <w:rFonts w:hint="default" w:ascii="Times New Roman" w:hAnsi="Times New Roman" w:eastAsia="宋体" w:cs="Times New Roman"/>
          <w:color w:val="000000"/>
          <w:kern w:val="0"/>
          <w:sz w:val="24"/>
          <w:szCs w:val="24"/>
          <w:lang w:val="en-US" w:eastAsia="zh-CN" w:bidi="ar"/>
        </w:rPr>
        <w:t>4.</w:t>
      </w: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.7</w:t>
      </w:r>
      <w:r>
        <w:t>水土流失防治措施</w:t>
      </w:r>
    </w:p>
    <w:p w14:paraId="09C6D9FE">
      <w:pPr>
        <w:keepNext w:val="0"/>
        <w:keepLines w:val="0"/>
        <w:widowControl/>
        <w:suppressLineNumbers w:val="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完善场内永久截排水系统，保证雨水、融雪有序导排，避免坡面漫流冲刷造成局部水土流失。</w:t>
      </w:r>
    </w:p>
    <w:p w14:paraId="47D50FA8">
      <w:pPr>
        <w:keepNext w:val="0"/>
        <w:keepLines w:val="0"/>
        <w:widowControl/>
        <w:suppressLineNumbers w:val="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对道路边坡、平台边坡定期巡查维护，及时补植植被、修复破损护坡，防止边坡裸露冲刷。</w:t>
      </w:r>
    </w:p>
    <w:p w14:paraId="33BB61C5">
      <w:pPr>
        <w:keepNext w:val="0"/>
        <w:keepLines w:val="0"/>
        <w:widowControl/>
        <w:suppressLineNumbers w:val="0"/>
        <w:jc w:val="left"/>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常态化清理排水沟淤积泥沙，保证排水通畅，杜绝积水溢流冲刷土壤。</w:t>
      </w:r>
    </w:p>
    <w:p w14:paraId="4C83EB50">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eastAsia" w:ascii="宋体" w:hAnsi="宋体" w:eastAsia="宋体" w:cs="宋体"/>
          <w:kern w:val="0"/>
          <w:sz w:val="24"/>
          <w:szCs w:val="24"/>
          <w:lang w:val="en-US" w:eastAsia="zh-CN" w:bidi="ar"/>
        </w:rPr>
        <w:t>（4）</w:t>
      </w:r>
      <w:r>
        <w:rPr>
          <w:rFonts w:ascii="宋体" w:hAnsi="宋体" w:eastAsia="宋体" w:cs="宋体"/>
          <w:kern w:val="0"/>
          <w:sz w:val="24"/>
          <w:szCs w:val="24"/>
          <w:lang w:val="en-US" w:eastAsia="zh-CN" w:bidi="ar"/>
        </w:rPr>
        <w:t>严格管控游客踩踏行为，保护外围林草地地表覆盖，持续维持区域水土保持能力，实现运营期水土流失稳定可控。</w:t>
      </w:r>
    </w:p>
    <w:p w14:paraId="3C478530">
      <w:pPr>
        <w:pStyle w:val="3"/>
        <w:keepLines w:val="0"/>
        <w:pageBreakBefore w:val="0"/>
        <w:widowControl w:val="0"/>
        <w:kinsoku/>
        <w:wordWrap/>
        <w:topLinePunct w:val="0"/>
        <w:autoSpaceDE/>
        <w:autoSpaceDN/>
        <w:bidi w:val="0"/>
        <w:snapToGrid w:val="0"/>
        <w:spacing w:before="0" w:beforeAutospacing="0" w:after="0" w:afterAutospacing="0" w:line="360" w:lineRule="auto"/>
        <w:ind w:left="0" w:leftChars="0" w:firstLine="0" w:firstLineChars="0"/>
        <w:textAlignment w:val="auto"/>
        <w:rPr>
          <w:rFonts w:hint="default" w:ascii="Times New Roman" w:hAnsi="Times New Roman" w:eastAsia="宋体" w:cs="Times New Roman"/>
          <w:b/>
          <w:bCs/>
          <w:color w:val="000000"/>
          <w:sz w:val="28"/>
          <w:szCs w:val="28"/>
          <w:lang w:val="en-US" w:eastAsia="zh-CN"/>
        </w:rPr>
      </w:pPr>
      <w:bookmarkStart w:id="157" w:name="_Toc10806"/>
      <w:bookmarkStart w:id="158" w:name="_Toc30475"/>
      <w:bookmarkStart w:id="159" w:name="_Toc4242"/>
      <w:bookmarkStart w:id="160" w:name="_Toc19146"/>
      <w:bookmarkStart w:id="161" w:name="_Toc489"/>
      <w:r>
        <w:rPr>
          <w:rFonts w:hint="eastAsia" w:eastAsia="宋体" w:cs="Times New Roman"/>
          <w:b/>
          <w:bCs/>
          <w:color w:val="000000"/>
          <w:sz w:val="28"/>
          <w:szCs w:val="28"/>
          <w:lang w:val="en-US" w:eastAsia="zh-CN"/>
        </w:rPr>
        <w:t>5.</w:t>
      </w:r>
      <w:r>
        <w:rPr>
          <w:rFonts w:hint="default" w:ascii="Times New Roman" w:hAnsi="Times New Roman" w:eastAsia="宋体" w:cs="Times New Roman"/>
          <w:b/>
          <w:bCs/>
          <w:color w:val="000000"/>
          <w:sz w:val="28"/>
          <w:szCs w:val="28"/>
          <w:lang w:val="en-US" w:eastAsia="zh-CN"/>
        </w:rPr>
        <w:t>生态环境影响分析评价结论</w:t>
      </w:r>
      <w:bookmarkEnd w:id="157"/>
      <w:bookmarkEnd w:id="158"/>
      <w:bookmarkEnd w:id="159"/>
      <w:bookmarkEnd w:id="160"/>
    </w:p>
    <w:p w14:paraId="1650E050">
      <w:pPr>
        <w:keepNext w:val="0"/>
        <w:keepLines w:val="0"/>
        <w:widowControl/>
        <w:suppressLineNumbers w:val="0"/>
        <w:jc w:val="left"/>
        <w:rPr>
          <w:rFonts w:hint="default" w:ascii="Times New Roman" w:hAnsi="Times New Roman" w:eastAsia="宋体" w:cs="Times New Roman"/>
          <w:color w:val="000000"/>
          <w:kern w:val="2"/>
          <w:sz w:val="24"/>
          <w:szCs w:val="24"/>
          <w:lang w:val="en-US" w:eastAsia="zh-CN" w:bidi="ar-SA"/>
        </w:rPr>
      </w:pPr>
      <w:r>
        <w:rPr>
          <w:rFonts w:ascii="宋体" w:hAnsi="宋体" w:eastAsia="宋体" w:cs="宋体"/>
          <w:kern w:val="0"/>
          <w:sz w:val="24"/>
          <w:szCs w:val="24"/>
          <w:lang w:val="en-US" w:eastAsia="zh-CN" w:bidi="ar"/>
        </w:rPr>
        <w:t>本项目建设符合</w:t>
      </w:r>
      <w:r>
        <w:rPr>
          <w:rFonts w:hint="eastAsia" w:ascii="宋体" w:hAnsi="宋体" w:eastAsia="宋体" w:cs="宋体"/>
          <w:kern w:val="0"/>
          <w:sz w:val="24"/>
          <w:szCs w:val="24"/>
          <w:lang w:val="en-US" w:eastAsia="zh-CN" w:bidi="ar"/>
        </w:rPr>
        <w:t>《新疆天山天池国家地质公园总体规划》</w:t>
      </w:r>
      <w:r>
        <w:rPr>
          <w:rFonts w:ascii="宋体" w:hAnsi="宋体" w:eastAsia="宋体" w:cs="宋体"/>
          <w:kern w:val="0"/>
          <w:sz w:val="24"/>
          <w:szCs w:val="24"/>
          <w:lang w:val="en-US" w:eastAsia="zh-CN" w:bidi="ar"/>
        </w:rPr>
        <w:t>要求，施工期生态扰动短暂可逆，运营期生态影响轻微可控，通过全面落实本次评价提出的植被保护、动物管护、水土保持、防渗防污、景观管控等生态环保措施后，项目建设对区域植被、动物、生态系统、土壤、地下水、景观及天山天池国家地质公园的整体生态影响均可接受，不会造成区域生态功能退化和生态环境质量下降，从生态环境保护角度，项目建设具备可行性。</w:t>
      </w:r>
    </w:p>
    <w:p w14:paraId="54A1503C">
      <w:pPr>
        <w:pStyle w:val="3"/>
        <w:keepLines w:val="0"/>
        <w:pageBreakBefore w:val="0"/>
        <w:widowControl w:val="0"/>
        <w:kinsoku/>
        <w:wordWrap/>
        <w:topLinePunct w:val="0"/>
        <w:autoSpaceDE/>
        <w:autoSpaceDN/>
        <w:bidi w:val="0"/>
        <w:snapToGrid w:val="0"/>
        <w:spacing w:before="0" w:beforeAutospacing="0" w:after="0" w:afterAutospacing="0" w:line="360" w:lineRule="auto"/>
        <w:ind w:left="0" w:leftChars="0" w:firstLine="0" w:firstLineChars="0"/>
        <w:textAlignment w:val="auto"/>
        <w:rPr>
          <w:rFonts w:hint="default" w:ascii="Times New Roman" w:hAnsi="Times New Roman" w:eastAsia="宋体" w:cs="Times New Roman"/>
          <w:b/>
          <w:bCs/>
          <w:color w:val="000000"/>
          <w:sz w:val="28"/>
          <w:szCs w:val="28"/>
          <w:lang w:val="en-US" w:eastAsia="zh-CN"/>
        </w:rPr>
      </w:pPr>
      <w:bookmarkStart w:id="162" w:name="_Toc2147"/>
      <w:bookmarkStart w:id="163" w:name="_Toc17531"/>
      <w:bookmarkStart w:id="164" w:name="_Toc6519"/>
      <w:r>
        <w:rPr>
          <w:rFonts w:hint="eastAsia" w:eastAsia="宋体" w:cs="Times New Roman"/>
          <w:b/>
          <w:bCs/>
          <w:color w:val="000000"/>
          <w:sz w:val="28"/>
          <w:szCs w:val="28"/>
          <w:lang w:val="en-US" w:eastAsia="zh-CN"/>
        </w:rPr>
        <w:t>6.</w:t>
      </w:r>
      <w:r>
        <w:rPr>
          <w:rFonts w:hint="default" w:ascii="Times New Roman" w:hAnsi="Times New Roman" w:eastAsia="宋体" w:cs="Times New Roman"/>
          <w:b/>
          <w:bCs/>
          <w:color w:val="000000"/>
          <w:sz w:val="28"/>
          <w:szCs w:val="28"/>
          <w:lang w:val="en-US" w:eastAsia="zh-CN"/>
        </w:rPr>
        <w:t>生态影响评价自查表</w:t>
      </w:r>
      <w:bookmarkEnd w:id="161"/>
      <w:bookmarkEnd w:id="162"/>
      <w:bookmarkEnd w:id="163"/>
      <w:bookmarkEnd w:id="164"/>
    </w:p>
    <w:p w14:paraId="2FEAFB1B">
      <w:pPr>
        <w:pStyle w:val="97"/>
        <w:keepLines w:val="0"/>
        <w:pageBreakBefore w:val="0"/>
        <w:kinsoku/>
        <w:wordWrap/>
        <w:topLinePunct w:val="0"/>
        <w:autoSpaceDE/>
        <w:autoSpaceDN/>
        <w:bidi w:val="0"/>
        <w:snapToGrid w:val="0"/>
        <w:ind w:firstLine="480"/>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本项目生态影响评价自查表详见表</w:t>
      </w:r>
      <w:r>
        <w:rPr>
          <w:rFonts w:hint="eastAsia" w:eastAsia="宋体" w:cs="Times New Roman"/>
          <w:color w:val="000000"/>
          <w:kern w:val="2"/>
          <w:sz w:val="24"/>
          <w:szCs w:val="24"/>
          <w:lang w:val="en-US" w:eastAsia="zh-CN" w:bidi="ar-SA"/>
        </w:rPr>
        <w:t>19</w:t>
      </w:r>
      <w:r>
        <w:rPr>
          <w:rFonts w:hint="default" w:ascii="Times New Roman" w:hAnsi="Times New Roman" w:eastAsia="宋体" w:cs="Times New Roman"/>
          <w:color w:val="000000"/>
          <w:kern w:val="2"/>
          <w:sz w:val="24"/>
          <w:szCs w:val="24"/>
          <w:lang w:val="en-US" w:eastAsia="zh-CN" w:bidi="ar-SA"/>
        </w:rPr>
        <w:t>。</w:t>
      </w:r>
    </w:p>
    <w:p w14:paraId="12329D4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color w:val="000000"/>
          <w:kern w:val="0"/>
          <w:sz w:val="21"/>
          <w:szCs w:val="24"/>
          <w:lang w:val="en-US" w:eastAsia="zh-CN" w:bidi="ar-SA"/>
        </w:rPr>
      </w:pPr>
      <w:r>
        <w:rPr>
          <w:rFonts w:hint="default" w:ascii="Times New Roman" w:hAnsi="Times New Roman" w:eastAsia="宋体" w:cs="Times New Roman"/>
          <w:b/>
          <w:color w:val="000000"/>
          <w:kern w:val="0"/>
          <w:sz w:val="21"/>
          <w:szCs w:val="24"/>
          <w:lang w:val="en-US" w:eastAsia="zh-CN" w:bidi="ar-SA"/>
        </w:rPr>
        <w:t>表</w:t>
      </w:r>
      <w:r>
        <w:rPr>
          <w:rFonts w:hint="eastAsia" w:cs="Times New Roman"/>
          <w:b/>
          <w:color w:val="000000"/>
          <w:kern w:val="0"/>
          <w:sz w:val="21"/>
          <w:szCs w:val="24"/>
          <w:lang w:val="en-US" w:eastAsia="zh-CN" w:bidi="ar-SA"/>
        </w:rPr>
        <w:t>19</w:t>
      </w:r>
      <w:r>
        <w:rPr>
          <w:rFonts w:hint="default" w:ascii="Times New Roman" w:hAnsi="Times New Roman" w:eastAsia="宋体" w:cs="Times New Roman"/>
          <w:b/>
          <w:color w:val="000000"/>
          <w:kern w:val="0"/>
          <w:sz w:val="21"/>
          <w:szCs w:val="24"/>
          <w:lang w:val="en-US" w:eastAsia="zh-CN" w:bidi="ar-SA"/>
        </w:rPr>
        <w:t xml:space="preserve">   生态影响评价自查表</w:t>
      </w:r>
    </w:p>
    <w:p w14:paraId="5F9B1AD7">
      <w:pPr>
        <w:spacing w:line="15" w:lineRule="exact"/>
        <w:rPr>
          <w:rFonts w:hint="default" w:ascii="Times New Roman" w:hAnsi="Times New Roman" w:eastAsia="宋体" w:cs="Times New Roman"/>
          <w:color w:val="000000"/>
        </w:rPr>
      </w:pPr>
    </w:p>
    <w:tbl>
      <w:tblPr>
        <w:tblStyle w:val="89"/>
        <w:tblW w:w="8522" w:type="dxa"/>
        <w:tblInd w:w="0" w:type="dxa"/>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Layout w:type="fixed"/>
        <w:tblCellMar>
          <w:top w:w="0" w:type="dxa"/>
          <w:left w:w="0" w:type="dxa"/>
          <w:bottom w:w="0" w:type="dxa"/>
          <w:right w:w="0" w:type="dxa"/>
        </w:tblCellMar>
      </w:tblPr>
      <w:tblGrid>
        <w:gridCol w:w="1128"/>
        <w:gridCol w:w="1504"/>
        <w:gridCol w:w="5890"/>
      </w:tblGrid>
      <w:tr w14:paraId="1DA3C273">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326" w:hRule="atLeast"/>
        </w:trPr>
        <w:tc>
          <w:tcPr>
            <w:tcW w:w="2632" w:type="dxa"/>
            <w:gridSpan w:val="2"/>
            <w:tcBorders>
              <w:top w:val="single" w:color="000000" w:sz="12" w:space="0"/>
              <w:left w:val="nil"/>
              <w:tl2br w:val="nil"/>
            </w:tcBorders>
            <w:shd w:val="clear" w:color="auto" w:fill="FFFFFF"/>
            <w:noWrap w:val="0"/>
            <w:vAlign w:val="center"/>
          </w:tcPr>
          <w:p w14:paraId="5F75B2E5">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6"/>
                <w:sz w:val="21"/>
                <w:szCs w:val="21"/>
              </w:rPr>
              <w:t>工作内容</w:t>
            </w:r>
          </w:p>
        </w:tc>
        <w:tc>
          <w:tcPr>
            <w:tcW w:w="5890" w:type="dxa"/>
            <w:tcBorders>
              <w:top w:val="single" w:color="000000" w:sz="12" w:space="0"/>
              <w:right w:val="nil"/>
            </w:tcBorders>
            <w:shd w:val="clear" w:color="auto" w:fill="FFFFFF"/>
            <w:noWrap w:val="0"/>
            <w:vAlign w:val="center"/>
          </w:tcPr>
          <w:p w14:paraId="2470CE9B">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2"/>
                <w:sz w:val="21"/>
                <w:szCs w:val="21"/>
              </w:rPr>
              <w:t>自查项目</w:t>
            </w:r>
          </w:p>
        </w:tc>
      </w:tr>
      <w:tr w14:paraId="0CE60462">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1128" w:type="dxa"/>
            <w:vMerge w:val="restart"/>
            <w:tcBorders>
              <w:left w:val="nil"/>
            </w:tcBorders>
            <w:shd w:val="clear" w:color="auto" w:fill="FFFFFF"/>
            <w:noWrap w:val="0"/>
            <w:vAlign w:val="center"/>
          </w:tcPr>
          <w:p w14:paraId="71D6D25D">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6"/>
                <w:sz w:val="21"/>
                <w:szCs w:val="21"/>
              </w:rPr>
              <w:t>生态影响</w:t>
            </w:r>
            <w:r>
              <w:rPr>
                <w:rFonts w:hint="default" w:ascii="Times New Roman" w:hAnsi="Times New Roman" w:eastAsia="宋体" w:cs="Times New Roman"/>
                <w:b w:val="0"/>
                <w:color w:val="000000"/>
                <w:spacing w:val="3"/>
                <w:sz w:val="21"/>
                <w:szCs w:val="21"/>
              </w:rPr>
              <w:t>识别</w:t>
            </w:r>
          </w:p>
        </w:tc>
        <w:tc>
          <w:tcPr>
            <w:tcW w:w="1504" w:type="dxa"/>
            <w:shd w:val="clear" w:color="auto" w:fill="FFFFFF"/>
            <w:noWrap w:val="0"/>
            <w:vAlign w:val="center"/>
          </w:tcPr>
          <w:p w14:paraId="178F2203">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6"/>
                <w:sz w:val="21"/>
                <w:szCs w:val="21"/>
              </w:rPr>
              <w:t>生态保护</w:t>
            </w:r>
            <w:r>
              <w:rPr>
                <w:rFonts w:hint="default" w:ascii="Times New Roman" w:hAnsi="Times New Roman" w:eastAsia="宋体" w:cs="Times New Roman"/>
                <w:b w:val="0"/>
                <w:color w:val="000000"/>
                <w:spacing w:val="-16"/>
                <w:sz w:val="21"/>
                <w:szCs w:val="21"/>
              </w:rPr>
              <w:t>目标</w:t>
            </w:r>
          </w:p>
        </w:tc>
        <w:tc>
          <w:tcPr>
            <w:tcW w:w="5890" w:type="dxa"/>
            <w:tcBorders>
              <w:right w:val="nil"/>
            </w:tcBorders>
            <w:shd w:val="clear" w:color="auto" w:fill="FFFFFF"/>
            <w:noWrap w:val="0"/>
            <w:vAlign w:val="center"/>
          </w:tcPr>
          <w:p w14:paraId="164AA07B">
            <w:pPr>
              <w:pStyle w:val="8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eastAsia="宋体" w:cs="Times New Roman"/>
                <w:b w:val="0"/>
                <w:color w:val="000000"/>
                <w:spacing w:val="3"/>
                <w:sz w:val="21"/>
                <w:szCs w:val="21"/>
              </w:rPr>
              <w:t>重要物种</w:t>
            </w:r>
            <w:r>
              <w:rPr>
                <w:rFonts w:hint="default" w:ascii="Times New Roman" w:hAnsi="Times New Roman" w:eastAsia="宋体" w:cs="Times New Roman"/>
                <w:b w:val="0"/>
                <w:color w:val="000000"/>
                <w:spacing w:val="3"/>
                <w:sz w:val="21"/>
                <w:szCs w:val="21"/>
                <w:lang w:eastAsia="zh-CN"/>
              </w:rPr>
              <w:t>□</w:t>
            </w:r>
            <w:r>
              <w:rPr>
                <w:rFonts w:hint="default" w:ascii="Times New Roman" w:hAnsi="Times New Roman" w:eastAsia="宋体" w:cs="Times New Roman"/>
                <w:b w:val="0"/>
                <w:color w:val="000000"/>
                <w:spacing w:val="3"/>
                <w:sz w:val="21"/>
                <w:szCs w:val="21"/>
              </w:rPr>
              <w:t>；国家公园</w:t>
            </w:r>
            <w:r>
              <w:rPr>
                <w:rFonts w:hint="default" w:ascii="Times New Roman" w:hAnsi="Times New Roman" w:eastAsia="宋体" w:cs="Times New Roman"/>
                <w:b w:val="0"/>
                <w:color w:val="000000"/>
                <w:spacing w:val="3"/>
                <w:sz w:val="21"/>
                <w:szCs w:val="21"/>
                <w:lang w:eastAsia="zh-CN"/>
              </w:rPr>
              <w:t>□</w:t>
            </w:r>
            <w:r>
              <w:rPr>
                <w:rFonts w:hint="default" w:ascii="Times New Roman" w:hAnsi="Times New Roman" w:eastAsia="宋体" w:cs="Times New Roman"/>
                <w:b w:val="0"/>
                <w:color w:val="000000"/>
                <w:spacing w:val="3"/>
                <w:sz w:val="21"/>
                <w:szCs w:val="21"/>
              </w:rPr>
              <w:t>；自然保护区</w:t>
            </w:r>
            <w:r>
              <w:rPr>
                <w:rFonts w:hint="default" w:ascii="Times New Roman" w:hAnsi="Times New Roman" w:eastAsia="宋体" w:cs="Times New Roman"/>
                <w:b w:val="0"/>
                <w:color w:val="000000"/>
                <w:spacing w:val="3"/>
                <w:sz w:val="21"/>
                <w:szCs w:val="21"/>
                <w:lang w:eastAsia="zh-CN"/>
              </w:rPr>
              <w:t>□</w:t>
            </w:r>
            <w:r>
              <w:rPr>
                <w:rFonts w:hint="default" w:ascii="Times New Roman" w:hAnsi="Times New Roman" w:eastAsia="宋体" w:cs="Times New Roman"/>
                <w:b w:val="0"/>
                <w:color w:val="000000"/>
                <w:spacing w:val="3"/>
                <w:sz w:val="21"/>
                <w:szCs w:val="21"/>
              </w:rPr>
              <w:t>；自</w:t>
            </w:r>
            <w:r>
              <w:rPr>
                <w:rFonts w:hint="default" w:ascii="Times New Roman" w:hAnsi="Times New Roman" w:eastAsia="宋体" w:cs="Times New Roman"/>
                <w:b w:val="0"/>
                <w:color w:val="000000"/>
                <w:spacing w:val="2"/>
                <w:sz w:val="21"/>
                <w:szCs w:val="21"/>
              </w:rPr>
              <w:t>然公园</w:t>
            </w:r>
            <w:r>
              <w:rPr>
                <w:rFonts w:hint="eastAsia" w:ascii="Times New Roman" w:hAnsi="Times New Roman" w:cs="Times New Roman"/>
                <w:b w:val="0"/>
                <w:color w:val="000000"/>
                <w:spacing w:val="2"/>
                <w:sz w:val="21"/>
                <w:szCs w:val="21"/>
                <w:lang w:eastAsia="zh-CN"/>
              </w:rPr>
              <w:t>☑</w:t>
            </w:r>
            <w:r>
              <w:rPr>
                <w:rFonts w:hint="default" w:ascii="Times New Roman" w:hAnsi="Times New Roman" w:eastAsia="宋体" w:cs="Times New Roman"/>
                <w:b w:val="0"/>
                <w:color w:val="000000"/>
                <w:spacing w:val="2"/>
                <w:sz w:val="21"/>
                <w:szCs w:val="21"/>
              </w:rPr>
              <w:t>；世界自然</w:t>
            </w:r>
            <w:r>
              <w:rPr>
                <w:rFonts w:hint="default" w:ascii="Times New Roman" w:hAnsi="Times New Roman" w:eastAsia="宋体" w:cs="Times New Roman"/>
                <w:b w:val="0"/>
                <w:color w:val="000000"/>
                <w:spacing w:val="5"/>
                <w:sz w:val="21"/>
                <w:szCs w:val="21"/>
              </w:rPr>
              <w:t>遗产</w:t>
            </w:r>
            <w:r>
              <w:rPr>
                <w:rFonts w:hint="default" w:ascii="Times New Roman" w:hAnsi="Times New Roman" w:eastAsia="宋体" w:cs="Times New Roman"/>
                <w:b w:val="0"/>
                <w:color w:val="000000"/>
                <w:spacing w:val="5"/>
                <w:sz w:val="21"/>
                <w:szCs w:val="21"/>
                <w:lang w:eastAsia="zh-CN"/>
              </w:rPr>
              <w:t>□</w:t>
            </w:r>
            <w:r>
              <w:rPr>
                <w:rFonts w:hint="default" w:ascii="Times New Roman" w:hAnsi="Times New Roman" w:eastAsia="宋体" w:cs="Times New Roman"/>
                <w:b w:val="0"/>
                <w:color w:val="000000"/>
                <w:spacing w:val="5"/>
                <w:sz w:val="21"/>
                <w:szCs w:val="21"/>
              </w:rPr>
              <w:t>；生态保护红线</w:t>
            </w:r>
            <w:r>
              <w:rPr>
                <w:rFonts w:hint="default" w:ascii="Times New Roman" w:hAnsi="Times New Roman" w:eastAsia="宋体" w:cs="Times New Roman"/>
                <w:b w:val="0"/>
                <w:color w:val="000000"/>
                <w:spacing w:val="5"/>
                <w:sz w:val="21"/>
                <w:szCs w:val="21"/>
                <w:lang w:eastAsia="zh-CN"/>
              </w:rPr>
              <w:t>□</w:t>
            </w:r>
            <w:r>
              <w:rPr>
                <w:rFonts w:hint="default" w:ascii="Times New Roman" w:hAnsi="Times New Roman" w:eastAsia="宋体" w:cs="Times New Roman"/>
                <w:b w:val="0"/>
                <w:color w:val="000000"/>
                <w:spacing w:val="5"/>
                <w:sz w:val="21"/>
                <w:szCs w:val="21"/>
              </w:rPr>
              <w:t>；重要生境</w:t>
            </w:r>
            <w:r>
              <w:rPr>
                <w:rFonts w:hint="default" w:ascii="Times New Roman" w:hAnsi="Times New Roman" w:eastAsia="宋体" w:cs="Times New Roman"/>
                <w:b w:val="0"/>
                <w:color w:val="000000"/>
                <w:spacing w:val="5"/>
                <w:sz w:val="21"/>
                <w:szCs w:val="21"/>
                <w:lang w:eastAsia="zh-CN"/>
              </w:rPr>
              <w:t>□</w:t>
            </w:r>
            <w:r>
              <w:rPr>
                <w:rFonts w:hint="default" w:ascii="Times New Roman" w:hAnsi="Times New Roman" w:eastAsia="宋体" w:cs="Times New Roman"/>
                <w:b w:val="0"/>
                <w:color w:val="000000"/>
                <w:spacing w:val="5"/>
                <w:sz w:val="21"/>
                <w:szCs w:val="21"/>
              </w:rPr>
              <w:t>；其他具有重要生态功能、</w:t>
            </w:r>
            <w:r>
              <w:rPr>
                <w:rFonts w:hint="default" w:ascii="Times New Roman" w:hAnsi="Times New Roman" w:eastAsia="宋体" w:cs="Times New Roman"/>
                <w:b w:val="0"/>
                <w:color w:val="000000"/>
                <w:spacing w:val="8"/>
                <w:sz w:val="21"/>
                <w:szCs w:val="21"/>
              </w:rPr>
              <w:t>对保护生物多样性具有重要意义的区域</w:t>
            </w:r>
            <w:r>
              <w:rPr>
                <w:rFonts w:hint="eastAsia" w:ascii="Times New Roman" w:hAnsi="Times New Roman" w:cs="Times New Roman"/>
                <w:b w:val="0"/>
                <w:color w:val="000000"/>
                <w:spacing w:val="8"/>
                <w:sz w:val="21"/>
                <w:szCs w:val="21"/>
                <w:lang w:eastAsia="zh-CN"/>
              </w:rPr>
              <w:t>□</w:t>
            </w:r>
            <w:r>
              <w:rPr>
                <w:rFonts w:hint="default" w:ascii="Times New Roman" w:hAnsi="Times New Roman" w:eastAsia="宋体" w:cs="Times New Roman"/>
                <w:b w:val="0"/>
                <w:color w:val="000000"/>
                <w:spacing w:val="8"/>
                <w:sz w:val="21"/>
                <w:szCs w:val="21"/>
              </w:rPr>
              <w:t>；其他</w:t>
            </w:r>
            <w:r>
              <w:rPr>
                <w:rFonts w:hint="eastAsia" w:ascii="Times New Roman" w:hAnsi="Times New Roman" w:cs="Times New Roman"/>
                <w:b w:val="0"/>
                <w:color w:val="000000"/>
                <w:spacing w:val="8"/>
                <w:sz w:val="21"/>
                <w:szCs w:val="21"/>
                <w:lang w:eastAsia="zh-CN"/>
              </w:rPr>
              <w:t>□</w:t>
            </w:r>
          </w:p>
        </w:tc>
      </w:tr>
      <w:tr w14:paraId="3373EEB0">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316" w:hRule="atLeast"/>
        </w:trPr>
        <w:tc>
          <w:tcPr>
            <w:tcW w:w="1128" w:type="dxa"/>
            <w:vMerge w:val="continue"/>
            <w:tcBorders>
              <w:left w:val="nil"/>
            </w:tcBorders>
            <w:shd w:val="clear" w:color="auto" w:fill="FFFFFF"/>
            <w:noWrap w:val="0"/>
            <w:vAlign w:val="center"/>
          </w:tcPr>
          <w:p w14:paraId="1E2F0C82">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1504" w:type="dxa"/>
            <w:shd w:val="clear" w:color="auto" w:fill="FFFFFF"/>
            <w:noWrap w:val="0"/>
            <w:vAlign w:val="center"/>
          </w:tcPr>
          <w:p w14:paraId="23D1C06A">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7"/>
                <w:sz w:val="21"/>
                <w:szCs w:val="21"/>
              </w:rPr>
              <w:t>影响方式</w:t>
            </w:r>
          </w:p>
        </w:tc>
        <w:tc>
          <w:tcPr>
            <w:tcW w:w="5890" w:type="dxa"/>
            <w:tcBorders>
              <w:right w:val="nil"/>
            </w:tcBorders>
            <w:shd w:val="clear" w:color="auto" w:fill="FFFFFF"/>
            <w:noWrap w:val="0"/>
            <w:vAlign w:val="center"/>
          </w:tcPr>
          <w:p w14:paraId="75A580BE">
            <w:pPr>
              <w:pStyle w:val="8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8"/>
                <w:sz w:val="21"/>
                <w:szCs w:val="21"/>
              </w:rPr>
              <w:t>工程占用☑；施工活动干扰</w:t>
            </w:r>
            <w:r>
              <w:rPr>
                <w:rFonts w:hint="eastAsia" w:ascii="Times New Roman" w:hAnsi="Times New Roman" w:cs="Times New Roman"/>
                <w:b w:val="0"/>
                <w:color w:val="000000"/>
                <w:spacing w:val="8"/>
                <w:sz w:val="21"/>
                <w:szCs w:val="21"/>
                <w:lang w:eastAsia="zh-CN"/>
              </w:rPr>
              <w:t>☑</w:t>
            </w:r>
            <w:r>
              <w:rPr>
                <w:rFonts w:hint="default" w:ascii="Times New Roman" w:hAnsi="Times New Roman" w:eastAsia="宋体" w:cs="Times New Roman"/>
                <w:b w:val="0"/>
                <w:color w:val="000000"/>
                <w:spacing w:val="8"/>
                <w:sz w:val="21"/>
                <w:szCs w:val="21"/>
              </w:rPr>
              <w:t>；改变环境条件□；其他☑</w:t>
            </w:r>
          </w:p>
        </w:tc>
      </w:tr>
      <w:tr w14:paraId="49BD74A9">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2809" w:hRule="atLeast"/>
        </w:trPr>
        <w:tc>
          <w:tcPr>
            <w:tcW w:w="1128" w:type="dxa"/>
            <w:vMerge w:val="continue"/>
            <w:tcBorders>
              <w:left w:val="nil"/>
            </w:tcBorders>
            <w:shd w:val="clear" w:color="auto" w:fill="FFFFFF"/>
            <w:noWrap w:val="0"/>
            <w:vAlign w:val="center"/>
          </w:tcPr>
          <w:p w14:paraId="6C5EE6C3">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1504" w:type="dxa"/>
            <w:shd w:val="clear" w:color="auto" w:fill="FFFFFF"/>
            <w:noWrap w:val="0"/>
            <w:vAlign w:val="center"/>
          </w:tcPr>
          <w:p w14:paraId="179F0995">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7"/>
                <w:sz w:val="21"/>
                <w:szCs w:val="21"/>
              </w:rPr>
              <w:t>评价因子</w:t>
            </w:r>
          </w:p>
        </w:tc>
        <w:tc>
          <w:tcPr>
            <w:tcW w:w="5890" w:type="dxa"/>
            <w:tcBorders>
              <w:right w:val="nil"/>
            </w:tcBorders>
            <w:shd w:val="clear" w:color="auto" w:fill="FFFFFF"/>
            <w:noWrap w:val="0"/>
            <w:vAlign w:val="center"/>
          </w:tcPr>
          <w:p w14:paraId="50A7222C">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both"/>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9"/>
                <w:sz w:val="21"/>
                <w:szCs w:val="21"/>
              </w:rPr>
              <w:t>物种☑（分布范围、种群数量、种群结构、行为等）</w:t>
            </w:r>
          </w:p>
          <w:p w14:paraId="54D5DD31">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both"/>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7"/>
                <w:sz w:val="21"/>
                <w:szCs w:val="21"/>
              </w:rPr>
              <w:t>生境☑（生境面积、质量、连通性等）</w:t>
            </w:r>
          </w:p>
          <w:p w14:paraId="5323C23B">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both"/>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6"/>
                <w:sz w:val="21"/>
                <w:szCs w:val="21"/>
              </w:rPr>
              <w:t>生物群落☑（物种组成、群落结构等</w:t>
            </w:r>
            <w:r>
              <w:rPr>
                <w:rFonts w:hint="default" w:ascii="Times New Roman" w:hAnsi="Times New Roman" w:eastAsia="宋体" w:cs="Times New Roman"/>
                <w:b w:val="0"/>
                <w:color w:val="000000"/>
                <w:spacing w:val="5"/>
                <w:sz w:val="21"/>
                <w:szCs w:val="21"/>
              </w:rPr>
              <w:t>）</w:t>
            </w:r>
          </w:p>
          <w:p w14:paraId="638085B5">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both"/>
              <w:textAlignment w:val="auto"/>
              <w:rPr>
                <w:rFonts w:hint="default" w:ascii="Times New Roman" w:hAnsi="Times New Roman" w:eastAsia="宋体" w:cs="Times New Roman"/>
                <w:b w:val="0"/>
                <w:color w:val="000000"/>
                <w:spacing w:val="7"/>
                <w:sz w:val="21"/>
                <w:szCs w:val="21"/>
              </w:rPr>
            </w:pPr>
            <w:r>
              <w:rPr>
                <w:rFonts w:hint="default" w:ascii="Times New Roman" w:hAnsi="Times New Roman" w:eastAsia="宋体" w:cs="Times New Roman"/>
                <w:b w:val="0"/>
                <w:color w:val="000000"/>
                <w:spacing w:val="7"/>
                <w:sz w:val="21"/>
                <w:szCs w:val="21"/>
              </w:rPr>
              <w:t>生态系统☑（植被覆盖度、生产力、生物量、生态系统功能等）</w:t>
            </w:r>
          </w:p>
          <w:p w14:paraId="7B06FB89">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both"/>
              <w:textAlignment w:val="auto"/>
              <w:rPr>
                <w:rFonts w:hint="default" w:ascii="Times New Roman" w:hAnsi="Times New Roman" w:eastAsia="宋体" w:cs="Times New Roman"/>
                <w:b w:val="0"/>
                <w:color w:val="000000"/>
                <w:spacing w:val="5"/>
                <w:sz w:val="21"/>
                <w:szCs w:val="21"/>
              </w:rPr>
            </w:pPr>
            <w:r>
              <w:rPr>
                <w:rFonts w:hint="default" w:ascii="Times New Roman" w:hAnsi="Times New Roman" w:eastAsia="宋体" w:cs="Times New Roman"/>
                <w:b w:val="0"/>
                <w:color w:val="000000"/>
                <w:spacing w:val="6"/>
                <w:sz w:val="21"/>
                <w:szCs w:val="21"/>
              </w:rPr>
              <w:t>生物多样性☑（物种丰富度、均匀度、优势度等</w:t>
            </w:r>
            <w:r>
              <w:rPr>
                <w:rFonts w:hint="default" w:ascii="Times New Roman" w:hAnsi="Times New Roman" w:eastAsia="宋体" w:cs="Times New Roman"/>
                <w:b w:val="0"/>
                <w:color w:val="000000"/>
                <w:spacing w:val="5"/>
                <w:sz w:val="21"/>
                <w:szCs w:val="21"/>
              </w:rPr>
              <w:t>）</w:t>
            </w:r>
          </w:p>
          <w:p w14:paraId="76B52EDF">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both"/>
              <w:textAlignment w:val="auto"/>
              <w:rPr>
                <w:rFonts w:hint="default" w:ascii="Times New Roman" w:hAnsi="Times New Roman" w:eastAsia="宋体" w:cs="Times New Roman"/>
                <w:b w:val="0"/>
                <w:color w:val="000000"/>
                <w:spacing w:val="9"/>
                <w:sz w:val="21"/>
                <w:szCs w:val="21"/>
              </w:rPr>
            </w:pPr>
            <w:r>
              <w:rPr>
                <w:rFonts w:hint="default" w:ascii="Times New Roman" w:hAnsi="Times New Roman" w:eastAsia="宋体" w:cs="Times New Roman"/>
                <w:b w:val="0"/>
                <w:color w:val="000000"/>
                <w:spacing w:val="9"/>
                <w:sz w:val="21"/>
                <w:szCs w:val="21"/>
              </w:rPr>
              <w:t>生态敏感区☑（</w:t>
            </w:r>
            <w:r>
              <w:rPr>
                <w:rFonts w:hint="default" w:ascii="Times New Roman" w:hAnsi="Times New Roman" w:eastAsia="宋体" w:cs="Times New Roman"/>
                <w:b w:val="0"/>
                <w:color w:val="000000"/>
                <w:spacing w:val="9"/>
                <w:sz w:val="21"/>
                <w:szCs w:val="21"/>
                <w:lang w:val="en-US" w:eastAsia="zh-CN"/>
              </w:rPr>
              <w:t>花儿沟景区</w:t>
            </w:r>
            <w:r>
              <w:rPr>
                <w:rFonts w:hint="default" w:ascii="Times New Roman" w:hAnsi="Times New Roman" w:eastAsia="宋体" w:cs="Times New Roman"/>
                <w:b w:val="0"/>
                <w:color w:val="000000"/>
                <w:spacing w:val="9"/>
                <w:sz w:val="21"/>
                <w:szCs w:val="21"/>
              </w:rPr>
              <w:t>）</w:t>
            </w:r>
          </w:p>
          <w:p w14:paraId="23185060">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both"/>
              <w:textAlignment w:val="auto"/>
              <w:rPr>
                <w:rFonts w:hint="default" w:ascii="Times New Roman" w:hAnsi="Times New Roman" w:eastAsia="宋体" w:cs="Times New Roman"/>
                <w:b w:val="0"/>
                <w:color w:val="000000"/>
                <w:spacing w:val="-4"/>
                <w:sz w:val="21"/>
                <w:szCs w:val="21"/>
              </w:rPr>
            </w:pPr>
            <w:r>
              <w:rPr>
                <w:rFonts w:hint="default" w:ascii="Times New Roman" w:hAnsi="Times New Roman" w:eastAsia="宋体" w:cs="Times New Roman"/>
                <w:b w:val="0"/>
                <w:color w:val="000000"/>
                <w:spacing w:val="-4"/>
                <w:sz w:val="21"/>
                <w:szCs w:val="21"/>
              </w:rPr>
              <w:t>自然景观☑（景观多样性、完整性等）</w:t>
            </w:r>
          </w:p>
          <w:p w14:paraId="348F92A5">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both"/>
              <w:textAlignment w:val="auto"/>
              <w:rPr>
                <w:rFonts w:hint="default" w:ascii="Times New Roman" w:hAnsi="Times New Roman" w:eastAsia="宋体" w:cs="Times New Roman"/>
                <w:b w:val="0"/>
                <w:color w:val="000000"/>
                <w:spacing w:val="-4"/>
                <w:sz w:val="21"/>
                <w:szCs w:val="21"/>
                <w:lang w:eastAsia="zh-CN"/>
              </w:rPr>
            </w:pPr>
            <w:r>
              <w:rPr>
                <w:rFonts w:hint="default" w:ascii="Times New Roman" w:hAnsi="Times New Roman" w:eastAsia="宋体" w:cs="Times New Roman"/>
                <w:b w:val="0"/>
                <w:color w:val="000000"/>
                <w:spacing w:val="-3"/>
                <w:sz w:val="21"/>
                <w:szCs w:val="21"/>
              </w:rPr>
              <w:t>自然遗迹</w:t>
            </w:r>
            <w:r>
              <w:rPr>
                <w:rFonts w:hint="eastAsia" w:cs="Times New Roman"/>
                <w:b w:val="0"/>
                <w:color w:val="000000"/>
                <w:spacing w:val="-3"/>
                <w:sz w:val="21"/>
                <w:szCs w:val="21"/>
                <w:lang w:eastAsia="zh-CN"/>
              </w:rPr>
              <w:t>□</w:t>
            </w:r>
            <w:r>
              <w:rPr>
                <w:rFonts w:hint="default" w:ascii="Times New Roman" w:hAnsi="Times New Roman" w:eastAsia="宋体" w:cs="Times New Roman"/>
                <w:b w:val="0"/>
                <w:color w:val="000000"/>
                <w:spacing w:val="-3"/>
                <w:sz w:val="21"/>
                <w:szCs w:val="21"/>
                <w:lang w:eastAsia="zh-CN"/>
              </w:rPr>
              <w:t>（</w:t>
            </w:r>
            <w:r>
              <w:rPr>
                <w:rFonts w:hint="default" w:ascii="Times New Roman" w:hAnsi="Times New Roman" w:eastAsia="宋体" w:cs="Times New Roman"/>
                <w:b w:val="0"/>
                <w:color w:val="000000"/>
                <w:spacing w:val="-3"/>
                <w:sz w:val="21"/>
                <w:szCs w:val="21"/>
                <w:lang w:val="en-US" w:eastAsia="zh-CN"/>
              </w:rPr>
              <w:t xml:space="preserve">                                   </w:t>
            </w:r>
            <w:r>
              <w:rPr>
                <w:rFonts w:hint="default" w:ascii="Times New Roman" w:hAnsi="Times New Roman" w:eastAsia="宋体" w:cs="Times New Roman"/>
                <w:b w:val="0"/>
                <w:color w:val="000000"/>
                <w:spacing w:val="-3"/>
                <w:sz w:val="21"/>
                <w:szCs w:val="21"/>
                <w:lang w:eastAsia="zh-CN"/>
              </w:rPr>
              <w:t>）</w:t>
            </w:r>
          </w:p>
          <w:p w14:paraId="38B24B56">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both"/>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eastAsia="宋体" w:cs="Times New Roman"/>
                <w:b w:val="0"/>
                <w:color w:val="000000"/>
                <w:spacing w:val="-3"/>
                <w:sz w:val="21"/>
                <w:szCs w:val="21"/>
              </w:rPr>
              <w:t>其他</w:t>
            </w:r>
            <w:r>
              <w:rPr>
                <w:rFonts w:hint="default" w:ascii="Times New Roman" w:hAnsi="Times New Roman" w:eastAsia="宋体" w:cs="Times New Roman"/>
                <w:b w:val="0"/>
                <w:color w:val="000000"/>
                <w:spacing w:val="-3"/>
                <w:sz w:val="21"/>
                <w:szCs w:val="21"/>
                <w:lang w:eastAsia="zh-CN"/>
              </w:rPr>
              <w:t>□（</w:t>
            </w:r>
            <w:r>
              <w:rPr>
                <w:rFonts w:hint="default" w:ascii="Times New Roman" w:hAnsi="Times New Roman" w:eastAsia="宋体" w:cs="Times New Roman"/>
                <w:b w:val="0"/>
                <w:color w:val="000000"/>
                <w:spacing w:val="-3"/>
                <w:sz w:val="21"/>
                <w:szCs w:val="21"/>
                <w:lang w:val="en-US" w:eastAsia="zh-CN"/>
              </w:rPr>
              <w:t xml:space="preserve">                                       </w:t>
            </w:r>
            <w:r>
              <w:rPr>
                <w:rFonts w:hint="default" w:ascii="Times New Roman" w:hAnsi="Times New Roman" w:eastAsia="宋体" w:cs="Times New Roman"/>
                <w:b w:val="0"/>
                <w:color w:val="000000"/>
                <w:spacing w:val="-3"/>
                <w:sz w:val="21"/>
                <w:szCs w:val="21"/>
                <w:lang w:eastAsia="zh-CN"/>
              </w:rPr>
              <w:t>）</w:t>
            </w:r>
          </w:p>
        </w:tc>
      </w:tr>
      <w:tr w14:paraId="474C4E49">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317" w:hRule="atLeast"/>
        </w:trPr>
        <w:tc>
          <w:tcPr>
            <w:tcW w:w="2632" w:type="dxa"/>
            <w:gridSpan w:val="2"/>
            <w:tcBorders>
              <w:left w:val="nil"/>
            </w:tcBorders>
            <w:shd w:val="clear" w:color="auto" w:fill="FFFFFF"/>
            <w:noWrap w:val="0"/>
            <w:vAlign w:val="center"/>
          </w:tcPr>
          <w:p w14:paraId="4A480AEC">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7"/>
                <w:sz w:val="21"/>
                <w:szCs w:val="21"/>
              </w:rPr>
              <w:t>评价等级</w:t>
            </w:r>
          </w:p>
        </w:tc>
        <w:tc>
          <w:tcPr>
            <w:tcW w:w="5890" w:type="dxa"/>
            <w:tcBorders>
              <w:right w:val="nil"/>
            </w:tcBorders>
            <w:shd w:val="clear" w:color="auto" w:fill="FFFFFF"/>
            <w:noWrap w:val="0"/>
            <w:vAlign w:val="center"/>
          </w:tcPr>
          <w:p w14:paraId="05BE5CE3">
            <w:pPr>
              <w:pStyle w:val="8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eastAsia="宋体" w:cs="Times New Roman"/>
                <w:b w:val="0"/>
                <w:color w:val="000000"/>
                <w:spacing w:val="5"/>
                <w:sz w:val="21"/>
                <w:szCs w:val="21"/>
              </w:rPr>
              <w:t>一级</w:t>
            </w:r>
            <w:r>
              <w:rPr>
                <w:rFonts w:hint="default" w:ascii="Times New Roman" w:hAnsi="Times New Roman" w:eastAsia="宋体" w:cs="Times New Roman"/>
                <w:b w:val="0"/>
                <w:color w:val="000000"/>
                <w:spacing w:val="5"/>
                <w:sz w:val="21"/>
                <w:szCs w:val="21"/>
                <w:lang w:eastAsia="zh-CN"/>
              </w:rPr>
              <w:t>□</w:t>
            </w:r>
            <w:r>
              <w:rPr>
                <w:rFonts w:hint="default" w:ascii="Times New Roman" w:hAnsi="Times New Roman" w:eastAsia="宋体" w:cs="Times New Roman"/>
                <w:b w:val="0"/>
                <w:color w:val="000000"/>
                <w:spacing w:val="5"/>
                <w:sz w:val="21"/>
                <w:szCs w:val="21"/>
              </w:rPr>
              <w:t>二级☑三级</w:t>
            </w:r>
            <w:r>
              <w:rPr>
                <w:rFonts w:hint="default" w:ascii="Times New Roman" w:hAnsi="Times New Roman" w:eastAsia="宋体" w:cs="Times New Roman"/>
                <w:b w:val="0"/>
                <w:color w:val="000000"/>
                <w:spacing w:val="5"/>
                <w:sz w:val="21"/>
                <w:szCs w:val="21"/>
                <w:lang w:eastAsia="zh-CN"/>
              </w:rPr>
              <w:t>□</w:t>
            </w:r>
            <w:r>
              <w:rPr>
                <w:rFonts w:hint="default" w:ascii="Times New Roman" w:hAnsi="Times New Roman" w:eastAsia="宋体" w:cs="Times New Roman"/>
                <w:b w:val="0"/>
                <w:color w:val="000000"/>
                <w:spacing w:val="5"/>
                <w:sz w:val="21"/>
                <w:szCs w:val="21"/>
              </w:rPr>
              <w:t>生态影响简单分</w:t>
            </w:r>
            <w:r>
              <w:rPr>
                <w:rFonts w:hint="default" w:ascii="Times New Roman" w:hAnsi="Times New Roman" w:eastAsia="宋体" w:cs="Times New Roman"/>
                <w:b w:val="0"/>
                <w:color w:val="000000"/>
                <w:spacing w:val="4"/>
                <w:sz w:val="21"/>
                <w:szCs w:val="21"/>
              </w:rPr>
              <w:t>析</w:t>
            </w:r>
            <w:r>
              <w:rPr>
                <w:rFonts w:hint="default" w:ascii="Times New Roman" w:hAnsi="Times New Roman" w:eastAsia="宋体" w:cs="Times New Roman"/>
                <w:b w:val="0"/>
                <w:color w:val="000000"/>
                <w:spacing w:val="4"/>
                <w:sz w:val="21"/>
                <w:szCs w:val="21"/>
                <w:lang w:eastAsia="zh-CN"/>
              </w:rPr>
              <w:t>□</w:t>
            </w:r>
          </w:p>
        </w:tc>
      </w:tr>
      <w:tr w14:paraId="1820F183">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317" w:hRule="atLeast"/>
        </w:trPr>
        <w:tc>
          <w:tcPr>
            <w:tcW w:w="2632" w:type="dxa"/>
            <w:gridSpan w:val="2"/>
            <w:tcBorders>
              <w:left w:val="nil"/>
            </w:tcBorders>
            <w:shd w:val="clear" w:color="auto" w:fill="FFFFFF"/>
            <w:noWrap w:val="0"/>
            <w:vAlign w:val="center"/>
          </w:tcPr>
          <w:p w14:paraId="1AC9C187">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7"/>
                <w:sz w:val="21"/>
                <w:szCs w:val="21"/>
              </w:rPr>
              <w:t>评价范围</w:t>
            </w:r>
          </w:p>
        </w:tc>
        <w:tc>
          <w:tcPr>
            <w:tcW w:w="5890" w:type="dxa"/>
            <w:tcBorders>
              <w:right w:val="nil"/>
            </w:tcBorders>
            <w:shd w:val="clear" w:color="auto" w:fill="FFFFFF"/>
            <w:noWrap w:val="0"/>
            <w:vAlign w:val="center"/>
          </w:tcPr>
          <w:p w14:paraId="48FECB55">
            <w:pPr>
              <w:pStyle w:val="8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9"/>
                <w:sz w:val="21"/>
                <w:szCs w:val="21"/>
              </w:rPr>
              <w:t>陆域面积</w:t>
            </w:r>
            <w:r>
              <w:rPr>
                <w:rFonts w:hint="default" w:ascii="Times New Roman" w:hAnsi="Times New Roman" w:eastAsia="宋体" w:cs="Times New Roman"/>
                <w:b w:val="0"/>
                <w:color w:val="000000"/>
                <w:spacing w:val="-8"/>
                <w:sz w:val="21"/>
                <w:szCs w:val="21"/>
              </w:rPr>
              <w:t>：（</w:t>
            </w:r>
            <w:r>
              <w:rPr>
                <w:rFonts w:hint="eastAsia" w:ascii="Times New Roman" w:hAnsi="Times New Roman" w:cs="Times New Roman"/>
                <w:b w:val="0"/>
                <w:color w:val="000000"/>
                <w:spacing w:val="-8"/>
                <w:sz w:val="21"/>
                <w:szCs w:val="21"/>
                <w:highlight w:val="none"/>
                <w:lang w:val="en-US" w:eastAsia="zh-CN"/>
              </w:rPr>
              <w:t>0.024858</w:t>
            </w:r>
            <w:r>
              <w:rPr>
                <w:rFonts w:hint="default" w:ascii="Times New Roman" w:hAnsi="Times New Roman" w:eastAsia="宋体" w:cs="Times New Roman"/>
                <w:b w:val="0"/>
                <w:color w:val="000000"/>
                <w:spacing w:val="-8"/>
                <w:sz w:val="21"/>
                <w:szCs w:val="21"/>
              </w:rPr>
              <w:t>）</w:t>
            </w:r>
            <w:r>
              <w:rPr>
                <w:rFonts w:hint="default" w:ascii="Times New Roman" w:hAnsi="Times New Roman" w:eastAsia="宋体" w:cs="Times New Roman"/>
                <w:b w:val="0"/>
                <w:color w:val="000000"/>
                <w:sz w:val="21"/>
                <w:szCs w:val="21"/>
              </w:rPr>
              <w:t>km</w:t>
            </w:r>
            <w:r>
              <w:rPr>
                <w:rFonts w:hint="default" w:ascii="Times New Roman" w:hAnsi="Times New Roman" w:eastAsia="宋体" w:cs="Times New Roman"/>
                <w:b w:val="0"/>
                <w:color w:val="000000"/>
                <w:spacing w:val="9"/>
                <w:position w:val="6"/>
                <w:sz w:val="21"/>
                <w:szCs w:val="21"/>
              </w:rPr>
              <w:t>2</w:t>
            </w:r>
            <w:r>
              <w:rPr>
                <w:rFonts w:hint="default" w:ascii="Times New Roman" w:hAnsi="Times New Roman" w:eastAsia="宋体" w:cs="Times New Roman"/>
                <w:b w:val="0"/>
                <w:color w:val="000000"/>
                <w:spacing w:val="9"/>
                <w:sz w:val="21"/>
                <w:szCs w:val="21"/>
              </w:rPr>
              <w:t>；水域面积</w:t>
            </w:r>
            <w:r>
              <w:rPr>
                <w:rFonts w:hint="default" w:ascii="Times New Roman" w:hAnsi="Times New Roman" w:eastAsia="宋体" w:cs="Times New Roman"/>
                <w:b w:val="0"/>
                <w:color w:val="000000"/>
                <w:spacing w:val="-8"/>
                <w:sz w:val="21"/>
                <w:szCs w:val="21"/>
              </w:rPr>
              <w:t>：（</w:t>
            </w:r>
            <w:r>
              <w:rPr>
                <w:rFonts w:hint="default" w:ascii="Times New Roman" w:hAnsi="Times New Roman" w:eastAsia="宋体" w:cs="Times New Roman"/>
                <w:b w:val="0"/>
                <w:color w:val="000000"/>
                <w:spacing w:val="9"/>
                <w:sz w:val="21"/>
                <w:szCs w:val="21"/>
              </w:rPr>
              <w:t>-）</w:t>
            </w:r>
            <w:r>
              <w:rPr>
                <w:rFonts w:hint="default" w:ascii="Times New Roman" w:hAnsi="Times New Roman" w:eastAsia="宋体" w:cs="Times New Roman"/>
                <w:b w:val="0"/>
                <w:color w:val="000000"/>
                <w:sz w:val="21"/>
                <w:szCs w:val="21"/>
              </w:rPr>
              <w:t>km</w:t>
            </w:r>
            <w:r>
              <w:rPr>
                <w:rFonts w:hint="default" w:ascii="Times New Roman" w:hAnsi="Times New Roman" w:eastAsia="宋体" w:cs="Times New Roman"/>
                <w:b w:val="0"/>
                <w:color w:val="000000"/>
                <w:spacing w:val="9"/>
                <w:position w:val="6"/>
                <w:sz w:val="21"/>
                <w:szCs w:val="21"/>
              </w:rPr>
              <w:t>2</w:t>
            </w:r>
          </w:p>
        </w:tc>
      </w:tr>
      <w:tr w14:paraId="4EB133BF">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628" w:hRule="atLeast"/>
        </w:trPr>
        <w:tc>
          <w:tcPr>
            <w:tcW w:w="1128" w:type="dxa"/>
            <w:vMerge w:val="restart"/>
            <w:tcBorders>
              <w:left w:val="nil"/>
            </w:tcBorders>
            <w:shd w:val="clear" w:color="auto" w:fill="FFFFFF"/>
            <w:noWrap w:val="0"/>
            <w:vAlign w:val="center"/>
          </w:tcPr>
          <w:p w14:paraId="6AB08D94">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6"/>
                <w:sz w:val="21"/>
                <w:szCs w:val="21"/>
              </w:rPr>
              <w:t>生态现状调查与评</w:t>
            </w:r>
            <w:r>
              <w:rPr>
                <w:rFonts w:hint="default" w:ascii="Times New Roman" w:hAnsi="Times New Roman" w:eastAsia="宋体" w:cs="Times New Roman"/>
                <w:b w:val="0"/>
                <w:color w:val="000000"/>
                <w:sz w:val="21"/>
                <w:szCs w:val="21"/>
              </w:rPr>
              <w:t>价</w:t>
            </w:r>
          </w:p>
        </w:tc>
        <w:tc>
          <w:tcPr>
            <w:tcW w:w="1504" w:type="dxa"/>
            <w:shd w:val="clear" w:color="auto" w:fill="FFFFFF"/>
            <w:noWrap w:val="0"/>
            <w:vAlign w:val="center"/>
          </w:tcPr>
          <w:p w14:paraId="44BD36FD">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6"/>
                <w:sz w:val="21"/>
                <w:szCs w:val="21"/>
              </w:rPr>
              <w:t>调查方法</w:t>
            </w:r>
          </w:p>
        </w:tc>
        <w:tc>
          <w:tcPr>
            <w:tcW w:w="5890" w:type="dxa"/>
            <w:tcBorders>
              <w:right w:val="nil"/>
            </w:tcBorders>
            <w:shd w:val="clear" w:color="auto" w:fill="FFFFFF"/>
            <w:noWrap w:val="0"/>
            <w:vAlign w:val="center"/>
          </w:tcPr>
          <w:p w14:paraId="79652C98">
            <w:pPr>
              <w:pStyle w:val="8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7"/>
                <w:sz w:val="21"/>
                <w:szCs w:val="21"/>
              </w:rPr>
              <w:t>资料收集☑；遥感调查</w:t>
            </w:r>
            <w:r>
              <w:rPr>
                <w:rFonts w:hint="eastAsia" w:ascii="Times New Roman" w:hAnsi="Times New Roman" w:cs="Times New Roman"/>
                <w:b w:val="0"/>
                <w:color w:val="000000"/>
                <w:spacing w:val="7"/>
                <w:sz w:val="21"/>
                <w:szCs w:val="21"/>
                <w:lang w:eastAsia="zh-CN"/>
              </w:rPr>
              <w:t>□</w:t>
            </w:r>
            <w:r>
              <w:rPr>
                <w:rFonts w:hint="default" w:ascii="Times New Roman" w:hAnsi="Times New Roman" w:eastAsia="宋体" w:cs="Times New Roman"/>
                <w:b w:val="0"/>
                <w:color w:val="000000"/>
                <w:spacing w:val="7"/>
                <w:sz w:val="21"/>
                <w:szCs w:val="21"/>
              </w:rPr>
              <w:t>；调查样方、样线</w:t>
            </w:r>
            <w:r>
              <w:rPr>
                <w:rFonts w:hint="eastAsia" w:ascii="Times New Roman" w:hAnsi="Times New Roman" w:cs="Times New Roman"/>
                <w:b w:val="0"/>
                <w:color w:val="000000"/>
                <w:spacing w:val="7"/>
                <w:sz w:val="21"/>
                <w:szCs w:val="21"/>
                <w:lang w:eastAsia="zh-CN"/>
              </w:rPr>
              <w:t>☑</w:t>
            </w:r>
            <w:r>
              <w:rPr>
                <w:rFonts w:hint="default" w:ascii="Times New Roman" w:hAnsi="Times New Roman" w:eastAsia="宋体" w:cs="Times New Roman"/>
                <w:b w:val="0"/>
                <w:color w:val="000000"/>
                <w:spacing w:val="7"/>
                <w:sz w:val="21"/>
                <w:szCs w:val="21"/>
              </w:rPr>
              <w:t>；调查点位、断面</w:t>
            </w:r>
            <w:r>
              <w:rPr>
                <w:rFonts w:hint="default" w:ascii="Times New Roman" w:hAnsi="Times New Roman" w:eastAsia="宋体" w:cs="Times New Roman"/>
                <w:b w:val="0"/>
                <w:color w:val="000000"/>
                <w:spacing w:val="6"/>
                <w:sz w:val="21"/>
                <w:szCs w:val="21"/>
                <w:lang w:eastAsia="zh-CN"/>
              </w:rPr>
              <w:t>□</w:t>
            </w:r>
            <w:r>
              <w:rPr>
                <w:rFonts w:hint="default" w:ascii="Times New Roman" w:hAnsi="Times New Roman" w:eastAsia="宋体" w:cs="Times New Roman"/>
                <w:b w:val="0"/>
                <w:color w:val="000000"/>
                <w:spacing w:val="6"/>
                <w:sz w:val="21"/>
                <w:szCs w:val="21"/>
              </w:rPr>
              <w:t>；专家和公众咨询法</w:t>
            </w:r>
            <w:r>
              <w:rPr>
                <w:rFonts w:hint="default" w:ascii="Times New Roman" w:hAnsi="Times New Roman" w:eastAsia="宋体" w:cs="Times New Roman"/>
                <w:b w:val="0"/>
                <w:color w:val="000000"/>
                <w:spacing w:val="6"/>
                <w:sz w:val="21"/>
                <w:szCs w:val="21"/>
                <w:lang w:eastAsia="zh-CN"/>
              </w:rPr>
              <w:t>□</w:t>
            </w:r>
            <w:r>
              <w:rPr>
                <w:rFonts w:hint="default" w:ascii="Times New Roman" w:hAnsi="Times New Roman" w:eastAsia="宋体" w:cs="Times New Roman"/>
                <w:b w:val="0"/>
                <w:color w:val="000000"/>
                <w:spacing w:val="6"/>
                <w:sz w:val="21"/>
                <w:szCs w:val="21"/>
              </w:rPr>
              <w:t>；其他☑</w:t>
            </w:r>
          </w:p>
        </w:tc>
      </w:tr>
      <w:tr w14:paraId="09D3848E">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628" w:hRule="atLeast"/>
        </w:trPr>
        <w:tc>
          <w:tcPr>
            <w:tcW w:w="1128" w:type="dxa"/>
            <w:vMerge w:val="continue"/>
            <w:tcBorders>
              <w:left w:val="nil"/>
            </w:tcBorders>
            <w:shd w:val="clear" w:color="auto" w:fill="FFFFFF"/>
            <w:noWrap w:val="0"/>
            <w:vAlign w:val="center"/>
          </w:tcPr>
          <w:p w14:paraId="101B9235">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1504" w:type="dxa"/>
            <w:shd w:val="clear" w:color="auto" w:fill="FFFFFF"/>
            <w:noWrap w:val="0"/>
            <w:vAlign w:val="center"/>
          </w:tcPr>
          <w:p w14:paraId="73B2721A">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6"/>
                <w:sz w:val="21"/>
                <w:szCs w:val="21"/>
              </w:rPr>
              <w:t>调查时间</w:t>
            </w:r>
          </w:p>
        </w:tc>
        <w:tc>
          <w:tcPr>
            <w:tcW w:w="5890" w:type="dxa"/>
            <w:tcBorders>
              <w:right w:val="nil"/>
            </w:tcBorders>
            <w:shd w:val="clear" w:color="auto" w:fill="FFFFFF"/>
            <w:noWrap w:val="0"/>
            <w:vAlign w:val="center"/>
          </w:tcPr>
          <w:p w14:paraId="6067EE0C">
            <w:pPr>
              <w:pStyle w:val="8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eastAsia="宋体" w:cs="Times New Roman"/>
                <w:b w:val="0"/>
                <w:color w:val="000000"/>
                <w:spacing w:val="7"/>
                <w:sz w:val="21"/>
                <w:szCs w:val="21"/>
              </w:rPr>
              <w:t>春季</w:t>
            </w:r>
            <w:r>
              <w:rPr>
                <w:rFonts w:hint="default" w:ascii="Times New Roman" w:hAnsi="Times New Roman" w:eastAsia="宋体" w:cs="Times New Roman"/>
                <w:b w:val="0"/>
                <w:color w:val="000000"/>
                <w:spacing w:val="7"/>
                <w:sz w:val="21"/>
                <w:szCs w:val="21"/>
                <w:lang w:eastAsia="zh-CN"/>
              </w:rPr>
              <w:t>□</w:t>
            </w:r>
            <w:r>
              <w:rPr>
                <w:rFonts w:hint="default" w:ascii="Times New Roman" w:hAnsi="Times New Roman" w:eastAsia="宋体" w:cs="Times New Roman"/>
                <w:b w:val="0"/>
                <w:color w:val="000000"/>
                <w:spacing w:val="7"/>
                <w:sz w:val="21"/>
                <w:szCs w:val="21"/>
              </w:rPr>
              <w:t>；夏季</w:t>
            </w:r>
            <w:r>
              <w:rPr>
                <w:rFonts w:hint="default" w:ascii="Times New Roman" w:hAnsi="Times New Roman" w:eastAsia="宋体" w:cs="Times New Roman"/>
                <w:b w:val="0"/>
                <w:color w:val="000000"/>
                <w:spacing w:val="7"/>
                <w:sz w:val="21"/>
                <w:szCs w:val="21"/>
                <w:lang w:eastAsia="zh-CN"/>
              </w:rPr>
              <w:t>☑</w:t>
            </w:r>
            <w:r>
              <w:rPr>
                <w:rFonts w:hint="default" w:ascii="Times New Roman" w:hAnsi="Times New Roman" w:eastAsia="宋体" w:cs="Times New Roman"/>
                <w:b w:val="0"/>
                <w:color w:val="000000"/>
                <w:spacing w:val="7"/>
                <w:sz w:val="21"/>
                <w:szCs w:val="21"/>
              </w:rPr>
              <w:t>；秋季</w:t>
            </w:r>
            <w:r>
              <w:rPr>
                <w:rFonts w:hint="default" w:ascii="Times New Roman" w:hAnsi="Times New Roman" w:eastAsia="宋体" w:cs="Times New Roman"/>
                <w:b w:val="0"/>
                <w:color w:val="000000"/>
                <w:spacing w:val="7"/>
                <w:sz w:val="21"/>
                <w:szCs w:val="21"/>
                <w:lang w:eastAsia="zh-CN"/>
              </w:rPr>
              <w:t>□</w:t>
            </w:r>
            <w:r>
              <w:rPr>
                <w:rFonts w:hint="default" w:ascii="Times New Roman" w:hAnsi="Times New Roman" w:eastAsia="宋体" w:cs="Times New Roman"/>
                <w:b w:val="0"/>
                <w:color w:val="000000"/>
                <w:spacing w:val="7"/>
                <w:sz w:val="21"/>
                <w:szCs w:val="21"/>
              </w:rPr>
              <w:t>；冬季</w:t>
            </w:r>
            <w:r>
              <w:rPr>
                <w:rFonts w:hint="default" w:ascii="Times New Roman" w:hAnsi="Times New Roman" w:eastAsia="宋体" w:cs="Times New Roman"/>
                <w:b w:val="0"/>
                <w:color w:val="000000"/>
                <w:spacing w:val="7"/>
                <w:sz w:val="21"/>
                <w:szCs w:val="21"/>
                <w:lang w:eastAsia="zh-CN"/>
              </w:rPr>
              <w:t>□</w:t>
            </w:r>
          </w:p>
          <w:p w14:paraId="2D8B5777">
            <w:pPr>
              <w:pStyle w:val="8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eastAsia="宋体" w:cs="Times New Roman"/>
                <w:b w:val="0"/>
                <w:color w:val="000000"/>
                <w:spacing w:val="8"/>
                <w:sz w:val="21"/>
                <w:szCs w:val="21"/>
              </w:rPr>
              <w:t>丰水期</w:t>
            </w:r>
            <w:r>
              <w:rPr>
                <w:rFonts w:hint="default" w:ascii="Times New Roman" w:hAnsi="Times New Roman" w:eastAsia="宋体" w:cs="Times New Roman"/>
                <w:b w:val="0"/>
                <w:color w:val="000000"/>
                <w:spacing w:val="8"/>
                <w:sz w:val="21"/>
                <w:szCs w:val="21"/>
                <w:lang w:eastAsia="zh-CN"/>
              </w:rPr>
              <w:t>□</w:t>
            </w:r>
            <w:r>
              <w:rPr>
                <w:rFonts w:hint="default" w:ascii="Times New Roman" w:hAnsi="Times New Roman" w:eastAsia="宋体" w:cs="Times New Roman"/>
                <w:b w:val="0"/>
                <w:color w:val="000000"/>
                <w:spacing w:val="8"/>
                <w:sz w:val="21"/>
                <w:szCs w:val="21"/>
              </w:rPr>
              <w:t>；枯水期</w:t>
            </w:r>
            <w:r>
              <w:rPr>
                <w:rFonts w:hint="default" w:ascii="Times New Roman" w:hAnsi="Times New Roman" w:eastAsia="宋体" w:cs="Times New Roman"/>
                <w:b w:val="0"/>
                <w:color w:val="000000"/>
                <w:spacing w:val="8"/>
                <w:sz w:val="21"/>
                <w:szCs w:val="21"/>
                <w:lang w:eastAsia="zh-CN"/>
              </w:rPr>
              <w:t>□</w:t>
            </w:r>
            <w:r>
              <w:rPr>
                <w:rFonts w:hint="default" w:ascii="Times New Roman" w:hAnsi="Times New Roman" w:eastAsia="宋体" w:cs="Times New Roman"/>
                <w:b w:val="0"/>
                <w:color w:val="000000"/>
                <w:spacing w:val="8"/>
                <w:sz w:val="21"/>
                <w:szCs w:val="21"/>
              </w:rPr>
              <w:t>；平水期</w:t>
            </w:r>
            <w:r>
              <w:rPr>
                <w:rFonts w:hint="default" w:ascii="Times New Roman" w:hAnsi="Times New Roman" w:eastAsia="宋体" w:cs="Times New Roman"/>
                <w:b w:val="0"/>
                <w:color w:val="000000"/>
                <w:spacing w:val="8"/>
                <w:sz w:val="21"/>
                <w:szCs w:val="21"/>
                <w:lang w:eastAsia="zh-CN"/>
              </w:rPr>
              <w:t>□</w:t>
            </w:r>
          </w:p>
        </w:tc>
      </w:tr>
      <w:tr w14:paraId="7976AB2C">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628" w:hRule="atLeast"/>
        </w:trPr>
        <w:tc>
          <w:tcPr>
            <w:tcW w:w="1128" w:type="dxa"/>
            <w:vMerge w:val="continue"/>
            <w:tcBorders>
              <w:left w:val="nil"/>
            </w:tcBorders>
            <w:shd w:val="clear" w:color="auto" w:fill="FFFFFF"/>
            <w:noWrap w:val="0"/>
            <w:vAlign w:val="center"/>
          </w:tcPr>
          <w:p w14:paraId="032C49A4">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1504" w:type="dxa"/>
            <w:shd w:val="clear" w:color="auto" w:fill="FFFFFF"/>
            <w:noWrap w:val="0"/>
            <w:vAlign w:val="center"/>
          </w:tcPr>
          <w:p w14:paraId="240EC3DE">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8"/>
                <w:sz w:val="21"/>
                <w:szCs w:val="21"/>
              </w:rPr>
              <w:t>所在区域的</w:t>
            </w:r>
            <w:r>
              <w:rPr>
                <w:rFonts w:hint="default" w:ascii="Times New Roman" w:hAnsi="Times New Roman" w:eastAsia="宋体" w:cs="Times New Roman"/>
                <w:b w:val="0"/>
                <w:color w:val="000000"/>
                <w:spacing w:val="6"/>
                <w:sz w:val="21"/>
                <w:szCs w:val="21"/>
              </w:rPr>
              <w:t>生态问题</w:t>
            </w:r>
          </w:p>
        </w:tc>
        <w:tc>
          <w:tcPr>
            <w:tcW w:w="5890" w:type="dxa"/>
            <w:tcBorders>
              <w:right w:val="nil"/>
            </w:tcBorders>
            <w:shd w:val="clear" w:color="auto" w:fill="FFFFFF"/>
            <w:noWrap w:val="0"/>
            <w:vAlign w:val="center"/>
          </w:tcPr>
          <w:p w14:paraId="5C78E430">
            <w:pPr>
              <w:pStyle w:val="8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6"/>
                <w:sz w:val="21"/>
                <w:szCs w:val="21"/>
              </w:rPr>
              <w:t>水土流失☑；沙漠化</w:t>
            </w:r>
            <w:r>
              <w:rPr>
                <w:rFonts w:hint="default" w:ascii="Times New Roman" w:hAnsi="Times New Roman" w:eastAsia="宋体" w:cs="Times New Roman"/>
                <w:b w:val="0"/>
                <w:color w:val="000000"/>
                <w:spacing w:val="6"/>
                <w:sz w:val="21"/>
                <w:szCs w:val="21"/>
                <w:lang w:eastAsia="zh-CN"/>
              </w:rPr>
              <w:t>□</w:t>
            </w:r>
            <w:r>
              <w:rPr>
                <w:rFonts w:hint="default" w:ascii="Times New Roman" w:hAnsi="Times New Roman" w:eastAsia="宋体" w:cs="Times New Roman"/>
                <w:b w:val="0"/>
                <w:color w:val="000000"/>
                <w:spacing w:val="6"/>
                <w:sz w:val="21"/>
                <w:szCs w:val="21"/>
              </w:rPr>
              <w:t>；石漠化</w:t>
            </w:r>
            <w:r>
              <w:rPr>
                <w:rFonts w:hint="default" w:ascii="Times New Roman" w:hAnsi="Times New Roman" w:eastAsia="宋体" w:cs="Times New Roman"/>
                <w:b w:val="0"/>
                <w:color w:val="000000"/>
                <w:spacing w:val="6"/>
                <w:sz w:val="21"/>
                <w:szCs w:val="21"/>
                <w:lang w:eastAsia="zh-CN"/>
              </w:rPr>
              <w:t>□</w:t>
            </w:r>
            <w:r>
              <w:rPr>
                <w:rFonts w:hint="default" w:ascii="Times New Roman" w:hAnsi="Times New Roman" w:eastAsia="宋体" w:cs="Times New Roman"/>
                <w:b w:val="0"/>
                <w:color w:val="000000"/>
                <w:spacing w:val="6"/>
                <w:sz w:val="21"/>
                <w:szCs w:val="21"/>
              </w:rPr>
              <w:t>；盐渍化</w:t>
            </w:r>
            <w:r>
              <w:rPr>
                <w:rFonts w:hint="default" w:ascii="Times New Roman" w:hAnsi="Times New Roman" w:eastAsia="宋体" w:cs="Times New Roman"/>
                <w:b w:val="0"/>
                <w:color w:val="000000"/>
                <w:spacing w:val="6"/>
                <w:sz w:val="21"/>
                <w:szCs w:val="21"/>
                <w:lang w:eastAsia="zh-CN"/>
              </w:rPr>
              <w:t>□</w:t>
            </w:r>
            <w:r>
              <w:rPr>
                <w:rFonts w:hint="default" w:ascii="Times New Roman" w:hAnsi="Times New Roman" w:eastAsia="宋体" w:cs="Times New Roman"/>
                <w:b w:val="0"/>
                <w:color w:val="000000"/>
                <w:spacing w:val="6"/>
                <w:sz w:val="21"/>
                <w:szCs w:val="21"/>
              </w:rPr>
              <w:t>；生物入侵</w:t>
            </w:r>
            <w:r>
              <w:rPr>
                <w:rFonts w:hint="default" w:ascii="Times New Roman" w:hAnsi="Times New Roman" w:eastAsia="宋体" w:cs="Times New Roman"/>
                <w:b w:val="0"/>
                <w:color w:val="000000"/>
                <w:spacing w:val="6"/>
                <w:sz w:val="21"/>
                <w:szCs w:val="21"/>
                <w:lang w:eastAsia="zh-CN"/>
              </w:rPr>
              <w:t>□</w:t>
            </w:r>
            <w:r>
              <w:rPr>
                <w:rFonts w:hint="default" w:ascii="Times New Roman" w:hAnsi="Times New Roman" w:eastAsia="宋体" w:cs="Times New Roman"/>
                <w:b w:val="0"/>
                <w:color w:val="000000"/>
                <w:spacing w:val="6"/>
                <w:sz w:val="21"/>
                <w:szCs w:val="21"/>
              </w:rPr>
              <w:t>；污染</w:t>
            </w:r>
            <w:r>
              <w:rPr>
                <w:rFonts w:hint="default" w:ascii="Times New Roman" w:hAnsi="Times New Roman" w:eastAsia="宋体" w:cs="Times New Roman"/>
                <w:b w:val="0"/>
                <w:color w:val="000000"/>
                <w:spacing w:val="4"/>
                <w:sz w:val="21"/>
                <w:szCs w:val="21"/>
              </w:rPr>
              <w:t>危害</w:t>
            </w:r>
            <w:r>
              <w:rPr>
                <w:rFonts w:hint="default" w:ascii="Times New Roman" w:hAnsi="Times New Roman" w:eastAsia="宋体" w:cs="Times New Roman"/>
                <w:b w:val="0"/>
                <w:color w:val="000000"/>
                <w:spacing w:val="4"/>
                <w:sz w:val="21"/>
                <w:szCs w:val="21"/>
                <w:lang w:eastAsia="zh-CN"/>
              </w:rPr>
              <w:t>□</w:t>
            </w:r>
            <w:r>
              <w:rPr>
                <w:rFonts w:hint="default" w:ascii="Times New Roman" w:hAnsi="Times New Roman" w:eastAsia="宋体" w:cs="Times New Roman"/>
                <w:b w:val="0"/>
                <w:color w:val="000000"/>
                <w:spacing w:val="4"/>
                <w:sz w:val="21"/>
                <w:szCs w:val="21"/>
              </w:rPr>
              <w:t>；其他☑</w:t>
            </w:r>
          </w:p>
        </w:tc>
      </w:tr>
      <w:tr w14:paraId="4BDF17B4">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628" w:hRule="atLeast"/>
        </w:trPr>
        <w:tc>
          <w:tcPr>
            <w:tcW w:w="1128" w:type="dxa"/>
            <w:vMerge w:val="continue"/>
            <w:tcBorders>
              <w:left w:val="nil"/>
            </w:tcBorders>
            <w:shd w:val="clear" w:color="auto" w:fill="FFFFFF"/>
            <w:noWrap w:val="0"/>
            <w:vAlign w:val="center"/>
          </w:tcPr>
          <w:p w14:paraId="4E05BA7E">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1504" w:type="dxa"/>
            <w:shd w:val="clear" w:color="auto" w:fill="FFFFFF"/>
            <w:noWrap w:val="0"/>
            <w:vAlign w:val="center"/>
          </w:tcPr>
          <w:p w14:paraId="55B42D75">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7"/>
                <w:sz w:val="21"/>
                <w:szCs w:val="21"/>
              </w:rPr>
              <w:t>评价内容</w:t>
            </w:r>
          </w:p>
        </w:tc>
        <w:tc>
          <w:tcPr>
            <w:tcW w:w="5890" w:type="dxa"/>
            <w:tcBorders>
              <w:right w:val="nil"/>
            </w:tcBorders>
            <w:shd w:val="clear" w:color="auto" w:fill="FFFFFF"/>
            <w:noWrap w:val="0"/>
            <w:vAlign w:val="center"/>
          </w:tcPr>
          <w:p w14:paraId="5AB7A5F2">
            <w:pPr>
              <w:pStyle w:val="8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7"/>
                <w:sz w:val="21"/>
                <w:szCs w:val="21"/>
              </w:rPr>
              <w:t>植被/植物群落☑；土地利用☑；生态系统☑；生物多样性☑;</w:t>
            </w:r>
            <w:r>
              <w:rPr>
                <w:rFonts w:hint="default" w:ascii="Times New Roman" w:hAnsi="Times New Roman" w:eastAsia="宋体" w:cs="Times New Roman"/>
                <w:b w:val="0"/>
                <w:color w:val="000000"/>
                <w:spacing w:val="9"/>
                <w:sz w:val="21"/>
                <w:szCs w:val="21"/>
              </w:rPr>
              <w:t>重要物种</w:t>
            </w:r>
            <w:r>
              <w:rPr>
                <w:rFonts w:hint="eastAsia" w:ascii="Times New Roman" w:hAnsi="Times New Roman" w:cs="Times New Roman"/>
                <w:b w:val="0"/>
                <w:color w:val="000000"/>
                <w:spacing w:val="9"/>
                <w:sz w:val="21"/>
                <w:szCs w:val="21"/>
                <w:lang w:eastAsia="zh-CN"/>
              </w:rPr>
              <w:t>□</w:t>
            </w:r>
            <w:r>
              <w:rPr>
                <w:rFonts w:hint="default" w:ascii="Times New Roman" w:hAnsi="Times New Roman" w:eastAsia="宋体" w:cs="Times New Roman"/>
                <w:b w:val="0"/>
                <w:color w:val="000000"/>
                <w:spacing w:val="9"/>
                <w:sz w:val="21"/>
                <w:szCs w:val="21"/>
              </w:rPr>
              <w:t>；生态敏感区☑；其他☑</w:t>
            </w:r>
          </w:p>
        </w:tc>
      </w:tr>
      <w:tr w14:paraId="789BA2DE">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316" w:hRule="atLeast"/>
        </w:trPr>
        <w:tc>
          <w:tcPr>
            <w:tcW w:w="1128" w:type="dxa"/>
            <w:vMerge w:val="restart"/>
            <w:tcBorders>
              <w:left w:val="nil"/>
            </w:tcBorders>
            <w:shd w:val="clear" w:color="auto" w:fill="FFFFFF"/>
            <w:noWrap w:val="0"/>
            <w:vAlign w:val="center"/>
          </w:tcPr>
          <w:p w14:paraId="6D43AC94">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6"/>
                <w:sz w:val="21"/>
                <w:szCs w:val="21"/>
              </w:rPr>
              <w:t>生态影响预测与评</w:t>
            </w:r>
            <w:r>
              <w:rPr>
                <w:rFonts w:hint="default" w:ascii="Times New Roman" w:hAnsi="Times New Roman" w:eastAsia="宋体" w:cs="Times New Roman"/>
                <w:b w:val="0"/>
                <w:color w:val="000000"/>
                <w:sz w:val="21"/>
                <w:szCs w:val="21"/>
              </w:rPr>
              <w:t>价</w:t>
            </w:r>
          </w:p>
        </w:tc>
        <w:tc>
          <w:tcPr>
            <w:tcW w:w="1504" w:type="dxa"/>
            <w:shd w:val="clear" w:color="auto" w:fill="FFFFFF"/>
            <w:noWrap w:val="0"/>
            <w:vAlign w:val="center"/>
          </w:tcPr>
          <w:p w14:paraId="6679C7C0">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7"/>
                <w:sz w:val="21"/>
                <w:szCs w:val="21"/>
              </w:rPr>
              <w:t>评价方法</w:t>
            </w:r>
          </w:p>
        </w:tc>
        <w:tc>
          <w:tcPr>
            <w:tcW w:w="5890" w:type="dxa"/>
            <w:tcBorders>
              <w:right w:val="nil"/>
            </w:tcBorders>
            <w:shd w:val="clear" w:color="auto" w:fill="FFFFFF"/>
            <w:noWrap w:val="0"/>
            <w:vAlign w:val="center"/>
          </w:tcPr>
          <w:p w14:paraId="66AABD50">
            <w:pPr>
              <w:pStyle w:val="8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5"/>
                <w:sz w:val="21"/>
                <w:szCs w:val="21"/>
              </w:rPr>
              <w:t>定性</w:t>
            </w:r>
            <w:r>
              <w:rPr>
                <w:rFonts w:hint="default" w:ascii="Times New Roman" w:hAnsi="Times New Roman" w:eastAsia="宋体" w:cs="Times New Roman"/>
                <w:b w:val="0"/>
                <w:color w:val="000000"/>
                <w:spacing w:val="5"/>
                <w:sz w:val="21"/>
                <w:szCs w:val="21"/>
                <w:lang w:eastAsia="zh-CN"/>
              </w:rPr>
              <w:t>□</w:t>
            </w:r>
            <w:r>
              <w:rPr>
                <w:rFonts w:hint="default" w:ascii="Times New Roman" w:hAnsi="Times New Roman" w:eastAsia="宋体" w:cs="Times New Roman"/>
                <w:b w:val="0"/>
                <w:color w:val="000000"/>
                <w:spacing w:val="5"/>
                <w:sz w:val="21"/>
                <w:szCs w:val="21"/>
              </w:rPr>
              <w:t>；定性和定量☑</w:t>
            </w:r>
          </w:p>
        </w:tc>
      </w:tr>
      <w:tr w14:paraId="73ACDBAC">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628" w:hRule="atLeast"/>
        </w:trPr>
        <w:tc>
          <w:tcPr>
            <w:tcW w:w="1128" w:type="dxa"/>
            <w:vMerge w:val="continue"/>
            <w:tcBorders>
              <w:left w:val="nil"/>
            </w:tcBorders>
            <w:shd w:val="clear" w:color="auto" w:fill="FFFFFF"/>
            <w:noWrap w:val="0"/>
            <w:vAlign w:val="center"/>
          </w:tcPr>
          <w:p w14:paraId="295F99C7">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1504" w:type="dxa"/>
            <w:shd w:val="clear" w:color="auto" w:fill="FFFFFF"/>
            <w:noWrap w:val="0"/>
            <w:vAlign w:val="center"/>
          </w:tcPr>
          <w:p w14:paraId="392EA90D">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7"/>
                <w:sz w:val="21"/>
                <w:szCs w:val="21"/>
              </w:rPr>
              <w:t>评价内容</w:t>
            </w:r>
          </w:p>
        </w:tc>
        <w:tc>
          <w:tcPr>
            <w:tcW w:w="5890" w:type="dxa"/>
            <w:tcBorders>
              <w:right w:val="nil"/>
            </w:tcBorders>
            <w:shd w:val="clear" w:color="auto" w:fill="FFFFFF"/>
            <w:noWrap w:val="0"/>
            <w:vAlign w:val="center"/>
          </w:tcPr>
          <w:p w14:paraId="4BFFF680">
            <w:pPr>
              <w:pStyle w:val="8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7"/>
                <w:sz w:val="21"/>
                <w:szCs w:val="21"/>
              </w:rPr>
              <w:t>植被/植物群落☑；土地利用☑；生态系统☑；生物多样性☑;</w:t>
            </w:r>
            <w:r>
              <w:rPr>
                <w:rFonts w:hint="default" w:ascii="Times New Roman" w:hAnsi="Times New Roman" w:eastAsia="宋体" w:cs="Times New Roman"/>
                <w:b w:val="0"/>
                <w:color w:val="000000"/>
                <w:spacing w:val="8"/>
                <w:sz w:val="21"/>
                <w:szCs w:val="21"/>
              </w:rPr>
              <w:t>重要物种</w:t>
            </w:r>
            <w:r>
              <w:rPr>
                <w:rFonts w:hint="eastAsia" w:ascii="Times New Roman" w:hAnsi="Times New Roman" w:cs="Times New Roman"/>
                <w:b w:val="0"/>
                <w:color w:val="000000"/>
                <w:spacing w:val="8"/>
                <w:sz w:val="21"/>
                <w:szCs w:val="21"/>
                <w:lang w:eastAsia="zh-CN"/>
              </w:rPr>
              <w:t>□</w:t>
            </w:r>
            <w:r>
              <w:rPr>
                <w:rFonts w:hint="default" w:ascii="Times New Roman" w:hAnsi="Times New Roman" w:eastAsia="宋体" w:cs="Times New Roman"/>
                <w:b w:val="0"/>
                <w:color w:val="000000"/>
                <w:spacing w:val="8"/>
                <w:sz w:val="21"/>
                <w:szCs w:val="21"/>
              </w:rPr>
              <w:t>；生态敏感区☑；生物入侵风险</w:t>
            </w:r>
            <w:r>
              <w:rPr>
                <w:rFonts w:hint="default" w:ascii="Times New Roman" w:hAnsi="Times New Roman" w:eastAsia="宋体" w:cs="Times New Roman"/>
                <w:b w:val="0"/>
                <w:color w:val="000000"/>
                <w:spacing w:val="8"/>
                <w:sz w:val="21"/>
                <w:szCs w:val="21"/>
                <w:lang w:eastAsia="zh-CN"/>
              </w:rPr>
              <w:t>□</w:t>
            </w:r>
            <w:r>
              <w:rPr>
                <w:rFonts w:hint="default" w:ascii="Times New Roman" w:hAnsi="Times New Roman" w:eastAsia="宋体" w:cs="Times New Roman"/>
                <w:b w:val="0"/>
                <w:color w:val="000000"/>
                <w:spacing w:val="8"/>
                <w:sz w:val="21"/>
                <w:szCs w:val="21"/>
              </w:rPr>
              <w:t>；其他☑</w:t>
            </w:r>
          </w:p>
        </w:tc>
      </w:tr>
      <w:tr w14:paraId="095A5C4F">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316" w:hRule="atLeast"/>
        </w:trPr>
        <w:tc>
          <w:tcPr>
            <w:tcW w:w="1128" w:type="dxa"/>
            <w:vMerge w:val="restart"/>
            <w:tcBorders>
              <w:left w:val="nil"/>
            </w:tcBorders>
            <w:shd w:val="clear" w:color="auto" w:fill="FFFFFF"/>
            <w:noWrap w:val="0"/>
            <w:vAlign w:val="center"/>
          </w:tcPr>
          <w:p w14:paraId="76DA99EF">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6"/>
                <w:sz w:val="21"/>
                <w:szCs w:val="21"/>
              </w:rPr>
              <w:t>生态保护</w:t>
            </w:r>
            <w:r>
              <w:rPr>
                <w:rFonts w:hint="default" w:ascii="Times New Roman" w:hAnsi="Times New Roman" w:eastAsia="宋体" w:cs="Times New Roman"/>
                <w:b w:val="0"/>
                <w:color w:val="000000"/>
                <w:spacing w:val="7"/>
                <w:sz w:val="21"/>
                <w:szCs w:val="21"/>
              </w:rPr>
              <w:t>对策措施</w:t>
            </w:r>
          </w:p>
        </w:tc>
        <w:tc>
          <w:tcPr>
            <w:tcW w:w="1504" w:type="dxa"/>
            <w:shd w:val="clear" w:color="auto" w:fill="FFFFFF"/>
            <w:noWrap w:val="0"/>
            <w:vAlign w:val="center"/>
          </w:tcPr>
          <w:p w14:paraId="6A44E68D">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7"/>
                <w:sz w:val="21"/>
                <w:szCs w:val="21"/>
              </w:rPr>
              <w:t>对策措施</w:t>
            </w:r>
          </w:p>
        </w:tc>
        <w:tc>
          <w:tcPr>
            <w:tcW w:w="5890" w:type="dxa"/>
            <w:tcBorders>
              <w:right w:val="nil"/>
            </w:tcBorders>
            <w:shd w:val="clear" w:color="auto" w:fill="FFFFFF"/>
            <w:noWrap w:val="0"/>
            <w:vAlign w:val="center"/>
          </w:tcPr>
          <w:p w14:paraId="325AD0D1">
            <w:pPr>
              <w:pStyle w:val="8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8"/>
                <w:sz w:val="21"/>
                <w:szCs w:val="21"/>
              </w:rPr>
              <w:t>避让☑；减缓☑；生态修复☑；生态补偿☑；科研</w:t>
            </w:r>
            <w:r>
              <w:rPr>
                <w:rFonts w:hint="default" w:ascii="Times New Roman" w:hAnsi="Times New Roman" w:eastAsia="宋体" w:cs="Times New Roman"/>
                <w:b w:val="0"/>
                <w:color w:val="000000"/>
                <w:spacing w:val="8"/>
                <w:sz w:val="21"/>
                <w:szCs w:val="21"/>
                <w:lang w:eastAsia="zh-CN"/>
              </w:rPr>
              <w:t>□</w:t>
            </w:r>
            <w:r>
              <w:rPr>
                <w:rFonts w:hint="default" w:ascii="Times New Roman" w:hAnsi="Times New Roman" w:eastAsia="宋体" w:cs="Times New Roman"/>
                <w:b w:val="0"/>
                <w:color w:val="000000"/>
                <w:spacing w:val="8"/>
                <w:sz w:val="21"/>
                <w:szCs w:val="21"/>
              </w:rPr>
              <w:t>；其他☑</w:t>
            </w:r>
          </w:p>
        </w:tc>
      </w:tr>
      <w:tr w14:paraId="7FDBBCEA">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628" w:hRule="atLeast"/>
        </w:trPr>
        <w:tc>
          <w:tcPr>
            <w:tcW w:w="1128" w:type="dxa"/>
            <w:vMerge w:val="continue"/>
            <w:tcBorders>
              <w:left w:val="nil"/>
            </w:tcBorders>
            <w:shd w:val="clear" w:color="auto" w:fill="FFFFFF"/>
            <w:noWrap w:val="0"/>
            <w:vAlign w:val="center"/>
          </w:tcPr>
          <w:p w14:paraId="481A5357">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1504" w:type="dxa"/>
            <w:shd w:val="clear" w:color="auto" w:fill="FFFFFF"/>
            <w:noWrap w:val="0"/>
            <w:vAlign w:val="center"/>
          </w:tcPr>
          <w:p w14:paraId="3A34A799">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7"/>
                <w:sz w:val="21"/>
                <w:szCs w:val="21"/>
              </w:rPr>
              <w:t>生态监测计</w:t>
            </w:r>
            <w:r>
              <w:rPr>
                <w:rFonts w:hint="default" w:ascii="Times New Roman" w:hAnsi="Times New Roman" w:eastAsia="宋体" w:cs="Times New Roman"/>
                <w:b w:val="0"/>
                <w:color w:val="000000"/>
                <w:spacing w:val="1"/>
                <w:sz w:val="21"/>
                <w:szCs w:val="21"/>
              </w:rPr>
              <w:t>划</w:t>
            </w:r>
          </w:p>
        </w:tc>
        <w:tc>
          <w:tcPr>
            <w:tcW w:w="5890" w:type="dxa"/>
            <w:tcBorders>
              <w:right w:val="nil"/>
            </w:tcBorders>
            <w:shd w:val="clear" w:color="auto" w:fill="FFFFFF"/>
            <w:noWrap w:val="0"/>
            <w:vAlign w:val="center"/>
          </w:tcPr>
          <w:p w14:paraId="4381CAE3">
            <w:pPr>
              <w:pStyle w:val="8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eastAsia="宋体" w:cs="Times New Roman"/>
                <w:b w:val="0"/>
                <w:color w:val="000000"/>
                <w:spacing w:val="6"/>
                <w:sz w:val="21"/>
                <w:szCs w:val="21"/>
              </w:rPr>
              <w:t>全生命周期</w:t>
            </w:r>
            <w:r>
              <w:rPr>
                <w:rFonts w:hint="default" w:ascii="Times New Roman" w:hAnsi="Times New Roman" w:eastAsia="宋体" w:cs="Times New Roman"/>
                <w:b w:val="0"/>
                <w:color w:val="000000"/>
                <w:spacing w:val="6"/>
                <w:sz w:val="21"/>
                <w:szCs w:val="21"/>
                <w:lang w:eastAsia="zh-CN"/>
              </w:rPr>
              <w:t>□</w:t>
            </w:r>
            <w:r>
              <w:rPr>
                <w:rFonts w:hint="default" w:ascii="Times New Roman" w:hAnsi="Times New Roman" w:eastAsia="宋体" w:cs="Times New Roman"/>
                <w:b w:val="0"/>
                <w:color w:val="000000"/>
                <w:spacing w:val="6"/>
                <w:sz w:val="21"/>
                <w:szCs w:val="21"/>
              </w:rPr>
              <w:t>；长期跟踪</w:t>
            </w:r>
            <w:r>
              <w:rPr>
                <w:rFonts w:hint="default" w:ascii="Times New Roman" w:hAnsi="Times New Roman" w:eastAsia="宋体" w:cs="Times New Roman"/>
                <w:b w:val="0"/>
                <w:color w:val="000000"/>
                <w:spacing w:val="6"/>
                <w:sz w:val="21"/>
                <w:szCs w:val="21"/>
                <w:lang w:eastAsia="zh-CN"/>
              </w:rPr>
              <w:t>□</w:t>
            </w:r>
            <w:r>
              <w:rPr>
                <w:rFonts w:hint="default" w:ascii="Times New Roman" w:hAnsi="Times New Roman" w:eastAsia="宋体" w:cs="Times New Roman"/>
                <w:b w:val="0"/>
                <w:color w:val="000000"/>
                <w:spacing w:val="6"/>
                <w:sz w:val="21"/>
                <w:szCs w:val="21"/>
              </w:rPr>
              <w:t>；常规☑；无</w:t>
            </w:r>
            <w:r>
              <w:rPr>
                <w:rFonts w:hint="default" w:ascii="Times New Roman" w:hAnsi="Times New Roman" w:eastAsia="宋体" w:cs="Times New Roman"/>
                <w:b w:val="0"/>
                <w:color w:val="000000"/>
                <w:spacing w:val="6"/>
                <w:sz w:val="21"/>
                <w:szCs w:val="21"/>
                <w:lang w:eastAsia="zh-CN"/>
              </w:rPr>
              <w:t>□</w:t>
            </w:r>
          </w:p>
        </w:tc>
      </w:tr>
      <w:tr w14:paraId="1300649B">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317" w:hRule="atLeast"/>
        </w:trPr>
        <w:tc>
          <w:tcPr>
            <w:tcW w:w="1128" w:type="dxa"/>
            <w:vMerge w:val="continue"/>
            <w:tcBorders>
              <w:left w:val="nil"/>
            </w:tcBorders>
            <w:shd w:val="clear" w:color="auto" w:fill="FFFFFF"/>
            <w:noWrap w:val="0"/>
            <w:vAlign w:val="center"/>
          </w:tcPr>
          <w:p w14:paraId="148F7AA2">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1504" w:type="dxa"/>
            <w:shd w:val="clear" w:color="auto" w:fill="FFFFFF"/>
            <w:noWrap w:val="0"/>
            <w:vAlign w:val="center"/>
          </w:tcPr>
          <w:p w14:paraId="5CE1067A">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7"/>
                <w:sz w:val="21"/>
                <w:szCs w:val="21"/>
              </w:rPr>
              <w:t>环境管理</w:t>
            </w:r>
          </w:p>
        </w:tc>
        <w:tc>
          <w:tcPr>
            <w:tcW w:w="5890" w:type="dxa"/>
            <w:tcBorders>
              <w:right w:val="nil"/>
            </w:tcBorders>
            <w:shd w:val="clear" w:color="auto" w:fill="FFFFFF"/>
            <w:noWrap w:val="0"/>
            <w:vAlign w:val="center"/>
          </w:tcPr>
          <w:p w14:paraId="164AEB4E">
            <w:pPr>
              <w:pStyle w:val="8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5"/>
                <w:sz w:val="21"/>
                <w:szCs w:val="21"/>
              </w:rPr>
              <w:t>环境监理</w:t>
            </w:r>
            <w:r>
              <w:rPr>
                <w:rFonts w:hint="default" w:ascii="Times New Roman" w:hAnsi="Times New Roman" w:eastAsia="宋体" w:cs="Times New Roman"/>
                <w:b w:val="0"/>
                <w:color w:val="000000"/>
                <w:spacing w:val="5"/>
                <w:sz w:val="21"/>
                <w:szCs w:val="21"/>
                <w:lang w:eastAsia="zh-CN"/>
              </w:rPr>
              <w:t>□</w:t>
            </w:r>
            <w:r>
              <w:rPr>
                <w:rFonts w:hint="default" w:ascii="Times New Roman" w:hAnsi="Times New Roman" w:eastAsia="宋体" w:cs="Times New Roman"/>
                <w:b w:val="0"/>
                <w:color w:val="000000"/>
                <w:spacing w:val="5"/>
                <w:sz w:val="21"/>
                <w:szCs w:val="21"/>
              </w:rPr>
              <w:t>；环境影响后评价</w:t>
            </w:r>
            <w:r>
              <w:rPr>
                <w:rFonts w:hint="default" w:ascii="Times New Roman" w:hAnsi="Times New Roman" w:eastAsia="宋体" w:cs="Times New Roman"/>
                <w:b w:val="0"/>
                <w:color w:val="000000"/>
                <w:spacing w:val="5"/>
                <w:sz w:val="21"/>
                <w:szCs w:val="21"/>
                <w:lang w:eastAsia="zh-CN"/>
              </w:rPr>
              <w:t>□</w:t>
            </w:r>
            <w:r>
              <w:rPr>
                <w:rFonts w:hint="default" w:ascii="Times New Roman" w:hAnsi="Times New Roman" w:eastAsia="宋体" w:cs="Times New Roman"/>
                <w:b w:val="0"/>
                <w:color w:val="000000"/>
                <w:spacing w:val="5"/>
                <w:sz w:val="21"/>
                <w:szCs w:val="21"/>
              </w:rPr>
              <w:t>；其他☑</w:t>
            </w:r>
          </w:p>
        </w:tc>
      </w:tr>
      <w:tr w14:paraId="64B5220A">
        <w:tblPrEx>
          <w:tblBorders>
            <w:top w:val="single" w:color="000000" w:sz="6" w:space="0"/>
            <w:left w:val="single" w:color="000000" w:sz="6" w:space="0"/>
            <w:bottom w:val="single" w:color="000000" w:sz="6" w:space="0"/>
            <w:right w:val="single" w:color="000000" w:sz="6" w:space="0"/>
            <w:insideH w:val="single" w:color="auto" w:sz="2" w:space="0"/>
            <w:insideV w:val="single" w:color="auto" w:sz="2" w:space="0"/>
          </w:tblBorders>
          <w:tblCellMar>
            <w:top w:w="0" w:type="dxa"/>
            <w:left w:w="0" w:type="dxa"/>
            <w:bottom w:w="0" w:type="dxa"/>
            <w:right w:w="0" w:type="dxa"/>
          </w:tblCellMar>
        </w:tblPrEx>
        <w:trPr>
          <w:trHeight w:val="326" w:hRule="atLeast"/>
        </w:trPr>
        <w:tc>
          <w:tcPr>
            <w:tcW w:w="1128" w:type="dxa"/>
            <w:tcBorders>
              <w:left w:val="nil"/>
              <w:bottom w:val="single" w:color="000000" w:sz="12" w:space="0"/>
            </w:tcBorders>
            <w:shd w:val="clear" w:color="auto" w:fill="FFFFFF"/>
            <w:noWrap w:val="0"/>
            <w:vAlign w:val="center"/>
          </w:tcPr>
          <w:p w14:paraId="70D86901">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7"/>
                <w:sz w:val="21"/>
                <w:szCs w:val="21"/>
              </w:rPr>
              <w:t>评价结论</w:t>
            </w:r>
          </w:p>
        </w:tc>
        <w:tc>
          <w:tcPr>
            <w:tcW w:w="1504" w:type="dxa"/>
            <w:tcBorders>
              <w:bottom w:val="single" w:color="000000" w:sz="12" w:space="0"/>
            </w:tcBorders>
            <w:shd w:val="clear" w:color="auto" w:fill="FFFFFF"/>
            <w:noWrap w:val="0"/>
            <w:vAlign w:val="center"/>
          </w:tcPr>
          <w:p w14:paraId="39A08903">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6"/>
                <w:sz w:val="21"/>
                <w:szCs w:val="21"/>
              </w:rPr>
              <w:t>生态影响</w:t>
            </w:r>
          </w:p>
        </w:tc>
        <w:tc>
          <w:tcPr>
            <w:tcW w:w="5890" w:type="dxa"/>
            <w:tcBorders>
              <w:bottom w:val="single" w:color="000000" w:sz="12" w:space="0"/>
              <w:right w:val="nil"/>
            </w:tcBorders>
            <w:shd w:val="clear" w:color="auto" w:fill="FFFFFF"/>
            <w:noWrap w:val="0"/>
            <w:vAlign w:val="center"/>
          </w:tcPr>
          <w:p w14:paraId="7B01661A">
            <w:pPr>
              <w:pStyle w:val="8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pacing w:val="8"/>
                <w:sz w:val="21"/>
                <w:szCs w:val="21"/>
              </w:rPr>
              <w:t>可行☑；不可行□</w:t>
            </w:r>
          </w:p>
        </w:tc>
      </w:tr>
    </w:tbl>
    <w:p w14:paraId="0553A203">
      <w:pPr>
        <w:spacing w:before="13" w:line="281" w:lineRule="exact"/>
        <w:ind w:left="0" w:leftChars="0" w:firstLine="0" w:firstLineChars="0"/>
        <w:rPr>
          <w:rFonts w:hint="default" w:ascii="Times New Roman" w:hAnsi="Times New Roman" w:eastAsia="宋体" w:cs="Times New Roman"/>
          <w:color w:val="000000"/>
        </w:rPr>
      </w:pPr>
      <w:r>
        <w:rPr>
          <w:rFonts w:hint="default" w:ascii="Times New Roman" w:hAnsi="Times New Roman" w:eastAsia="宋体" w:cs="Times New Roman"/>
          <w:color w:val="000000"/>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204470</wp:posOffset>
                </wp:positionV>
                <wp:extent cx="5412105" cy="12700"/>
                <wp:effectExtent l="0" t="0" r="0" b="0"/>
                <wp:wrapNone/>
                <wp:docPr id="6" name="任意多边形 60"/>
                <wp:cNvGraphicFramePr/>
                <a:graphic xmlns:a="http://schemas.openxmlformats.org/drawingml/2006/main">
                  <a:graphicData uri="http://schemas.microsoft.com/office/word/2010/wordprocessingShape">
                    <wps:wsp>
                      <wps:cNvSpPr/>
                      <wps:spPr>
                        <a:xfrm>
                          <a:off x="0" y="0"/>
                          <a:ext cx="5412105" cy="12700"/>
                        </a:xfrm>
                        <a:custGeom>
                          <a:avLst/>
                          <a:gdLst/>
                          <a:ahLst/>
                          <a:cxnLst/>
                          <a:pathLst>
                            <a:path w="8522" h="20">
                              <a:moveTo>
                                <a:pt x="0" y="9"/>
                              </a:moveTo>
                              <a:lnTo>
                                <a:pt x="8522" y="9"/>
                              </a:lnTo>
                            </a:path>
                          </a:pathLst>
                        </a:custGeom>
                        <a:noFill/>
                        <a:ln w="12192" cap="flat" cmpd="sng">
                          <a:solidFill>
                            <a:srgbClr val="000000"/>
                          </a:solidFill>
                          <a:prstDash val="solid"/>
                          <a:bevel/>
                          <a:headEnd type="none" w="med" len="med"/>
                          <a:tailEnd type="none" w="med" len="med"/>
                        </a:ln>
                      </wps:spPr>
                      <wps:bodyPr wrap="square" upright="1"/>
                    </wps:wsp>
                  </a:graphicData>
                </a:graphic>
              </wp:anchor>
            </w:drawing>
          </mc:Choice>
          <mc:Fallback>
            <w:pict>
              <v:shape id="任意多边形 60" o:spid="_x0000_s1026" o:spt="100" style="position:absolute;left:0pt;margin-left:0.45pt;margin-top:16.1pt;height:1pt;width:426.15pt;z-index:251660288;mso-width-relative:page;mso-height-relative:page;" filled="f" stroked="t" coordsize="8522,20" o:gfxdata="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2/BWnNQAAAAGAQAADwAAAAAAAAABACAAAAAiAAAA&#10;ZHJzL2Rvd25yZXYueG1sUEsBAhQAFAAAAAgAh07iQOfCrplEAgAApwQAAA4AAAAAAAAAAQAgAAAA&#10;IwEAAGRycy9lMm9Eb2MueG1sUEsFBgAAAAAGAAYAWQEAANkFAAAAAA==&#10;" path="m0,9l8522,9e">
                <v:fill on="f" focussize="0,0"/>
                <v:stroke weight="0.96pt" color="#000000" joinstyle="bevel"/>
                <v:imagedata o:title=""/>
                <o:lock v:ext="edit" aspectratio="f"/>
              </v:shape>
            </w:pict>
          </mc:Fallback>
        </mc:AlternateContent>
      </w:r>
      <w:r>
        <w:rPr>
          <w:rFonts w:hint="default" w:ascii="Times New Roman" w:hAnsi="Times New Roman" w:eastAsia="宋体" w:cs="Times New Roman"/>
          <w:color w:val="000000"/>
          <w:spacing w:val="-1"/>
          <w:sz w:val="20"/>
          <w:szCs w:val="20"/>
        </w:rPr>
        <w:t>注：“</w:t>
      </w:r>
      <w:r>
        <w:rPr>
          <w:rFonts w:hint="default" w:ascii="Times New Roman" w:hAnsi="Times New Roman" w:eastAsia="宋体" w:cs="Times New Roman"/>
          <w:color w:val="000000"/>
          <w:spacing w:val="-1"/>
          <w:sz w:val="20"/>
          <w:szCs w:val="20"/>
          <w:lang w:eastAsia="zh-CN"/>
        </w:rPr>
        <w:t>□</w:t>
      </w:r>
      <w:r>
        <w:rPr>
          <w:rFonts w:hint="default" w:ascii="Times New Roman" w:hAnsi="Times New Roman" w:eastAsia="宋体" w:cs="Times New Roman"/>
          <w:color w:val="000000"/>
          <w:spacing w:val="-21"/>
          <w:sz w:val="20"/>
          <w:szCs w:val="20"/>
        </w:rPr>
        <w:t xml:space="preserve"> </w:t>
      </w:r>
      <w:r>
        <w:rPr>
          <w:rFonts w:hint="default" w:ascii="Times New Roman" w:hAnsi="Times New Roman" w:eastAsia="宋体" w:cs="Times New Roman"/>
          <w:color w:val="000000"/>
          <w:spacing w:val="-1"/>
          <w:sz w:val="20"/>
          <w:szCs w:val="20"/>
        </w:rPr>
        <w:t>”为勾选项，可√</w:t>
      </w:r>
      <w:r>
        <w:rPr>
          <w:rFonts w:hint="default" w:ascii="Times New Roman" w:hAnsi="Times New Roman" w:eastAsia="宋体" w:cs="Times New Roman"/>
          <w:color w:val="000000"/>
          <w:spacing w:val="-21"/>
          <w:sz w:val="20"/>
          <w:szCs w:val="20"/>
        </w:rPr>
        <w:t xml:space="preserve"> </w:t>
      </w:r>
      <w:r>
        <w:rPr>
          <w:rFonts w:hint="default" w:ascii="Times New Roman" w:hAnsi="Times New Roman" w:eastAsia="宋体" w:cs="Times New Roman"/>
          <w:color w:val="000000"/>
          <w:spacing w:val="-1"/>
          <w:sz w:val="20"/>
          <w:szCs w:val="20"/>
        </w:rPr>
        <w:t>;</w:t>
      </w:r>
      <w:r>
        <w:rPr>
          <w:rFonts w:hint="default" w:ascii="Times New Roman" w:hAnsi="Times New Roman" w:eastAsia="宋体" w:cs="Times New Roman"/>
          <w:color w:val="000000"/>
          <w:spacing w:val="62"/>
          <w:sz w:val="20"/>
          <w:szCs w:val="20"/>
        </w:rPr>
        <w:t xml:space="preserve"> </w:t>
      </w:r>
      <w:r>
        <w:rPr>
          <w:rFonts w:hint="default" w:ascii="Times New Roman" w:hAnsi="Times New Roman" w:eastAsia="宋体" w:cs="Times New Roman"/>
          <w:color w:val="000000"/>
          <w:spacing w:val="-1"/>
          <w:sz w:val="20"/>
          <w:szCs w:val="20"/>
        </w:rPr>
        <w:t>“ (      )</w:t>
      </w:r>
      <w:r>
        <w:rPr>
          <w:rFonts w:hint="default" w:ascii="Times New Roman" w:hAnsi="Times New Roman" w:eastAsia="宋体" w:cs="Times New Roman"/>
          <w:color w:val="000000"/>
          <w:spacing w:val="48"/>
          <w:sz w:val="20"/>
          <w:szCs w:val="20"/>
        </w:rPr>
        <w:t xml:space="preserve"> </w:t>
      </w:r>
      <w:r>
        <w:rPr>
          <w:rFonts w:hint="default" w:ascii="Times New Roman" w:hAnsi="Times New Roman" w:eastAsia="宋体" w:cs="Times New Roman"/>
          <w:color w:val="000000"/>
          <w:spacing w:val="-1"/>
          <w:sz w:val="20"/>
          <w:szCs w:val="20"/>
        </w:rPr>
        <w:t>”为内容填</w:t>
      </w:r>
      <w:r>
        <w:rPr>
          <w:rFonts w:hint="default" w:ascii="Times New Roman" w:hAnsi="Times New Roman" w:eastAsia="宋体" w:cs="Times New Roman"/>
          <w:color w:val="000000"/>
          <w:spacing w:val="-2"/>
          <w:sz w:val="20"/>
          <w:szCs w:val="20"/>
        </w:rPr>
        <w:t>写项。</w:t>
      </w:r>
      <w:bookmarkEnd w:id="43"/>
      <w:bookmarkEnd w:id="48"/>
    </w:p>
    <w:sectPr>
      <w:footerReference r:id="rId1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endnya">
    <w:altName w:val="Segoe Print"/>
    <w:panose1 w:val="00000400000000000000"/>
    <w:charset w:val="01"/>
    <w:family w:val="roman"/>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F3390">
    <w:pPr>
      <w:pStyle w:val="21"/>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9F4DC">
    <w:pPr>
      <w:pStyle w:val="21"/>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D8835">
    <w:pPr>
      <w:pStyle w:val="21"/>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5CB0D8">
                          <w:pPr>
                            <w:pStyle w:val="21"/>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508Zk3gEAAL8DAAAOAAAAAAAA&#10;AAEAIAAAAB4BAABkcnMvZTJvRG9jLnhtbFBLBQYAAAAABgAGAFkBAABuBQAAAAA=&#10;">
              <v:fill on="f" focussize="0,0"/>
              <v:stroke on="f"/>
              <v:imagedata o:title=""/>
              <o:lock v:ext="edit" aspectratio="f"/>
              <v:textbox inset="0mm,0mm,0mm,0mm" style="mso-fit-shape-to-text:t;">
                <w:txbxContent>
                  <w:p w14:paraId="3B5CB0D8">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5DE25">
    <w:pPr>
      <w:pStyle w:val="21"/>
      <w:ind w:right="360" w:firstLine="360"/>
      <w:jc w:val="center"/>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B415C9">
                          <w:pPr>
                            <w:pStyle w:val="21"/>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B415C9">
                    <w:pPr>
                      <w:pStyle w:val="21"/>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3A645">
    <w:pPr>
      <w:pStyle w:val="21"/>
      <w:ind w:right="360" w:firstLine="360"/>
      <w:jc w:val="center"/>
      <w:rPr>
        <w:rFonts w:hint="default" w:eastAsia="宋体"/>
        <w:lang w:val="en-US"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6C357">
    <w:pPr>
      <w:pStyle w:val="21"/>
      <w:ind w:right="360" w:firstLine="36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615A">
    <w:pPr>
      <w:pStyle w:val="21"/>
      <w:ind w:right="360" w:firstLine="36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B9843">
    <w:pPr>
      <w:spacing w:line="176" w:lineRule="auto"/>
      <w:ind w:left="40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posOffset>2594610</wp:posOffset>
              </wp:positionH>
              <wp:positionV relativeFrom="paragraph">
                <wp:posOffset>-77470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2E4E5">
                          <w:pPr>
                            <w:pStyle w:val="21"/>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pt;margin-top:-6.1pt;height:144pt;width:144pt;mso-position-horizontal-relative:margin;mso-wrap-style:none;z-index:251662336;mso-width-relative:page;mso-height-relative:page;" filled="f" stroked="f" coordsize="21600,21600" o:gfxdata="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PbMDNkAAAALAQAADwAAAAAAAAABACAAAAAiAAAAZHJzL2Rvd25yZXYu&#10;eG1sUEsBAhQAFAAAAAgAh07iQIJoMpEzAgAAYwQAAA4AAAAAAAAAAQAgAAAAKAEAAGRycy9lMm9E&#10;b2MueG1sUEsFBgAAAAAGAAYAWQEAAM0FAAAAAA==&#10;">
              <v:fill on="f" focussize="0,0"/>
              <v:stroke on="f" weight="0.5pt"/>
              <v:imagedata o:title=""/>
              <o:lock v:ext="edit" aspectratio="f"/>
              <v:textbox inset="0mm,0mm,0mm,0mm" style="mso-fit-shape-to-text:t;">
                <w:txbxContent>
                  <w:p w14:paraId="1702E4E5">
                    <w:pPr>
                      <w:pStyle w:val="21"/>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C4580">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9C724">
    <w:pPr>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44AD9">
    <w:pPr>
      <w:pStyle w:val="13"/>
      <w:spacing w:before="56" w:line="226" w:lineRule="auto"/>
      <w:ind w:left="42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97678"/>
    <w:multiLevelType w:val="singleLevel"/>
    <w:tmpl w:val="9A497678"/>
    <w:lvl w:ilvl="0" w:tentative="0">
      <w:start w:val="1"/>
      <w:numFmt w:val="decimal"/>
      <w:suff w:val="nothing"/>
      <w:lvlText w:val="%1、"/>
      <w:lvlJc w:val="left"/>
    </w:lvl>
  </w:abstractNum>
  <w:abstractNum w:abstractNumId="1">
    <w:nsid w:val="A352584D"/>
    <w:multiLevelType w:val="singleLevel"/>
    <w:tmpl w:val="A352584D"/>
    <w:lvl w:ilvl="0" w:tentative="0">
      <w:start w:val="4"/>
      <w:numFmt w:val="decimal"/>
      <w:suff w:val="nothing"/>
      <w:lvlText w:val="（%1）"/>
      <w:lvlJc w:val="left"/>
    </w:lvl>
  </w:abstractNum>
  <w:abstractNum w:abstractNumId="2">
    <w:nsid w:val="B00D17FD"/>
    <w:multiLevelType w:val="multilevel"/>
    <w:tmpl w:val="B00D17FD"/>
    <w:lvl w:ilvl="0" w:tentative="0">
      <w:start w:val="1"/>
      <w:numFmt w:val="decimal"/>
      <w:suff w:val="space"/>
      <w:lvlText w:val="%1"/>
      <w:lvlJc w:val="left"/>
      <w:pPr>
        <w:ind w:left="0" w:firstLine="0"/>
      </w:pPr>
      <w:rPr>
        <w:rFonts w:hint="default" w:ascii="Times New Roman" w:hAnsi="Times New Roman" w:eastAsia="宋体" w:cs="Times New Roman"/>
      </w:rPr>
    </w:lvl>
    <w:lvl w:ilvl="1" w:tentative="0">
      <w:start w:val="1"/>
      <w:numFmt w:val="decimal"/>
      <w:suff w:val="space"/>
      <w:lvlText w:val="%1.%2"/>
      <w:lvlJc w:val="left"/>
      <w:pPr>
        <w:ind w:left="0" w:firstLine="0"/>
      </w:pPr>
      <w:rPr>
        <w:rFonts w:hint="default" w:ascii="Times New Roman" w:hAnsi="Times New Roman" w:eastAsia="宋体" w:cs="Times New Roman"/>
        <w:sz w:val="30"/>
        <w:szCs w:val="30"/>
      </w:rPr>
    </w:lvl>
    <w:lvl w:ilvl="2" w:tentative="0">
      <w:start w:val="1"/>
      <w:numFmt w:val="decimal"/>
      <w:suff w:val="space"/>
      <w:lvlText w:val="%1.%2.%3"/>
      <w:lvlJc w:val="left"/>
      <w:pPr>
        <w:ind w:left="0" w:firstLine="0"/>
      </w:pPr>
    </w:lvl>
    <w:lvl w:ilvl="3" w:tentative="0">
      <w:start w:val="1"/>
      <w:numFmt w:val="decimal"/>
      <w:pStyle w:val="6"/>
      <w:suff w:val="space"/>
      <w:lvlText w:val="%1.%2.%3.%4"/>
      <w:lvlJc w:val="left"/>
      <w:pPr>
        <w:ind w:left="480" w:firstLine="0"/>
      </w:pP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u w:val="none"/>
        <w:vertAlign w:val="baseline"/>
      </w:rPr>
    </w:lvl>
    <w:lvl w:ilvl="4" w:tentative="0">
      <w:start w:val="1"/>
      <w:numFmt w:val="decimal"/>
      <w:lvlRestart w:val="2"/>
      <w:suff w:val="space"/>
      <w:lvlText w:val="表%1.%2-%5"/>
      <w:lvlJc w:val="left"/>
      <w:pPr>
        <w:ind w:left="2127" w:firstLine="0"/>
      </w:pPr>
      <w:rPr>
        <w:rFonts w:hint="eastAsia"/>
        <w:sz w:val="21"/>
        <w:vertAlign w:val="baseline"/>
      </w:rPr>
    </w:lvl>
    <w:lvl w:ilvl="5" w:tentative="0">
      <w:start w:val="1"/>
      <w:numFmt w:val="decimal"/>
      <w:lvlRestart w:val="2"/>
      <w:suff w:val="space"/>
      <w:lvlText w:val="图%1.%2-%6"/>
      <w:lvlJc w:val="left"/>
      <w:pPr>
        <w:ind w:left="0" w:firstLine="0"/>
      </w:pPr>
      <w:rPr>
        <w:rFonts w:hint="default" w:ascii="Times New Roman" w:hAnsi="Times New Roman" w:eastAsia="宋体" w:cs="宋体"/>
      </w:rPr>
    </w:lvl>
    <w:lvl w:ilvl="6" w:tentative="0">
      <w:start w:val="1"/>
      <w:numFmt w:val="none"/>
      <w:lvlRestart w:val="0"/>
      <w:suff w:val="nothing"/>
      <w:lvlText w:val=""/>
      <w:lvlJc w:val="left"/>
      <w:pPr>
        <w:ind w:left="0" w:firstLine="0"/>
      </w:pPr>
      <w:rPr>
        <w:rFonts w:hint="default" w:ascii="宋体" w:hAnsi="宋体" w:eastAsia="宋体" w:cs="Times New Roman"/>
      </w:rPr>
    </w:lvl>
    <w:lvl w:ilvl="7" w:tentative="0">
      <w:start w:val="1"/>
      <w:numFmt w:val="decimal"/>
      <w:lvlText w:val="%1.%2.%3.%4.%5.%6.%7.%8"/>
      <w:lvlJc w:val="left"/>
      <w:pPr>
        <w:tabs>
          <w:tab w:val="left" w:pos="1440"/>
        </w:tabs>
        <w:ind w:left="0" w:firstLine="0"/>
      </w:pPr>
      <w:rPr>
        <w:rFonts w:hint="eastAsia"/>
      </w:rPr>
    </w:lvl>
    <w:lvl w:ilvl="8" w:tentative="0">
      <w:start w:val="1"/>
      <w:numFmt w:val="decimal"/>
      <w:lvlText w:val="%1.%2.%3.%4.%5.%6.%7.%8.%9"/>
      <w:lvlJc w:val="left"/>
      <w:pPr>
        <w:tabs>
          <w:tab w:val="left" w:pos="1584"/>
        </w:tabs>
        <w:ind w:left="0" w:firstLine="0"/>
      </w:pPr>
      <w:rPr>
        <w:rFonts w:hint="eastAsia"/>
      </w:rPr>
    </w:lvl>
  </w:abstractNum>
  <w:abstractNum w:abstractNumId="3">
    <w:nsid w:val="B921FB42"/>
    <w:multiLevelType w:val="singleLevel"/>
    <w:tmpl w:val="B921FB42"/>
    <w:lvl w:ilvl="0" w:tentative="0">
      <w:start w:val="1"/>
      <w:numFmt w:val="bullet"/>
      <w:pStyle w:val="17"/>
      <w:lvlText w:val=""/>
      <w:lvlJc w:val="left"/>
      <w:pPr>
        <w:tabs>
          <w:tab w:val="left" w:pos="2040"/>
        </w:tabs>
        <w:ind w:left="2040" w:hanging="360"/>
      </w:pPr>
      <w:rPr>
        <w:rFonts w:hint="default" w:ascii="Wingdings" w:hAnsi="Wingdings"/>
      </w:rPr>
    </w:lvl>
  </w:abstractNum>
  <w:abstractNum w:abstractNumId="4">
    <w:nsid w:val="BF90FF10"/>
    <w:multiLevelType w:val="singleLevel"/>
    <w:tmpl w:val="BF90FF10"/>
    <w:lvl w:ilvl="0" w:tentative="0">
      <w:start w:val="6"/>
      <w:numFmt w:val="decimal"/>
      <w:suff w:val="nothing"/>
      <w:lvlText w:val="%1、"/>
      <w:lvlJc w:val="left"/>
    </w:lvl>
  </w:abstractNum>
  <w:abstractNum w:abstractNumId="5">
    <w:nsid w:val="DBBC33A7"/>
    <w:multiLevelType w:val="singleLevel"/>
    <w:tmpl w:val="DBBC33A7"/>
    <w:lvl w:ilvl="0" w:tentative="0">
      <w:start w:val="2"/>
      <w:numFmt w:val="upperLetter"/>
      <w:suff w:val="space"/>
      <w:lvlText w:val="%1."/>
      <w:lvlJc w:val="left"/>
    </w:lvl>
  </w:abstractNum>
  <w:abstractNum w:abstractNumId="6">
    <w:nsid w:val="DF03B897"/>
    <w:multiLevelType w:val="singleLevel"/>
    <w:tmpl w:val="DF03B897"/>
    <w:lvl w:ilvl="0" w:tentative="0">
      <w:start w:val="1"/>
      <w:numFmt w:val="decimal"/>
      <w:pStyle w:val="16"/>
      <w:lvlText w:val="%1."/>
      <w:lvlJc w:val="left"/>
      <w:pPr>
        <w:tabs>
          <w:tab w:val="left" w:pos="2040"/>
        </w:tabs>
        <w:ind w:left="2040" w:hanging="360"/>
      </w:pPr>
    </w:lvl>
  </w:abstractNum>
  <w:abstractNum w:abstractNumId="7">
    <w:nsid w:val="E21BE56A"/>
    <w:multiLevelType w:val="singleLevel"/>
    <w:tmpl w:val="E21BE56A"/>
    <w:lvl w:ilvl="0" w:tentative="0">
      <w:start w:val="1"/>
      <w:numFmt w:val="decimal"/>
      <w:suff w:val="nothing"/>
      <w:lvlText w:val="%1、"/>
      <w:lvlJc w:val="left"/>
    </w:lvl>
  </w:abstractNum>
  <w:abstractNum w:abstractNumId="8">
    <w:nsid w:val="F45F658C"/>
    <w:multiLevelType w:val="multilevel"/>
    <w:tmpl w:val="F45F658C"/>
    <w:lvl w:ilvl="0" w:tentative="0">
      <w:start w:val="1"/>
      <w:numFmt w:val="decimal"/>
      <w:suff w:val="space"/>
      <w:lvlText w:val="第%1章"/>
      <w:lvlJc w:val="left"/>
      <w:pPr>
        <w:tabs>
          <w:tab w:val="left" w:pos="0"/>
        </w:tabs>
        <w:ind w:left="0" w:firstLine="0"/>
      </w:pPr>
      <w:rPr>
        <w:rFonts w:hint="default" w:ascii="Times New Roman" w:hAnsi="Times New Roman" w:eastAsia="仿宋" w:cs="Times New Roman"/>
        <w:b/>
        <w:bCs/>
        <w:sz w:val="44"/>
        <w:szCs w:val="44"/>
      </w:rPr>
    </w:lvl>
    <w:lvl w:ilvl="1" w:tentative="0">
      <w:start w:val="1"/>
      <w:numFmt w:val="decimal"/>
      <w:suff w:val="space"/>
      <w:lvlText w:val="%1.%2"/>
      <w:lvlJc w:val="left"/>
      <w:pPr>
        <w:tabs>
          <w:tab w:val="left" w:pos="0"/>
        </w:tabs>
        <w:ind w:left="0" w:firstLine="0"/>
      </w:pPr>
      <w:rPr>
        <w:rFonts w:hint="default" w:ascii="Times New Roman" w:hAnsi="Times New Roman" w:eastAsia="宋体" w:cs="宋体"/>
        <w:b/>
        <w:bCs/>
        <w:sz w:val="36"/>
        <w:szCs w:val="36"/>
      </w:rPr>
    </w:lvl>
    <w:lvl w:ilvl="2" w:tentative="0">
      <w:start w:val="1"/>
      <w:numFmt w:val="decimal"/>
      <w:suff w:val="space"/>
      <w:lvlText w:val="%1.%2.%3"/>
      <w:lvlJc w:val="left"/>
      <w:pPr>
        <w:tabs>
          <w:tab w:val="left" w:pos="0"/>
        </w:tabs>
        <w:ind w:left="0" w:firstLine="0"/>
      </w:pPr>
      <w:rPr>
        <w:rFonts w:hint="default" w:ascii="Times New Roman" w:hAnsi="Times New Roman" w:eastAsia="黑体" w:cs="Times New Roman"/>
        <w:b/>
        <w:bCs/>
        <w:sz w:val="32"/>
        <w:szCs w:val="32"/>
      </w:rPr>
    </w:lvl>
    <w:lvl w:ilvl="3" w:tentative="0">
      <w:start w:val="1"/>
      <w:numFmt w:val="decimal"/>
      <w:suff w:val="space"/>
      <w:lvlText w:val="%1.%2.%3.%4"/>
      <w:lvlJc w:val="left"/>
      <w:pPr>
        <w:tabs>
          <w:tab w:val="left" w:pos="0"/>
        </w:tabs>
        <w:ind w:left="0" w:firstLine="0"/>
      </w:pPr>
      <w:rPr>
        <w:rFonts w:hint="default" w:ascii="Times New Roman" w:hAnsi="Times New Roman" w:eastAsia="黑体" w:cs="Times New Roman"/>
        <w:b/>
        <w:bCs/>
        <w:i w:val="0"/>
        <w:iCs w:val="0"/>
        <w:caps w:val="0"/>
        <w:smallCaps w:val="0"/>
        <w:strike w:val="0"/>
        <w:dstrike w:val="0"/>
        <w:outline w:val="0"/>
        <w:shadow w:val="0"/>
        <w:emboss w:val="0"/>
        <w:imprint w:val="0"/>
        <w:vanish w:val="0"/>
        <w:spacing w:val="0"/>
        <w:position w:val="0"/>
        <w:sz w:val="28"/>
        <w:szCs w:val="28"/>
        <w:u w:val="none"/>
        <w:vertAlign w:val="baseline"/>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420"/>
        </w:tabs>
        <w:ind w:left="1296" w:hanging="1296"/>
      </w:pPr>
      <w:rPr>
        <w:rFonts w:hint="default" w:ascii="宋体" w:hAnsi="宋体" w:eastAsia="宋体" w:cs="宋体"/>
      </w:rPr>
    </w:lvl>
    <w:lvl w:ilvl="7" w:tentative="0">
      <w:start w:val="1"/>
      <w:numFmt w:val="decimal"/>
      <w:lvlRestart w:val="2"/>
      <w:suff w:val="space"/>
      <w:lvlText w:val="图%1.%2-%8"/>
      <w:lvlJc w:val="center"/>
      <w:pPr>
        <w:tabs>
          <w:tab w:val="left" w:pos="420"/>
        </w:tabs>
        <w:ind w:left="0" w:firstLine="0"/>
      </w:pPr>
      <w:rPr>
        <w:rFonts w:hint="default" w:ascii="宋体" w:hAnsi="宋体" w:eastAsia="宋体" w:cs="宋体"/>
        <w:sz w:val="24"/>
      </w:rPr>
    </w:lvl>
    <w:lvl w:ilvl="8" w:tentative="0">
      <w:start w:val="1"/>
      <w:numFmt w:val="decimal"/>
      <w:lvlRestart w:val="2"/>
      <w:pStyle w:val="2"/>
      <w:suff w:val="space"/>
      <w:lvlText w:val="表%1.%2-%9"/>
      <w:lvlJc w:val="center"/>
      <w:pPr>
        <w:tabs>
          <w:tab w:val="left" w:pos="420"/>
        </w:tabs>
        <w:ind w:left="0" w:firstLine="0"/>
      </w:pPr>
      <w:rPr>
        <w:rFonts w:hint="default" w:ascii="Times New Roman" w:hAnsi="Times New Roman" w:eastAsia="仿宋" w:cs="Times New Roman"/>
        <w:b/>
        <w:bCs/>
        <w:i w:val="0"/>
        <w:iCs w:val="0"/>
        <w:caps w:val="0"/>
        <w:smallCaps w:val="0"/>
        <w:strike w:val="0"/>
        <w:dstrike w:val="0"/>
        <w:vanish w:val="0"/>
        <w:color w:val="000000"/>
        <w:spacing w:val="0"/>
        <w:position w:val="0"/>
        <w:sz w:val="24"/>
        <w:szCs w:val="24"/>
        <w:u w:val="none"/>
        <w:vertAlign w:val="baseline"/>
        <w:lang w:val="en-US"/>
      </w:rPr>
    </w:lvl>
  </w:abstractNum>
  <w:abstractNum w:abstractNumId="9">
    <w:nsid w:val="02CE3BCC"/>
    <w:multiLevelType w:val="singleLevel"/>
    <w:tmpl w:val="02CE3BCC"/>
    <w:lvl w:ilvl="0" w:tentative="0">
      <w:start w:val="3"/>
      <w:numFmt w:val="decimal"/>
      <w:suff w:val="nothing"/>
      <w:lvlText w:val="%1、"/>
      <w:lvlJc w:val="left"/>
    </w:lvl>
  </w:abstractNum>
  <w:abstractNum w:abstractNumId="10">
    <w:nsid w:val="098A2801"/>
    <w:multiLevelType w:val="multilevel"/>
    <w:tmpl w:val="098A2801"/>
    <w:lvl w:ilvl="0" w:tentative="0">
      <w:start w:val="1"/>
      <w:numFmt w:val="decimal"/>
      <w:suff w:val="space"/>
      <w:lvlText w:val="%1"/>
      <w:lvlJc w:val="left"/>
      <w:pPr>
        <w:ind w:left="0" w:firstLine="0"/>
      </w:pPr>
      <w:rPr>
        <w:rFonts w:hint="default" w:ascii="Times New Roman" w:hAnsi="Times New Roman" w:eastAsia="宋体" w:cs="Times New Roman"/>
      </w:rPr>
    </w:lvl>
    <w:lvl w:ilvl="1" w:tentative="0">
      <w:start w:val="1"/>
      <w:numFmt w:val="decimal"/>
      <w:suff w:val="space"/>
      <w:lvlText w:val="%1.%2"/>
      <w:lvlJc w:val="left"/>
      <w:pPr>
        <w:ind w:left="0" w:firstLine="0"/>
      </w:pPr>
      <w:rPr>
        <w:rFonts w:hint="default" w:ascii="Times New Roman" w:hAnsi="Times New Roman" w:eastAsia="宋体" w:cs="Times New Roman"/>
        <w:sz w:val="30"/>
        <w:szCs w:val="30"/>
      </w:rPr>
    </w:lvl>
    <w:lvl w:ilvl="2" w:tentative="0">
      <w:start w:val="1"/>
      <w:numFmt w:val="decimal"/>
      <w:suff w:val="space"/>
      <w:lvlText w:val="%1.%2.%3"/>
      <w:lvlJc w:val="left"/>
      <w:pPr>
        <w:ind w:left="0" w:firstLine="0"/>
      </w:pPr>
    </w:lvl>
    <w:lvl w:ilvl="3" w:tentative="0">
      <w:start w:val="1"/>
      <w:numFmt w:val="decimal"/>
      <w:suff w:val="space"/>
      <w:lvlText w:val="%1.%2.%3.%4"/>
      <w:lvlJc w:val="left"/>
      <w:pPr>
        <w:ind w:left="0" w:firstLine="0"/>
      </w:pP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u w:val="none"/>
        <w:vertAlign w:val="baseline"/>
      </w:rPr>
    </w:lvl>
    <w:lvl w:ilvl="4" w:tentative="0">
      <w:start w:val="1"/>
      <w:numFmt w:val="decimal"/>
      <w:lvlRestart w:val="2"/>
      <w:pStyle w:val="7"/>
      <w:suff w:val="space"/>
      <w:lvlText w:val="表%1.%2-%5"/>
      <w:lvlJc w:val="left"/>
      <w:pPr>
        <w:ind w:left="6687" w:firstLine="0"/>
      </w:pPr>
      <w:rPr>
        <w:rFonts w:hint="eastAsia"/>
        <w:sz w:val="21"/>
        <w:vertAlign w:val="baseline"/>
      </w:rPr>
    </w:lvl>
    <w:lvl w:ilvl="5" w:tentative="0">
      <w:start w:val="1"/>
      <w:numFmt w:val="decimal"/>
      <w:lvlRestart w:val="2"/>
      <w:suff w:val="space"/>
      <w:lvlText w:val="图%1.%2-%6"/>
      <w:lvlJc w:val="left"/>
      <w:pPr>
        <w:ind w:left="0" w:firstLine="0"/>
      </w:pPr>
      <w:rPr>
        <w:rFonts w:hint="default" w:ascii="Times New Roman" w:hAnsi="Times New Roman" w:eastAsia="宋体" w:cs="宋体"/>
      </w:rPr>
    </w:lvl>
    <w:lvl w:ilvl="6" w:tentative="0">
      <w:start w:val="1"/>
      <w:numFmt w:val="none"/>
      <w:lvlRestart w:val="0"/>
      <w:suff w:val="nothing"/>
      <w:lvlText w:val=""/>
      <w:lvlJc w:val="left"/>
      <w:pPr>
        <w:ind w:left="0" w:firstLine="0"/>
      </w:pPr>
      <w:rPr>
        <w:rFonts w:hint="default" w:ascii="宋体" w:hAnsi="宋体" w:eastAsia="宋体" w:cs="Times New Roman"/>
      </w:rPr>
    </w:lvl>
    <w:lvl w:ilvl="7" w:tentative="0">
      <w:start w:val="1"/>
      <w:numFmt w:val="decimal"/>
      <w:lvlText w:val="%1.%2.%3.%4.%5.%6.%7.%8"/>
      <w:lvlJc w:val="left"/>
      <w:pPr>
        <w:tabs>
          <w:tab w:val="left" w:pos="1440"/>
        </w:tabs>
        <w:ind w:left="0" w:firstLine="0"/>
      </w:pPr>
      <w:rPr>
        <w:rFonts w:hint="eastAsia"/>
      </w:rPr>
    </w:lvl>
    <w:lvl w:ilvl="8" w:tentative="0">
      <w:start w:val="1"/>
      <w:numFmt w:val="decimal"/>
      <w:lvlText w:val="%1.%2.%3.%4.%5.%6.%7.%8.%9"/>
      <w:lvlJc w:val="left"/>
      <w:pPr>
        <w:tabs>
          <w:tab w:val="left" w:pos="1584"/>
        </w:tabs>
        <w:ind w:left="0" w:firstLine="0"/>
      </w:pPr>
      <w:rPr>
        <w:rFonts w:hint="eastAsia"/>
      </w:rPr>
    </w:lvl>
  </w:abstractNum>
  <w:abstractNum w:abstractNumId="11">
    <w:nsid w:val="3053C31B"/>
    <w:multiLevelType w:val="singleLevel"/>
    <w:tmpl w:val="3053C31B"/>
    <w:lvl w:ilvl="0" w:tentative="0">
      <w:start w:val="1"/>
      <w:numFmt w:val="decimal"/>
      <w:suff w:val="nothing"/>
      <w:lvlText w:val="（%1）"/>
      <w:lvlJc w:val="left"/>
    </w:lvl>
  </w:abstractNum>
  <w:abstractNum w:abstractNumId="12">
    <w:nsid w:val="50362991"/>
    <w:multiLevelType w:val="singleLevel"/>
    <w:tmpl w:val="50362991"/>
    <w:lvl w:ilvl="0" w:tentative="0">
      <w:start w:val="12"/>
      <w:numFmt w:val="decimal"/>
      <w:lvlText w:val="%1."/>
      <w:lvlJc w:val="left"/>
      <w:pPr>
        <w:tabs>
          <w:tab w:val="left" w:pos="312"/>
        </w:tabs>
      </w:pPr>
    </w:lvl>
  </w:abstractNum>
  <w:abstractNum w:abstractNumId="13">
    <w:nsid w:val="53AA9D63"/>
    <w:multiLevelType w:val="singleLevel"/>
    <w:tmpl w:val="53AA9D63"/>
    <w:lvl w:ilvl="0" w:tentative="0">
      <w:start w:val="1"/>
      <w:numFmt w:val="decimal"/>
      <w:suff w:val="nothing"/>
      <w:lvlText w:val="%1、"/>
      <w:lvlJc w:val="left"/>
    </w:lvl>
  </w:abstractNum>
  <w:abstractNum w:abstractNumId="14">
    <w:nsid w:val="59C9438F"/>
    <w:multiLevelType w:val="multilevel"/>
    <w:tmpl w:val="59C9438F"/>
    <w:lvl w:ilvl="0" w:tentative="0">
      <w:start w:val="1"/>
      <w:numFmt w:val="decimal"/>
      <w:suff w:val="space"/>
      <w:lvlText w:val="%1"/>
      <w:lvlJc w:val="left"/>
      <w:pPr>
        <w:ind w:left="0" w:firstLine="0"/>
      </w:pPr>
      <w:rPr>
        <w:rFonts w:hint="default" w:ascii="Times New Roman" w:hAnsi="Times New Roman" w:eastAsia="宋体" w:cs="Times New Roman"/>
      </w:rPr>
    </w:lvl>
    <w:lvl w:ilvl="1" w:tentative="0">
      <w:start w:val="1"/>
      <w:numFmt w:val="decimal"/>
      <w:pStyle w:val="4"/>
      <w:suff w:val="space"/>
      <w:lvlText w:val="%1.%2"/>
      <w:lvlJc w:val="left"/>
      <w:pPr>
        <w:ind w:left="0" w:firstLine="0"/>
      </w:pPr>
      <w:rPr>
        <w:rFonts w:hint="default" w:ascii="Times New Roman" w:hAnsi="Times New Roman" w:eastAsia="宋体" w:cs="Times New Roman"/>
        <w:sz w:val="30"/>
        <w:szCs w:val="30"/>
      </w:rPr>
    </w:lvl>
    <w:lvl w:ilvl="2" w:tentative="0">
      <w:start w:val="1"/>
      <w:numFmt w:val="decimal"/>
      <w:suff w:val="space"/>
      <w:lvlText w:val="%1.%2.%3"/>
      <w:lvlJc w:val="left"/>
      <w:pPr>
        <w:ind w:left="0" w:firstLine="0"/>
      </w:pPr>
    </w:lvl>
    <w:lvl w:ilvl="3" w:tentative="0">
      <w:start w:val="1"/>
      <w:numFmt w:val="decimal"/>
      <w:suff w:val="space"/>
      <w:lvlText w:val="%1.%2.%3.%4"/>
      <w:lvlJc w:val="left"/>
      <w:pPr>
        <w:ind w:left="0" w:firstLine="0"/>
      </w:pP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u w:val="none"/>
        <w:vertAlign w:val="baseline"/>
      </w:rPr>
    </w:lvl>
    <w:lvl w:ilvl="4" w:tentative="0">
      <w:start w:val="1"/>
      <w:numFmt w:val="decimal"/>
      <w:lvlRestart w:val="2"/>
      <w:suff w:val="space"/>
      <w:lvlText w:val="表%1.%2-%5"/>
      <w:lvlJc w:val="left"/>
      <w:pPr>
        <w:ind w:left="2127" w:firstLine="0"/>
      </w:pPr>
      <w:rPr>
        <w:rFonts w:hint="eastAsia"/>
        <w:sz w:val="21"/>
        <w:vertAlign w:val="baseline"/>
      </w:rPr>
    </w:lvl>
    <w:lvl w:ilvl="5" w:tentative="0">
      <w:start w:val="1"/>
      <w:numFmt w:val="decimal"/>
      <w:lvlRestart w:val="2"/>
      <w:suff w:val="space"/>
      <w:lvlText w:val="图%1.%2-%6"/>
      <w:lvlJc w:val="left"/>
      <w:pPr>
        <w:ind w:left="0" w:firstLine="0"/>
      </w:pPr>
      <w:rPr>
        <w:rFonts w:hint="default" w:ascii="Times New Roman" w:hAnsi="Times New Roman" w:eastAsia="宋体" w:cs="宋体"/>
      </w:rPr>
    </w:lvl>
    <w:lvl w:ilvl="6" w:tentative="0">
      <w:start w:val="1"/>
      <w:numFmt w:val="none"/>
      <w:lvlRestart w:val="0"/>
      <w:suff w:val="nothing"/>
      <w:lvlText w:val=""/>
      <w:lvlJc w:val="left"/>
      <w:pPr>
        <w:ind w:left="0" w:firstLine="0"/>
      </w:pPr>
      <w:rPr>
        <w:rFonts w:hint="default" w:ascii="宋体" w:hAnsi="宋体" w:eastAsia="宋体" w:cs="Times New Roman"/>
      </w:rPr>
    </w:lvl>
    <w:lvl w:ilvl="7" w:tentative="0">
      <w:start w:val="1"/>
      <w:numFmt w:val="decimal"/>
      <w:lvlText w:val="%1.%2.%3.%4.%5.%6.%7.%8"/>
      <w:lvlJc w:val="left"/>
      <w:pPr>
        <w:tabs>
          <w:tab w:val="left" w:pos="1440"/>
        </w:tabs>
        <w:ind w:left="0" w:firstLine="0"/>
      </w:pPr>
      <w:rPr>
        <w:rFonts w:hint="eastAsia"/>
      </w:rPr>
    </w:lvl>
    <w:lvl w:ilvl="8" w:tentative="0">
      <w:start w:val="1"/>
      <w:numFmt w:val="decimal"/>
      <w:lvlText w:val="%1.%2.%3.%4.%5.%6.%7.%8.%9"/>
      <w:lvlJc w:val="left"/>
      <w:pPr>
        <w:tabs>
          <w:tab w:val="left" w:pos="1584"/>
        </w:tabs>
        <w:ind w:left="0" w:firstLine="0"/>
      </w:pPr>
      <w:rPr>
        <w:rFonts w:hint="eastAsia"/>
      </w:rPr>
    </w:lvl>
  </w:abstractNum>
  <w:abstractNum w:abstractNumId="15">
    <w:nsid w:val="75823C8A"/>
    <w:multiLevelType w:val="singleLevel"/>
    <w:tmpl w:val="75823C8A"/>
    <w:lvl w:ilvl="0" w:tentative="0">
      <w:start w:val="1"/>
      <w:numFmt w:val="upperLetter"/>
      <w:suff w:val="space"/>
      <w:lvlText w:val="%1."/>
      <w:lvlJc w:val="left"/>
    </w:lvl>
  </w:abstractNum>
  <w:num w:numId="1">
    <w:abstractNumId w:val="14"/>
  </w:num>
  <w:num w:numId="2">
    <w:abstractNumId w:val="2"/>
  </w:num>
  <w:num w:numId="3">
    <w:abstractNumId w:val="10"/>
  </w:num>
  <w:num w:numId="4">
    <w:abstractNumId w:val="8"/>
  </w:num>
  <w:num w:numId="5">
    <w:abstractNumId w:val="6"/>
  </w:num>
  <w:num w:numId="6">
    <w:abstractNumId w:val="3"/>
  </w:num>
  <w:num w:numId="7">
    <w:abstractNumId w:val="12"/>
  </w:num>
  <w:num w:numId="8">
    <w:abstractNumId w:val="7"/>
  </w:num>
  <w:num w:numId="9">
    <w:abstractNumId w:val="9"/>
  </w:num>
  <w:num w:numId="10">
    <w:abstractNumId w:val="0"/>
  </w:num>
  <w:num w:numId="11">
    <w:abstractNumId w:val="11"/>
  </w:num>
  <w:num w:numId="12">
    <w:abstractNumId w:val="1"/>
  </w:num>
  <w:num w:numId="13">
    <w:abstractNumId w:val="13"/>
  </w:num>
  <w:num w:numId="14">
    <w:abstractNumId w:val="4"/>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3NGQzMGYzM2FmMmUwYTQ4N2NlNjNmYjA4MTgzYWQifQ=="/>
    <w:docVar w:name="KSO_WPS_MARK_KEY" w:val="9aa10541-e8e9-4e28-9133-a2f050621c6b"/>
  </w:docVars>
  <w:rsids>
    <w:rsidRoot w:val="00172A27"/>
    <w:rsid w:val="00001CED"/>
    <w:rsid w:val="00001E67"/>
    <w:rsid w:val="00003CD8"/>
    <w:rsid w:val="000048AA"/>
    <w:rsid w:val="00005910"/>
    <w:rsid w:val="00006290"/>
    <w:rsid w:val="000068CE"/>
    <w:rsid w:val="00010EB5"/>
    <w:rsid w:val="00014965"/>
    <w:rsid w:val="00014E21"/>
    <w:rsid w:val="00014E37"/>
    <w:rsid w:val="0001523A"/>
    <w:rsid w:val="00016504"/>
    <w:rsid w:val="00016ECB"/>
    <w:rsid w:val="000177D7"/>
    <w:rsid w:val="000269F6"/>
    <w:rsid w:val="00031939"/>
    <w:rsid w:val="00032D25"/>
    <w:rsid w:val="00033798"/>
    <w:rsid w:val="000461D8"/>
    <w:rsid w:val="0005219D"/>
    <w:rsid w:val="000537E7"/>
    <w:rsid w:val="0005568F"/>
    <w:rsid w:val="000569B7"/>
    <w:rsid w:val="00060817"/>
    <w:rsid w:val="0006153D"/>
    <w:rsid w:val="00061B1F"/>
    <w:rsid w:val="0006253B"/>
    <w:rsid w:val="00063FBF"/>
    <w:rsid w:val="000664DB"/>
    <w:rsid w:val="0006748D"/>
    <w:rsid w:val="0007127D"/>
    <w:rsid w:val="00071AE5"/>
    <w:rsid w:val="00074783"/>
    <w:rsid w:val="000801E0"/>
    <w:rsid w:val="00082A29"/>
    <w:rsid w:val="0008331D"/>
    <w:rsid w:val="00083ACC"/>
    <w:rsid w:val="00083C18"/>
    <w:rsid w:val="00086AC7"/>
    <w:rsid w:val="00092899"/>
    <w:rsid w:val="00096C8D"/>
    <w:rsid w:val="000A0D9C"/>
    <w:rsid w:val="000A178E"/>
    <w:rsid w:val="000A557E"/>
    <w:rsid w:val="000B058F"/>
    <w:rsid w:val="000B517D"/>
    <w:rsid w:val="000B693F"/>
    <w:rsid w:val="000C09AC"/>
    <w:rsid w:val="000C0A63"/>
    <w:rsid w:val="000C3AF1"/>
    <w:rsid w:val="000C437E"/>
    <w:rsid w:val="000D2DB0"/>
    <w:rsid w:val="000E38F5"/>
    <w:rsid w:val="000E5F16"/>
    <w:rsid w:val="000F4452"/>
    <w:rsid w:val="000F6DA1"/>
    <w:rsid w:val="000F701B"/>
    <w:rsid w:val="00100BAB"/>
    <w:rsid w:val="001056A0"/>
    <w:rsid w:val="001128D0"/>
    <w:rsid w:val="00115279"/>
    <w:rsid w:val="00117459"/>
    <w:rsid w:val="0011749A"/>
    <w:rsid w:val="00120681"/>
    <w:rsid w:val="00127A68"/>
    <w:rsid w:val="0013076F"/>
    <w:rsid w:val="0013118C"/>
    <w:rsid w:val="00131A10"/>
    <w:rsid w:val="001347D4"/>
    <w:rsid w:val="0013482A"/>
    <w:rsid w:val="00140B13"/>
    <w:rsid w:val="00141B68"/>
    <w:rsid w:val="00143B7F"/>
    <w:rsid w:val="001466DA"/>
    <w:rsid w:val="00154DE1"/>
    <w:rsid w:val="00155B40"/>
    <w:rsid w:val="00157435"/>
    <w:rsid w:val="00157B74"/>
    <w:rsid w:val="00163EEA"/>
    <w:rsid w:val="00167A07"/>
    <w:rsid w:val="0017046A"/>
    <w:rsid w:val="001704A3"/>
    <w:rsid w:val="0017504D"/>
    <w:rsid w:val="00175CFA"/>
    <w:rsid w:val="00177422"/>
    <w:rsid w:val="001809CA"/>
    <w:rsid w:val="00184F10"/>
    <w:rsid w:val="00185546"/>
    <w:rsid w:val="0019146B"/>
    <w:rsid w:val="00194398"/>
    <w:rsid w:val="001A7D2A"/>
    <w:rsid w:val="001B574C"/>
    <w:rsid w:val="001B5ACD"/>
    <w:rsid w:val="001C02B3"/>
    <w:rsid w:val="001C0AF9"/>
    <w:rsid w:val="001C155A"/>
    <w:rsid w:val="001C23BD"/>
    <w:rsid w:val="001C48C0"/>
    <w:rsid w:val="001D6726"/>
    <w:rsid w:val="001E1FE3"/>
    <w:rsid w:val="001E2AA4"/>
    <w:rsid w:val="001E6D4F"/>
    <w:rsid w:val="001F3347"/>
    <w:rsid w:val="001F4440"/>
    <w:rsid w:val="001F69E4"/>
    <w:rsid w:val="0020689E"/>
    <w:rsid w:val="00206A65"/>
    <w:rsid w:val="00212D31"/>
    <w:rsid w:val="002130C7"/>
    <w:rsid w:val="002218A8"/>
    <w:rsid w:val="0022306D"/>
    <w:rsid w:val="00226574"/>
    <w:rsid w:val="002278EC"/>
    <w:rsid w:val="002357C7"/>
    <w:rsid w:val="002367C4"/>
    <w:rsid w:val="002509A1"/>
    <w:rsid w:val="0025679E"/>
    <w:rsid w:val="00260C68"/>
    <w:rsid w:val="002648B0"/>
    <w:rsid w:val="00275271"/>
    <w:rsid w:val="0027535E"/>
    <w:rsid w:val="00275AA6"/>
    <w:rsid w:val="00276441"/>
    <w:rsid w:val="002807D5"/>
    <w:rsid w:val="002817B4"/>
    <w:rsid w:val="00282CCD"/>
    <w:rsid w:val="002969AA"/>
    <w:rsid w:val="00297738"/>
    <w:rsid w:val="002A168C"/>
    <w:rsid w:val="002A17C3"/>
    <w:rsid w:val="002A2C48"/>
    <w:rsid w:val="002A3EED"/>
    <w:rsid w:val="002A4A39"/>
    <w:rsid w:val="002A5A17"/>
    <w:rsid w:val="002A6425"/>
    <w:rsid w:val="002B407D"/>
    <w:rsid w:val="002B49E2"/>
    <w:rsid w:val="002B6531"/>
    <w:rsid w:val="002B7B00"/>
    <w:rsid w:val="002B7C44"/>
    <w:rsid w:val="002C1388"/>
    <w:rsid w:val="002C3C6A"/>
    <w:rsid w:val="002D3810"/>
    <w:rsid w:val="002D42DB"/>
    <w:rsid w:val="002E1F3A"/>
    <w:rsid w:val="002E298A"/>
    <w:rsid w:val="002E3B02"/>
    <w:rsid w:val="002E4AA7"/>
    <w:rsid w:val="002E5B5E"/>
    <w:rsid w:val="002F02A4"/>
    <w:rsid w:val="002F272B"/>
    <w:rsid w:val="002F7181"/>
    <w:rsid w:val="002F7C6D"/>
    <w:rsid w:val="003027E4"/>
    <w:rsid w:val="0030332C"/>
    <w:rsid w:val="00304088"/>
    <w:rsid w:val="00312296"/>
    <w:rsid w:val="0031340E"/>
    <w:rsid w:val="00314856"/>
    <w:rsid w:val="0031557C"/>
    <w:rsid w:val="00316464"/>
    <w:rsid w:val="0032073A"/>
    <w:rsid w:val="00321D8E"/>
    <w:rsid w:val="00334996"/>
    <w:rsid w:val="0033666A"/>
    <w:rsid w:val="00336969"/>
    <w:rsid w:val="00336C52"/>
    <w:rsid w:val="00341B3E"/>
    <w:rsid w:val="00341B42"/>
    <w:rsid w:val="003437E7"/>
    <w:rsid w:val="00345154"/>
    <w:rsid w:val="0034515C"/>
    <w:rsid w:val="0034560E"/>
    <w:rsid w:val="00350523"/>
    <w:rsid w:val="00352975"/>
    <w:rsid w:val="00356868"/>
    <w:rsid w:val="0036437E"/>
    <w:rsid w:val="0036485B"/>
    <w:rsid w:val="00367FD9"/>
    <w:rsid w:val="00372ADF"/>
    <w:rsid w:val="00373B0D"/>
    <w:rsid w:val="00374F9E"/>
    <w:rsid w:val="00376988"/>
    <w:rsid w:val="003804BF"/>
    <w:rsid w:val="00381A72"/>
    <w:rsid w:val="003A1948"/>
    <w:rsid w:val="003B152A"/>
    <w:rsid w:val="003B545B"/>
    <w:rsid w:val="003C18FE"/>
    <w:rsid w:val="003C54EA"/>
    <w:rsid w:val="003D0A7C"/>
    <w:rsid w:val="003D3EE9"/>
    <w:rsid w:val="003E4509"/>
    <w:rsid w:val="003E6AE3"/>
    <w:rsid w:val="003E7681"/>
    <w:rsid w:val="003F0809"/>
    <w:rsid w:val="003F2F6E"/>
    <w:rsid w:val="003F4BD6"/>
    <w:rsid w:val="003F611C"/>
    <w:rsid w:val="003F755C"/>
    <w:rsid w:val="00402808"/>
    <w:rsid w:val="00406F01"/>
    <w:rsid w:val="00411B36"/>
    <w:rsid w:val="004121D7"/>
    <w:rsid w:val="00416D50"/>
    <w:rsid w:val="00417772"/>
    <w:rsid w:val="00420E6A"/>
    <w:rsid w:val="00423920"/>
    <w:rsid w:val="00424502"/>
    <w:rsid w:val="00431BDB"/>
    <w:rsid w:val="00433CA9"/>
    <w:rsid w:val="0043521D"/>
    <w:rsid w:val="00442024"/>
    <w:rsid w:val="0044254C"/>
    <w:rsid w:val="00442A69"/>
    <w:rsid w:val="004439BA"/>
    <w:rsid w:val="00443F6A"/>
    <w:rsid w:val="00450A17"/>
    <w:rsid w:val="00455951"/>
    <w:rsid w:val="00462649"/>
    <w:rsid w:val="00465208"/>
    <w:rsid w:val="00466321"/>
    <w:rsid w:val="004672AF"/>
    <w:rsid w:val="004727B0"/>
    <w:rsid w:val="004729E3"/>
    <w:rsid w:val="00474701"/>
    <w:rsid w:val="00475187"/>
    <w:rsid w:val="00480247"/>
    <w:rsid w:val="0048081D"/>
    <w:rsid w:val="0048117E"/>
    <w:rsid w:val="00483806"/>
    <w:rsid w:val="0048417B"/>
    <w:rsid w:val="004855F6"/>
    <w:rsid w:val="00486F0C"/>
    <w:rsid w:val="00494670"/>
    <w:rsid w:val="004A0EB4"/>
    <w:rsid w:val="004A3823"/>
    <w:rsid w:val="004A4148"/>
    <w:rsid w:val="004A59BB"/>
    <w:rsid w:val="004A7059"/>
    <w:rsid w:val="004B2DAA"/>
    <w:rsid w:val="004B43A3"/>
    <w:rsid w:val="004B4C49"/>
    <w:rsid w:val="004B58A5"/>
    <w:rsid w:val="004B63D9"/>
    <w:rsid w:val="004C0882"/>
    <w:rsid w:val="004C55BE"/>
    <w:rsid w:val="004D1CC9"/>
    <w:rsid w:val="004E02AA"/>
    <w:rsid w:val="004E1899"/>
    <w:rsid w:val="004E5B30"/>
    <w:rsid w:val="004E76C2"/>
    <w:rsid w:val="004F0779"/>
    <w:rsid w:val="004F1230"/>
    <w:rsid w:val="004F173F"/>
    <w:rsid w:val="004F177C"/>
    <w:rsid w:val="004F2DCE"/>
    <w:rsid w:val="004F40FA"/>
    <w:rsid w:val="004F6FAA"/>
    <w:rsid w:val="005039CB"/>
    <w:rsid w:val="0050558F"/>
    <w:rsid w:val="005057E0"/>
    <w:rsid w:val="00506286"/>
    <w:rsid w:val="00510813"/>
    <w:rsid w:val="00511DE0"/>
    <w:rsid w:val="00512CFD"/>
    <w:rsid w:val="00517F02"/>
    <w:rsid w:val="0052106F"/>
    <w:rsid w:val="00523532"/>
    <w:rsid w:val="00524547"/>
    <w:rsid w:val="005258A2"/>
    <w:rsid w:val="00530F7C"/>
    <w:rsid w:val="00533190"/>
    <w:rsid w:val="00534567"/>
    <w:rsid w:val="00534F43"/>
    <w:rsid w:val="00535A84"/>
    <w:rsid w:val="00536889"/>
    <w:rsid w:val="00542E07"/>
    <w:rsid w:val="00547A15"/>
    <w:rsid w:val="005534B6"/>
    <w:rsid w:val="00554A7B"/>
    <w:rsid w:val="0055572C"/>
    <w:rsid w:val="0056064F"/>
    <w:rsid w:val="005610E3"/>
    <w:rsid w:val="00561B84"/>
    <w:rsid w:val="0056622A"/>
    <w:rsid w:val="00571D98"/>
    <w:rsid w:val="005720AE"/>
    <w:rsid w:val="00577557"/>
    <w:rsid w:val="0058030D"/>
    <w:rsid w:val="00582045"/>
    <w:rsid w:val="00590AE3"/>
    <w:rsid w:val="005913EC"/>
    <w:rsid w:val="00591530"/>
    <w:rsid w:val="005918F1"/>
    <w:rsid w:val="00591FEC"/>
    <w:rsid w:val="00592AED"/>
    <w:rsid w:val="005A06B7"/>
    <w:rsid w:val="005A1759"/>
    <w:rsid w:val="005A7B27"/>
    <w:rsid w:val="005A7EE7"/>
    <w:rsid w:val="005B56F8"/>
    <w:rsid w:val="005B6FA0"/>
    <w:rsid w:val="005D0369"/>
    <w:rsid w:val="005D2935"/>
    <w:rsid w:val="005D53FE"/>
    <w:rsid w:val="005D7A0F"/>
    <w:rsid w:val="005E0438"/>
    <w:rsid w:val="005E0959"/>
    <w:rsid w:val="005E0AA6"/>
    <w:rsid w:val="005E1791"/>
    <w:rsid w:val="005E2CE6"/>
    <w:rsid w:val="005E31AB"/>
    <w:rsid w:val="005E4F97"/>
    <w:rsid w:val="005E6324"/>
    <w:rsid w:val="005F228B"/>
    <w:rsid w:val="005F29CD"/>
    <w:rsid w:val="005F4DFB"/>
    <w:rsid w:val="005F6CC0"/>
    <w:rsid w:val="00603E5B"/>
    <w:rsid w:val="00604BC8"/>
    <w:rsid w:val="006130F9"/>
    <w:rsid w:val="006143E5"/>
    <w:rsid w:val="00615B4C"/>
    <w:rsid w:val="00615B5D"/>
    <w:rsid w:val="0061631B"/>
    <w:rsid w:val="00620ECB"/>
    <w:rsid w:val="0062146F"/>
    <w:rsid w:val="0063134F"/>
    <w:rsid w:val="006343AF"/>
    <w:rsid w:val="0063634A"/>
    <w:rsid w:val="0064250D"/>
    <w:rsid w:val="006535EB"/>
    <w:rsid w:val="00660E12"/>
    <w:rsid w:val="00663016"/>
    <w:rsid w:val="00673A32"/>
    <w:rsid w:val="00674605"/>
    <w:rsid w:val="006748B8"/>
    <w:rsid w:val="0068010D"/>
    <w:rsid w:val="0068535B"/>
    <w:rsid w:val="0068736E"/>
    <w:rsid w:val="0069290A"/>
    <w:rsid w:val="00693D49"/>
    <w:rsid w:val="00695FBC"/>
    <w:rsid w:val="00697032"/>
    <w:rsid w:val="006975AC"/>
    <w:rsid w:val="0069775C"/>
    <w:rsid w:val="00697B39"/>
    <w:rsid w:val="006A04EA"/>
    <w:rsid w:val="006A15FB"/>
    <w:rsid w:val="006A72BF"/>
    <w:rsid w:val="006B332A"/>
    <w:rsid w:val="006B33BD"/>
    <w:rsid w:val="006B6C6D"/>
    <w:rsid w:val="006C1D2C"/>
    <w:rsid w:val="006C3F75"/>
    <w:rsid w:val="006D170E"/>
    <w:rsid w:val="006D6FF7"/>
    <w:rsid w:val="006E06AF"/>
    <w:rsid w:val="006E0F6C"/>
    <w:rsid w:val="006F1789"/>
    <w:rsid w:val="006F3E2B"/>
    <w:rsid w:val="006F59BD"/>
    <w:rsid w:val="006F630C"/>
    <w:rsid w:val="00704336"/>
    <w:rsid w:val="00706C5D"/>
    <w:rsid w:val="007118E6"/>
    <w:rsid w:val="007119B5"/>
    <w:rsid w:val="00712ADD"/>
    <w:rsid w:val="007225C9"/>
    <w:rsid w:val="00730A25"/>
    <w:rsid w:val="00735CD7"/>
    <w:rsid w:val="007421A8"/>
    <w:rsid w:val="00750F67"/>
    <w:rsid w:val="00754034"/>
    <w:rsid w:val="00754BF1"/>
    <w:rsid w:val="00755A30"/>
    <w:rsid w:val="00755E1C"/>
    <w:rsid w:val="00756556"/>
    <w:rsid w:val="007604D0"/>
    <w:rsid w:val="0076132B"/>
    <w:rsid w:val="0076157E"/>
    <w:rsid w:val="007623AE"/>
    <w:rsid w:val="00770B19"/>
    <w:rsid w:val="00774FA0"/>
    <w:rsid w:val="00775B96"/>
    <w:rsid w:val="0077616F"/>
    <w:rsid w:val="00776620"/>
    <w:rsid w:val="00777B6D"/>
    <w:rsid w:val="00784855"/>
    <w:rsid w:val="00784F39"/>
    <w:rsid w:val="0078545C"/>
    <w:rsid w:val="007906C4"/>
    <w:rsid w:val="007940EA"/>
    <w:rsid w:val="007964A5"/>
    <w:rsid w:val="007967E8"/>
    <w:rsid w:val="007A4750"/>
    <w:rsid w:val="007A63F2"/>
    <w:rsid w:val="007B5F2D"/>
    <w:rsid w:val="007B68DE"/>
    <w:rsid w:val="007C06A3"/>
    <w:rsid w:val="007C0887"/>
    <w:rsid w:val="007C1857"/>
    <w:rsid w:val="007C514F"/>
    <w:rsid w:val="007C717F"/>
    <w:rsid w:val="007D0F95"/>
    <w:rsid w:val="007D2C17"/>
    <w:rsid w:val="007D603D"/>
    <w:rsid w:val="007D7ECB"/>
    <w:rsid w:val="007E1AA8"/>
    <w:rsid w:val="007E25A1"/>
    <w:rsid w:val="007E4BD2"/>
    <w:rsid w:val="007E7145"/>
    <w:rsid w:val="007F385C"/>
    <w:rsid w:val="007F3916"/>
    <w:rsid w:val="00801179"/>
    <w:rsid w:val="00802479"/>
    <w:rsid w:val="00805372"/>
    <w:rsid w:val="00805B7B"/>
    <w:rsid w:val="0081293E"/>
    <w:rsid w:val="00814FFB"/>
    <w:rsid w:val="00820568"/>
    <w:rsid w:val="00821EEC"/>
    <w:rsid w:val="00825B9D"/>
    <w:rsid w:val="00826E32"/>
    <w:rsid w:val="00831A80"/>
    <w:rsid w:val="008332C8"/>
    <w:rsid w:val="00833743"/>
    <w:rsid w:val="008340A4"/>
    <w:rsid w:val="00836799"/>
    <w:rsid w:val="00837028"/>
    <w:rsid w:val="00837131"/>
    <w:rsid w:val="008402EC"/>
    <w:rsid w:val="00842BC6"/>
    <w:rsid w:val="00844862"/>
    <w:rsid w:val="00845F57"/>
    <w:rsid w:val="008521E0"/>
    <w:rsid w:val="008525B0"/>
    <w:rsid w:val="00861204"/>
    <w:rsid w:val="00867CBC"/>
    <w:rsid w:val="00875F91"/>
    <w:rsid w:val="00876C30"/>
    <w:rsid w:val="00876DBA"/>
    <w:rsid w:val="00877017"/>
    <w:rsid w:val="008773C0"/>
    <w:rsid w:val="00880364"/>
    <w:rsid w:val="00886C4C"/>
    <w:rsid w:val="0088711C"/>
    <w:rsid w:val="00892E6B"/>
    <w:rsid w:val="00892ECF"/>
    <w:rsid w:val="00892F06"/>
    <w:rsid w:val="00894285"/>
    <w:rsid w:val="008A40AE"/>
    <w:rsid w:val="008A450C"/>
    <w:rsid w:val="008A4E19"/>
    <w:rsid w:val="008A67C5"/>
    <w:rsid w:val="008B22E1"/>
    <w:rsid w:val="008B3C78"/>
    <w:rsid w:val="008B4AE9"/>
    <w:rsid w:val="008B7A7E"/>
    <w:rsid w:val="008C30AD"/>
    <w:rsid w:val="008C3CB1"/>
    <w:rsid w:val="008D068E"/>
    <w:rsid w:val="008D0EC9"/>
    <w:rsid w:val="008D0F7A"/>
    <w:rsid w:val="008D63BE"/>
    <w:rsid w:val="008E0CFF"/>
    <w:rsid w:val="008E5D6B"/>
    <w:rsid w:val="008E689B"/>
    <w:rsid w:val="008E76F0"/>
    <w:rsid w:val="008F15FE"/>
    <w:rsid w:val="008F2A94"/>
    <w:rsid w:val="008F5187"/>
    <w:rsid w:val="008F6B03"/>
    <w:rsid w:val="008F709C"/>
    <w:rsid w:val="0090312B"/>
    <w:rsid w:val="00904961"/>
    <w:rsid w:val="00904B9B"/>
    <w:rsid w:val="009076F3"/>
    <w:rsid w:val="00911E67"/>
    <w:rsid w:val="0091736D"/>
    <w:rsid w:val="00924B69"/>
    <w:rsid w:val="00931001"/>
    <w:rsid w:val="00931863"/>
    <w:rsid w:val="00933065"/>
    <w:rsid w:val="00933524"/>
    <w:rsid w:val="0094278D"/>
    <w:rsid w:val="009479BB"/>
    <w:rsid w:val="0095308A"/>
    <w:rsid w:val="00955AEE"/>
    <w:rsid w:val="00956C53"/>
    <w:rsid w:val="00956F14"/>
    <w:rsid w:val="009620FD"/>
    <w:rsid w:val="0096247A"/>
    <w:rsid w:val="00965F4B"/>
    <w:rsid w:val="00970C19"/>
    <w:rsid w:val="00970F8A"/>
    <w:rsid w:val="009715E2"/>
    <w:rsid w:val="00971FB5"/>
    <w:rsid w:val="00972D2A"/>
    <w:rsid w:val="00973FB8"/>
    <w:rsid w:val="00975CC5"/>
    <w:rsid w:val="00976328"/>
    <w:rsid w:val="00976B4E"/>
    <w:rsid w:val="00984458"/>
    <w:rsid w:val="00985283"/>
    <w:rsid w:val="00987322"/>
    <w:rsid w:val="00991C03"/>
    <w:rsid w:val="00993F69"/>
    <w:rsid w:val="009A0F3B"/>
    <w:rsid w:val="009A4826"/>
    <w:rsid w:val="009A72C7"/>
    <w:rsid w:val="009B0897"/>
    <w:rsid w:val="009B1B73"/>
    <w:rsid w:val="009B7A9E"/>
    <w:rsid w:val="009C0B61"/>
    <w:rsid w:val="009D0852"/>
    <w:rsid w:val="009D1FBF"/>
    <w:rsid w:val="009E399C"/>
    <w:rsid w:val="009E43C1"/>
    <w:rsid w:val="009E5347"/>
    <w:rsid w:val="009E7E95"/>
    <w:rsid w:val="009F116F"/>
    <w:rsid w:val="009F329E"/>
    <w:rsid w:val="009F7ED3"/>
    <w:rsid w:val="00A02D00"/>
    <w:rsid w:val="00A03602"/>
    <w:rsid w:val="00A03607"/>
    <w:rsid w:val="00A047FF"/>
    <w:rsid w:val="00A04FEF"/>
    <w:rsid w:val="00A122CD"/>
    <w:rsid w:val="00A12A32"/>
    <w:rsid w:val="00A14248"/>
    <w:rsid w:val="00A14947"/>
    <w:rsid w:val="00A23DC5"/>
    <w:rsid w:val="00A34028"/>
    <w:rsid w:val="00A35568"/>
    <w:rsid w:val="00A37056"/>
    <w:rsid w:val="00A408B2"/>
    <w:rsid w:val="00A41695"/>
    <w:rsid w:val="00A4358F"/>
    <w:rsid w:val="00A46F67"/>
    <w:rsid w:val="00A51B41"/>
    <w:rsid w:val="00A54AA1"/>
    <w:rsid w:val="00A568FF"/>
    <w:rsid w:val="00A601FF"/>
    <w:rsid w:val="00A61496"/>
    <w:rsid w:val="00A61833"/>
    <w:rsid w:val="00A624C6"/>
    <w:rsid w:val="00A63CEC"/>
    <w:rsid w:val="00A7031E"/>
    <w:rsid w:val="00A728B1"/>
    <w:rsid w:val="00A755E9"/>
    <w:rsid w:val="00A763DE"/>
    <w:rsid w:val="00A803D6"/>
    <w:rsid w:val="00A81282"/>
    <w:rsid w:val="00A8713F"/>
    <w:rsid w:val="00A91167"/>
    <w:rsid w:val="00A9171C"/>
    <w:rsid w:val="00A92FFD"/>
    <w:rsid w:val="00A95975"/>
    <w:rsid w:val="00A96CA1"/>
    <w:rsid w:val="00A9708D"/>
    <w:rsid w:val="00AA2C17"/>
    <w:rsid w:val="00AA4172"/>
    <w:rsid w:val="00AA659C"/>
    <w:rsid w:val="00AA70FC"/>
    <w:rsid w:val="00AB0ECB"/>
    <w:rsid w:val="00AB1914"/>
    <w:rsid w:val="00AB343F"/>
    <w:rsid w:val="00AB5330"/>
    <w:rsid w:val="00AB7747"/>
    <w:rsid w:val="00AB7A64"/>
    <w:rsid w:val="00AC2532"/>
    <w:rsid w:val="00AC4085"/>
    <w:rsid w:val="00AD1507"/>
    <w:rsid w:val="00AD5A70"/>
    <w:rsid w:val="00AD738B"/>
    <w:rsid w:val="00AE1BF4"/>
    <w:rsid w:val="00AE5D97"/>
    <w:rsid w:val="00AE6794"/>
    <w:rsid w:val="00B01110"/>
    <w:rsid w:val="00B02262"/>
    <w:rsid w:val="00B03CEC"/>
    <w:rsid w:val="00B05904"/>
    <w:rsid w:val="00B059EF"/>
    <w:rsid w:val="00B1209F"/>
    <w:rsid w:val="00B12AD0"/>
    <w:rsid w:val="00B14320"/>
    <w:rsid w:val="00B24F30"/>
    <w:rsid w:val="00B31ABF"/>
    <w:rsid w:val="00B335AE"/>
    <w:rsid w:val="00B37CE1"/>
    <w:rsid w:val="00B40ACF"/>
    <w:rsid w:val="00B46BAA"/>
    <w:rsid w:val="00B50B5F"/>
    <w:rsid w:val="00B54128"/>
    <w:rsid w:val="00B55826"/>
    <w:rsid w:val="00B56E19"/>
    <w:rsid w:val="00B60426"/>
    <w:rsid w:val="00B608C9"/>
    <w:rsid w:val="00B622DD"/>
    <w:rsid w:val="00B62E4B"/>
    <w:rsid w:val="00B63522"/>
    <w:rsid w:val="00B63D11"/>
    <w:rsid w:val="00B76F1D"/>
    <w:rsid w:val="00B77A13"/>
    <w:rsid w:val="00B80D10"/>
    <w:rsid w:val="00B820A5"/>
    <w:rsid w:val="00B862BF"/>
    <w:rsid w:val="00B92A19"/>
    <w:rsid w:val="00B9544C"/>
    <w:rsid w:val="00BA29E9"/>
    <w:rsid w:val="00BA5485"/>
    <w:rsid w:val="00BB3618"/>
    <w:rsid w:val="00BC0C9E"/>
    <w:rsid w:val="00BC2937"/>
    <w:rsid w:val="00BC32DC"/>
    <w:rsid w:val="00BD00C1"/>
    <w:rsid w:val="00BD1B51"/>
    <w:rsid w:val="00BD47F6"/>
    <w:rsid w:val="00BE205E"/>
    <w:rsid w:val="00BE312D"/>
    <w:rsid w:val="00BE3FCA"/>
    <w:rsid w:val="00C05719"/>
    <w:rsid w:val="00C10578"/>
    <w:rsid w:val="00C14658"/>
    <w:rsid w:val="00C17D62"/>
    <w:rsid w:val="00C21EB0"/>
    <w:rsid w:val="00C21FDC"/>
    <w:rsid w:val="00C2487A"/>
    <w:rsid w:val="00C24EE7"/>
    <w:rsid w:val="00C2596A"/>
    <w:rsid w:val="00C271BE"/>
    <w:rsid w:val="00C27425"/>
    <w:rsid w:val="00C328FE"/>
    <w:rsid w:val="00C3319F"/>
    <w:rsid w:val="00C33A05"/>
    <w:rsid w:val="00C3484E"/>
    <w:rsid w:val="00C3726E"/>
    <w:rsid w:val="00C416AA"/>
    <w:rsid w:val="00C42500"/>
    <w:rsid w:val="00C4409D"/>
    <w:rsid w:val="00C455BE"/>
    <w:rsid w:val="00C51E5F"/>
    <w:rsid w:val="00C528D4"/>
    <w:rsid w:val="00C5688E"/>
    <w:rsid w:val="00C61E4B"/>
    <w:rsid w:val="00C62E3A"/>
    <w:rsid w:val="00C64503"/>
    <w:rsid w:val="00C64A1F"/>
    <w:rsid w:val="00C64BFF"/>
    <w:rsid w:val="00C763C9"/>
    <w:rsid w:val="00C80057"/>
    <w:rsid w:val="00C82C79"/>
    <w:rsid w:val="00C84753"/>
    <w:rsid w:val="00C8523B"/>
    <w:rsid w:val="00C91611"/>
    <w:rsid w:val="00C9196E"/>
    <w:rsid w:val="00C95748"/>
    <w:rsid w:val="00CA3585"/>
    <w:rsid w:val="00CA3D5A"/>
    <w:rsid w:val="00CA4C7C"/>
    <w:rsid w:val="00CB0183"/>
    <w:rsid w:val="00CB1EA3"/>
    <w:rsid w:val="00CB552C"/>
    <w:rsid w:val="00CB6A9E"/>
    <w:rsid w:val="00CB77BE"/>
    <w:rsid w:val="00CC0B88"/>
    <w:rsid w:val="00CC6181"/>
    <w:rsid w:val="00CD2BCD"/>
    <w:rsid w:val="00CD36AA"/>
    <w:rsid w:val="00CD3791"/>
    <w:rsid w:val="00CD65B0"/>
    <w:rsid w:val="00CE02CD"/>
    <w:rsid w:val="00CE10E9"/>
    <w:rsid w:val="00D0072E"/>
    <w:rsid w:val="00D14E6E"/>
    <w:rsid w:val="00D15727"/>
    <w:rsid w:val="00D16332"/>
    <w:rsid w:val="00D1725D"/>
    <w:rsid w:val="00D24972"/>
    <w:rsid w:val="00D2515E"/>
    <w:rsid w:val="00D308ED"/>
    <w:rsid w:val="00D3231A"/>
    <w:rsid w:val="00D56178"/>
    <w:rsid w:val="00D56CF0"/>
    <w:rsid w:val="00D56F5C"/>
    <w:rsid w:val="00D704B1"/>
    <w:rsid w:val="00D70B63"/>
    <w:rsid w:val="00D72179"/>
    <w:rsid w:val="00D72B92"/>
    <w:rsid w:val="00D72ED4"/>
    <w:rsid w:val="00D73F61"/>
    <w:rsid w:val="00D754C0"/>
    <w:rsid w:val="00D776A2"/>
    <w:rsid w:val="00D801C4"/>
    <w:rsid w:val="00D8405B"/>
    <w:rsid w:val="00D90836"/>
    <w:rsid w:val="00D95896"/>
    <w:rsid w:val="00D95CC6"/>
    <w:rsid w:val="00D96FEF"/>
    <w:rsid w:val="00DA2DA3"/>
    <w:rsid w:val="00DA6615"/>
    <w:rsid w:val="00DA76AE"/>
    <w:rsid w:val="00DB181E"/>
    <w:rsid w:val="00DB1C7A"/>
    <w:rsid w:val="00DB2983"/>
    <w:rsid w:val="00DB343D"/>
    <w:rsid w:val="00DB5579"/>
    <w:rsid w:val="00DB5CFE"/>
    <w:rsid w:val="00DB7301"/>
    <w:rsid w:val="00DC24AD"/>
    <w:rsid w:val="00DC72A6"/>
    <w:rsid w:val="00DD2113"/>
    <w:rsid w:val="00DD265E"/>
    <w:rsid w:val="00DE1B7F"/>
    <w:rsid w:val="00DE53DC"/>
    <w:rsid w:val="00DF1930"/>
    <w:rsid w:val="00DF514A"/>
    <w:rsid w:val="00E01839"/>
    <w:rsid w:val="00E0358D"/>
    <w:rsid w:val="00E06327"/>
    <w:rsid w:val="00E14AA2"/>
    <w:rsid w:val="00E14E23"/>
    <w:rsid w:val="00E16FE2"/>
    <w:rsid w:val="00E2064B"/>
    <w:rsid w:val="00E242FC"/>
    <w:rsid w:val="00E25239"/>
    <w:rsid w:val="00E265B1"/>
    <w:rsid w:val="00E275B0"/>
    <w:rsid w:val="00E325B3"/>
    <w:rsid w:val="00E412D0"/>
    <w:rsid w:val="00E47CDB"/>
    <w:rsid w:val="00E537ED"/>
    <w:rsid w:val="00E566BC"/>
    <w:rsid w:val="00E60982"/>
    <w:rsid w:val="00E60C8D"/>
    <w:rsid w:val="00E6162F"/>
    <w:rsid w:val="00E6311B"/>
    <w:rsid w:val="00E65D97"/>
    <w:rsid w:val="00E67EFD"/>
    <w:rsid w:val="00E702DC"/>
    <w:rsid w:val="00E71FFB"/>
    <w:rsid w:val="00E76D1D"/>
    <w:rsid w:val="00E806F8"/>
    <w:rsid w:val="00E8214F"/>
    <w:rsid w:val="00E8288C"/>
    <w:rsid w:val="00E839F8"/>
    <w:rsid w:val="00E87752"/>
    <w:rsid w:val="00E8793B"/>
    <w:rsid w:val="00E90F81"/>
    <w:rsid w:val="00E91A6D"/>
    <w:rsid w:val="00E9242D"/>
    <w:rsid w:val="00E962BC"/>
    <w:rsid w:val="00EB041C"/>
    <w:rsid w:val="00EB7291"/>
    <w:rsid w:val="00EB7B9B"/>
    <w:rsid w:val="00EC5874"/>
    <w:rsid w:val="00ED192D"/>
    <w:rsid w:val="00ED30B4"/>
    <w:rsid w:val="00ED31F5"/>
    <w:rsid w:val="00ED6FD8"/>
    <w:rsid w:val="00EF2759"/>
    <w:rsid w:val="00EF45EB"/>
    <w:rsid w:val="00EF5099"/>
    <w:rsid w:val="00EF5B16"/>
    <w:rsid w:val="00EF5E33"/>
    <w:rsid w:val="00F00075"/>
    <w:rsid w:val="00F07822"/>
    <w:rsid w:val="00F15C95"/>
    <w:rsid w:val="00F16AB9"/>
    <w:rsid w:val="00F22985"/>
    <w:rsid w:val="00F241AB"/>
    <w:rsid w:val="00F308E2"/>
    <w:rsid w:val="00F31382"/>
    <w:rsid w:val="00F33238"/>
    <w:rsid w:val="00F35829"/>
    <w:rsid w:val="00F40839"/>
    <w:rsid w:val="00F42868"/>
    <w:rsid w:val="00F465A7"/>
    <w:rsid w:val="00F50B7C"/>
    <w:rsid w:val="00F5202D"/>
    <w:rsid w:val="00F52CF6"/>
    <w:rsid w:val="00F54496"/>
    <w:rsid w:val="00F61097"/>
    <w:rsid w:val="00F74345"/>
    <w:rsid w:val="00F74441"/>
    <w:rsid w:val="00F77F30"/>
    <w:rsid w:val="00F82589"/>
    <w:rsid w:val="00F82B19"/>
    <w:rsid w:val="00F846BA"/>
    <w:rsid w:val="00F90AA7"/>
    <w:rsid w:val="00F9212D"/>
    <w:rsid w:val="00FA301A"/>
    <w:rsid w:val="00FA406A"/>
    <w:rsid w:val="00FA5CB6"/>
    <w:rsid w:val="00FB07D6"/>
    <w:rsid w:val="00FC66AC"/>
    <w:rsid w:val="00FD18F4"/>
    <w:rsid w:val="00FD74B4"/>
    <w:rsid w:val="00FE0E92"/>
    <w:rsid w:val="00FE73DE"/>
    <w:rsid w:val="00FF2204"/>
    <w:rsid w:val="00FF26E1"/>
    <w:rsid w:val="00FF6FCE"/>
    <w:rsid w:val="00FF7518"/>
    <w:rsid w:val="00FF7FD8"/>
    <w:rsid w:val="01025625"/>
    <w:rsid w:val="010A3464"/>
    <w:rsid w:val="010C3ADF"/>
    <w:rsid w:val="010D7DD7"/>
    <w:rsid w:val="01141165"/>
    <w:rsid w:val="01176EA7"/>
    <w:rsid w:val="012A0989"/>
    <w:rsid w:val="01510884"/>
    <w:rsid w:val="016D4D19"/>
    <w:rsid w:val="017D1AFD"/>
    <w:rsid w:val="0181458A"/>
    <w:rsid w:val="018856AF"/>
    <w:rsid w:val="018C0765"/>
    <w:rsid w:val="01A324E9"/>
    <w:rsid w:val="01AF736E"/>
    <w:rsid w:val="01B42948"/>
    <w:rsid w:val="01B62E2C"/>
    <w:rsid w:val="01CF5159"/>
    <w:rsid w:val="01D31873"/>
    <w:rsid w:val="01E75CDB"/>
    <w:rsid w:val="01EF572E"/>
    <w:rsid w:val="01F14C2A"/>
    <w:rsid w:val="01F46C6A"/>
    <w:rsid w:val="01FB2325"/>
    <w:rsid w:val="020C62E0"/>
    <w:rsid w:val="020E3E06"/>
    <w:rsid w:val="022655F4"/>
    <w:rsid w:val="02337D11"/>
    <w:rsid w:val="02405A0D"/>
    <w:rsid w:val="025811AF"/>
    <w:rsid w:val="02707F17"/>
    <w:rsid w:val="027653BD"/>
    <w:rsid w:val="02820350"/>
    <w:rsid w:val="02851BD8"/>
    <w:rsid w:val="0292348F"/>
    <w:rsid w:val="02AD13D9"/>
    <w:rsid w:val="02AF6C05"/>
    <w:rsid w:val="02B52A48"/>
    <w:rsid w:val="02CA5022"/>
    <w:rsid w:val="02DF57A3"/>
    <w:rsid w:val="03036374"/>
    <w:rsid w:val="0314369E"/>
    <w:rsid w:val="031C69F7"/>
    <w:rsid w:val="031D7830"/>
    <w:rsid w:val="03245DB2"/>
    <w:rsid w:val="0332621A"/>
    <w:rsid w:val="034E1DBA"/>
    <w:rsid w:val="034F5D29"/>
    <w:rsid w:val="03525F75"/>
    <w:rsid w:val="03722143"/>
    <w:rsid w:val="037C6C4B"/>
    <w:rsid w:val="039268A9"/>
    <w:rsid w:val="039B087C"/>
    <w:rsid w:val="039B3DC0"/>
    <w:rsid w:val="03A964DC"/>
    <w:rsid w:val="03B804CE"/>
    <w:rsid w:val="03C86237"/>
    <w:rsid w:val="03E06F1D"/>
    <w:rsid w:val="03E43FA7"/>
    <w:rsid w:val="03EE0393"/>
    <w:rsid w:val="03F45D7F"/>
    <w:rsid w:val="03FB03BA"/>
    <w:rsid w:val="0409052E"/>
    <w:rsid w:val="040A1242"/>
    <w:rsid w:val="041871BE"/>
    <w:rsid w:val="04191ABA"/>
    <w:rsid w:val="04234F58"/>
    <w:rsid w:val="04300633"/>
    <w:rsid w:val="0438160E"/>
    <w:rsid w:val="043D242C"/>
    <w:rsid w:val="044E498E"/>
    <w:rsid w:val="045102C3"/>
    <w:rsid w:val="04575C41"/>
    <w:rsid w:val="04717BA9"/>
    <w:rsid w:val="04AC2254"/>
    <w:rsid w:val="04C6374F"/>
    <w:rsid w:val="04E15802"/>
    <w:rsid w:val="04EB6681"/>
    <w:rsid w:val="04F41EFB"/>
    <w:rsid w:val="04F83355"/>
    <w:rsid w:val="05045912"/>
    <w:rsid w:val="050E43BF"/>
    <w:rsid w:val="05121E5F"/>
    <w:rsid w:val="052120A3"/>
    <w:rsid w:val="052D4EEB"/>
    <w:rsid w:val="0548762F"/>
    <w:rsid w:val="05542478"/>
    <w:rsid w:val="056B77C2"/>
    <w:rsid w:val="056E36D4"/>
    <w:rsid w:val="05705DB7"/>
    <w:rsid w:val="05742AC8"/>
    <w:rsid w:val="0577196F"/>
    <w:rsid w:val="05776166"/>
    <w:rsid w:val="0584418A"/>
    <w:rsid w:val="05B74771"/>
    <w:rsid w:val="05BD613B"/>
    <w:rsid w:val="05C82A29"/>
    <w:rsid w:val="05EE467B"/>
    <w:rsid w:val="06007623"/>
    <w:rsid w:val="060A2B37"/>
    <w:rsid w:val="06277ED4"/>
    <w:rsid w:val="062B48CF"/>
    <w:rsid w:val="06316315"/>
    <w:rsid w:val="06352F05"/>
    <w:rsid w:val="0639166E"/>
    <w:rsid w:val="063E7D85"/>
    <w:rsid w:val="065A1D10"/>
    <w:rsid w:val="066C1A43"/>
    <w:rsid w:val="067642A4"/>
    <w:rsid w:val="06783F44"/>
    <w:rsid w:val="067C6A21"/>
    <w:rsid w:val="068C5093"/>
    <w:rsid w:val="069A210C"/>
    <w:rsid w:val="06A765D7"/>
    <w:rsid w:val="06AC65AF"/>
    <w:rsid w:val="06BC0F70"/>
    <w:rsid w:val="06CC603E"/>
    <w:rsid w:val="06D867B3"/>
    <w:rsid w:val="06E72CB0"/>
    <w:rsid w:val="06F7130D"/>
    <w:rsid w:val="07084972"/>
    <w:rsid w:val="070875E0"/>
    <w:rsid w:val="071719AF"/>
    <w:rsid w:val="07293586"/>
    <w:rsid w:val="07295285"/>
    <w:rsid w:val="0735742F"/>
    <w:rsid w:val="0749236A"/>
    <w:rsid w:val="07680AEA"/>
    <w:rsid w:val="07770C56"/>
    <w:rsid w:val="07794418"/>
    <w:rsid w:val="07854B6B"/>
    <w:rsid w:val="078D6F37"/>
    <w:rsid w:val="079F0AA0"/>
    <w:rsid w:val="07B83CFD"/>
    <w:rsid w:val="07C600D1"/>
    <w:rsid w:val="07CF5DE6"/>
    <w:rsid w:val="07D94835"/>
    <w:rsid w:val="07E21FBD"/>
    <w:rsid w:val="07EC6298"/>
    <w:rsid w:val="07ED0240"/>
    <w:rsid w:val="07F341CA"/>
    <w:rsid w:val="07F4584C"/>
    <w:rsid w:val="08044AD5"/>
    <w:rsid w:val="080F704F"/>
    <w:rsid w:val="08230990"/>
    <w:rsid w:val="083A10B9"/>
    <w:rsid w:val="083B788B"/>
    <w:rsid w:val="084408D6"/>
    <w:rsid w:val="08567150"/>
    <w:rsid w:val="085A5FF7"/>
    <w:rsid w:val="088F5575"/>
    <w:rsid w:val="08A9103C"/>
    <w:rsid w:val="08AF3CFA"/>
    <w:rsid w:val="08CE0793"/>
    <w:rsid w:val="08CE609D"/>
    <w:rsid w:val="08D00E36"/>
    <w:rsid w:val="08E05A5D"/>
    <w:rsid w:val="08F21CF9"/>
    <w:rsid w:val="091F4B4B"/>
    <w:rsid w:val="092217DD"/>
    <w:rsid w:val="0926412B"/>
    <w:rsid w:val="092C1460"/>
    <w:rsid w:val="09320D22"/>
    <w:rsid w:val="09385C0D"/>
    <w:rsid w:val="093A7294"/>
    <w:rsid w:val="0945406E"/>
    <w:rsid w:val="09727371"/>
    <w:rsid w:val="09842C00"/>
    <w:rsid w:val="09A236BF"/>
    <w:rsid w:val="09BA02A1"/>
    <w:rsid w:val="09C55650"/>
    <w:rsid w:val="0A1C108A"/>
    <w:rsid w:val="0A377A8F"/>
    <w:rsid w:val="0A5F7DCC"/>
    <w:rsid w:val="0A60769D"/>
    <w:rsid w:val="0A6C7BC0"/>
    <w:rsid w:val="0A6F38B0"/>
    <w:rsid w:val="0A7A32A8"/>
    <w:rsid w:val="0A7E1D45"/>
    <w:rsid w:val="0A801619"/>
    <w:rsid w:val="0A8A45F1"/>
    <w:rsid w:val="0A901DFD"/>
    <w:rsid w:val="0A9357F1"/>
    <w:rsid w:val="0A936B58"/>
    <w:rsid w:val="0A951569"/>
    <w:rsid w:val="0AA5064D"/>
    <w:rsid w:val="0AAD755F"/>
    <w:rsid w:val="0AAE43D8"/>
    <w:rsid w:val="0AB319EF"/>
    <w:rsid w:val="0AB45767"/>
    <w:rsid w:val="0ACE05D7"/>
    <w:rsid w:val="0AE222D4"/>
    <w:rsid w:val="0AE61AEF"/>
    <w:rsid w:val="0B0E1FDD"/>
    <w:rsid w:val="0B1A6C98"/>
    <w:rsid w:val="0B1C0AEA"/>
    <w:rsid w:val="0B3A06A9"/>
    <w:rsid w:val="0B3B3792"/>
    <w:rsid w:val="0B3E5FBA"/>
    <w:rsid w:val="0B436C9C"/>
    <w:rsid w:val="0B490912"/>
    <w:rsid w:val="0B5A630E"/>
    <w:rsid w:val="0B610821"/>
    <w:rsid w:val="0B863C62"/>
    <w:rsid w:val="0B8B64C8"/>
    <w:rsid w:val="0B9510F4"/>
    <w:rsid w:val="0B9628F8"/>
    <w:rsid w:val="0B9D6D88"/>
    <w:rsid w:val="0BA13F4A"/>
    <w:rsid w:val="0BB91287"/>
    <w:rsid w:val="0BC83278"/>
    <w:rsid w:val="0BC90E28"/>
    <w:rsid w:val="0BD27BF6"/>
    <w:rsid w:val="0BDA11FD"/>
    <w:rsid w:val="0BE45BC4"/>
    <w:rsid w:val="0C033E63"/>
    <w:rsid w:val="0C1141B1"/>
    <w:rsid w:val="0C134F7E"/>
    <w:rsid w:val="0C272694"/>
    <w:rsid w:val="0C2C2F68"/>
    <w:rsid w:val="0C6A379C"/>
    <w:rsid w:val="0C6C00A7"/>
    <w:rsid w:val="0C797D50"/>
    <w:rsid w:val="0C8A49D1"/>
    <w:rsid w:val="0C8C24F7"/>
    <w:rsid w:val="0CB722F5"/>
    <w:rsid w:val="0CC55A09"/>
    <w:rsid w:val="0CD0362A"/>
    <w:rsid w:val="0CD55045"/>
    <w:rsid w:val="0CE916F8"/>
    <w:rsid w:val="0CF06F2A"/>
    <w:rsid w:val="0CFF6D29"/>
    <w:rsid w:val="0D0A4DDC"/>
    <w:rsid w:val="0D0C3638"/>
    <w:rsid w:val="0D103128"/>
    <w:rsid w:val="0D116EA1"/>
    <w:rsid w:val="0D1733CB"/>
    <w:rsid w:val="0D1B7D7B"/>
    <w:rsid w:val="0D2512DC"/>
    <w:rsid w:val="0D272220"/>
    <w:rsid w:val="0D2B3FF3"/>
    <w:rsid w:val="0D5E3267"/>
    <w:rsid w:val="0D682563"/>
    <w:rsid w:val="0D6B4803"/>
    <w:rsid w:val="0D7C3B01"/>
    <w:rsid w:val="0D8633EB"/>
    <w:rsid w:val="0D8A64FB"/>
    <w:rsid w:val="0D8D2673"/>
    <w:rsid w:val="0DA23FE2"/>
    <w:rsid w:val="0DA33F9D"/>
    <w:rsid w:val="0DBE0DD6"/>
    <w:rsid w:val="0DCD726B"/>
    <w:rsid w:val="0DE255F7"/>
    <w:rsid w:val="0DFB0EEC"/>
    <w:rsid w:val="0E110D06"/>
    <w:rsid w:val="0E15651D"/>
    <w:rsid w:val="0E1A3B33"/>
    <w:rsid w:val="0E4D5CB6"/>
    <w:rsid w:val="0E5352C3"/>
    <w:rsid w:val="0E581D00"/>
    <w:rsid w:val="0E6A6868"/>
    <w:rsid w:val="0E6D6359"/>
    <w:rsid w:val="0E7C47EE"/>
    <w:rsid w:val="0E800256"/>
    <w:rsid w:val="0E835B7C"/>
    <w:rsid w:val="0E875C90"/>
    <w:rsid w:val="0E9438E5"/>
    <w:rsid w:val="0EAD2BF9"/>
    <w:rsid w:val="0EBA3D28"/>
    <w:rsid w:val="0EC95C85"/>
    <w:rsid w:val="0ED525D1"/>
    <w:rsid w:val="0ED800D2"/>
    <w:rsid w:val="0ED818B2"/>
    <w:rsid w:val="0EDD34DE"/>
    <w:rsid w:val="0EE749C6"/>
    <w:rsid w:val="0EEC4678"/>
    <w:rsid w:val="0EFF16A6"/>
    <w:rsid w:val="0F073DDF"/>
    <w:rsid w:val="0F13775A"/>
    <w:rsid w:val="0F192FFD"/>
    <w:rsid w:val="0F1F58A5"/>
    <w:rsid w:val="0F2922CC"/>
    <w:rsid w:val="0F3B6457"/>
    <w:rsid w:val="0F491C79"/>
    <w:rsid w:val="0F5372FC"/>
    <w:rsid w:val="0F9A112B"/>
    <w:rsid w:val="0FA77648"/>
    <w:rsid w:val="0FBD4324"/>
    <w:rsid w:val="1009024C"/>
    <w:rsid w:val="100B45DD"/>
    <w:rsid w:val="100C40A0"/>
    <w:rsid w:val="102173FB"/>
    <w:rsid w:val="10246EEB"/>
    <w:rsid w:val="10286214"/>
    <w:rsid w:val="103C2486"/>
    <w:rsid w:val="103E1D5B"/>
    <w:rsid w:val="1045758D"/>
    <w:rsid w:val="104A6B40"/>
    <w:rsid w:val="104D4694"/>
    <w:rsid w:val="106D2F64"/>
    <w:rsid w:val="107472AF"/>
    <w:rsid w:val="107D4233"/>
    <w:rsid w:val="10854C8B"/>
    <w:rsid w:val="10915F18"/>
    <w:rsid w:val="10936346"/>
    <w:rsid w:val="10A861E6"/>
    <w:rsid w:val="10AA7782"/>
    <w:rsid w:val="10B36C33"/>
    <w:rsid w:val="10B63710"/>
    <w:rsid w:val="10C761F4"/>
    <w:rsid w:val="10DE48CA"/>
    <w:rsid w:val="10E30B54"/>
    <w:rsid w:val="111A3B43"/>
    <w:rsid w:val="111C2F7A"/>
    <w:rsid w:val="113013DE"/>
    <w:rsid w:val="11337864"/>
    <w:rsid w:val="113E4E57"/>
    <w:rsid w:val="114F313B"/>
    <w:rsid w:val="11551A52"/>
    <w:rsid w:val="116422AD"/>
    <w:rsid w:val="1170063A"/>
    <w:rsid w:val="117F262B"/>
    <w:rsid w:val="11800151"/>
    <w:rsid w:val="11845E93"/>
    <w:rsid w:val="119838F5"/>
    <w:rsid w:val="119A0E7F"/>
    <w:rsid w:val="11AA463D"/>
    <w:rsid w:val="11B147AE"/>
    <w:rsid w:val="11BA3663"/>
    <w:rsid w:val="11D566EF"/>
    <w:rsid w:val="11F50B3F"/>
    <w:rsid w:val="12054DD5"/>
    <w:rsid w:val="120F1E04"/>
    <w:rsid w:val="121F5BBC"/>
    <w:rsid w:val="122356AC"/>
    <w:rsid w:val="122B06C2"/>
    <w:rsid w:val="12395518"/>
    <w:rsid w:val="1245309B"/>
    <w:rsid w:val="124675EC"/>
    <w:rsid w:val="124E7C83"/>
    <w:rsid w:val="125A606E"/>
    <w:rsid w:val="125B6DD1"/>
    <w:rsid w:val="125C16B0"/>
    <w:rsid w:val="125D297E"/>
    <w:rsid w:val="12704669"/>
    <w:rsid w:val="127F665A"/>
    <w:rsid w:val="12B1012B"/>
    <w:rsid w:val="12B674BA"/>
    <w:rsid w:val="12BA6738"/>
    <w:rsid w:val="12D2223E"/>
    <w:rsid w:val="12DE51F0"/>
    <w:rsid w:val="12EC6EE1"/>
    <w:rsid w:val="12EC7E23"/>
    <w:rsid w:val="12EF12A4"/>
    <w:rsid w:val="12F25FF2"/>
    <w:rsid w:val="12F40DF6"/>
    <w:rsid w:val="12FC3DBC"/>
    <w:rsid w:val="12FD00AD"/>
    <w:rsid w:val="130B7EEE"/>
    <w:rsid w:val="130C25E4"/>
    <w:rsid w:val="13113756"/>
    <w:rsid w:val="132D1F38"/>
    <w:rsid w:val="13370CE3"/>
    <w:rsid w:val="13385187"/>
    <w:rsid w:val="1340747B"/>
    <w:rsid w:val="13627064"/>
    <w:rsid w:val="136F6EA1"/>
    <w:rsid w:val="1379754E"/>
    <w:rsid w:val="13891875"/>
    <w:rsid w:val="139323BD"/>
    <w:rsid w:val="13951726"/>
    <w:rsid w:val="13954F26"/>
    <w:rsid w:val="139F1F37"/>
    <w:rsid w:val="13AF2F6F"/>
    <w:rsid w:val="13C133CE"/>
    <w:rsid w:val="13D55C3B"/>
    <w:rsid w:val="13E0137B"/>
    <w:rsid w:val="13E1581F"/>
    <w:rsid w:val="13F60B9E"/>
    <w:rsid w:val="1404150D"/>
    <w:rsid w:val="141259D8"/>
    <w:rsid w:val="142F3046"/>
    <w:rsid w:val="14396509"/>
    <w:rsid w:val="1447165C"/>
    <w:rsid w:val="1454110D"/>
    <w:rsid w:val="14641C7C"/>
    <w:rsid w:val="14684D4E"/>
    <w:rsid w:val="146A14F7"/>
    <w:rsid w:val="146E6986"/>
    <w:rsid w:val="147E12BF"/>
    <w:rsid w:val="147E55D3"/>
    <w:rsid w:val="14936873"/>
    <w:rsid w:val="14956609"/>
    <w:rsid w:val="14AC2BA5"/>
    <w:rsid w:val="14AD5701"/>
    <w:rsid w:val="14BD2E06"/>
    <w:rsid w:val="14CA1E1F"/>
    <w:rsid w:val="14EC1F13"/>
    <w:rsid w:val="14F21366"/>
    <w:rsid w:val="14F923B2"/>
    <w:rsid w:val="14FD0846"/>
    <w:rsid w:val="151032C4"/>
    <w:rsid w:val="151F3D97"/>
    <w:rsid w:val="152922EE"/>
    <w:rsid w:val="15292FC5"/>
    <w:rsid w:val="153059CB"/>
    <w:rsid w:val="15412B4F"/>
    <w:rsid w:val="155D0ED5"/>
    <w:rsid w:val="1561245B"/>
    <w:rsid w:val="156C76B7"/>
    <w:rsid w:val="157978DA"/>
    <w:rsid w:val="158E4707"/>
    <w:rsid w:val="158F54FE"/>
    <w:rsid w:val="159914F3"/>
    <w:rsid w:val="159B3EAF"/>
    <w:rsid w:val="15A82B61"/>
    <w:rsid w:val="15AD7F2C"/>
    <w:rsid w:val="15AF6136"/>
    <w:rsid w:val="15BC0979"/>
    <w:rsid w:val="15CA195B"/>
    <w:rsid w:val="15CE3B81"/>
    <w:rsid w:val="15DD3DC4"/>
    <w:rsid w:val="15E40814"/>
    <w:rsid w:val="15EC4007"/>
    <w:rsid w:val="15EF5777"/>
    <w:rsid w:val="15FA6724"/>
    <w:rsid w:val="16007AB2"/>
    <w:rsid w:val="160F07DB"/>
    <w:rsid w:val="16100E5A"/>
    <w:rsid w:val="161A6DC6"/>
    <w:rsid w:val="161B48EC"/>
    <w:rsid w:val="1633527A"/>
    <w:rsid w:val="163A2FC4"/>
    <w:rsid w:val="16440055"/>
    <w:rsid w:val="16563C07"/>
    <w:rsid w:val="165E1285"/>
    <w:rsid w:val="168D4AF4"/>
    <w:rsid w:val="1697220B"/>
    <w:rsid w:val="16B17C2B"/>
    <w:rsid w:val="16C876C0"/>
    <w:rsid w:val="16DE4297"/>
    <w:rsid w:val="16E3540A"/>
    <w:rsid w:val="16EB239B"/>
    <w:rsid w:val="170B3FA4"/>
    <w:rsid w:val="170F26A3"/>
    <w:rsid w:val="171862D1"/>
    <w:rsid w:val="171A491F"/>
    <w:rsid w:val="172249FA"/>
    <w:rsid w:val="17242B35"/>
    <w:rsid w:val="17294D2C"/>
    <w:rsid w:val="17296F6C"/>
    <w:rsid w:val="1733791F"/>
    <w:rsid w:val="174D6D27"/>
    <w:rsid w:val="17525194"/>
    <w:rsid w:val="17735226"/>
    <w:rsid w:val="177A213A"/>
    <w:rsid w:val="178B57DB"/>
    <w:rsid w:val="17991F6C"/>
    <w:rsid w:val="17A74689"/>
    <w:rsid w:val="17AA4179"/>
    <w:rsid w:val="17B44FF8"/>
    <w:rsid w:val="17B70821"/>
    <w:rsid w:val="17BD4E01"/>
    <w:rsid w:val="17D24696"/>
    <w:rsid w:val="17D65929"/>
    <w:rsid w:val="17E86A50"/>
    <w:rsid w:val="17E916C3"/>
    <w:rsid w:val="17FD115A"/>
    <w:rsid w:val="18023FB5"/>
    <w:rsid w:val="18026A60"/>
    <w:rsid w:val="18037914"/>
    <w:rsid w:val="180B23B7"/>
    <w:rsid w:val="18131D1F"/>
    <w:rsid w:val="183165FB"/>
    <w:rsid w:val="183D6D9C"/>
    <w:rsid w:val="18493992"/>
    <w:rsid w:val="1853036D"/>
    <w:rsid w:val="18581E27"/>
    <w:rsid w:val="18753D1E"/>
    <w:rsid w:val="18846779"/>
    <w:rsid w:val="18856978"/>
    <w:rsid w:val="188728E3"/>
    <w:rsid w:val="18B43089"/>
    <w:rsid w:val="18C15C1F"/>
    <w:rsid w:val="18C27E7F"/>
    <w:rsid w:val="18C66D91"/>
    <w:rsid w:val="18D019BE"/>
    <w:rsid w:val="18DD6CDC"/>
    <w:rsid w:val="18E15979"/>
    <w:rsid w:val="18E35B95"/>
    <w:rsid w:val="18E72983"/>
    <w:rsid w:val="190B50EC"/>
    <w:rsid w:val="190D676E"/>
    <w:rsid w:val="19257F5C"/>
    <w:rsid w:val="19333C3D"/>
    <w:rsid w:val="1934225B"/>
    <w:rsid w:val="193B3B10"/>
    <w:rsid w:val="193B777F"/>
    <w:rsid w:val="195919B3"/>
    <w:rsid w:val="195D1737"/>
    <w:rsid w:val="19697608"/>
    <w:rsid w:val="19811B18"/>
    <w:rsid w:val="199E2BFC"/>
    <w:rsid w:val="19A679D2"/>
    <w:rsid w:val="19AF0C44"/>
    <w:rsid w:val="19B17A41"/>
    <w:rsid w:val="19B23720"/>
    <w:rsid w:val="19D76D70"/>
    <w:rsid w:val="19F95134"/>
    <w:rsid w:val="1A0D279E"/>
    <w:rsid w:val="1A1C66C0"/>
    <w:rsid w:val="1A42393B"/>
    <w:rsid w:val="1A444411"/>
    <w:rsid w:val="1A6802CD"/>
    <w:rsid w:val="1A7D5B75"/>
    <w:rsid w:val="1A94120D"/>
    <w:rsid w:val="1A97157D"/>
    <w:rsid w:val="1A9D6217"/>
    <w:rsid w:val="1AA06A87"/>
    <w:rsid w:val="1AA66184"/>
    <w:rsid w:val="1AC217DA"/>
    <w:rsid w:val="1AC45552"/>
    <w:rsid w:val="1AC77D0E"/>
    <w:rsid w:val="1AD12683"/>
    <w:rsid w:val="1AD251B4"/>
    <w:rsid w:val="1ADF413A"/>
    <w:rsid w:val="1AF37BE5"/>
    <w:rsid w:val="1B046F80"/>
    <w:rsid w:val="1B096E2E"/>
    <w:rsid w:val="1B097409"/>
    <w:rsid w:val="1B1026EE"/>
    <w:rsid w:val="1B1B5294"/>
    <w:rsid w:val="1B3267B5"/>
    <w:rsid w:val="1B3C77DE"/>
    <w:rsid w:val="1B541017"/>
    <w:rsid w:val="1B5A7C65"/>
    <w:rsid w:val="1B5D6A33"/>
    <w:rsid w:val="1B5E78FC"/>
    <w:rsid w:val="1B634D6B"/>
    <w:rsid w:val="1B8151F1"/>
    <w:rsid w:val="1B851185"/>
    <w:rsid w:val="1B8B2D9F"/>
    <w:rsid w:val="1B917B2A"/>
    <w:rsid w:val="1BA27539"/>
    <w:rsid w:val="1BC25DC8"/>
    <w:rsid w:val="1BC577D4"/>
    <w:rsid w:val="1BDB3D17"/>
    <w:rsid w:val="1C2362A8"/>
    <w:rsid w:val="1C475483"/>
    <w:rsid w:val="1C4F5E80"/>
    <w:rsid w:val="1C587FB0"/>
    <w:rsid w:val="1C5E7925"/>
    <w:rsid w:val="1C6128E9"/>
    <w:rsid w:val="1C712EC9"/>
    <w:rsid w:val="1C887FC8"/>
    <w:rsid w:val="1C981895"/>
    <w:rsid w:val="1C992D0E"/>
    <w:rsid w:val="1CAB47FA"/>
    <w:rsid w:val="1CAE3674"/>
    <w:rsid w:val="1CC21F65"/>
    <w:rsid w:val="1CD77590"/>
    <w:rsid w:val="1D046041"/>
    <w:rsid w:val="1D0C16BA"/>
    <w:rsid w:val="1D1E53EE"/>
    <w:rsid w:val="1D4E55A7"/>
    <w:rsid w:val="1D4E7279"/>
    <w:rsid w:val="1D513780"/>
    <w:rsid w:val="1D5675F2"/>
    <w:rsid w:val="1D5D5662"/>
    <w:rsid w:val="1D5F6196"/>
    <w:rsid w:val="1D6132A5"/>
    <w:rsid w:val="1D752B34"/>
    <w:rsid w:val="1D771777"/>
    <w:rsid w:val="1D8E29C0"/>
    <w:rsid w:val="1D8E56D5"/>
    <w:rsid w:val="1D924FD8"/>
    <w:rsid w:val="1DA17DCD"/>
    <w:rsid w:val="1DA20C31"/>
    <w:rsid w:val="1DB16262"/>
    <w:rsid w:val="1DFB128B"/>
    <w:rsid w:val="1E122A78"/>
    <w:rsid w:val="1E285DF8"/>
    <w:rsid w:val="1E2B7E0D"/>
    <w:rsid w:val="1E332531"/>
    <w:rsid w:val="1E33639B"/>
    <w:rsid w:val="1E3625DA"/>
    <w:rsid w:val="1E366767"/>
    <w:rsid w:val="1E3672D1"/>
    <w:rsid w:val="1E3A3BD5"/>
    <w:rsid w:val="1E4D0963"/>
    <w:rsid w:val="1E5B2ED9"/>
    <w:rsid w:val="1E6432D4"/>
    <w:rsid w:val="1E6908EA"/>
    <w:rsid w:val="1E7A43DA"/>
    <w:rsid w:val="1EAA4A5F"/>
    <w:rsid w:val="1EB148C1"/>
    <w:rsid w:val="1EB277FE"/>
    <w:rsid w:val="1EB65FB7"/>
    <w:rsid w:val="1EC352E4"/>
    <w:rsid w:val="1EC51899"/>
    <w:rsid w:val="1EC55994"/>
    <w:rsid w:val="1ED241B0"/>
    <w:rsid w:val="1ED50EF6"/>
    <w:rsid w:val="1ED81A83"/>
    <w:rsid w:val="1EDA5344"/>
    <w:rsid w:val="1EF735B7"/>
    <w:rsid w:val="1EF740FB"/>
    <w:rsid w:val="1EFD1033"/>
    <w:rsid w:val="1F0020BC"/>
    <w:rsid w:val="1F0B19A2"/>
    <w:rsid w:val="1F533349"/>
    <w:rsid w:val="1F74219C"/>
    <w:rsid w:val="1FA71066"/>
    <w:rsid w:val="1FB81CC6"/>
    <w:rsid w:val="1FC97167"/>
    <w:rsid w:val="1FD75D28"/>
    <w:rsid w:val="1FE30F60"/>
    <w:rsid w:val="1FE7539E"/>
    <w:rsid w:val="1FF53625"/>
    <w:rsid w:val="1FF64400"/>
    <w:rsid w:val="2009699D"/>
    <w:rsid w:val="202964C4"/>
    <w:rsid w:val="202B1BD0"/>
    <w:rsid w:val="202C3EC3"/>
    <w:rsid w:val="20463C39"/>
    <w:rsid w:val="205630F0"/>
    <w:rsid w:val="206B5702"/>
    <w:rsid w:val="208F03B0"/>
    <w:rsid w:val="20963CB8"/>
    <w:rsid w:val="20B07FB6"/>
    <w:rsid w:val="20BB1D43"/>
    <w:rsid w:val="20BB4530"/>
    <w:rsid w:val="20C847C5"/>
    <w:rsid w:val="20D12B0B"/>
    <w:rsid w:val="20F070A1"/>
    <w:rsid w:val="21063FA6"/>
    <w:rsid w:val="211A0AC8"/>
    <w:rsid w:val="21262AC3"/>
    <w:rsid w:val="21294361"/>
    <w:rsid w:val="21297A3C"/>
    <w:rsid w:val="213B74B1"/>
    <w:rsid w:val="21412BDA"/>
    <w:rsid w:val="215A2310"/>
    <w:rsid w:val="21661111"/>
    <w:rsid w:val="216B7D9C"/>
    <w:rsid w:val="216E6218"/>
    <w:rsid w:val="217B4CDE"/>
    <w:rsid w:val="217E7584"/>
    <w:rsid w:val="21A659B2"/>
    <w:rsid w:val="21B7196D"/>
    <w:rsid w:val="21BC6F83"/>
    <w:rsid w:val="21C127EB"/>
    <w:rsid w:val="21C67E1E"/>
    <w:rsid w:val="21DE318A"/>
    <w:rsid w:val="21DF2C72"/>
    <w:rsid w:val="21EF5B80"/>
    <w:rsid w:val="21FA5580"/>
    <w:rsid w:val="221548E5"/>
    <w:rsid w:val="22400062"/>
    <w:rsid w:val="224B5175"/>
    <w:rsid w:val="2254749D"/>
    <w:rsid w:val="22576990"/>
    <w:rsid w:val="2261255A"/>
    <w:rsid w:val="226A4C31"/>
    <w:rsid w:val="2273035C"/>
    <w:rsid w:val="22821F7B"/>
    <w:rsid w:val="22877591"/>
    <w:rsid w:val="22880957"/>
    <w:rsid w:val="22963C78"/>
    <w:rsid w:val="229879F0"/>
    <w:rsid w:val="229C4EAB"/>
    <w:rsid w:val="22A243CB"/>
    <w:rsid w:val="22A7378F"/>
    <w:rsid w:val="22C81958"/>
    <w:rsid w:val="22C9020A"/>
    <w:rsid w:val="22D4098D"/>
    <w:rsid w:val="22D43C89"/>
    <w:rsid w:val="22D87DED"/>
    <w:rsid w:val="22EC3898"/>
    <w:rsid w:val="22F34C27"/>
    <w:rsid w:val="230914A3"/>
    <w:rsid w:val="230C2C7B"/>
    <w:rsid w:val="23260675"/>
    <w:rsid w:val="233D2CBA"/>
    <w:rsid w:val="234D6B54"/>
    <w:rsid w:val="234E00AF"/>
    <w:rsid w:val="23522813"/>
    <w:rsid w:val="236448B7"/>
    <w:rsid w:val="237925D6"/>
    <w:rsid w:val="23812232"/>
    <w:rsid w:val="23931F66"/>
    <w:rsid w:val="239F377F"/>
    <w:rsid w:val="23A1214F"/>
    <w:rsid w:val="23A44173"/>
    <w:rsid w:val="23A45829"/>
    <w:rsid w:val="23AB3753"/>
    <w:rsid w:val="23B31D5F"/>
    <w:rsid w:val="23BC326A"/>
    <w:rsid w:val="23CB4743"/>
    <w:rsid w:val="23DE52C6"/>
    <w:rsid w:val="23E7405F"/>
    <w:rsid w:val="24003A9F"/>
    <w:rsid w:val="240B41F2"/>
    <w:rsid w:val="240D3609"/>
    <w:rsid w:val="24115384"/>
    <w:rsid w:val="2420516C"/>
    <w:rsid w:val="24244D9A"/>
    <w:rsid w:val="242F6C30"/>
    <w:rsid w:val="24305014"/>
    <w:rsid w:val="24621831"/>
    <w:rsid w:val="24643484"/>
    <w:rsid w:val="24783510"/>
    <w:rsid w:val="248A09E5"/>
    <w:rsid w:val="248B469D"/>
    <w:rsid w:val="24A65CC9"/>
    <w:rsid w:val="24A8491F"/>
    <w:rsid w:val="24C85C3F"/>
    <w:rsid w:val="24CE164F"/>
    <w:rsid w:val="24D56066"/>
    <w:rsid w:val="24D70E1D"/>
    <w:rsid w:val="24DE1906"/>
    <w:rsid w:val="24E8008F"/>
    <w:rsid w:val="24ED38F7"/>
    <w:rsid w:val="24F829C8"/>
    <w:rsid w:val="24FE5B05"/>
    <w:rsid w:val="250B6EE6"/>
    <w:rsid w:val="251175E6"/>
    <w:rsid w:val="251D6203"/>
    <w:rsid w:val="252B5F27"/>
    <w:rsid w:val="252D53FE"/>
    <w:rsid w:val="252F3F10"/>
    <w:rsid w:val="25427252"/>
    <w:rsid w:val="254479BB"/>
    <w:rsid w:val="2549584E"/>
    <w:rsid w:val="254C061E"/>
    <w:rsid w:val="25565941"/>
    <w:rsid w:val="255821DB"/>
    <w:rsid w:val="2564139D"/>
    <w:rsid w:val="257A525F"/>
    <w:rsid w:val="259F1096"/>
    <w:rsid w:val="25AE752B"/>
    <w:rsid w:val="25D57534"/>
    <w:rsid w:val="25D845A8"/>
    <w:rsid w:val="25DA0E81"/>
    <w:rsid w:val="25E35426"/>
    <w:rsid w:val="25EB7E37"/>
    <w:rsid w:val="25EC2D81"/>
    <w:rsid w:val="25F405BF"/>
    <w:rsid w:val="262E5F76"/>
    <w:rsid w:val="26301CEE"/>
    <w:rsid w:val="26344532"/>
    <w:rsid w:val="263F0183"/>
    <w:rsid w:val="264528BD"/>
    <w:rsid w:val="264F6A06"/>
    <w:rsid w:val="26720558"/>
    <w:rsid w:val="26895B50"/>
    <w:rsid w:val="268F2EB8"/>
    <w:rsid w:val="269009DE"/>
    <w:rsid w:val="26A1499A"/>
    <w:rsid w:val="26A14AA0"/>
    <w:rsid w:val="26AD2296"/>
    <w:rsid w:val="26AF355A"/>
    <w:rsid w:val="26B4013F"/>
    <w:rsid w:val="26BC7A25"/>
    <w:rsid w:val="26BE72FA"/>
    <w:rsid w:val="26C03072"/>
    <w:rsid w:val="26E15B99"/>
    <w:rsid w:val="26EA2865"/>
    <w:rsid w:val="26EE2F31"/>
    <w:rsid w:val="27010E83"/>
    <w:rsid w:val="271E2BEC"/>
    <w:rsid w:val="272A2BE1"/>
    <w:rsid w:val="273B32E9"/>
    <w:rsid w:val="27421CD9"/>
    <w:rsid w:val="274E2D73"/>
    <w:rsid w:val="27550681"/>
    <w:rsid w:val="276B714E"/>
    <w:rsid w:val="276C144B"/>
    <w:rsid w:val="27743E5C"/>
    <w:rsid w:val="278422F1"/>
    <w:rsid w:val="2786213D"/>
    <w:rsid w:val="278C05ED"/>
    <w:rsid w:val="278F6696"/>
    <w:rsid w:val="27922388"/>
    <w:rsid w:val="27925A1E"/>
    <w:rsid w:val="27987D44"/>
    <w:rsid w:val="279D605E"/>
    <w:rsid w:val="27A277B4"/>
    <w:rsid w:val="27A6495D"/>
    <w:rsid w:val="27B65DA8"/>
    <w:rsid w:val="27BF3F2A"/>
    <w:rsid w:val="27CB7F20"/>
    <w:rsid w:val="27D15DD1"/>
    <w:rsid w:val="27F03410"/>
    <w:rsid w:val="27F356C9"/>
    <w:rsid w:val="281B5EBF"/>
    <w:rsid w:val="282610DE"/>
    <w:rsid w:val="282619A3"/>
    <w:rsid w:val="283748D1"/>
    <w:rsid w:val="283C77D9"/>
    <w:rsid w:val="285940BD"/>
    <w:rsid w:val="285A17C2"/>
    <w:rsid w:val="28650375"/>
    <w:rsid w:val="28680D51"/>
    <w:rsid w:val="28903AD2"/>
    <w:rsid w:val="28941167"/>
    <w:rsid w:val="28A76295"/>
    <w:rsid w:val="28B371CD"/>
    <w:rsid w:val="28D267A4"/>
    <w:rsid w:val="28D5129B"/>
    <w:rsid w:val="28D948BF"/>
    <w:rsid w:val="28DE0127"/>
    <w:rsid w:val="28E121E2"/>
    <w:rsid w:val="28EB2D30"/>
    <w:rsid w:val="28F528E4"/>
    <w:rsid w:val="28F811E9"/>
    <w:rsid w:val="2915596A"/>
    <w:rsid w:val="29170E8E"/>
    <w:rsid w:val="291853E7"/>
    <w:rsid w:val="29206EB8"/>
    <w:rsid w:val="292B00DB"/>
    <w:rsid w:val="292F4BD6"/>
    <w:rsid w:val="29387837"/>
    <w:rsid w:val="29495E18"/>
    <w:rsid w:val="294E4BC1"/>
    <w:rsid w:val="295201CD"/>
    <w:rsid w:val="296715D4"/>
    <w:rsid w:val="29683EFE"/>
    <w:rsid w:val="296E6940"/>
    <w:rsid w:val="29852351"/>
    <w:rsid w:val="298F4F7D"/>
    <w:rsid w:val="29AC5B2F"/>
    <w:rsid w:val="29AE18A7"/>
    <w:rsid w:val="29BF0635"/>
    <w:rsid w:val="29C7655F"/>
    <w:rsid w:val="29D54965"/>
    <w:rsid w:val="29DF6672"/>
    <w:rsid w:val="29E325E0"/>
    <w:rsid w:val="29E7300B"/>
    <w:rsid w:val="29EF54DA"/>
    <w:rsid w:val="29F00D73"/>
    <w:rsid w:val="29FD7E09"/>
    <w:rsid w:val="2A077209"/>
    <w:rsid w:val="2A1A0087"/>
    <w:rsid w:val="2A224043"/>
    <w:rsid w:val="2A225F57"/>
    <w:rsid w:val="2A452503"/>
    <w:rsid w:val="2A4A3DDF"/>
    <w:rsid w:val="2A522B7B"/>
    <w:rsid w:val="2A5B21A6"/>
    <w:rsid w:val="2A61691A"/>
    <w:rsid w:val="2A663F30"/>
    <w:rsid w:val="2A954815"/>
    <w:rsid w:val="2A984622"/>
    <w:rsid w:val="2A987CE6"/>
    <w:rsid w:val="2A9D186C"/>
    <w:rsid w:val="2AC46C04"/>
    <w:rsid w:val="2AD81DD6"/>
    <w:rsid w:val="2AE00186"/>
    <w:rsid w:val="2AEC3063"/>
    <w:rsid w:val="2B0055AE"/>
    <w:rsid w:val="2B0D12EA"/>
    <w:rsid w:val="2B1011E2"/>
    <w:rsid w:val="2B1044E5"/>
    <w:rsid w:val="2B54022C"/>
    <w:rsid w:val="2B5446D0"/>
    <w:rsid w:val="2B762899"/>
    <w:rsid w:val="2B940F71"/>
    <w:rsid w:val="2B9864EF"/>
    <w:rsid w:val="2B9E3B11"/>
    <w:rsid w:val="2BA54F2C"/>
    <w:rsid w:val="2BA936A8"/>
    <w:rsid w:val="2BAA69F8"/>
    <w:rsid w:val="2BAE752F"/>
    <w:rsid w:val="2BB138D1"/>
    <w:rsid w:val="2BD77907"/>
    <w:rsid w:val="2BEA65EE"/>
    <w:rsid w:val="2BED2084"/>
    <w:rsid w:val="2BEE5268"/>
    <w:rsid w:val="2C0B2FE1"/>
    <w:rsid w:val="2C210BF8"/>
    <w:rsid w:val="2C217F97"/>
    <w:rsid w:val="2C2B7495"/>
    <w:rsid w:val="2C2E04E6"/>
    <w:rsid w:val="2C315A5A"/>
    <w:rsid w:val="2C4B162F"/>
    <w:rsid w:val="2C631D41"/>
    <w:rsid w:val="2C7030A2"/>
    <w:rsid w:val="2C786181"/>
    <w:rsid w:val="2C7A714B"/>
    <w:rsid w:val="2C7F0052"/>
    <w:rsid w:val="2C7F577D"/>
    <w:rsid w:val="2C810367"/>
    <w:rsid w:val="2C8D13D0"/>
    <w:rsid w:val="2C8E4B62"/>
    <w:rsid w:val="2CA156F3"/>
    <w:rsid w:val="2CA57561"/>
    <w:rsid w:val="2CB113E6"/>
    <w:rsid w:val="2CB87DBF"/>
    <w:rsid w:val="2CBD7C60"/>
    <w:rsid w:val="2CD52468"/>
    <w:rsid w:val="2CDB5DAC"/>
    <w:rsid w:val="2CE27F15"/>
    <w:rsid w:val="2CEC5E40"/>
    <w:rsid w:val="2CEF2903"/>
    <w:rsid w:val="2CFB569E"/>
    <w:rsid w:val="2CFE2B46"/>
    <w:rsid w:val="2D0615B8"/>
    <w:rsid w:val="2D0D6D43"/>
    <w:rsid w:val="2D177764"/>
    <w:rsid w:val="2D1E4F96"/>
    <w:rsid w:val="2D3A1A8B"/>
    <w:rsid w:val="2D4331C7"/>
    <w:rsid w:val="2D4542D1"/>
    <w:rsid w:val="2D546E87"/>
    <w:rsid w:val="2D55028C"/>
    <w:rsid w:val="2D5B085C"/>
    <w:rsid w:val="2D5F4233"/>
    <w:rsid w:val="2D821D81"/>
    <w:rsid w:val="2D8D3ECA"/>
    <w:rsid w:val="2D93624A"/>
    <w:rsid w:val="2D97311F"/>
    <w:rsid w:val="2D9E56F5"/>
    <w:rsid w:val="2DC06EB4"/>
    <w:rsid w:val="2DCC2611"/>
    <w:rsid w:val="2DCF7851"/>
    <w:rsid w:val="2DE25FC3"/>
    <w:rsid w:val="2DE53D06"/>
    <w:rsid w:val="2DED6716"/>
    <w:rsid w:val="2E0777D8"/>
    <w:rsid w:val="2E240061"/>
    <w:rsid w:val="2E24482E"/>
    <w:rsid w:val="2E321B98"/>
    <w:rsid w:val="2E405A49"/>
    <w:rsid w:val="2E525AC4"/>
    <w:rsid w:val="2E5642BC"/>
    <w:rsid w:val="2E667F96"/>
    <w:rsid w:val="2E701821"/>
    <w:rsid w:val="2E7B108D"/>
    <w:rsid w:val="2E8226AB"/>
    <w:rsid w:val="2E8402B7"/>
    <w:rsid w:val="2E8B0409"/>
    <w:rsid w:val="2E9F3EB4"/>
    <w:rsid w:val="2EB77450"/>
    <w:rsid w:val="2EC03CB2"/>
    <w:rsid w:val="2ED2428A"/>
    <w:rsid w:val="2EDC6EB7"/>
    <w:rsid w:val="2EF778D3"/>
    <w:rsid w:val="2EFA5DF4"/>
    <w:rsid w:val="2F01691D"/>
    <w:rsid w:val="2F0361F1"/>
    <w:rsid w:val="2F0469A7"/>
    <w:rsid w:val="2F065CE2"/>
    <w:rsid w:val="2F1228D8"/>
    <w:rsid w:val="2F274283"/>
    <w:rsid w:val="2F2F55AF"/>
    <w:rsid w:val="2F360741"/>
    <w:rsid w:val="2F387B0D"/>
    <w:rsid w:val="2F562170"/>
    <w:rsid w:val="2F566C69"/>
    <w:rsid w:val="2F5B427F"/>
    <w:rsid w:val="2F7B047E"/>
    <w:rsid w:val="2F7C5FA4"/>
    <w:rsid w:val="2F832C79"/>
    <w:rsid w:val="2F99381C"/>
    <w:rsid w:val="2FB251DF"/>
    <w:rsid w:val="2FC35445"/>
    <w:rsid w:val="2FC811E9"/>
    <w:rsid w:val="2FD61B58"/>
    <w:rsid w:val="2FEA115F"/>
    <w:rsid w:val="2FED1556"/>
    <w:rsid w:val="2FEF2D58"/>
    <w:rsid w:val="2FFC44A6"/>
    <w:rsid w:val="2FFE3624"/>
    <w:rsid w:val="301303EC"/>
    <w:rsid w:val="301A13F4"/>
    <w:rsid w:val="301B18C0"/>
    <w:rsid w:val="301B2D20"/>
    <w:rsid w:val="302369A0"/>
    <w:rsid w:val="30244700"/>
    <w:rsid w:val="30251E7B"/>
    <w:rsid w:val="303F6BFA"/>
    <w:rsid w:val="30580BC9"/>
    <w:rsid w:val="306C26A5"/>
    <w:rsid w:val="306F77B8"/>
    <w:rsid w:val="307373A7"/>
    <w:rsid w:val="30802269"/>
    <w:rsid w:val="309612E7"/>
    <w:rsid w:val="30961EF6"/>
    <w:rsid w:val="30A6332F"/>
    <w:rsid w:val="30A92DC8"/>
    <w:rsid w:val="30BC0D4E"/>
    <w:rsid w:val="30BF083E"/>
    <w:rsid w:val="30C10490"/>
    <w:rsid w:val="30C65728"/>
    <w:rsid w:val="30CA04AF"/>
    <w:rsid w:val="30D616E4"/>
    <w:rsid w:val="30D86B55"/>
    <w:rsid w:val="30E6401D"/>
    <w:rsid w:val="30FA1876"/>
    <w:rsid w:val="3103697D"/>
    <w:rsid w:val="31083606"/>
    <w:rsid w:val="31183989"/>
    <w:rsid w:val="31191AA6"/>
    <w:rsid w:val="311E2ED7"/>
    <w:rsid w:val="312406A1"/>
    <w:rsid w:val="312565F0"/>
    <w:rsid w:val="31257EA8"/>
    <w:rsid w:val="31375948"/>
    <w:rsid w:val="313E79B5"/>
    <w:rsid w:val="31490108"/>
    <w:rsid w:val="314F1BC2"/>
    <w:rsid w:val="3154611C"/>
    <w:rsid w:val="31562CFE"/>
    <w:rsid w:val="315760F4"/>
    <w:rsid w:val="315C449C"/>
    <w:rsid w:val="315D128C"/>
    <w:rsid w:val="31612F97"/>
    <w:rsid w:val="316C5020"/>
    <w:rsid w:val="31752ADB"/>
    <w:rsid w:val="31921AAF"/>
    <w:rsid w:val="319F0414"/>
    <w:rsid w:val="31A62D61"/>
    <w:rsid w:val="31AB124D"/>
    <w:rsid w:val="31B17A1B"/>
    <w:rsid w:val="31B25CAD"/>
    <w:rsid w:val="31B639EF"/>
    <w:rsid w:val="31B82709"/>
    <w:rsid w:val="31BE6E53"/>
    <w:rsid w:val="31C205E6"/>
    <w:rsid w:val="31C3610C"/>
    <w:rsid w:val="31C86ABC"/>
    <w:rsid w:val="31CB6D6E"/>
    <w:rsid w:val="31CF4AB1"/>
    <w:rsid w:val="31DD4FFF"/>
    <w:rsid w:val="31ED3189"/>
    <w:rsid w:val="322F37A1"/>
    <w:rsid w:val="32400B34"/>
    <w:rsid w:val="324101D6"/>
    <w:rsid w:val="32421947"/>
    <w:rsid w:val="324A2070"/>
    <w:rsid w:val="32550EA6"/>
    <w:rsid w:val="325927DB"/>
    <w:rsid w:val="327A2C6E"/>
    <w:rsid w:val="32803FFD"/>
    <w:rsid w:val="328533C1"/>
    <w:rsid w:val="328E62DD"/>
    <w:rsid w:val="32987598"/>
    <w:rsid w:val="329B0E37"/>
    <w:rsid w:val="329E6876"/>
    <w:rsid w:val="32C739DA"/>
    <w:rsid w:val="32D65350"/>
    <w:rsid w:val="32ED7014"/>
    <w:rsid w:val="32F10A57"/>
    <w:rsid w:val="331165FE"/>
    <w:rsid w:val="331935FC"/>
    <w:rsid w:val="331F0BAF"/>
    <w:rsid w:val="335C05C6"/>
    <w:rsid w:val="33600DAB"/>
    <w:rsid w:val="337A0A4C"/>
    <w:rsid w:val="338F274A"/>
    <w:rsid w:val="339E7474"/>
    <w:rsid w:val="33AB32FB"/>
    <w:rsid w:val="33AF1889"/>
    <w:rsid w:val="33AF47CF"/>
    <w:rsid w:val="33CD5020"/>
    <w:rsid w:val="33D934D4"/>
    <w:rsid w:val="33F7209D"/>
    <w:rsid w:val="33FE2F6A"/>
    <w:rsid w:val="342033A2"/>
    <w:rsid w:val="3422222F"/>
    <w:rsid w:val="343706EB"/>
    <w:rsid w:val="34391D02"/>
    <w:rsid w:val="34452D8A"/>
    <w:rsid w:val="34496D9C"/>
    <w:rsid w:val="345136DB"/>
    <w:rsid w:val="345F6138"/>
    <w:rsid w:val="34657462"/>
    <w:rsid w:val="34687C50"/>
    <w:rsid w:val="34711E4F"/>
    <w:rsid w:val="34723EB6"/>
    <w:rsid w:val="347507BC"/>
    <w:rsid w:val="347D4D3B"/>
    <w:rsid w:val="34965062"/>
    <w:rsid w:val="34DA0A32"/>
    <w:rsid w:val="34DB0A44"/>
    <w:rsid w:val="34FC2127"/>
    <w:rsid w:val="350606FD"/>
    <w:rsid w:val="351B1DBB"/>
    <w:rsid w:val="3531125E"/>
    <w:rsid w:val="353E374D"/>
    <w:rsid w:val="354B6B44"/>
    <w:rsid w:val="35675949"/>
    <w:rsid w:val="35683252"/>
    <w:rsid w:val="35687E40"/>
    <w:rsid w:val="357E0CC8"/>
    <w:rsid w:val="358838F4"/>
    <w:rsid w:val="35A40002"/>
    <w:rsid w:val="35A43A11"/>
    <w:rsid w:val="35B82687"/>
    <w:rsid w:val="35D52735"/>
    <w:rsid w:val="35D5415D"/>
    <w:rsid w:val="35DB6085"/>
    <w:rsid w:val="35F66AB0"/>
    <w:rsid w:val="35F94327"/>
    <w:rsid w:val="36074A7F"/>
    <w:rsid w:val="36641EE8"/>
    <w:rsid w:val="366817A6"/>
    <w:rsid w:val="366A4DA8"/>
    <w:rsid w:val="366C4FC4"/>
    <w:rsid w:val="36775057"/>
    <w:rsid w:val="36791EB6"/>
    <w:rsid w:val="36835E6A"/>
    <w:rsid w:val="36852CE8"/>
    <w:rsid w:val="368F0CB2"/>
    <w:rsid w:val="368F3F76"/>
    <w:rsid w:val="36923549"/>
    <w:rsid w:val="369A4E21"/>
    <w:rsid w:val="36A57545"/>
    <w:rsid w:val="36A662F0"/>
    <w:rsid w:val="36B75FBF"/>
    <w:rsid w:val="36BD312A"/>
    <w:rsid w:val="36F530E8"/>
    <w:rsid w:val="36F6488E"/>
    <w:rsid w:val="36FB4891"/>
    <w:rsid w:val="370818B2"/>
    <w:rsid w:val="37112DDD"/>
    <w:rsid w:val="37527104"/>
    <w:rsid w:val="37640526"/>
    <w:rsid w:val="379A790F"/>
    <w:rsid w:val="379E1FAB"/>
    <w:rsid w:val="379E6472"/>
    <w:rsid w:val="37B06BF3"/>
    <w:rsid w:val="37BF4AA8"/>
    <w:rsid w:val="37C2544D"/>
    <w:rsid w:val="37C4673A"/>
    <w:rsid w:val="37CD3840"/>
    <w:rsid w:val="38002096"/>
    <w:rsid w:val="38017A45"/>
    <w:rsid w:val="380B168F"/>
    <w:rsid w:val="382B5AE9"/>
    <w:rsid w:val="383B2EA0"/>
    <w:rsid w:val="383D31EA"/>
    <w:rsid w:val="38727227"/>
    <w:rsid w:val="387622A7"/>
    <w:rsid w:val="3885236D"/>
    <w:rsid w:val="388867A3"/>
    <w:rsid w:val="38C06F01"/>
    <w:rsid w:val="38DD3F57"/>
    <w:rsid w:val="38EA6FCF"/>
    <w:rsid w:val="38F12CD3"/>
    <w:rsid w:val="38F511AE"/>
    <w:rsid w:val="38F94775"/>
    <w:rsid w:val="390B7A49"/>
    <w:rsid w:val="39131727"/>
    <w:rsid w:val="392751D2"/>
    <w:rsid w:val="39294E48"/>
    <w:rsid w:val="392971ED"/>
    <w:rsid w:val="39502CE1"/>
    <w:rsid w:val="395D2765"/>
    <w:rsid w:val="39623CF1"/>
    <w:rsid w:val="396957EB"/>
    <w:rsid w:val="396F1187"/>
    <w:rsid w:val="397367C5"/>
    <w:rsid w:val="3987255E"/>
    <w:rsid w:val="398B750F"/>
    <w:rsid w:val="399A5E03"/>
    <w:rsid w:val="39D619B3"/>
    <w:rsid w:val="39D972DA"/>
    <w:rsid w:val="39E430C3"/>
    <w:rsid w:val="39E50FF9"/>
    <w:rsid w:val="39ED1F78"/>
    <w:rsid w:val="39FB78A4"/>
    <w:rsid w:val="3A125B37"/>
    <w:rsid w:val="3A1304A1"/>
    <w:rsid w:val="3A1D7307"/>
    <w:rsid w:val="3A267723"/>
    <w:rsid w:val="3A2B3CC2"/>
    <w:rsid w:val="3A2E433E"/>
    <w:rsid w:val="3A316EDF"/>
    <w:rsid w:val="3A325D32"/>
    <w:rsid w:val="3A375645"/>
    <w:rsid w:val="3A3F6E8C"/>
    <w:rsid w:val="3A500759"/>
    <w:rsid w:val="3A5067CC"/>
    <w:rsid w:val="3A7461F5"/>
    <w:rsid w:val="3A79072A"/>
    <w:rsid w:val="3A7A7CE8"/>
    <w:rsid w:val="3A7B1683"/>
    <w:rsid w:val="3AA86E5C"/>
    <w:rsid w:val="3AAC47D9"/>
    <w:rsid w:val="3ABC7B9C"/>
    <w:rsid w:val="3AD36221"/>
    <w:rsid w:val="3AD725D5"/>
    <w:rsid w:val="3AF51FAE"/>
    <w:rsid w:val="3AFF6974"/>
    <w:rsid w:val="3B02024B"/>
    <w:rsid w:val="3B100982"/>
    <w:rsid w:val="3B1479D8"/>
    <w:rsid w:val="3B2A6109"/>
    <w:rsid w:val="3B2B6C54"/>
    <w:rsid w:val="3B334302"/>
    <w:rsid w:val="3B3763D1"/>
    <w:rsid w:val="3B3764FE"/>
    <w:rsid w:val="3B40060A"/>
    <w:rsid w:val="3B55269D"/>
    <w:rsid w:val="3B55589E"/>
    <w:rsid w:val="3B5B2830"/>
    <w:rsid w:val="3B5B73B5"/>
    <w:rsid w:val="3B6967B2"/>
    <w:rsid w:val="3B6A55BB"/>
    <w:rsid w:val="3B806E1C"/>
    <w:rsid w:val="3B837937"/>
    <w:rsid w:val="3B8A2193"/>
    <w:rsid w:val="3B8C44D6"/>
    <w:rsid w:val="3BA42B0A"/>
    <w:rsid w:val="3BB32120"/>
    <w:rsid w:val="3BB93BC1"/>
    <w:rsid w:val="3BB95D3B"/>
    <w:rsid w:val="3BC949FA"/>
    <w:rsid w:val="3BCD1950"/>
    <w:rsid w:val="3BD11425"/>
    <w:rsid w:val="3BD771D7"/>
    <w:rsid w:val="3BF57AD9"/>
    <w:rsid w:val="3C0C2E19"/>
    <w:rsid w:val="3C1C3D9E"/>
    <w:rsid w:val="3C273396"/>
    <w:rsid w:val="3C2E0626"/>
    <w:rsid w:val="3C300842"/>
    <w:rsid w:val="3C314235"/>
    <w:rsid w:val="3C344617"/>
    <w:rsid w:val="3C35598B"/>
    <w:rsid w:val="3C4131D2"/>
    <w:rsid w:val="3C430575"/>
    <w:rsid w:val="3C447E49"/>
    <w:rsid w:val="3C5207B8"/>
    <w:rsid w:val="3C566B00"/>
    <w:rsid w:val="3C575DCE"/>
    <w:rsid w:val="3C5C2C55"/>
    <w:rsid w:val="3C636521"/>
    <w:rsid w:val="3C663209"/>
    <w:rsid w:val="3C731957"/>
    <w:rsid w:val="3C8618CD"/>
    <w:rsid w:val="3CB42EE8"/>
    <w:rsid w:val="3CCF005B"/>
    <w:rsid w:val="3CD43F35"/>
    <w:rsid w:val="3CD45671"/>
    <w:rsid w:val="3CDA245A"/>
    <w:rsid w:val="3CEE0A37"/>
    <w:rsid w:val="3CF12399"/>
    <w:rsid w:val="3D0B0176"/>
    <w:rsid w:val="3D0C7570"/>
    <w:rsid w:val="3D140ACA"/>
    <w:rsid w:val="3D2C764F"/>
    <w:rsid w:val="3D2E2080"/>
    <w:rsid w:val="3D312F26"/>
    <w:rsid w:val="3D374762"/>
    <w:rsid w:val="3D42082D"/>
    <w:rsid w:val="3D424758"/>
    <w:rsid w:val="3D621347"/>
    <w:rsid w:val="3D6215E7"/>
    <w:rsid w:val="3D672041"/>
    <w:rsid w:val="3D6A38DF"/>
    <w:rsid w:val="3D766728"/>
    <w:rsid w:val="3D7D6168"/>
    <w:rsid w:val="3D830794"/>
    <w:rsid w:val="3D8A580B"/>
    <w:rsid w:val="3D955EF1"/>
    <w:rsid w:val="3DA27781"/>
    <w:rsid w:val="3DA908AC"/>
    <w:rsid w:val="3DB334D8"/>
    <w:rsid w:val="3DB9584E"/>
    <w:rsid w:val="3DBB446A"/>
    <w:rsid w:val="3DBF5D22"/>
    <w:rsid w:val="3DC2371B"/>
    <w:rsid w:val="3DCB0822"/>
    <w:rsid w:val="3DD1395F"/>
    <w:rsid w:val="3DDD2303"/>
    <w:rsid w:val="3DF323C8"/>
    <w:rsid w:val="3E1509D8"/>
    <w:rsid w:val="3E344EAD"/>
    <w:rsid w:val="3E4E3201"/>
    <w:rsid w:val="3E576115"/>
    <w:rsid w:val="3E627067"/>
    <w:rsid w:val="3E94004B"/>
    <w:rsid w:val="3EA12549"/>
    <w:rsid w:val="3EAD58EC"/>
    <w:rsid w:val="3EB069C3"/>
    <w:rsid w:val="3EBD3CCB"/>
    <w:rsid w:val="3EDA5B7D"/>
    <w:rsid w:val="3EF26466"/>
    <w:rsid w:val="3EF618CF"/>
    <w:rsid w:val="3F025137"/>
    <w:rsid w:val="3F0D420A"/>
    <w:rsid w:val="3F1735F3"/>
    <w:rsid w:val="3F2F3033"/>
    <w:rsid w:val="3F370BCB"/>
    <w:rsid w:val="3F5648A0"/>
    <w:rsid w:val="3F660E74"/>
    <w:rsid w:val="3F6A7BC7"/>
    <w:rsid w:val="3F8073EA"/>
    <w:rsid w:val="3F892FBC"/>
    <w:rsid w:val="3F9924CC"/>
    <w:rsid w:val="3FA70E1B"/>
    <w:rsid w:val="3FAA090B"/>
    <w:rsid w:val="3FAF6A7A"/>
    <w:rsid w:val="3FB86B84"/>
    <w:rsid w:val="3FC4377B"/>
    <w:rsid w:val="3FE43E1D"/>
    <w:rsid w:val="3FE45BCB"/>
    <w:rsid w:val="3FFD4EDF"/>
    <w:rsid w:val="40050660"/>
    <w:rsid w:val="401A783F"/>
    <w:rsid w:val="40223343"/>
    <w:rsid w:val="40224945"/>
    <w:rsid w:val="403311B0"/>
    <w:rsid w:val="403C77B5"/>
    <w:rsid w:val="404E74E8"/>
    <w:rsid w:val="40694322"/>
    <w:rsid w:val="40721A55"/>
    <w:rsid w:val="40730CFD"/>
    <w:rsid w:val="40752CC7"/>
    <w:rsid w:val="407A6407"/>
    <w:rsid w:val="407F36A6"/>
    <w:rsid w:val="407F4BE6"/>
    <w:rsid w:val="409B3F0C"/>
    <w:rsid w:val="40A44114"/>
    <w:rsid w:val="40A72962"/>
    <w:rsid w:val="40AB3370"/>
    <w:rsid w:val="40AF5E65"/>
    <w:rsid w:val="40BA72C4"/>
    <w:rsid w:val="40BC08F6"/>
    <w:rsid w:val="40BD5A4E"/>
    <w:rsid w:val="40C77C97"/>
    <w:rsid w:val="40CB718C"/>
    <w:rsid w:val="40D43E92"/>
    <w:rsid w:val="40E13EB9"/>
    <w:rsid w:val="40E46846"/>
    <w:rsid w:val="4101455B"/>
    <w:rsid w:val="41021214"/>
    <w:rsid w:val="410A45DD"/>
    <w:rsid w:val="4137363C"/>
    <w:rsid w:val="413C3FE6"/>
    <w:rsid w:val="413C5593"/>
    <w:rsid w:val="4142704D"/>
    <w:rsid w:val="4147390C"/>
    <w:rsid w:val="416F6675"/>
    <w:rsid w:val="41827323"/>
    <w:rsid w:val="418A09F4"/>
    <w:rsid w:val="41D6508F"/>
    <w:rsid w:val="41D65B41"/>
    <w:rsid w:val="41EF2605"/>
    <w:rsid w:val="41F65B4A"/>
    <w:rsid w:val="41FB71FC"/>
    <w:rsid w:val="420C67D1"/>
    <w:rsid w:val="42137699"/>
    <w:rsid w:val="423A3BCC"/>
    <w:rsid w:val="423F358D"/>
    <w:rsid w:val="42707BEA"/>
    <w:rsid w:val="42795EA7"/>
    <w:rsid w:val="427B5868"/>
    <w:rsid w:val="427C747D"/>
    <w:rsid w:val="427D40B5"/>
    <w:rsid w:val="42832E2D"/>
    <w:rsid w:val="42891A60"/>
    <w:rsid w:val="428E6874"/>
    <w:rsid w:val="429338D2"/>
    <w:rsid w:val="42935686"/>
    <w:rsid w:val="42A81CA0"/>
    <w:rsid w:val="42AB2039"/>
    <w:rsid w:val="42AD499A"/>
    <w:rsid w:val="42BF022A"/>
    <w:rsid w:val="42C5318D"/>
    <w:rsid w:val="42CE616B"/>
    <w:rsid w:val="42E4099C"/>
    <w:rsid w:val="42E45EE2"/>
    <w:rsid w:val="43035923"/>
    <w:rsid w:val="43051503"/>
    <w:rsid w:val="43065E58"/>
    <w:rsid w:val="430F56AE"/>
    <w:rsid w:val="43155968"/>
    <w:rsid w:val="432261CE"/>
    <w:rsid w:val="4329746D"/>
    <w:rsid w:val="433A6FE6"/>
    <w:rsid w:val="43463194"/>
    <w:rsid w:val="43486471"/>
    <w:rsid w:val="4350713C"/>
    <w:rsid w:val="435117C9"/>
    <w:rsid w:val="436653E0"/>
    <w:rsid w:val="43764BF9"/>
    <w:rsid w:val="439B4160"/>
    <w:rsid w:val="43AB7A8A"/>
    <w:rsid w:val="43C02E3F"/>
    <w:rsid w:val="43C867AC"/>
    <w:rsid w:val="43CF0940"/>
    <w:rsid w:val="43FB34E3"/>
    <w:rsid w:val="440A0C04"/>
    <w:rsid w:val="442B0E36"/>
    <w:rsid w:val="443C17FD"/>
    <w:rsid w:val="44627A06"/>
    <w:rsid w:val="44643203"/>
    <w:rsid w:val="446B7CB5"/>
    <w:rsid w:val="44797F00"/>
    <w:rsid w:val="44836E5A"/>
    <w:rsid w:val="449B0822"/>
    <w:rsid w:val="44AE49FA"/>
    <w:rsid w:val="44B61C2D"/>
    <w:rsid w:val="44C5317E"/>
    <w:rsid w:val="44CD14E0"/>
    <w:rsid w:val="44D75EDF"/>
    <w:rsid w:val="44DE4C0B"/>
    <w:rsid w:val="44ED54DE"/>
    <w:rsid w:val="44FC65D5"/>
    <w:rsid w:val="45091C30"/>
    <w:rsid w:val="45170CA0"/>
    <w:rsid w:val="451C1550"/>
    <w:rsid w:val="452D3B70"/>
    <w:rsid w:val="452F508E"/>
    <w:rsid w:val="45350C77"/>
    <w:rsid w:val="45383EA0"/>
    <w:rsid w:val="45384C4E"/>
    <w:rsid w:val="454D7E83"/>
    <w:rsid w:val="456362F5"/>
    <w:rsid w:val="458012DF"/>
    <w:rsid w:val="458946E9"/>
    <w:rsid w:val="458D460F"/>
    <w:rsid w:val="459E681C"/>
    <w:rsid w:val="45A02594"/>
    <w:rsid w:val="45A71B75"/>
    <w:rsid w:val="45D478E4"/>
    <w:rsid w:val="45D54C12"/>
    <w:rsid w:val="45DE4E6B"/>
    <w:rsid w:val="45E306D3"/>
    <w:rsid w:val="45F72487"/>
    <w:rsid w:val="45F91CA4"/>
    <w:rsid w:val="46080139"/>
    <w:rsid w:val="4662410F"/>
    <w:rsid w:val="46647A66"/>
    <w:rsid w:val="46775A0F"/>
    <w:rsid w:val="467D4684"/>
    <w:rsid w:val="46921389"/>
    <w:rsid w:val="46AE7EF7"/>
    <w:rsid w:val="46B67076"/>
    <w:rsid w:val="46BA58D8"/>
    <w:rsid w:val="46BF4C9C"/>
    <w:rsid w:val="46D7435A"/>
    <w:rsid w:val="46D955A7"/>
    <w:rsid w:val="46DD43F0"/>
    <w:rsid w:val="46E40E87"/>
    <w:rsid w:val="46E4358A"/>
    <w:rsid w:val="46F56910"/>
    <w:rsid w:val="46F81F5C"/>
    <w:rsid w:val="4712105C"/>
    <w:rsid w:val="47133957"/>
    <w:rsid w:val="4717258D"/>
    <w:rsid w:val="47246A79"/>
    <w:rsid w:val="47314D4D"/>
    <w:rsid w:val="474F5CEF"/>
    <w:rsid w:val="47562682"/>
    <w:rsid w:val="47637044"/>
    <w:rsid w:val="477610DD"/>
    <w:rsid w:val="4779329E"/>
    <w:rsid w:val="478F4065"/>
    <w:rsid w:val="47A07E0C"/>
    <w:rsid w:val="47B16CDB"/>
    <w:rsid w:val="47D26C51"/>
    <w:rsid w:val="47DB78B4"/>
    <w:rsid w:val="47EA17B7"/>
    <w:rsid w:val="47EC1AC1"/>
    <w:rsid w:val="47F31538"/>
    <w:rsid w:val="47F60B91"/>
    <w:rsid w:val="47FA4C87"/>
    <w:rsid w:val="4817543D"/>
    <w:rsid w:val="48382F58"/>
    <w:rsid w:val="4838675C"/>
    <w:rsid w:val="483919CC"/>
    <w:rsid w:val="4847590E"/>
    <w:rsid w:val="48561630"/>
    <w:rsid w:val="486A50DB"/>
    <w:rsid w:val="486C4563"/>
    <w:rsid w:val="486F6565"/>
    <w:rsid w:val="4870272E"/>
    <w:rsid w:val="48763314"/>
    <w:rsid w:val="487B2E45"/>
    <w:rsid w:val="48965ED0"/>
    <w:rsid w:val="48A03392"/>
    <w:rsid w:val="48A4075F"/>
    <w:rsid w:val="48AC71BA"/>
    <w:rsid w:val="48AE740B"/>
    <w:rsid w:val="48B87BF5"/>
    <w:rsid w:val="48DB1EBA"/>
    <w:rsid w:val="48E67908"/>
    <w:rsid w:val="48EE094E"/>
    <w:rsid w:val="490F7AD2"/>
    <w:rsid w:val="49151BA7"/>
    <w:rsid w:val="491A0FE8"/>
    <w:rsid w:val="492928A1"/>
    <w:rsid w:val="492E2815"/>
    <w:rsid w:val="4932269D"/>
    <w:rsid w:val="494E0559"/>
    <w:rsid w:val="495A5150"/>
    <w:rsid w:val="496916B2"/>
    <w:rsid w:val="499E503D"/>
    <w:rsid w:val="49B46D87"/>
    <w:rsid w:val="49BB1CB5"/>
    <w:rsid w:val="49C43AD2"/>
    <w:rsid w:val="49D76DB1"/>
    <w:rsid w:val="49DC7715"/>
    <w:rsid w:val="49E04914"/>
    <w:rsid w:val="49FC1D3A"/>
    <w:rsid w:val="4A023139"/>
    <w:rsid w:val="4A0550BC"/>
    <w:rsid w:val="4A0859ED"/>
    <w:rsid w:val="4A143551"/>
    <w:rsid w:val="4A1A60FD"/>
    <w:rsid w:val="4A204788"/>
    <w:rsid w:val="4A365275"/>
    <w:rsid w:val="4A5B2F2E"/>
    <w:rsid w:val="4A61619B"/>
    <w:rsid w:val="4A6C6EE9"/>
    <w:rsid w:val="4A7B576F"/>
    <w:rsid w:val="4A82495E"/>
    <w:rsid w:val="4A845FDD"/>
    <w:rsid w:val="4A8E3303"/>
    <w:rsid w:val="4A930919"/>
    <w:rsid w:val="4A9D5D25"/>
    <w:rsid w:val="4AC9433B"/>
    <w:rsid w:val="4AD03969"/>
    <w:rsid w:val="4AD403F5"/>
    <w:rsid w:val="4AE41175"/>
    <w:rsid w:val="4AFF1B0B"/>
    <w:rsid w:val="4B0C247A"/>
    <w:rsid w:val="4B30404A"/>
    <w:rsid w:val="4B307FF0"/>
    <w:rsid w:val="4B323C18"/>
    <w:rsid w:val="4B335C59"/>
    <w:rsid w:val="4B414BEA"/>
    <w:rsid w:val="4B490FD8"/>
    <w:rsid w:val="4B5300A9"/>
    <w:rsid w:val="4B5C52CD"/>
    <w:rsid w:val="4B6D3790"/>
    <w:rsid w:val="4B746DBF"/>
    <w:rsid w:val="4B9618A6"/>
    <w:rsid w:val="4B9A66C0"/>
    <w:rsid w:val="4BA81148"/>
    <w:rsid w:val="4BB41D73"/>
    <w:rsid w:val="4BD20FCE"/>
    <w:rsid w:val="4BEA27BB"/>
    <w:rsid w:val="4BF61A8D"/>
    <w:rsid w:val="4C0A07EE"/>
    <w:rsid w:val="4C122301"/>
    <w:rsid w:val="4C2A4384"/>
    <w:rsid w:val="4C4A0649"/>
    <w:rsid w:val="4C5365DE"/>
    <w:rsid w:val="4C5B45B9"/>
    <w:rsid w:val="4C660909"/>
    <w:rsid w:val="4C806C7C"/>
    <w:rsid w:val="4C9F3127"/>
    <w:rsid w:val="4CA02E7A"/>
    <w:rsid w:val="4CA31598"/>
    <w:rsid w:val="4CA61360"/>
    <w:rsid w:val="4CA92A3D"/>
    <w:rsid w:val="4CAA3CF8"/>
    <w:rsid w:val="4CAF57B3"/>
    <w:rsid w:val="4CB0381C"/>
    <w:rsid w:val="4CB3778E"/>
    <w:rsid w:val="4CC132CB"/>
    <w:rsid w:val="4CC90623"/>
    <w:rsid w:val="4CDE2382"/>
    <w:rsid w:val="4CE470D3"/>
    <w:rsid w:val="4CE8031A"/>
    <w:rsid w:val="4D0553D3"/>
    <w:rsid w:val="4D1879C1"/>
    <w:rsid w:val="4D1D3D65"/>
    <w:rsid w:val="4D24438D"/>
    <w:rsid w:val="4D4723CF"/>
    <w:rsid w:val="4D504FAC"/>
    <w:rsid w:val="4D5A571F"/>
    <w:rsid w:val="4D5F2D35"/>
    <w:rsid w:val="4D602609"/>
    <w:rsid w:val="4D706CF0"/>
    <w:rsid w:val="4D76426D"/>
    <w:rsid w:val="4DA1334D"/>
    <w:rsid w:val="4DA40B7F"/>
    <w:rsid w:val="4DAE5A6A"/>
    <w:rsid w:val="4DCB6F06"/>
    <w:rsid w:val="4DD555DE"/>
    <w:rsid w:val="4DD92F6D"/>
    <w:rsid w:val="4DEC4FB0"/>
    <w:rsid w:val="4E0039F5"/>
    <w:rsid w:val="4E075D8A"/>
    <w:rsid w:val="4E0B4C6B"/>
    <w:rsid w:val="4E110281"/>
    <w:rsid w:val="4E1D3924"/>
    <w:rsid w:val="4E1F4272"/>
    <w:rsid w:val="4E213D88"/>
    <w:rsid w:val="4E374A3F"/>
    <w:rsid w:val="4E4E414A"/>
    <w:rsid w:val="4E65467D"/>
    <w:rsid w:val="4E6574E2"/>
    <w:rsid w:val="4E802B2D"/>
    <w:rsid w:val="4EAD5D22"/>
    <w:rsid w:val="4ED80FF1"/>
    <w:rsid w:val="4ED85F42"/>
    <w:rsid w:val="4EE03A01"/>
    <w:rsid w:val="4EF37BD9"/>
    <w:rsid w:val="4F067A8F"/>
    <w:rsid w:val="4F2127C6"/>
    <w:rsid w:val="4F2736A2"/>
    <w:rsid w:val="4F3B50DC"/>
    <w:rsid w:val="4F460A77"/>
    <w:rsid w:val="4F495A4B"/>
    <w:rsid w:val="4F5F526E"/>
    <w:rsid w:val="4F677E15"/>
    <w:rsid w:val="4F7725B8"/>
    <w:rsid w:val="4F8053FC"/>
    <w:rsid w:val="4F885D2B"/>
    <w:rsid w:val="4F904A1A"/>
    <w:rsid w:val="4F9A6216"/>
    <w:rsid w:val="4FAC695F"/>
    <w:rsid w:val="4FBC621D"/>
    <w:rsid w:val="4FC151B1"/>
    <w:rsid w:val="4FC62A8C"/>
    <w:rsid w:val="4FD13549"/>
    <w:rsid w:val="4FDA1E85"/>
    <w:rsid w:val="4FE20F0D"/>
    <w:rsid w:val="4FF10AAF"/>
    <w:rsid w:val="4FF9121F"/>
    <w:rsid w:val="4FFE59CD"/>
    <w:rsid w:val="50037BD1"/>
    <w:rsid w:val="5019541D"/>
    <w:rsid w:val="502E69EF"/>
    <w:rsid w:val="50330BC6"/>
    <w:rsid w:val="503A5393"/>
    <w:rsid w:val="504023D9"/>
    <w:rsid w:val="50504C4B"/>
    <w:rsid w:val="50614082"/>
    <w:rsid w:val="50744992"/>
    <w:rsid w:val="50845E48"/>
    <w:rsid w:val="508C2093"/>
    <w:rsid w:val="509C6E7C"/>
    <w:rsid w:val="50A349B5"/>
    <w:rsid w:val="50B82E88"/>
    <w:rsid w:val="50BF6BDE"/>
    <w:rsid w:val="50C730CB"/>
    <w:rsid w:val="50DC591D"/>
    <w:rsid w:val="50E00F7F"/>
    <w:rsid w:val="50F679C1"/>
    <w:rsid w:val="51071986"/>
    <w:rsid w:val="510A745C"/>
    <w:rsid w:val="511D718F"/>
    <w:rsid w:val="513069E6"/>
    <w:rsid w:val="514566E6"/>
    <w:rsid w:val="51542485"/>
    <w:rsid w:val="51586F4E"/>
    <w:rsid w:val="515C538B"/>
    <w:rsid w:val="5162104E"/>
    <w:rsid w:val="51654692"/>
    <w:rsid w:val="517843C5"/>
    <w:rsid w:val="517C45F8"/>
    <w:rsid w:val="518D64DB"/>
    <w:rsid w:val="51944027"/>
    <w:rsid w:val="51954A02"/>
    <w:rsid w:val="51A26DCD"/>
    <w:rsid w:val="51A404F0"/>
    <w:rsid w:val="51B757D0"/>
    <w:rsid w:val="51C25640"/>
    <w:rsid w:val="51E235BD"/>
    <w:rsid w:val="51E63A25"/>
    <w:rsid w:val="51F24178"/>
    <w:rsid w:val="51F61CE0"/>
    <w:rsid w:val="522E0F28"/>
    <w:rsid w:val="523E70FE"/>
    <w:rsid w:val="52522E68"/>
    <w:rsid w:val="52576539"/>
    <w:rsid w:val="525A6314"/>
    <w:rsid w:val="526037D7"/>
    <w:rsid w:val="526430F9"/>
    <w:rsid w:val="52783526"/>
    <w:rsid w:val="527A5F1B"/>
    <w:rsid w:val="527E13D3"/>
    <w:rsid w:val="52834F24"/>
    <w:rsid w:val="52885CA8"/>
    <w:rsid w:val="528F5286"/>
    <w:rsid w:val="529214B7"/>
    <w:rsid w:val="5293624F"/>
    <w:rsid w:val="52992845"/>
    <w:rsid w:val="529C265F"/>
    <w:rsid w:val="52A47B79"/>
    <w:rsid w:val="52B458D1"/>
    <w:rsid w:val="52C673C7"/>
    <w:rsid w:val="52E10F88"/>
    <w:rsid w:val="52E33AC0"/>
    <w:rsid w:val="52EC6E19"/>
    <w:rsid w:val="53081779"/>
    <w:rsid w:val="530A57CE"/>
    <w:rsid w:val="531445C2"/>
    <w:rsid w:val="53184E30"/>
    <w:rsid w:val="532A5BF4"/>
    <w:rsid w:val="532F27EE"/>
    <w:rsid w:val="53364FEF"/>
    <w:rsid w:val="53402FC3"/>
    <w:rsid w:val="53464EF5"/>
    <w:rsid w:val="53486019"/>
    <w:rsid w:val="535C17AB"/>
    <w:rsid w:val="537F56AD"/>
    <w:rsid w:val="538452A3"/>
    <w:rsid w:val="53A039CC"/>
    <w:rsid w:val="53A1505A"/>
    <w:rsid w:val="53AA2830"/>
    <w:rsid w:val="53B626A7"/>
    <w:rsid w:val="53BA4E02"/>
    <w:rsid w:val="53CE4770"/>
    <w:rsid w:val="53D2506A"/>
    <w:rsid w:val="53DF552A"/>
    <w:rsid w:val="53EB35B5"/>
    <w:rsid w:val="53F8359B"/>
    <w:rsid w:val="54063E08"/>
    <w:rsid w:val="54244390"/>
    <w:rsid w:val="54254A6D"/>
    <w:rsid w:val="542F72A2"/>
    <w:rsid w:val="543437E8"/>
    <w:rsid w:val="54382594"/>
    <w:rsid w:val="54484523"/>
    <w:rsid w:val="545B6043"/>
    <w:rsid w:val="545D0467"/>
    <w:rsid w:val="546E44B5"/>
    <w:rsid w:val="54705100"/>
    <w:rsid w:val="54816D63"/>
    <w:rsid w:val="549D01C5"/>
    <w:rsid w:val="549F5726"/>
    <w:rsid w:val="54A0435F"/>
    <w:rsid w:val="54A11E85"/>
    <w:rsid w:val="54B51E36"/>
    <w:rsid w:val="54B576DE"/>
    <w:rsid w:val="54CC6D14"/>
    <w:rsid w:val="54E168AB"/>
    <w:rsid w:val="54E31A26"/>
    <w:rsid w:val="54F00716"/>
    <w:rsid w:val="5512068D"/>
    <w:rsid w:val="551B1C37"/>
    <w:rsid w:val="55207A24"/>
    <w:rsid w:val="55272665"/>
    <w:rsid w:val="552A59D6"/>
    <w:rsid w:val="552E2619"/>
    <w:rsid w:val="5537030C"/>
    <w:rsid w:val="553B4087"/>
    <w:rsid w:val="554A7E27"/>
    <w:rsid w:val="55515248"/>
    <w:rsid w:val="55620D75"/>
    <w:rsid w:val="55782BE6"/>
    <w:rsid w:val="5579070C"/>
    <w:rsid w:val="55904B7D"/>
    <w:rsid w:val="559B174B"/>
    <w:rsid w:val="55A002E1"/>
    <w:rsid w:val="55CB1B59"/>
    <w:rsid w:val="55CE0CF4"/>
    <w:rsid w:val="55CF5C82"/>
    <w:rsid w:val="55E42029"/>
    <w:rsid w:val="55FB2647"/>
    <w:rsid w:val="55FF7FE5"/>
    <w:rsid w:val="561A1EEF"/>
    <w:rsid w:val="5640122A"/>
    <w:rsid w:val="564362A7"/>
    <w:rsid w:val="564615AB"/>
    <w:rsid w:val="565023B2"/>
    <w:rsid w:val="56503C3D"/>
    <w:rsid w:val="565847C5"/>
    <w:rsid w:val="565F7902"/>
    <w:rsid w:val="56673BDC"/>
    <w:rsid w:val="567012F9"/>
    <w:rsid w:val="56783445"/>
    <w:rsid w:val="567C6706"/>
    <w:rsid w:val="567D7990"/>
    <w:rsid w:val="56877819"/>
    <w:rsid w:val="56900255"/>
    <w:rsid w:val="56905D0D"/>
    <w:rsid w:val="56A812AE"/>
    <w:rsid w:val="56B22A9C"/>
    <w:rsid w:val="56B80FD4"/>
    <w:rsid w:val="56C40DB5"/>
    <w:rsid w:val="56C63E25"/>
    <w:rsid w:val="56D24578"/>
    <w:rsid w:val="56D402F0"/>
    <w:rsid w:val="56F60F76"/>
    <w:rsid w:val="56FC53E6"/>
    <w:rsid w:val="56FE27B8"/>
    <w:rsid w:val="56FE536D"/>
    <w:rsid w:val="570566FB"/>
    <w:rsid w:val="570D0423"/>
    <w:rsid w:val="57117823"/>
    <w:rsid w:val="57231423"/>
    <w:rsid w:val="572D203D"/>
    <w:rsid w:val="573945F7"/>
    <w:rsid w:val="574014E1"/>
    <w:rsid w:val="574B60D8"/>
    <w:rsid w:val="57554D6E"/>
    <w:rsid w:val="575651A9"/>
    <w:rsid w:val="57706A31"/>
    <w:rsid w:val="57772E5A"/>
    <w:rsid w:val="57821C5F"/>
    <w:rsid w:val="578735B4"/>
    <w:rsid w:val="57882E88"/>
    <w:rsid w:val="579139FB"/>
    <w:rsid w:val="57995095"/>
    <w:rsid w:val="579C55B7"/>
    <w:rsid w:val="579E26AC"/>
    <w:rsid w:val="57B72A76"/>
    <w:rsid w:val="57E2085B"/>
    <w:rsid w:val="57E502DB"/>
    <w:rsid w:val="57EE326F"/>
    <w:rsid w:val="57EE718F"/>
    <w:rsid w:val="58005114"/>
    <w:rsid w:val="58093FC9"/>
    <w:rsid w:val="58180137"/>
    <w:rsid w:val="581A4428"/>
    <w:rsid w:val="5825174F"/>
    <w:rsid w:val="58294241"/>
    <w:rsid w:val="582B03E3"/>
    <w:rsid w:val="583077A8"/>
    <w:rsid w:val="583A27BA"/>
    <w:rsid w:val="58403763"/>
    <w:rsid w:val="584E1FBB"/>
    <w:rsid w:val="58627B7D"/>
    <w:rsid w:val="586C7E58"/>
    <w:rsid w:val="587358E6"/>
    <w:rsid w:val="588B2C30"/>
    <w:rsid w:val="58A67C1C"/>
    <w:rsid w:val="58AE691E"/>
    <w:rsid w:val="58B90639"/>
    <w:rsid w:val="58D11441"/>
    <w:rsid w:val="58D81BED"/>
    <w:rsid w:val="58DF1EA0"/>
    <w:rsid w:val="58EE31BF"/>
    <w:rsid w:val="590A39FA"/>
    <w:rsid w:val="592C2059"/>
    <w:rsid w:val="59330A45"/>
    <w:rsid w:val="59352B56"/>
    <w:rsid w:val="59411541"/>
    <w:rsid w:val="59486D73"/>
    <w:rsid w:val="595B4CF8"/>
    <w:rsid w:val="59600F4B"/>
    <w:rsid w:val="59886A06"/>
    <w:rsid w:val="598C197E"/>
    <w:rsid w:val="598E529C"/>
    <w:rsid w:val="59973856"/>
    <w:rsid w:val="59A0270B"/>
    <w:rsid w:val="59A02B41"/>
    <w:rsid w:val="59C2148F"/>
    <w:rsid w:val="59C54C85"/>
    <w:rsid w:val="59D10B16"/>
    <w:rsid w:val="59FE56A9"/>
    <w:rsid w:val="5A025A27"/>
    <w:rsid w:val="5A1C45BD"/>
    <w:rsid w:val="5A3C747D"/>
    <w:rsid w:val="5A623D90"/>
    <w:rsid w:val="5A6E704A"/>
    <w:rsid w:val="5A783688"/>
    <w:rsid w:val="5A7B0A82"/>
    <w:rsid w:val="5A902780"/>
    <w:rsid w:val="5A9C7376"/>
    <w:rsid w:val="5ABA15AB"/>
    <w:rsid w:val="5ABE2233"/>
    <w:rsid w:val="5AC266B1"/>
    <w:rsid w:val="5AFA6F68"/>
    <w:rsid w:val="5AFB7D2F"/>
    <w:rsid w:val="5B044F1C"/>
    <w:rsid w:val="5B106EAE"/>
    <w:rsid w:val="5B120263"/>
    <w:rsid w:val="5B276D18"/>
    <w:rsid w:val="5B28056C"/>
    <w:rsid w:val="5B56343D"/>
    <w:rsid w:val="5B590DC3"/>
    <w:rsid w:val="5B7976B8"/>
    <w:rsid w:val="5B8F0C89"/>
    <w:rsid w:val="5B922527"/>
    <w:rsid w:val="5BB5460B"/>
    <w:rsid w:val="5BBE67A2"/>
    <w:rsid w:val="5BC62B50"/>
    <w:rsid w:val="5BC85F49"/>
    <w:rsid w:val="5BCD20F1"/>
    <w:rsid w:val="5BD70683"/>
    <w:rsid w:val="5BDF5D95"/>
    <w:rsid w:val="5C124EDB"/>
    <w:rsid w:val="5C1E2E18"/>
    <w:rsid w:val="5C2A65D9"/>
    <w:rsid w:val="5C310F4A"/>
    <w:rsid w:val="5C3F7CD7"/>
    <w:rsid w:val="5C687049"/>
    <w:rsid w:val="5C732359"/>
    <w:rsid w:val="5C7F75E3"/>
    <w:rsid w:val="5C9D1184"/>
    <w:rsid w:val="5C9F4EFC"/>
    <w:rsid w:val="5CA802DB"/>
    <w:rsid w:val="5CB14C2F"/>
    <w:rsid w:val="5CB90DC1"/>
    <w:rsid w:val="5CBF734C"/>
    <w:rsid w:val="5CD50CB1"/>
    <w:rsid w:val="5CEA1173"/>
    <w:rsid w:val="5D1276EC"/>
    <w:rsid w:val="5D1450ED"/>
    <w:rsid w:val="5D1458EA"/>
    <w:rsid w:val="5D246832"/>
    <w:rsid w:val="5D2670AC"/>
    <w:rsid w:val="5D2C42B6"/>
    <w:rsid w:val="5D380EAD"/>
    <w:rsid w:val="5D521F6E"/>
    <w:rsid w:val="5D55380D"/>
    <w:rsid w:val="5D665A1A"/>
    <w:rsid w:val="5D667DE3"/>
    <w:rsid w:val="5D6C282E"/>
    <w:rsid w:val="5D6E4CAC"/>
    <w:rsid w:val="5D752101"/>
    <w:rsid w:val="5D821D20"/>
    <w:rsid w:val="5D9836C5"/>
    <w:rsid w:val="5DA54E78"/>
    <w:rsid w:val="5DB449D7"/>
    <w:rsid w:val="5DB54E6D"/>
    <w:rsid w:val="5DB744C7"/>
    <w:rsid w:val="5DBF4F47"/>
    <w:rsid w:val="5DCB3ACF"/>
    <w:rsid w:val="5DD85D7E"/>
    <w:rsid w:val="5DE60909"/>
    <w:rsid w:val="5DF87A0F"/>
    <w:rsid w:val="5DFC3DAE"/>
    <w:rsid w:val="5DFE3EA4"/>
    <w:rsid w:val="5E080A84"/>
    <w:rsid w:val="5E14592A"/>
    <w:rsid w:val="5E1B2CA8"/>
    <w:rsid w:val="5E364A4E"/>
    <w:rsid w:val="5E40706E"/>
    <w:rsid w:val="5E453881"/>
    <w:rsid w:val="5E705F80"/>
    <w:rsid w:val="5E827618"/>
    <w:rsid w:val="5EA0107D"/>
    <w:rsid w:val="5EA52572"/>
    <w:rsid w:val="5EB153BA"/>
    <w:rsid w:val="5EBA7C8A"/>
    <w:rsid w:val="5EF32E58"/>
    <w:rsid w:val="5EF71BB7"/>
    <w:rsid w:val="5F0C25F1"/>
    <w:rsid w:val="5F104D39"/>
    <w:rsid w:val="5F1A2B43"/>
    <w:rsid w:val="5F3F4774"/>
    <w:rsid w:val="5F412CC2"/>
    <w:rsid w:val="5F5A0513"/>
    <w:rsid w:val="5F7408C2"/>
    <w:rsid w:val="5F847960"/>
    <w:rsid w:val="5F8F74AA"/>
    <w:rsid w:val="5F9745B0"/>
    <w:rsid w:val="5FB837BB"/>
    <w:rsid w:val="5FC657DD"/>
    <w:rsid w:val="5FCD57DA"/>
    <w:rsid w:val="5FDB26EF"/>
    <w:rsid w:val="5FDD698C"/>
    <w:rsid w:val="5FDF40EC"/>
    <w:rsid w:val="5FEA0B84"/>
    <w:rsid w:val="5FEB1832"/>
    <w:rsid w:val="5FFC400C"/>
    <w:rsid w:val="60006B5B"/>
    <w:rsid w:val="600216C7"/>
    <w:rsid w:val="600B4656"/>
    <w:rsid w:val="6015168B"/>
    <w:rsid w:val="604B6664"/>
    <w:rsid w:val="605A37BF"/>
    <w:rsid w:val="60815C04"/>
    <w:rsid w:val="608A5EC3"/>
    <w:rsid w:val="608C09CC"/>
    <w:rsid w:val="608C1557"/>
    <w:rsid w:val="60910B83"/>
    <w:rsid w:val="60A2287F"/>
    <w:rsid w:val="60A54AAB"/>
    <w:rsid w:val="60AB7FC1"/>
    <w:rsid w:val="60AE1BB1"/>
    <w:rsid w:val="60B44CEE"/>
    <w:rsid w:val="60B62E5B"/>
    <w:rsid w:val="60C340AF"/>
    <w:rsid w:val="60C4005A"/>
    <w:rsid w:val="60D62EB6"/>
    <w:rsid w:val="60D86C2E"/>
    <w:rsid w:val="60F11E42"/>
    <w:rsid w:val="61047A23"/>
    <w:rsid w:val="611539DF"/>
    <w:rsid w:val="611834CF"/>
    <w:rsid w:val="61397AE4"/>
    <w:rsid w:val="613A315C"/>
    <w:rsid w:val="614222FA"/>
    <w:rsid w:val="61720E31"/>
    <w:rsid w:val="61AF1358"/>
    <w:rsid w:val="61B65F29"/>
    <w:rsid w:val="62314848"/>
    <w:rsid w:val="62316D43"/>
    <w:rsid w:val="62364782"/>
    <w:rsid w:val="6239194F"/>
    <w:rsid w:val="6243675A"/>
    <w:rsid w:val="624A76B8"/>
    <w:rsid w:val="624F1172"/>
    <w:rsid w:val="62522BF9"/>
    <w:rsid w:val="625B18C5"/>
    <w:rsid w:val="6267026A"/>
    <w:rsid w:val="626A7FAB"/>
    <w:rsid w:val="627209BD"/>
    <w:rsid w:val="627D7A8D"/>
    <w:rsid w:val="628D1AC8"/>
    <w:rsid w:val="628E28E5"/>
    <w:rsid w:val="62943029"/>
    <w:rsid w:val="62C95A86"/>
    <w:rsid w:val="62CE1A5B"/>
    <w:rsid w:val="62D859E9"/>
    <w:rsid w:val="62D977A4"/>
    <w:rsid w:val="62DA0B23"/>
    <w:rsid w:val="62DE6052"/>
    <w:rsid w:val="62F6048F"/>
    <w:rsid w:val="62FB2B62"/>
    <w:rsid w:val="62FD57CB"/>
    <w:rsid w:val="6320666B"/>
    <w:rsid w:val="63280FF6"/>
    <w:rsid w:val="632A721A"/>
    <w:rsid w:val="63351E60"/>
    <w:rsid w:val="63470D50"/>
    <w:rsid w:val="63512CC8"/>
    <w:rsid w:val="63591459"/>
    <w:rsid w:val="6361115D"/>
    <w:rsid w:val="63670A14"/>
    <w:rsid w:val="63833090"/>
    <w:rsid w:val="6384309D"/>
    <w:rsid w:val="638C0197"/>
    <w:rsid w:val="63A4104A"/>
    <w:rsid w:val="63A63014"/>
    <w:rsid w:val="63BE65AF"/>
    <w:rsid w:val="63C82AC9"/>
    <w:rsid w:val="63CC7BB4"/>
    <w:rsid w:val="63CD67F3"/>
    <w:rsid w:val="63D40BE9"/>
    <w:rsid w:val="63DC07E4"/>
    <w:rsid w:val="63E0211F"/>
    <w:rsid w:val="63F07540"/>
    <w:rsid w:val="63FE4C1B"/>
    <w:rsid w:val="64061E4B"/>
    <w:rsid w:val="64151F2C"/>
    <w:rsid w:val="641806A8"/>
    <w:rsid w:val="641A55BD"/>
    <w:rsid w:val="64274B71"/>
    <w:rsid w:val="642755DA"/>
    <w:rsid w:val="64410F8F"/>
    <w:rsid w:val="64485E79"/>
    <w:rsid w:val="645D4678"/>
    <w:rsid w:val="646B4008"/>
    <w:rsid w:val="647B2DF6"/>
    <w:rsid w:val="64846EDD"/>
    <w:rsid w:val="64886F51"/>
    <w:rsid w:val="64917820"/>
    <w:rsid w:val="649317EA"/>
    <w:rsid w:val="649875C9"/>
    <w:rsid w:val="649D70AF"/>
    <w:rsid w:val="64A75ABD"/>
    <w:rsid w:val="64A96E72"/>
    <w:rsid w:val="64B930D1"/>
    <w:rsid w:val="64E741F2"/>
    <w:rsid w:val="64E75692"/>
    <w:rsid w:val="64ED7F67"/>
    <w:rsid w:val="64EE06F3"/>
    <w:rsid w:val="64EF2799"/>
    <w:rsid w:val="65000ECC"/>
    <w:rsid w:val="650A63BE"/>
    <w:rsid w:val="652777D6"/>
    <w:rsid w:val="65373578"/>
    <w:rsid w:val="654970E0"/>
    <w:rsid w:val="654A79CF"/>
    <w:rsid w:val="656637F0"/>
    <w:rsid w:val="656B11EB"/>
    <w:rsid w:val="657F3B1C"/>
    <w:rsid w:val="65847385"/>
    <w:rsid w:val="658C5F92"/>
    <w:rsid w:val="65C11375"/>
    <w:rsid w:val="65C914B5"/>
    <w:rsid w:val="65DD416D"/>
    <w:rsid w:val="65EA4144"/>
    <w:rsid w:val="65EC64C3"/>
    <w:rsid w:val="660E6C4E"/>
    <w:rsid w:val="661324B7"/>
    <w:rsid w:val="66187ACD"/>
    <w:rsid w:val="661C6B52"/>
    <w:rsid w:val="661D46E2"/>
    <w:rsid w:val="66256DBE"/>
    <w:rsid w:val="662D3578"/>
    <w:rsid w:val="6635242D"/>
    <w:rsid w:val="66364232"/>
    <w:rsid w:val="66433697"/>
    <w:rsid w:val="66495ED8"/>
    <w:rsid w:val="664D7777"/>
    <w:rsid w:val="665925BF"/>
    <w:rsid w:val="66805D9E"/>
    <w:rsid w:val="668D2415"/>
    <w:rsid w:val="669E4476"/>
    <w:rsid w:val="66A852F5"/>
    <w:rsid w:val="66DB1226"/>
    <w:rsid w:val="66DD4F9F"/>
    <w:rsid w:val="66E159EC"/>
    <w:rsid w:val="66EB4FF2"/>
    <w:rsid w:val="66EB5B17"/>
    <w:rsid w:val="66F2031E"/>
    <w:rsid w:val="66F917BD"/>
    <w:rsid w:val="66FE3167"/>
    <w:rsid w:val="670A6AA8"/>
    <w:rsid w:val="67137627"/>
    <w:rsid w:val="671464E6"/>
    <w:rsid w:val="67213B6E"/>
    <w:rsid w:val="67220595"/>
    <w:rsid w:val="6727016E"/>
    <w:rsid w:val="67346B89"/>
    <w:rsid w:val="67366A4A"/>
    <w:rsid w:val="673F2C7A"/>
    <w:rsid w:val="67430D38"/>
    <w:rsid w:val="67801DCE"/>
    <w:rsid w:val="67824383"/>
    <w:rsid w:val="67834660"/>
    <w:rsid w:val="678673E4"/>
    <w:rsid w:val="678E5BEE"/>
    <w:rsid w:val="679B2764"/>
    <w:rsid w:val="67A33AFF"/>
    <w:rsid w:val="67C1364E"/>
    <w:rsid w:val="67D26A1E"/>
    <w:rsid w:val="67D514E1"/>
    <w:rsid w:val="67D77C40"/>
    <w:rsid w:val="67FA392E"/>
    <w:rsid w:val="68033A1F"/>
    <w:rsid w:val="68111651"/>
    <w:rsid w:val="681905FC"/>
    <w:rsid w:val="681F6961"/>
    <w:rsid w:val="68356714"/>
    <w:rsid w:val="68386205"/>
    <w:rsid w:val="683E75F2"/>
    <w:rsid w:val="684140AE"/>
    <w:rsid w:val="68420E31"/>
    <w:rsid w:val="68441266"/>
    <w:rsid w:val="684A6664"/>
    <w:rsid w:val="68610A2F"/>
    <w:rsid w:val="686231A1"/>
    <w:rsid w:val="686334D2"/>
    <w:rsid w:val="6865349E"/>
    <w:rsid w:val="687C2595"/>
    <w:rsid w:val="68805514"/>
    <w:rsid w:val="688D6550"/>
    <w:rsid w:val="688F4E56"/>
    <w:rsid w:val="68932AF0"/>
    <w:rsid w:val="68965D35"/>
    <w:rsid w:val="68C61A62"/>
    <w:rsid w:val="68CA23D1"/>
    <w:rsid w:val="68E424F2"/>
    <w:rsid w:val="68F71C1C"/>
    <w:rsid w:val="694E2071"/>
    <w:rsid w:val="69567CE1"/>
    <w:rsid w:val="69594684"/>
    <w:rsid w:val="696C7FA8"/>
    <w:rsid w:val="697A3B33"/>
    <w:rsid w:val="697B45FB"/>
    <w:rsid w:val="69841F02"/>
    <w:rsid w:val="69925B6A"/>
    <w:rsid w:val="699B6A4B"/>
    <w:rsid w:val="699E2456"/>
    <w:rsid w:val="69A41463"/>
    <w:rsid w:val="69A63C93"/>
    <w:rsid w:val="69C51D1A"/>
    <w:rsid w:val="69DA3A17"/>
    <w:rsid w:val="69EC54F9"/>
    <w:rsid w:val="69F402A6"/>
    <w:rsid w:val="69FB573C"/>
    <w:rsid w:val="6A08639F"/>
    <w:rsid w:val="6A24240C"/>
    <w:rsid w:val="6A717D4B"/>
    <w:rsid w:val="6A8252DA"/>
    <w:rsid w:val="6A902328"/>
    <w:rsid w:val="6A96067E"/>
    <w:rsid w:val="6AC87D14"/>
    <w:rsid w:val="6ACE1584"/>
    <w:rsid w:val="6AD83AD4"/>
    <w:rsid w:val="6ADD4D4C"/>
    <w:rsid w:val="6AE21755"/>
    <w:rsid w:val="6AE30927"/>
    <w:rsid w:val="6AF66D84"/>
    <w:rsid w:val="6AF863DD"/>
    <w:rsid w:val="6AFE5217"/>
    <w:rsid w:val="6AFE7291"/>
    <w:rsid w:val="6B057271"/>
    <w:rsid w:val="6B0F5943"/>
    <w:rsid w:val="6B1271E1"/>
    <w:rsid w:val="6B1B3DAE"/>
    <w:rsid w:val="6B1B42E7"/>
    <w:rsid w:val="6B282560"/>
    <w:rsid w:val="6B295AA1"/>
    <w:rsid w:val="6B2B6F3E"/>
    <w:rsid w:val="6B322639"/>
    <w:rsid w:val="6B4227D3"/>
    <w:rsid w:val="6B423CEE"/>
    <w:rsid w:val="6B451364"/>
    <w:rsid w:val="6B5275DD"/>
    <w:rsid w:val="6B5D71DA"/>
    <w:rsid w:val="6B712159"/>
    <w:rsid w:val="6BBF210D"/>
    <w:rsid w:val="6BC71D79"/>
    <w:rsid w:val="6BCF16EA"/>
    <w:rsid w:val="6BD36970"/>
    <w:rsid w:val="6BDF4621"/>
    <w:rsid w:val="6BF32A99"/>
    <w:rsid w:val="6C094140"/>
    <w:rsid w:val="6C255926"/>
    <w:rsid w:val="6C293FE6"/>
    <w:rsid w:val="6C2B67AC"/>
    <w:rsid w:val="6C3513D9"/>
    <w:rsid w:val="6C35541B"/>
    <w:rsid w:val="6C3B1304"/>
    <w:rsid w:val="6C4159CA"/>
    <w:rsid w:val="6C476B40"/>
    <w:rsid w:val="6C5555D7"/>
    <w:rsid w:val="6C5B0E93"/>
    <w:rsid w:val="6C5C4BB7"/>
    <w:rsid w:val="6C636C38"/>
    <w:rsid w:val="6C7F2654"/>
    <w:rsid w:val="6CAD0F6F"/>
    <w:rsid w:val="6CB20E55"/>
    <w:rsid w:val="6CCD7768"/>
    <w:rsid w:val="6CDC7AA6"/>
    <w:rsid w:val="6CE626D3"/>
    <w:rsid w:val="6CED5810"/>
    <w:rsid w:val="6D056FFD"/>
    <w:rsid w:val="6D0A0D11"/>
    <w:rsid w:val="6D0A42DF"/>
    <w:rsid w:val="6D0D1A0E"/>
    <w:rsid w:val="6D1C2E80"/>
    <w:rsid w:val="6D2317C0"/>
    <w:rsid w:val="6D3552FA"/>
    <w:rsid w:val="6D396CA7"/>
    <w:rsid w:val="6D481DDA"/>
    <w:rsid w:val="6D5E670D"/>
    <w:rsid w:val="6D765B32"/>
    <w:rsid w:val="6D7C0AE9"/>
    <w:rsid w:val="6D912219"/>
    <w:rsid w:val="6D920165"/>
    <w:rsid w:val="6DA929B8"/>
    <w:rsid w:val="6DB34098"/>
    <w:rsid w:val="6DB545B6"/>
    <w:rsid w:val="6DCD5CB1"/>
    <w:rsid w:val="6DD50263"/>
    <w:rsid w:val="6DEA7FA1"/>
    <w:rsid w:val="6DEE32ED"/>
    <w:rsid w:val="6DEE7A91"/>
    <w:rsid w:val="6DEF114A"/>
    <w:rsid w:val="6E0F345F"/>
    <w:rsid w:val="6E106332"/>
    <w:rsid w:val="6E114367"/>
    <w:rsid w:val="6E2E7D17"/>
    <w:rsid w:val="6E31797E"/>
    <w:rsid w:val="6E3336E6"/>
    <w:rsid w:val="6E3A33B0"/>
    <w:rsid w:val="6E3C26AA"/>
    <w:rsid w:val="6E421387"/>
    <w:rsid w:val="6E4375A0"/>
    <w:rsid w:val="6E4E6782"/>
    <w:rsid w:val="6E514CED"/>
    <w:rsid w:val="6E516FAE"/>
    <w:rsid w:val="6E59299A"/>
    <w:rsid w:val="6E6829CA"/>
    <w:rsid w:val="6E6E2980"/>
    <w:rsid w:val="6E79491A"/>
    <w:rsid w:val="6E7D32FC"/>
    <w:rsid w:val="6E9D2788"/>
    <w:rsid w:val="6E9D5DAA"/>
    <w:rsid w:val="6EAE135C"/>
    <w:rsid w:val="6EB563D5"/>
    <w:rsid w:val="6EBD1212"/>
    <w:rsid w:val="6EC72090"/>
    <w:rsid w:val="6EC73074"/>
    <w:rsid w:val="6ECE01AD"/>
    <w:rsid w:val="6ED567EF"/>
    <w:rsid w:val="6EE13152"/>
    <w:rsid w:val="6EF70BC7"/>
    <w:rsid w:val="6EF71009"/>
    <w:rsid w:val="6EF822A2"/>
    <w:rsid w:val="6EF84E1E"/>
    <w:rsid w:val="6EFC4E00"/>
    <w:rsid w:val="6EFF5CCE"/>
    <w:rsid w:val="6F1843FB"/>
    <w:rsid w:val="6F225983"/>
    <w:rsid w:val="6F293D2F"/>
    <w:rsid w:val="6F2B261F"/>
    <w:rsid w:val="6F322B11"/>
    <w:rsid w:val="6F4162E7"/>
    <w:rsid w:val="6F4C0467"/>
    <w:rsid w:val="6F62308B"/>
    <w:rsid w:val="6F675CCF"/>
    <w:rsid w:val="6F71472B"/>
    <w:rsid w:val="6F7C598B"/>
    <w:rsid w:val="6F7D6439"/>
    <w:rsid w:val="6F871F4B"/>
    <w:rsid w:val="6FA04DBB"/>
    <w:rsid w:val="6FC3279B"/>
    <w:rsid w:val="6FC33FD3"/>
    <w:rsid w:val="6FD0136E"/>
    <w:rsid w:val="6FF1412A"/>
    <w:rsid w:val="6FFC5590"/>
    <w:rsid w:val="70057314"/>
    <w:rsid w:val="7020414E"/>
    <w:rsid w:val="70253512"/>
    <w:rsid w:val="70301DA3"/>
    <w:rsid w:val="70461BF6"/>
    <w:rsid w:val="704B11CB"/>
    <w:rsid w:val="706D1DD0"/>
    <w:rsid w:val="70702A2C"/>
    <w:rsid w:val="70702E41"/>
    <w:rsid w:val="7073427E"/>
    <w:rsid w:val="707C2E80"/>
    <w:rsid w:val="707D0604"/>
    <w:rsid w:val="70856B87"/>
    <w:rsid w:val="7089584F"/>
    <w:rsid w:val="70934339"/>
    <w:rsid w:val="70944D11"/>
    <w:rsid w:val="70957CC5"/>
    <w:rsid w:val="70A5064C"/>
    <w:rsid w:val="70B328CC"/>
    <w:rsid w:val="70C44AD9"/>
    <w:rsid w:val="70D421A3"/>
    <w:rsid w:val="70D527EE"/>
    <w:rsid w:val="70E1438C"/>
    <w:rsid w:val="70E364A3"/>
    <w:rsid w:val="70F5124E"/>
    <w:rsid w:val="710F11CF"/>
    <w:rsid w:val="711C2B67"/>
    <w:rsid w:val="711C60A2"/>
    <w:rsid w:val="715B5300"/>
    <w:rsid w:val="715F4BD7"/>
    <w:rsid w:val="71664926"/>
    <w:rsid w:val="71810C1C"/>
    <w:rsid w:val="71887ECD"/>
    <w:rsid w:val="718D75C1"/>
    <w:rsid w:val="71A650E3"/>
    <w:rsid w:val="71C058B9"/>
    <w:rsid w:val="71C254BD"/>
    <w:rsid w:val="71D27F8A"/>
    <w:rsid w:val="71D95ABF"/>
    <w:rsid w:val="71E27E9C"/>
    <w:rsid w:val="71E573FD"/>
    <w:rsid w:val="71F272E6"/>
    <w:rsid w:val="71F60068"/>
    <w:rsid w:val="71F744C6"/>
    <w:rsid w:val="71F960CF"/>
    <w:rsid w:val="722515A8"/>
    <w:rsid w:val="72293333"/>
    <w:rsid w:val="723E22A6"/>
    <w:rsid w:val="724405A1"/>
    <w:rsid w:val="724D3CEF"/>
    <w:rsid w:val="725C6020"/>
    <w:rsid w:val="725E7322"/>
    <w:rsid w:val="726E2F4F"/>
    <w:rsid w:val="72854A5A"/>
    <w:rsid w:val="72881782"/>
    <w:rsid w:val="728A58AF"/>
    <w:rsid w:val="729B1A87"/>
    <w:rsid w:val="729B5D0E"/>
    <w:rsid w:val="72AB6C77"/>
    <w:rsid w:val="72B648F6"/>
    <w:rsid w:val="72BB015E"/>
    <w:rsid w:val="72C43282"/>
    <w:rsid w:val="72C60FDD"/>
    <w:rsid w:val="72D33945"/>
    <w:rsid w:val="72D752CA"/>
    <w:rsid w:val="72D8343A"/>
    <w:rsid w:val="72FD11CC"/>
    <w:rsid w:val="72FE2C1A"/>
    <w:rsid w:val="73011896"/>
    <w:rsid w:val="730F5DE9"/>
    <w:rsid w:val="7318735E"/>
    <w:rsid w:val="731F5D5E"/>
    <w:rsid w:val="73214465"/>
    <w:rsid w:val="732D2E0A"/>
    <w:rsid w:val="732E6EBC"/>
    <w:rsid w:val="734B0AAB"/>
    <w:rsid w:val="73697BBA"/>
    <w:rsid w:val="73836ECE"/>
    <w:rsid w:val="73872590"/>
    <w:rsid w:val="7391749F"/>
    <w:rsid w:val="73982F48"/>
    <w:rsid w:val="739F1E75"/>
    <w:rsid w:val="73A56E44"/>
    <w:rsid w:val="73AF016D"/>
    <w:rsid w:val="73C117A4"/>
    <w:rsid w:val="73C42070"/>
    <w:rsid w:val="73D239B1"/>
    <w:rsid w:val="73D41640"/>
    <w:rsid w:val="73E060CE"/>
    <w:rsid w:val="73EA052A"/>
    <w:rsid w:val="73F9507C"/>
    <w:rsid w:val="73FB367F"/>
    <w:rsid w:val="741C0D47"/>
    <w:rsid w:val="741E793C"/>
    <w:rsid w:val="7427745B"/>
    <w:rsid w:val="743A3291"/>
    <w:rsid w:val="744E128A"/>
    <w:rsid w:val="74512B28"/>
    <w:rsid w:val="745D7F11"/>
    <w:rsid w:val="745E1854"/>
    <w:rsid w:val="74836938"/>
    <w:rsid w:val="748F1CC1"/>
    <w:rsid w:val="749B56C1"/>
    <w:rsid w:val="74A569D0"/>
    <w:rsid w:val="74AE1D28"/>
    <w:rsid w:val="74C56B7E"/>
    <w:rsid w:val="74C70FE0"/>
    <w:rsid w:val="74C90910"/>
    <w:rsid w:val="74D46575"/>
    <w:rsid w:val="74D54F3C"/>
    <w:rsid w:val="74E4399C"/>
    <w:rsid w:val="75151DA7"/>
    <w:rsid w:val="751B1584"/>
    <w:rsid w:val="75232CC1"/>
    <w:rsid w:val="752A3B98"/>
    <w:rsid w:val="752A7CD3"/>
    <w:rsid w:val="752D5343"/>
    <w:rsid w:val="752E7274"/>
    <w:rsid w:val="75306043"/>
    <w:rsid w:val="75431FEB"/>
    <w:rsid w:val="754D07DA"/>
    <w:rsid w:val="755723C0"/>
    <w:rsid w:val="75575F1C"/>
    <w:rsid w:val="75653C64"/>
    <w:rsid w:val="756B594D"/>
    <w:rsid w:val="756B5E6B"/>
    <w:rsid w:val="756B730A"/>
    <w:rsid w:val="75722A45"/>
    <w:rsid w:val="757F3A75"/>
    <w:rsid w:val="757F4EE4"/>
    <w:rsid w:val="758D1F43"/>
    <w:rsid w:val="758D75E2"/>
    <w:rsid w:val="75947170"/>
    <w:rsid w:val="75BB5DF7"/>
    <w:rsid w:val="75C91840"/>
    <w:rsid w:val="75CB3577"/>
    <w:rsid w:val="75FC4D15"/>
    <w:rsid w:val="75FF26F5"/>
    <w:rsid w:val="7610431D"/>
    <w:rsid w:val="761D2516"/>
    <w:rsid w:val="76200A04"/>
    <w:rsid w:val="76263B40"/>
    <w:rsid w:val="7630676D"/>
    <w:rsid w:val="763C15B6"/>
    <w:rsid w:val="763D0250"/>
    <w:rsid w:val="76525BE7"/>
    <w:rsid w:val="76654669"/>
    <w:rsid w:val="76733229"/>
    <w:rsid w:val="767809D9"/>
    <w:rsid w:val="76835EFD"/>
    <w:rsid w:val="768D0F4C"/>
    <w:rsid w:val="76960CC6"/>
    <w:rsid w:val="76BF709D"/>
    <w:rsid w:val="76C33B6A"/>
    <w:rsid w:val="76CD1DA1"/>
    <w:rsid w:val="76F7737E"/>
    <w:rsid w:val="770518F3"/>
    <w:rsid w:val="772B755F"/>
    <w:rsid w:val="77302059"/>
    <w:rsid w:val="77446974"/>
    <w:rsid w:val="77464AF8"/>
    <w:rsid w:val="776C1A27"/>
    <w:rsid w:val="77762421"/>
    <w:rsid w:val="77830123"/>
    <w:rsid w:val="778E5E41"/>
    <w:rsid w:val="779571D0"/>
    <w:rsid w:val="77B75398"/>
    <w:rsid w:val="77C43611"/>
    <w:rsid w:val="77E31CE9"/>
    <w:rsid w:val="77E43CB3"/>
    <w:rsid w:val="77EE050C"/>
    <w:rsid w:val="77F27A3E"/>
    <w:rsid w:val="780F09F4"/>
    <w:rsid w:val="782B7A82"/>
    <w:rsid w:val="782C253B"/>
    <w:rsid w:val="7846016E"/>
    <w:rsid w:val="784B4BDC"/>
    <w:rsid w:val="784C211C"/>
    <w:rsid w:val="785E73E8"/>
    <w:rsid w:val="78786305"/>
    <w:rsid w:val="787B0173"/>
    <w:rsid w:val="789C4F47"/>
    <w:rsid w:val="78A21BA4"/>
    <w:rsid w:val="78A51694"/>
    <w:rsid w:val="78A74A34"/>
    <w:rsid w:val="78A90480"/>
    <w:rsid w:val="78B813C8"/>
    <w:rsid w:val="78CD1717"/>
    <w:rsid w:val="78CE1FE7"/>
    <w:rsid w:val="78D65BEF"/>
    <w:rsid w:val="78E6295C"/>
    <w:rsid w:val="78E87223"/>
    <w:rsid w:val="78EE29A2"/>
    <w:rsid w:val="78F37A4F"/>
    <w:rsid w:val="78F46178"/>
    <w:rsid w:val="78F63C9E"/>
    <w:rsid w:val="7915026D"/>
    <w:rsid w:val="791907C6"/>
    <w:rsid w:val="794308FD"/>
    <w:rsid w:val="7951077C"/>
    <w:rsid w:val="79794D72"/>
    <w:rsid w:val="79811327"/>
    <w:rsid w:val="79836B0A"/>
    <w:rsid w:val="7993773F"/>
    <w:rsid w:val="79A220FB"/>
    <w:rsid w:val="79B3393D"/>
    <w:rsid w:val="79BA36A6"/>
    <w:rsid w:val="79C46A79"/>
    <w:rsid w:val="79CA6FD0"/>
    <w:rsid w:val="79DC10E6"/>
    <w:rsid w:val="79E70D0C"/>
    <w:rsid w:val="79E94EAD"/>
    <w:rsid w:val="79EA2C5F"/>
    <w:rsid w:val="79EA61EA"/>
    <w:rsid w:val="79FF4DD4"/>
    <w:rsid w:val="7A020420"/>
    <w:rsid w:val="7A07196A"/>
    <w:rsid w:val="7A0B5527"/>
    <w:rsid w:val="7A0C1A6C"/>
    <w:rsid w:val="7A0C2FD8"/>
    <w:rsid w:val="7A1510FB"/>
    <w:rsid w:val="7A1663B5"/>
    <w:rsid w:val="7A1C14E2"/>
    <w:rsid w:val="7A1E34AC"/>
    <w:rsid w:val="7A1F5E8C"/>
    <w:rsid w:val="7A2F5B40"/>
    <w:rsid w:val="7A364017"/>
    <w:rsid w:val="7A3727C0"/>
    <w:rsid w:val="7A3C4946"/>
    <w:rsid w:val="7A4854B0"/>
    <w:rsid w:val="7A5769BE"/>
    <w:rsid w:val="7A61783D"/>
    <w:rsid w:val="7A6449BB"/>
    <w:rsid w:val="7A690B4B"/>
    <w:rsid w:val="7A7B26AD"/>
    <w:rsid w:val="7A8265E1"/>
    <w:rsid w:val="7A866D51"/>
    <w:rsid w:val="7A8A01C7"/>
    <w:rsid w:val="7A9E45ED"/>
    <w:rsid w:val="7A9E5A95"/>
    <w:rsid w:val="7ABC4A73"/>
    <w:rsid w:val="7AD63D87"/>
    <w:rsid w:val="7AEA5A84"/>
    <w:rsid w:val="7AFB37ED"/>
    <w:rsid w:val="7B0433F3"/>
    <w:rsid w:val="7B0F1874"/>
    <w:rsid w:val="7B1D667F"/>
    <w:rsid w:val="7B2014A6"/>
    <w:rsid w:val="7B3265FA"/>
    <w:rsid w:val="7B486307"/>
    <w:rsid w:val="7B536746"/>
    <w:rsid w:val="7B5F5B2A"/>
    <w:rsid w:val="7B602513"/>
    <w:rsid w:val="7B686D42"/>
    <w:rsid w:val="7B784E3E"/>
    <w:rsid w:val="7B7D06A6"/>
    <w:rsid w:val="7B803CF3"/>
    <w:rsid w:val="7B841746"/>
    <w:rsid w:val="7B8F1213"/>
    <w:rsid w:val="7B922DED"/>
    <w:rsid w:val="7B9A586D"/>
    <w:rsid w:val="7BA64D48"/>
    <w:rsid w:val="7BB22021"/>
    <w:rsid w:val="7BB22970"/>
    <w:rsid w:val="7BBF481B"/>
    <w:rsid w:val="7BF22E42"/>
    <w:rsid w:val="7C025570"/>
    <w:rsid w:val="7C044924"/>
    <w:rsid w:val="7C1475DC"/>
    <w:rsid w:val="7C547EF9"/>
    <w:rsid w:val="7C613B24"/>
    <w:rsid w:val="7C6230DB"/>
    <w:rsid w:val="7C7349C3"/>
    <w:rsid w:val="7C7E2011"/>
    <w:rsid w:val="7C7F110C"/>
    <w:rsid w:val="7C8A4E29"/>
    <w:rsid w:val="7C8D2C1A"/>
    <w:rsid w:val="7C9931A2"/>
    <w:rsid w:val="7C9A6F73"/>
    <w:rsid w:val="7CA42128"/>
    <w:rsid w:val="7CC04CEF"/>
    <w:rsid w:val="7CCF3496"/>
    <w:rsid w:val="7CD460A4"/>
    <w:rsid w:val="7CDC4FC8"/>
    <w:rsid w:val="7CE85E00"/>
    <w:rsid w:val="7CF624BE"/>
    <w:rsid w:val="7D0239FF"/>
    <w:rsid w:val="7D15366F"/>
    <w:rsid w:val="7D1E5AD5"/>
    <w:rsid w:val="7D1E5C9A"/>
    <w:rsid w:val="7D285395"/>
    <w:rsid w:val="7D4274B2"/>
    <w:rsid w:val="7D52684D"/>
    <w:rsid w:val="7D5947FB"/>
    <w:rsid w:val="7D5E40CD"/>
    <w:rsid w:val="7D621902"/>
    <w:rsid w:val="7D634343"/>
    <w:rsid w:val="7D693BED"/>
    <w:rsid w:val="7D80447E"/>
    <w:rsid w:val="7D8F021D"/>
    <w:rsid w:val="7D9029B1"/>
    <w:rsid w:val="7D9615AC"/>
    <w:rsid w:val="7DA0242A"/>
    <w:rsid w:val="7DAA37F9"/>
    <w:rsid w:val="7DD45476"/>
    <w:rsid w:val="7DDE3E9D"/>
    <w:rsid w:val="7DF511AC"/>
    <w:rsid w:val="7DF6453D"/>
    <w:rsid w:val="7E096221"/>
    <w:rsid w:val="7E132BFC"/>
    <w:rsid w:val="7E1E2589"/>
    <w:rsid w:val="7E4712E8"/>
    <w:rsid w:val="7E492AC2"/>
    <w:rsid w:val="7E617997"/>
    <w:rsid w:val="7E7C2E97"/>
    <w:rsid w:val="7E841D32"/>
    <w:rsid w:val="7E8B43E5"/>
    <w:rsid w:val="7E8B4E88"/>
    <w:rsid w:val="7EA360F3"/>
    <w:rsid w:val="7EAF501B"/>
    <w:rsid w:val="7EC576CC"/>
    <w:rsid w:val="7EC912A5"/>
    <w:rsid w:val="7EDC6378"/>
    <w:rsid w:val="7EE36A72"/>
    <w:rsid w:val="7F0709B3"/>
    <w:rsid w:val="7F0A04A3"/>
    <w:rsid w:val="7F0E192E"/>
    <w:rsid w:val="7F0F56D1"/>
    <w:rsid w:val="7F1D6D3B"/>
    <w:rsid w:val="7F3379FA"/>
    <w:rsid w:val="7F345520"/>
    <w:rsid w:val="7F34757D"/>
    <w:rsid w:val="7F3B737D"/>
    <w:rsid w:val="7F4F4108"/>
    <w:rsid w:val="7F6A7A3B"/>
    <w:rsid w:val="7F700F21"/>
    <w:rsid w:val="7F7F2FD4"/>
    <w:rsid w:val="7F8356AF"/>
    <w:rsid w:val="7F902F4A"/>
    <w:rsid w:val="7F983D01"/>
    <w:rsid w:val="7FA51F7A"/>
    <w:rsid w:val="7FA61459"/>
    <w:rsid w:val="7FAC3558"/>
    <w:rsid w:val="7FAD3C71"/>
    <w:rsid w:val="7FBF303C"/>
    <w:rsid w:val="7FBF5AB3"/>
    <w:rsid w:val="7FC543CA"/>
    <w:rsid w:val="7FD02953"/>
    <w:rsid w:val="7FD34D39"/>
    <w:rsid w:val="7FE3437B"/>
    <w:rsid w:val="7FE47E50"/>
    <w:rsid w:val="7FE707E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ocked="1"/>
    <w:lsdException w:qFormat="1" w:unhideWhenUsed="0" w:uiPriority="0" w:semiHidden="0" w:name="heading 3" w:locked="1"/>
    <w:lsdException w:qFormat="1" w:uiPriority="0" w:semiHidden="0" w:name="heading 4" w:locked="1"/>
    <w:lsdException w:qFormat="1" w:uiPriority="0"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ocked="1"/>
    <w:lsdException w:qFormat="1" w:unhideWhenUsed="0" w:uiPriority="39" w:semiHidden="0" w:name="toc 2" w:locked="1"/>
    <w:lsdException w:qFormat="1"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iPriority="99"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qFormat="1"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ocked="1"/>
    <w:lsdException w:qFormat="1" w:unhideWhenUsed="0" w:uiPriority="0" w:semiHidden="0" w:name="Emphasis" w:locked="1"/>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unhideWhenUsed/>
    <w:qFormat/>
    <w:locked/>
    <w:uiPriority w:val="0"/>
    <w:pPr>
      <w:keepNext/>
      <w:keepLines/>
      <w:numPr>
        <w:ilvl w:val="1"/>
        <w:numId w:val="1"/>
      </w:numPr>
      <w:adjustRightInd w:val="0"/>
      <w:spacing w:before="200" w:beforeLines="0" w:beforeAutospacing="0" w:after="200" w:afterLines="0" w:afterAutospacing="0" w:line="413" w:lineRule="auto"/>
      <w:ind w:firstLine="0" w:firstLineChars="0"/>
      <w:outlineLvl w:val="1"/>
    </w:pPr>
    <w:rPr>
      <w:rFonts w:ascii="Arial" w:hAnsi="Arial" w:eastAsia="宋体"/>
      <w:b/>
      <w:sz w:val="30"/>
    </w:rPr>
  </w:style>
  <w:style w:type="paragraph" w:styleId="5">
    <w:name w:val="heading 3"/>
    <w:basedOn w:val="1"/>
    <w:next w:val="1"/>
    <w:qFormat/>
    <w:locked/>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6">
    <w:name w:val="heading 4"/>
    <w:basedOn w:val="1"/>
    <w:next w:val="1"/>
    <w:unhideWhenUsed/>
    <w:qFormat/>
    <w:locked/>
    <w:uiPriority w:val="0"/>
    <w:pPr>
      <w:keepNext/>
      <w:keepLines/>
      <w:numPr>
        <w:ilvl w:val="3"/>
        <w:numId w:val="2"/>
      </w:numPr>
      <w:spacing w:before="280" w:beforeLines="0" w:beforeAutospacing="0" w:after="290" w:afterLines="0" w:afterAutospacing="0" w:line="372" w:lineRule="auto"/>
      <w:ind w:firstLine="0" w:firstLineChars="0"/>
      <w:outlineLvl w:val="3"/>
    </w:pPr>
    <w:rPr>
      <w:rFonts w:ascii="Arial" w:hAnsi="Arial" w:eastAsia="黑体"/>
      <w:b/>
      <w:sz w:val="28"/>
    </w:rPr>
  </w:style>
  <w:style w:type="paragraph" w:styleId="7">
    <w:name w:val="heading 5"/>
    <w:basedOn w:val="1"/>
    <w:next w:val="1"/>
    <w:unhideWhenUsed/>
    <w:qFormat/>
    <w:locked/>
    <w:uiPriority w:val="0"/>
    <w:pPr>
      <w:keepNext/>
      <w:keepLines/>
      <w:numPr>
        <w:ilvl w:val="4"/>
        <w:numId w:val="3"/>
      </w:numPr>
      <w:tabs>
        <w:tab w:val="left" w:pos="420"/>
      </w:tabs>
      <w:adjustRightInd w:val="0"/>
      <w:snapToGrid w:val="0"/>
      <w:ind w:left="0" w:firstLine="0" w:firstLineChars="0"/>
      <w:jc w:val="center"/>
      <w:outlineLvl w:val="4"/>
    </w:pPr>
    <w:rPr>
      <w:rFonts w:ascii="Times New Roman" w:hAnsi="Times New Roman" w:eastAsia="宋体"/>
      <w:b/>
      <w:bCs/>
      <w:sz w:val="21"/>
      <w:szCs w:val="21"/>
    </w:rPr>
  </w:style>
  <w:style w:type="character" w:default="1" w:styleId="34">
    <w:name w:val="Default Paragraph Font"/>
    <w:semiHidden/>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2">
    <w:name w:val="macro"/>
    <w:basedOn w:val="1"/>
    <w:next w:val="1"/>
    <w:qFormat/>
    <w:uiPriority w:val="0"/>
    <w:pPr>
      <w:widowControl w:val="0"/>
      <w:numPr>
        <w:ilvl w:val="8"/>
        <w:numId w:val="4"/>
      </w:numPr>
      <w:tabs>
        <w:tab w:val="left" w:pos="480"/>
        <w:tab w:val="left" w:pos="960"/>
        <w:tab w:val="left" w:pos="1440"/>
        <w:tab w:val="left" w:pos="1920"/>
        <w:tab w:val="left" w:pos="2400"/>
        <w:tab w:val="left" w:pos="2880"/>
        <w:tab w:val="left" w:pos="3360"/>
        <w:tab w:val="left" w:pos="3840"/>
        <w:tab w:val="left" w:pos="4320"/>
        <w:tab w:val="clear" w:pos="420"/>
      </w:tabs>
      <w:kinsoku w:val="0"/>
      <w:overflowPunct w:val="0"/>
      <w:autoSpaceDE w:val="0"/>
      <w:autoSpaceDN w:val="0"/>
      <w:snapToGrid w:val="0"/>
      <w:spacing w:before="50" w:beforeLines="50" w:line="240" w:lineRule="auto"/>
      <w:ind w:firstLineChars="0"/>
      <w:jc w:val="center"/>
    </w:pPr>
    <w:rPr>
      <w:rFonts w:ascii="Times New Roman" w:hAnsi="Times New Roman"/>
      <w:b/>
      <w:bCs/>
    </w:rPr>
  </w:style>
  <w:style w:type="paragraph" w:styleId="8">
    <w:name w:val="Normal Indent"/>
    <w:basedOn w:val="1"/>
    <w:next w:val="9"/>
    <w:unhideWhenUsed/>
    <w:qFormat/>
    <w:uiPriority w:val="99"/>
    <w:pPr>
      <w:adjustRightInd w:val="0"/>
      <w:ind w:firstLine="420"/>
      <w:jc w:val="left"/>
    </w:pPr>
  </w:style>
  <w:style w:type="paragraph" w:styleId="9">
    <w:name w:val="Body Text First Indent 2"/>
    <w:basedOn w:val="10"/>
    <w:next w:val="10"/>
    <w:link w:val="40"/>
    <w:qFormat/>
    <w:uiPriority w:val="0"/>
    <w:pPr>
      <w:ind w:firstLine="420"/>
    </w:pPr>
  </w:style>
  <w:style w:type="paragraph" w:styleId="10">
    <w:name w:val="Body Text Indent"/>
    <w:basedOn w:val="1"/>
    <w:link w:val="39"/>
    <w:semiHidden/>
    <w:qFormat/>
    <w:uiPriority w:val="0"/>
    <w:pPr>
      <w:spacing w:after="120"/>
      <w:ind w:left="420" w:leftChars="200"/>
    </w:pPr>
  </w:style>
  <w:style w:type="paragraph" w:styleId="11">
    <w:name w:val="toa heading"/>
    <w:basedOn w:val="1"/>
    <w:next w:val="1"/>
    <w:qFormat/>
    <w:uiPriority w:val="0"/>
    <w:pPr>
      <w:spacing w:before="120" w:beforeLines="0" w:beforeAutospacing="0"/>
    </w:pPr>
    <w:rPr>
      <w:rFonts w:ascii="Arial" w:hAnsi="Arial"/>
      <w:sz w:val="24"/>
    </w:rPr>
  </w:style>
  <w:style w:type="paragraph" w:styleId="12">
    <w:name w:val="annotation text"/>
    <w:basedOn w:val="1"/>
    <w:link w:val="41"/>
    <w:semiHidden/>
    <w:qFormat/>
    <w:uiPriority w:val="0"/>
    <w:pPr>
      <w:jc w:val="left"/>
    </w:pPr>
    <w:rPr>
      <w:kern w:val="0"/>
      <w:sz w:val="20"/>
    </w:rPr>
  </w:style>
  <w:style w:type="paragraph" w:styleId="13">
    <w:name w:val="Body Text"/>
    <w:basedOn w:val="1"/>
    <w:link w:val="42"/>
    <w:qFormat/>
    <w:uiPriority w:val="0"/>
    <w:pPr>
      <w:widowControl/>
      <w:snapToGrid w:val="0"/>
      <w:spacing w:before="60" w:after="160" w:line="259" w:lineRule="auto"/>
      <w:ind w:right="113"/>
    </w:pPr>
    <w:rPr>
      <w:kern w:val="0"/>
      <w:sz w:val="18"/>
      <w:szCs w:val="18"/>
    </w:rPr>
  </w:style>
  <w:style w:type="paragraph" w:styleId="14">
    <w:name w:val="toc 3"/>
    <w:basedOn w:val="1"/>
    <w:next w:val="1"/>
    <w:qFormat/>
    <w:locked/>
    <w:uiPriority w:val="0"/>
    <w:pPr>
      <w:ind w:left="840" w:leftChars="400"/>
    </w:pPr>
  </w:style>
  <w:style w:type="paragraph" w:styleId="15">
    <w:name w:val="Plain Text"/>
    <w:basedOn w:val="1"/>
    <w:next w:val="16"/>
    <w:unhideWhenUsed/>
    <w:qFormat/>
    <w:uiPriority w:val="99"/>
    <w:pPr>
      <w:autoSpaceDE w:val="0"/>
      <w:autoSpaceDN w:val="0"/>
      <w:adjustRightInd w:val="0"/>
      <w:spacing w:line="288" w:lineRule="auto"/>
      <w:ind w:firstLine="601"/>
      <w:textAlignment w:val="baseline"/>
    </w:pPr>
    <w:rPr>
      <w:rFonts w:ascii="宋体" w:hAnsi="Courier New"/>
      <w:kern w:val="0"/>
      <w:sz w:val="24"/>
      <w:szCs w:val="20"/>
    </w:rPr>
  </w:style>
  <w:style w:type="paragraph" w:styleId="16">
    <w:name w:val="List Number 5"/>
    <w:basedOn w:val="1"/>
    <w:qFormat/>
    <w:uiPriority w:val="0"/>
    <w:pPr>
      <w:numPr>
        <w:ilvl w:val="0"/>
        <w:numId w:val="5"/>
      </w:numPr>
    </w:pPr>
  </w:style>
  <w:style w:type="paragraph" w:styleId="17">
    <w:name w:val="List Bullet 5"/>
    <w:basedOn w:val="1"/>
    <w:qFormat/>
    <w:uiPriority w:val="0"/>
    <w:pPr>
      <w:numPr>
        <w:ilvl w:val="0"/>
        <w:numId w:val="6"/>
      </w:numPr>
    </w:pPr>
  </w:style>
  <w:style w:type="paragraph" w:styleId="18">
    <w:name w:val="Date"/>
    <w:basedOn w:val="1"/>
    <w:next w:val="1"/>
    <w:link w:val="43"/>
    <w:qFormat/>
    <w:uiPriority w:val="0"/>
    <w:pPr>
      <w:ind w:left="100" w:leftChars="2500"/>
    </w:pPr>
    <w:rPr>
      <w:kern w:val="0"/>
      <w:sz w:val="20"/>
    </w:rPr>
  </w:style>
  <w:style w:type="paragraph" w:styleId="19">
    <w:name w:val="Body Text Indent 2"/>
    <w:basedOn w:val="1"/>
    <w:unhideWhenUsed/>
    <w:qFormat/>
    <w:uiPriority w:val="99"/>
    <w:pPr>
      <w:ind w:firstLine="567"/>
    </w:pPr>
  </w:style>
  <w:style w:type="paragraph" w:styleId="20">
    <w:name w:val="Balloon Text"/>
    <w:basedOn w:val="1"/>
    <w:link w:val="44"/>
    <w:semiHidden/>
    <w:qFormat/>
    <w:uiPriority w:val="0"/>
    <w:rPr>
      <w:sz w:val="18"/>
      <w:szCs w:val="18"/>
    </w:rPr>
  </w:style>
  <w:style w:type="paragraph" w:styleId="21">
    <w:name w:val="footer"/>
    <w:basedOn w:val="1"/>
    <w:next w:val="1"/>
    <w:link w:val="45"/>
    <w:qFormat/>
    <w:uiPriority w:val="0"/>
    <w:pPr>
      <w:tabs>
        <w:tab w:val="center" w:pos="4153"/>
        <w:tab w:val="right" w:pos="8306"/>
      </w:tabs>
      <w:snapToGrid w:val="0"/>
      <w:jc w:val="left"/>
    </w:pPr>
    <w:rPr>
      <w:sz w:val="18"/>
      <w:szCs w:val="18"/>
    </w:rPr>
  </w:style>
  <w:style w:type="paragraph" w:styleId="22">
    <w:name w:val="header"/>
    <w:basedOn w:val="1"/>
    <w:next w:val="21"/>
    <w:link w:val="46"/>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locked/>
    <w:uiPriority w:val="0"/>
  </w:style>
  <w:style w:type="paragraph" w:styleId="24">
    <w:name w:val="index heading"/>
    <w:basedOn w:val="1"/>
    <w:next w:val="25"/>
    <w:unhideWhenUsed/>
    <w:qFormat/>
    <w:uiPriority w:val="99"/>
    <w:rPr>
      <w:rFonts w:ascii="宋体"/>
      <w:bCs/>
      <w:sz w:val="24"/>
    </w:rPr>
  </w:style>
  <w:style w:type="paragraph" w:styleId="25">
    <w:name w:val="index 1"/>
    <w:basedOn w:val="1"/>
    <w:next w:val="1"/>
    <w:unhideWhenUsed/>
    <w:qFormat/>
    <w:uiPriority w:val="99"/>
    <w:rPr>
      <w:szCs w:val="20"/>
    </w:rPr>
  </w:style>
  <w:style w:type="paragraph" w:styleId="26">
    <w:name w:val="List"/>
    <w:basedOn w:val="1"/>
    <w:unhideWhenUsed/>
    <w:qFormat/>
    <w:uiPriority w:val="0"/>
    <w:pPr>
      <w:adjustRightInd w:val="0"/>
      <w:spacing w:line="360" w:lineRule="auto"/>
      <w:ind w:left="-2" w:leftChars="-1" w:right="-108" w:rightChars="-45" w:firstLine="420" w:firstLineChars="200"/>
      <w:jc w:val="left"/>
    </w:pPr>
    <w:rPr>
      <w:rFonts w:ascii="黑体" w:eastAsia="黑体" w:cs="Times New Roman"/>
      <w:kern w:val="0"/>
      <w:sz w:val="20"/>
      <w:szCs w:val="20"/>
    </w:rPr>
  </w:style>
  <w:style w:type="paragraph" w:styleId="27">
    <w:name w:val="toc 2"/>
    <w:basedOn w:val="1"/>
    <w:next w:val="1"/>
    <w:qFormat/>
    <w:locked/>
    <w:uiPriority w:val="39"/>
    <w:pPr>
      <w:adjustRightInd w:val="0"/>
      <w:snapToGrid w:val="0"/>
      <w:spacing w:line="360" w:lineRule="auto"/>
      <w:ind w:left="200" w:leftChars="200"/>
    </w:pPr>
    <w:rPr>
      <w:sz w:val="28"/>
    </w:rPr>
  </w:style>
  <w:style w:type="paragraph" w:styleId="28">
    <w:name w:val="Normal (Web)"/>
    <w:basedOn w:val="1"/>
    <w:link w:val="47"/>
    <w:qFormat/>
    <w:uiPriority w:val="0"/>
    <w:pPr>
      <w:widowControl/>
      <w:spacing w:before="100" w:beforeAutospacing="1" w:after="100" w:afterAutospacing="1"/>
      <w:jc w:val="left"/>
    </w:pPr>
    <w:rPr>
      <w:rFonts w:ascii="宋体" w:hAnsi="宋体"/>
      <w:kern w:val="0"/>
      <w:sz w:val="24"/>
    </w:rPr>
  </w:style>
  <w:style w:type="paragraph" w:styleId="29">
    <w:name w:val="Title"/>
    <w:basedOn w:val="1"/>
    <w:next w:val="1"/>
    <w:qFormat/>
    <w:locked/>
    <w:uiPriority w:val="0"/>
    <w:pPr>
      <w:spacing w:before="240" w:after="60"/>
      <w:jc w:val="center"/>
      <w:outlineLvl w:val="0"/>
    </w:pPr>
    <w:rPr>
      <w:rFonts w:ascii="Arial" w:hAnsi="Arial" w:cs="Arial"/>
      <w:b/>
      <w:bCs/>
      <w:sz w:val="30"/>
      <w:szCs w:val="32"/>
    </w:rPr>
  </w:style>
  <w:style w:type="paragraph" w:styleId="30">
    <w:name w:val="annotation subject"/>
    <w:basedOn w:val="12"/>
    <w:next w:val="12"/>
    <w:link w:val="48"/>
    <w:semiHidden/>
    <w:qFormat/>
    <w:uiPriority w:val="0"/>
    <w:rPr>
      <w:b/>
      <w:bCs/>
    </w:rPr>
  </w:style>
  <w:style w:type="paragraph" w:styleId="31">
    <w:name w:val="Body Text First Indent"/>
    <w:basedOn w:val="13"/>
    <w:next w:val="1"/>
    <w:link w:val="49"/>
    <w:qFormat/>
    <w:uiPriority w:val="0"/>
    <w:pPr>
      <w:widowControl w:val="0"/>
      <w:snapToGrid/>
      <w:spacing w:before="0" w:after="120" w:line="360" w:lineRule="auto"/>
      <w:ind w:right="0" w:firstLine="420" w:firstLineChars="100"/>
    </w:pPr>
    <w:rPr>
      <w:kern w:val="2"/>
      <w:sz w:val="24"/>
      <w:szCs w:val="24"/>
    </w:rPr>
  </w:style>
  <w:style w:type="table" w:styleId="33">
    <w:name w:val="Table Grid"/>
    <w:basedOn w:val="32"/>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locked/>
    <w:uiPriority w:val="22"/>
    <w:rPr>
      <w:b/>
    </w:rPr>
  </w:style>
  <w:style w:type="character" w:styleId="36">
    <w:name w:val="page number"/>
    <w:qFormat/>
    <w:uiPriority w:val="0"/>
  </w:style>
  <w:style w:type="character" w:styleId="37">
    <w:name w:val="Hyperlink"/>
    <w:unhideWhenUsed/>
    <w:qFormat/>
    <w:uiPriority w:val="99"/>
    <w:rPr>
      <w:color w:val="0000FF"/>
      <w:u w:val="none"/>
    </w:rPr>
  </w:style>
  <w:style w:type="character" w:styleId="38">
    <w:name w:val="annotation reference"/>
    <w:semiHidden/>
    <w:qFormat/>
    <w:uiPriority w:val="0"/>
    <w:rPr>
      <w:sz w:val="21"/>
    </w:rPr>
  </w:style>
  <w:style w:type="character" w:customStyle="1" w:styleId="39">
    <w:name w:val="正文文本缩进 字符"/>
    <w:link w:val="10"/>
    <w:semiHidden/>
    <w:qFormat/>
    <w:locked/>
    <w:uiPriority w:val="0"/>
    <w:rPr>
      <w:rFonts w:ascii="Times New Roman" w:hAnsi="Times New Roman" w:eastAsia="宋体" w:cs="Times New Roman"/>
      <w:sz w:val="24"/>
      <w:szCs w:val="24"/>
    </w:rPr>
  </w:style>
  <w:style w:type="character" w:customStyle="1" w:styleId="40">
    <w:name w:val="正文文本首行缩进 2 字符"/>
    <w:link w:val="9"/>
    <w:qFormat/>
    <w:uiPriority w:val="0"/>
    <w:rPr>
      <w:rFonts w:ascii="Times New Roman" w:hAnsi="Times New Roman" w:eastAsia="宋体" w:cs="Times New Roman"/>
      <w:kern w:val="2"/>
      <w:sz w:val="24"/>
      <w:szCs w:val="24"/>
    </w:rPr>
  </w:style>
  <w:style w:type="character" w:customStyle="1" w:styleId="41">
    <w:name w:val="批注文字 字符"/>
    <w:link w:val="12"/>
    <w:qFormat/>
    <w:locked/>
    <w:uiPriority w:val="0"/>
    <w:rPr>
      <w:rFonts w:ascii="Times New Roman" w:hAnsi="Times New Roman" w:eastAsia="宋体"/>
      <w:sz w:val="24"/>
    </w:rPr>
  </w:style>
  <w:style w:type="character" w:customStyle="1" w:styleId="42">
    <w:name w:val="正文文本 字符"/>
    <w:link w:val="13"/>
    <w:qFormat/>
    <w:locked/>
    <w:uiPriority w:val="0"/>
    <w:rPr>
      <w:sz w:val="18"/>
    </w:rPr>
  </w:style>
  <w:style w:type="character" w:customStyle="1" w:styleId="43">
    <w:name w:val="日期 字符1"/>
    <w:link w:val="18"/>
    <w:qFormat/>
    <w:locked/>
    <w:uiPriority w:val="0"/>
    <w:rPr>
      <w:rFonts w:ascii="Times New Roman" w:hAnsi="Times New Roman" w:eastAsia="宋体"/>
      <w:sz w:val="24"/>
    </w:rPr>
  </w:style>
  <w:style w:type="character" w:customStyle="1" w:styleId="44">
    <w:name w:val="批注框文本 字符"/>
    <w:link w:val="20"/>
    <w:semiHidden/>
    <w:qFormat/>
    <w:locked/>
    <w:uiPriority w:val="0"/>
    <w:rPr>
      <w:rFonts w:ascii="Times New Roman" w:hAnsi="Times New Roman" w:eastAsia="宋体" w:cs="Times New Roman"/>
      <w:sz w:val="18"/>
      <w:szCs w:val="18"/>
    </w:rPr>
  </w:style>
  <w:style w:type="character" w:customStyle="1" w:styleId="45">
    <w:name w:val="页脚 字符"/>
    <w:link w:val="21"/>
    <w:qFormat/>
    <w:locked/>
    <w:uiPriority w:val="0"/>
    <w:rPr>
      <w:rFonts w:cs="Times New Roman"/>
      <w:sz w:val="18"/>
      <w:szCs w:val="18"/>
    </w:rPr>
  </w:style>
  <w:style w:type="character" w:customStyle="1" w:styleId="46">
    <w:name w:val="页眉 字符"/>
    <w:link w:val="22"/>
    <w:qFormat/>
    <w:locked/>
    <w:uiPriority w:val="0"/>
    <w:rPr>
      <w:rFonts w:cs="Times New Roman"/>
      <w:sz w:val="18"/>
      <w:szCs w:val="18"/>
    </w:rPr>
  </w:style>
  <w:style w:type="character" w:customStyle="1" w:styleId="47">
    <w:name w:val="普通(网站) 字符"/>
    <w:link w:val="28"/>
    <w:qFormat/>
    <w:locked/>
    <w:uiPriority w:val="0"/>
    <w:rPr>
      <w:rFonts w:ascii="宋体" w:hAnsi="宋体" w:eastAsia="宋体"/>
      <w:sz w:val="24"/>
    </w:rPr>
  </w:style>
  <w:style w:type="character" w:customStyle="1" w:styleId="48">
    <w:name w:val="批注主题 字符"/>
    <w:link w:val="30"/>
    <w:semiHidden/>
    <w:qFormat/>
    <w:locked/>
    <w:uiPriority w:val="0"/>
    <w:rPr>
      <w:rFonts w:cs="Times New Roman"/>
      <w:b/>
      <w:bCs/>
      <w:kern w:val="2"/>
      <w:szCs w:val="24"/>
    </w:rPr>
  </w:style>
  <w:style w:type="character" w:customStyle="1" w:styleId="49">
    <w:name w:val="正文文本首行缩进 字符"/>
    <w:link w:val="31"/>
    <w:qFormat/>
    <w:uiPriority w:val="0"/>
    <w:rPr>
      <w:kern w:val="2"/>
      <w:sz w:val="24"/>
      <w:szCs w:val="24"/>
    </w:rPr>
  </w:style>
  <w:style w:type="paragraph" w:customStyle="1" w:styleId="50">
    <w:name w:val="BodyText"/>
    <w:basedOn w:val="1"/>
    <w:qFormat/>
    <w:uiPriority w:val="0"/>
    <w:pPr>
      <w:spacing w:after="120"/>
      <w:jc w:val="both"/>
      <w:textAlignment w:val="baseline"/>
    </w:pPr>
    <w:rPr>
      <w:rFonts w:ascii="Times New Roman" w:hAnsi="Times New Roman"/>
      <w:kern w:val="2"/>
      <w:sz w:val="21"/>
      <w:szCs w:val="24"/>
      <w:lang w:val="en-US" w:eastAsia="zh-CN" w:bidi="ar-SA"/>
    </w:rPr>
  </w:style>
  <w:style w:type="character" w:customStyle="1" w:styleId="51">
    <w:name w:val="正文文本 字符1"/>
    <w:semiHidden/>
    <w:qFormat/>
    <w:uiPriority w:val="0"/>
    <w:rPr>
      <w:rFonts w:ascii="Times New Roman" w:hAnsi="Times New Roman" w:eastAsia="宋体" w:cs="Times New Roman"/>
      <w:sz w:val="24"/>
      <w:szCs w:val="24"/>
    </w:rPr>
  </w:style>
  <w:style w:type="character" w:customStyle="1" w:styleId="52">
    <w:name w:val="普通(网站) Char"/>
    <w:qFormat/>
    <w:locked/>
    <w:uiPriority w:val="0"/>
    <w:rPr>
      <w:rFonts w:ascii="宋体" w:hAnsi="宋体" w:eastAsia="宋体"/>
      <w:sz w:val="24"/>
    </w:rPr>
  </w:style>
  <w:style w:type="character" w:customStyle="1" w:styleId="53">
    <w:name w:val="NormalCharacter"/>
    <w:qFormat/>
    <w:uiPriority w:val="0"/>
  </w:style>
  <w:style w:type="character" w:customStyle="1" w:styleId="54">
    <w:name w:val="日期 字符"/>
    <w:semiHidden/>
    <w:qFormat/>
    <w:uiPriority w:val="0"/>
    <w:rPr>
      <w:rFonts w:ascii="Times New Roman" w:hAnsi="Times New Roman" w:eastAsia="宋体" w:cs="Times New Roman"/>
      <w:sz w:val="24"/>
      <w:szCs w:val="24"/>
    </w:rPr>
  </w:style>
  <w:style w:type="character" w:customStyle="1" w:styleId="55">
    <w:name w:val="表格 Char"/>
    <w:link w:val="56"/>
    <w:qFormat/>
    <w:locked/>
    <w:uiPriority w:val="0"/>
    <w:rPr>
      <w:rFonts w:ascii="宋体"/>
      <w:sz w:val="21"/>
    </w:rPr>
  </w:style>
  <w:style w:type="paragraph" w:customStyle="1" w:styleId="56">
    <w:name w:val="表格"/>
    <w:basedOn w:val="26"/>
    <w:next w:val="1"/>
    <w:link w:val="55"/>
    <w:qFormat/>
    <w:uiPriority w:val="0"/>
    <w:pPr>
      <w:tabs>
        <w:tab w:val="left" w:pos="360"/>
        <w:tab w:val="left" w:pos="1620"/>
      </w:tabs>
      <w:adjustRightInd w:val="0"/>
      <w:snapToGrid w:val="0"/>
      <w:spacing w:beforeLines="10" w:afterLines="10" w:line="259" w:lineRule="auto"/>
      <w:jc w:val="center"/>
    </w:pPr>
    <w:rPr>
      <w:rFonts w:ascii="宋体"/>
      <w:kern w:val="0"/>
      <w:sz w:val="20"/>
      <w:szCs w:val="21"/>
    </w:rPr>
  </w:style>
  <w:style w:type="paragraph" w:customStyle="1" w:styleId="57">
    <w:name w:val="表头"/>
    <w:basedOn w:val="56"/>
    <w:next w:val="1"/>
    <w:qFormat/>
    <w:uiPriority w:val="0"/>
    <w:pPr>
      <w:spacing w:line="560" w:lineRule="exact"/>
      <w:jc w:val="center"/>
    </w:pPr>
    <w:rPr>
      <w:rFonts w:ascii="宋体" w:hAnsi="宋体"/>
      <w:b/>
      <w:color w:val="000000"/>
      <w:szCs w:val="21"/>
    </w:rPr>
  </w:style>
  <w:style w:type="character" w:customStyle="1" w:styleId="58">
    <w:name w:val="批注文字 字符1"/>
    <w:semiHidden/>
    <w:qFormat/>
    <w:uiPriority w:val="0"/>
    <w:rPr>
      <w:rFonts w:ascii="Times New Roman" w:hAnsi="Times New Roman" w:eastAsia="宋体" w:cs="Times New Roman"/>
      <w:sz w:val="24"/>
      <w:szCs w:val="24"/>
    </w:rPr>
  </w:style>
  <w:style w:type="character" w:customStyle="1" w:styleId="59">
    <w:name w:val="表格内容‘’ 字符"/>
    <w:link w:val="60"/>
    <w:qFormat/>
    <w:uiPriority w:val="0"/>
    <w:rPr>
      <w:color w:val="000000"/>
      <w:kern w:val="2"/>
      <w:sz w:val="21"/>
      <w:szCs w:val="22"/>
    </w:rPr>
  </w:style>
  <w:style w:type="paragraph" w:customStyle="1" w:styleId="60">
    <w:name w:val="表格内容‘’"/>
    <w:basedOn w:val="1"/>
    <w:link w:val="59"/>
    <w:qFormat/>
    <w:uiPriority w:val="0"/>
    <w:pPr>
      <w:snapToGrid w:val="0"/>
      <w:spacing w:line="240" w:lineRule="auto"/>
      <w:ind w:firstLine="0" w:firstLineChars="0"/>
      <w:contextualSpacing/>
      <w:jc w:val="center"/>
    </w:pPr>
    <w:rPr>
      <w:color w:val="000000"/>
      <w:sz w:val="21"/>
      <w:szCs w:val="22"/>
    </w:rPr>
  </w:style>
  <w:style w:type="character" w:customStyle="1" w:styleId="61">
    <w:name w:val="新标题2 Char"/>
    <w:qFormat/>
    <w:uiPriority w:val="0"/>
    <w:rPr>
      <w:rFonts w:ascii="宋体" w:hAnsi="宋体" w:eastAsia="宋体"/>
      <w:kern w:val="2"/>
      <w:sz w:val="24"/>
      <w:szCs w:val="24"/>
      <w:lang w:val="en-US" w:eastAsia="zh-CN" w:bidi="ar-SA"/>
    </w:rPr>
  </w:style>
  <w:style w:type="paragraph" w:customStyle="1" w:styleId="62">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63">
    <w:name w:val="表格1"/>
    <w:basedOn w:val="1"/>
    <w:qFormat/>
    <w:uiPriority w:val="0"/>
    <w:pPr>
      <w:autoSpaceDE w:val="0"/>
      <w:autoSpaceDN w:val="0"/>
      <w:spacing w:line="240" w:lineRule="auto"/>
      <w:ind w:firstLine="0" w:firstLineChars="0"/>
      <w:jc w:val="center"/>
    </w:pPr>
    <w:rPr>
      <w:kern w:val="0"/>
      <w:sz w:val="21"/>
    </w:rPr>
  </w:style>
  <w:style w:type="paragraph" w:customStyle="1" w:styleId="64">
    <w:name w:val="Default"/>
    <w:basedOn w:val="65"/>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65">
    <w:name w:val="纯文本1"/>
    <w:basedOn w:val="1"/>
    <w:qFormat/>
    <w:uiPriority w:val="0"/>
    <w:pPr>
      <w:adjustRightInd w:val="0"/>
    </w:pPr>
    <w:rPr>
      <w:rFonts w:ascii="宋体" w:hAnsi="Courier New"/>
      <w:szCs w:val="20"/>
    </w:rPr>
  </w:style>
  <w:style w:type="paragraph" w:customStyle="1" w:styleId="66">
    <w:name w:val="表格文字"/>
    <w:basedOn w:val="67"/>
    <w:qFormat/>
    <w:uiPriority w:val="0"/>
    <w:pPr>
      <w:wordWrap w:val="0"/>
      <w:spacing w:line="240" w:lineRule="auto"/>
      <w:ind w:firstLine="0" w:firstLineChars="0"/>
      <w:jc w:val="center"/>
    </w:pPr>
    <w:rPr>
      <w:rFonts w:eastAsia="宋体"/>
      <w:sz w:val="21"/>
    </w:rPr>
  </w:style>
  <w:style w:type="paragraph" w:customStyle="1" w:styleId="67">
    <w:name w:val="表标题"/>
    <w:basedOn w:val="1"/>
    <w:next w:val="1"/>
    <w:qFormat/>
    <w:uiPriority w:val="0"/>
    <w:pPr>
      <w:spacing w:line="240" w:lineRule="auto"/>
      <w:ind w:firstLine="0" w:firstLineChars="0"/>
      <w:jc w:val="center"/>
    </w:pPr>
    <w:rPr>
      <w:rFonts w:hint="default" w:ascii="Times New Roman" w:hAnsi="Times New Roman" w:eastAsia="宋体"/>
      <w:b/>
      <w:kern w:val="0"/>
      <w:sz w:val="21"/>
      <w:szCs w:val="20"/>
    </w:rPr>
  </w:style>
  <w:style w:type="paragraph" w:customStyle="1" w:styleId="68">
    <w:name w:val="文字"/>
    <w:basedOn w:val="1"/>
    <w:qFormat/>
    <w:uiPriority w:val="99"/>
    <w:pPr>
      <w:spacing w:before="156" w:beforeLines="50" w:line="300" w:lineRule="auto"/>
      <w:ind w:firstLine="480" w:firstLineChars="200"/>
    </w:pPr>
  </w:style>
  <w:style w:type="paragraph" w:customStyle="1" w:styleId="69">
    <w:name w:val="WPSOffice手动目录 1"/>
    <w:qFormat/>
    <w:uiPriority w:val="0"/>
    <w:rPr>
      <w:rFonts w:ascii="Times New Roman" w:hAnsi="Times New Roman" w:eastAsia="宋体" w:cs="Times New Roman"/>
      <w:lang w:val="en-US" w:eastAsia="zh-CN" w:bidi="ar-SA"/>
    </w:rPr>
  </w:style>
  <w:style w:type="paragraph" w:customStyle="1" w:styleId="70">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71">
    <w:name w:val="zw"/>
    <w:basedOn w:val="15"/>
    <w:qFormat/>
    <w:uiPriority w:val="0"/>
    <w:pPr>
      <w:shd w:val="clear" w:color="auto" w:fill="FFFFFF"/>
      <w:adjustRightInd w:val="0"/>
      <w:snapToGrid w:val="0"/>
      <w:spacing w:line="360" w:lineRule="auto"/>
      <w:ind w:firstLine="480" w:firstLineChars="200"/>
    </w:pPr>
    <w:rPr>
      <w:rFonts w:eastAsia="宋体"/>
      <w:snapToGrid w:val="0"/>
      <w:sz w:val="24"/>
      <w:shd w:val="clear" w:color="auto" w:fill="FFFFFF"/>
    </w:rPr>
  </w:style>
  <w:style w:type="paragraph" w:customStyle="1" w:styleId="72">
    <w:name w:val="正文首行缩进 21"/>
    <w:basedOn w:val="1"/>
    <w:qFormat/>
    <w:uiPriority w:val="0"/>
    <w:pPr>
      <w:spacing w:before="100" w:beforeAutospacing="1" w:after="120"/>
      <w:ind w:left="200" w:leftChars="200" w:firstLine="420" w:firstLineChars="200"/>
    </w:pPr>
    <w:rPr>
      <w:rFonts w:ascii="Calibri" w:hAnsi="Calibri"/>
      <w:sz w:val="28"/>
      <w:szCs w:val="28"/>
    </w:rPr>
  </w:style>
  <w:style w:type="paragraph" w:customStyle="1" w:styleId="73">
    <w:name w:val="段"/>
    <w:basedOn w:val="1"/>
    <w:next w:val="1"/>
    <w:semiHidden/>
    <w:qFormat/>
    <w:uiPriority w:val="0"/>
    <w:pPr>
      <w:topLinePunct/>
      <w:adjustRightInd w:val="0"/>
      <w:spacing w:line="440" w:lineRule="exact"/>
      <w:ind w:firstLine="560" w:firstLineChars="200"/>
    </w:pPr>
    <w:rPr>
      <w:rFonts w:ascii="宋体" w:hAnsi="宋体" w:cs="Sendnya"/>
      <w:sz w:val="24"/>
      <w:szCs w:val="24"/>
      <w:lang w:val="zh-CN" w:bidi="or-IN"/>
    </w:rPr>
  </w:style>
  <w:style w:type="paragraph" w:customStyle="1" w:styleId="74">
    <w:name w:val="正文文字"/>
    <w:basedOn w:val="1"/>
    <w:qFormat/>
    <w:uiPriority w:val="0"/>
    <w:pPr>
      <w:spacing w:line="360" w:lineRule="auto"/>
      <w:ind w:firstLine="480" w:firstLineChars="200"/>
    </w:pPr>
    <w:rPr>
      <w:sz w:val="24"/>
      <w:szCs w:val="24"/>
    </w:rPr>
  </w:style>
  <w:style w:type="paragraph" w:customStyle="1" w:styleId="75">
    <w:name w:val=" Char Char Char Char"/>
    <w:basedOn w:val="1"/>
    <w:qFormat/>
    <w:uiPriority w:val="0"/>
    <w:pPr>
      <w:spacing w:line="360" w:lineRule="auto"/>
      <w:ind w:firstLine="200" w:firstLineChars="200"/>
    </w:pPr>
    <w:rPr>
      <w:rFonts w:ascii="宋体" w:hAnsi="宋体" w:cs="宋体"/>
      <w:sz w:val="24"/>
    </w:rPr>
  </w:style>
  <w:style w:type="paragraph" w:customStyle="1" w:styleId="76">
    <w:name w:val="正文 首行缩进:  2 字符"/>
    <w:basedOn w:val="1"/>
    <w:semiHidden/>
    <w:qFormat/>
    <w:uiPriority w:val="0"/>
    <w:rPr>
      <w:rFonts w:cs="宋体"/>
      <w:szCs w:val="20"/>
    </w:rPr>
  </w:style>
  <w:style w:type="paragraph" w:customStyle="1" w:styleId="77">
    <w:name w:val="XG图名"/>
    <w:basedOn w:val="1"/>
    <w:qFormat/>
    <w:uiPriority w:val="0"/>
    <w:pPr>
      <w:spacing w:after="50" w:afterLines="50" w:line="360" w:lineRule="auto"/>
      <w:jc w:val="center"/>
    </w:pPr>
    <w:rPr>
      <w:rFonts w:ascii="Times New Roman" w:hAnsi="Times New Roman" w:eastAsia="宋体"/>
      <w:b/>
      <w:szCs w:val="21"/>
    </w:rPr>
  </w:style>
  <w:style w:type="paragraph" w:customStyle="1" w:styleId="78">
    <w:name w:val="图表文字注释"/>
    <w:qFormat/>
    <w:uiPriority w:val="0"/>
    <w:pPr>
      <w:spacing w:line="360" w:lineRule="auto"/>
      <w:jc w:val="center"/>
      <w:outlineLvl w:val="3"/>
    </w:pPr>
    <w:rPr>
      <w:rFonts w:ascii="Times New Roman" w:hAnsi="Times New Roman" w:eastAsia="宋体" w:cs="Times New Roman"/>
      <w:kern w:val="2"/>
      <w:sz w:val="21"/>
      <w:szCs w:val="24"/>
      <w:lang w:val="en-US" w:eastAsia="zh-CN" w:bidi="ar-SA"/>
    </w:rPr>
  </w:style>
  <w:style w:type="paragraph" w:customStyle="1" w:styleId="79">
    <w:name w:val="文本正文"/>
    <w:basedOn w:val="1"/>
    <w:qFormat/>
    <w:uiPriority w:val="0"/>
    <w:pPr>
      <w:snapToGrid w:val="0"/>
      <w:spacing w:line="360" w:lineRule="auto"/>
      <w:ind w:firstLine="510"/>
      <w:jc w:val="left"/>
    </w:pPr>
    <w:rPr>
      <w:spacing w:val="4"/>
      <w:kern w:val="24"/>
      <w:lang w:val="zh-CN"/>
    </w:rPr>
  </w:style>
  <w:style w:type="paragraph" w:customStyle="1" w:styleId="80">
    <w:name w:val="正文（缩进）"/>
    <w:basedOn w:val="81"/>
    <w:next w:val="1"/>
    <w:qFormat/>
    <w:uiPriority w:val="99"/>
    <w:pPr>
      <w:ind w:firstLine="480"/>
    </w:pPr>
  </w:style>
  <w:style w:type="paragraph" w:customStyle="1" w:styleId="81">
    <w:name w:val="正文(首行缩进)"/>
    <w:basedOn w:val="1"/>
    <w:qFormat/>
    <w:uiPriority w:val="99"/>
  </w:style>
  <w:style w:type="paragraph" w:customStyle="1" w:styleId="82">
    <w:name w:val="表中文字-lxd"/>
    <w:next w:val="1"/>
    <w:qFormat/>
    <w:uiPriority w:val="0"/>
    <w:pPr>
      <w:widowControl w:val="0"/>
      <w:tabs>
        <w:tab w:val="center" w:pos="383"/>
      </w:tabs>
      <w:jc w:val="center"/>
    </w:pPr>
    <w:rPr>
      <w:rFonts w:ascii="Times New Roman" w:hAnsi="Times New Roman" w:eastAsia="宋体" w:cs="Arial"/>
      <w:kern w:val="2"/>
      <w:sz w:val="21"/>
      <w:szCs w:val="24"/>
      <w:lang w:val="en-US" w:eastAsia="zh-CN" w:bidi="ar-SA"/>
    </w:rPr>
  </w:style>
  <w:style w:type="paragraph" w:customStyle="1" w:styleId="83">
    <w:name w:val="（一）正文"/>
    <w:qFormat/>
    <w:uiPriority w:val="0"/>
    <w:pPr>
      <w:widowControl w:val="0"/>
      <w:spacing w:line="360" w:lineRule="auto"/>
      <w:ind w:firstLine="480" w:firstLineChars="200"/>
      <w:jc w:val="both"/>
    </w:pPr>
    <w:rPr>
      <w:rFonts w:ascii="Calibri" w:hAnsi="Calibri" w:eastAsia="宋体" w:cs="Times New Roman"/>
      <w:kern w:val="2"/>
      <w:sz w:val="24"/>
      <w:szCs w:val="21"/>
      <w:lang w:val="en-US" w:eastAsia="zh-CN" w:bidi="ar-SA"/>
    </w:rPr>
  </w:style>
  <w:style w:type="paragraph" w:customStyle="1" w:styleId="84">
    <w:name w:val="表名"/>
    <w:basedOn w:val="1"/>
    <w:qFormat/>
    <w:uiPriority w:val="0"/>
    <w:pPr>
      <w:overflowPunct w:val="0"/>
      <w:spacing w:before="120" w:line="300" w:lineRule="exact"/>
      <w:textAlignment w:val="baseline"/>
    </w:pPr>
    <w:rPr>
      <w:rFonts w:eastAsia="黑体"/>
      <w:sz w:val="28"/>
      <w:szCs w:val="20"/>
    </w:rPr>
  </w:style>
  <w:style w:type="paragraph" w:customStyle="1" w:styleId="85">
    <w:name w:val="Char Char Char Char"/>
    <w:basedOn w:val="1"/>
    <w:qFormat/>
    <w:uiPriority w:val="0"/>
  </w:style>
  <w:style w:type="paragraph" w:customStyle="1" w:styleId="86">
    <w:name w:val="报告书文本"/>
    <w:basedOn w:val="1"/>
    <w:qFormat/>
    <w:uiPriority w:val="0"/>
    <w:pPr>
      <w:spacing w:line="460" w:lineRule="exact"/>
      <w:ind w:firstLine="200" w:firstLineChars="200"/>
    </w:pPr>
    <w:rPr>
      <w:sz w:val="24"/>
    </w:rPr>
  </w:style>
  <w:style w:type="paragraph" w:customStyle="1" w:styleId="87">
    <w:name w:val="报告书表头"/>
    <w:basedOn w:val="1"/>
    <w:next w:val="1"/>
    <w:qFormat/>
    <w:uiPriority w:val="0"/>
    <w:pPr>
      <w:tabs>
        <w:tab w:val="left" w:pos="6840"/>
      </w:tabs>
      <w:topLinePunct/>
      <w:snapToGrid w:val="0"/>
      <w:ind w:firstLine="200" w:firstLineChars="200"/>
    </w:pPr>
    <w:rPr>
      <w:rFonts w:eastAsia="黑体"/>
      <w:bCs/>
      <w:kern w:val="24"/>
      <w:szCs w:val="28"/>
    </w:rPr>
  </w:style>
  <w:style w:type="paragraph" w:customStyle="1" w:styleId="88">
    <w:name w:val="Table Text"/>
    <w:basedOn w:val="1"/>
    <w:semiHidden/>
    <w:qFormat/>
    <w:uiPriority w:val="0"/>
    <w:rPr>
      <w:rFonts w:ascii="宋体" w:hAnsi="宋体" w:eastAsia="宋体" w:cs="宋体"/>
      <w:sz w:val="20"/>
      <w:szCs w:val="20"/>
      <w:lang w:val="en-US" w:eastAsia="en-US" w:bidi="ar-SA"/>
    </w:rPr>
  </w:style>
  <w:style w:type="table" w:customStyle="1" w:styleId="89">
    <w:name w:val="Table Normal"/>
    <w:unhideWhenUsed/>
    <w:qFormat/>
    <w:uiPriority w:val="0"/>
    <w:tblPr>
      <w:tblCellMar>
        <w:top w:w="0" w:type="dxa"/>
        <w:left w:w="0" w:type="dxa"/>
        <w:bottom w:w="0" w:type="dxa"/>
        <w:right w:w="0" w:type="dxa"/>
      </w:tblCellMar>
    </w:tblPr>
  </w:style>
  <w:style w:type="paragraph" w:customStyle="1" w:styleId="90">
    <w:name w:val="Table Paragraph"/>
    <w:basedOn w:val="1"/>
    <w:qFormat/>
    <w:uiPriority w:val="1"/>
    <w:pPr>
      <w:spacing w:before="30"/>
      <w:jc w:val="center"/>
    </w:pPr>
    <w:rPr>
      <w:rFonts w:ascii="宋体" w:hAnsi="宋体" w:eastAsia="宋体" w:cs="宋体"/>
      <w:lang w:val="zh-CN" w:eastAsia="zh-CN" w:bidi="zh-CN"/>
    </w:rPr>
  </w:style>
  <w:style w:type="paragraph" w:customStyle="1" w:styleId="91">
    <w:name w:val="Body Text 21"/>
    <w:basedOn w:val="1"/>
    <w:qFormat/>
    <w:uiPriority w:val="0"/>
    <w:pPr>
      <w:spacing w:after="120" w:line="480" w:lineRule="auto"/>
    </w:pPr>
  </w:style>
  <w:style w:type="paragraph" w:customStyle="1" w:styleId="92">
    <w:name w:val="我"/>
    <w:basedOn w:val="1"/>
    <w:qFormat/>
    <w:uiPriority w:val="0"/>
    <w:pPr>
      <w:spacing w:line="360" w:lineRule="auto"/>
      <w:ind w:firstLine="640" w:firstLineChars="200"/>
    </w:pPr>
    <w:rPr>
      <w:kern w:val="0"/>
      <w:sz w:val="24"/>
      <w:szCs w:val="20"/>
    </w:rPr>
  </w:style>
  <w:style w:type="paragraph" w:customStyle="1" w:styleId="93">
    <w:name w:val="表"/>
    <w:basedOn w:val="1"/>
    <w:qFormat/>
    <w:uiPriority w:val="0"/>
    <w:pPr>
      <w:jc w:val="center"/>
    </w:pPr>
    <w:rPr>
      <w:rFonts w:ascii="Times New Roman" w:hAnsi="Times New Roman" w:eastAsia="宋体" w:cs="Times New Roman"/>
      <w:sz w:val="24"/>
      <w:szCs w:val="24"/>
    </w:rPr>
  </w:style>
  <w:style w:type="paragraph" w:customStyle="1" w:styleId="94">
    <w:name w:val="表格内"/>
    <w:basedOn w:val="1"/>
    <w:qFormat/>
    <w:uiPriority w:val="0"/>
    <w:pPr>
      <w:widowControl/>
      <w:adjustRightInd w:val="0"/>
      <w:snapToGrid w:val="0"/>
      <w:spacing w:after="200" w:line="360" w:lineRule="exact"/>
      <w:jc w:val="center"/>
    </w:pPr>
    <w:rPr>
      <w:rFonts w:ascii="Calibri" w:hAnsi="Calibri" w:eastAsia="微软雅黑"/>
      <w:snapToGrid w:val="0"/>
      <w:kern w:val="0"/>
      <w:sz w:val="22"/>
      <w:szCs w:val="21"/>
    </w:rPr>
  </w:style>
  <w:style w:type="paragraph" w:customStyle="1" w:styleId="95">
    <w:name w:val="标题 2H2Heading 2 HiddenHeading 2 CCBS2nd levelh22Header..."/>
    <w:basedOn w:val="4"/>
    <w:qFormat/>
    <w:uiPriority w:val="0"/>
    <w:pPr>
      <w:spacing w:before="0" w:after="0" w:line="360" w:lineRule="auto"/>
    </w:pPr>
    <w:rPr>
      <w:rFonts w:ascii="Times New Roman" w:hAnsi="Times New Roman" w:eastAsia="宋体" w:cs="宋体"/>
      <w:sz w:val="30"/>
      <w:szCs w:val="20"/>
    </w:rPr>
  </w:style>
  <w:style w:type="paragraph" w:customStyle="1" w:styleId="96">
    <w:name w:val="段落"/>
    <w:basedOn w:val="1"/>
    <w:qFormat/>
    <w:uiPriority w:val="0"/>
    <w:pPr>
      <w:ind w:firstLine="560" w:firstLineChars="200"/>
    </w:pPr>
    <w:rPr>
      <w:rFonts w:cs="宋体"/>
      <w:sz w:val="28"/>
      <w:szCs w:val="20"/>
    </w:rPr>
  </w:style>
  <w:style w:type="paragraph" w:customStyle="1" w:styleId="97">
    <w:name w:val="报告表正文"/>
    <w:basedOn w:val="98"/>
    <w:next w:val="100"/>
    <w:qFormat/>
    <w:uiPriority w:val="0"/>
    <w:pPr>
      <w:adjustRightInd w:val="0"/>
      <w:ind w:firstLine="482"/>
      <w:textAlignment w:val="baseline"/>
    </w:pPr>
    <w:rPr>
      <w:rFonts w:ascii="Times New Roman" w:hAnsi="Times New Roman" w:eastAsia="Times New Roman"/>
    </w:rPr>
  </w:style>
  <w:style w:type="paragraph" w:customStyle="1" w:styleId="98">
    <w:name w:val="报告正文"/>
    <w:basedOn w:val="99"/>
    <w:qFormat/>
    <w:uiPriority w:val="0"/>
    <w:pPr>
      <w:spacing w:line="360" w:lineRule="auto"/>
      <w:ind w:firstLine="723" w:firstLineChars="200"/>
    </w:pPr>
    <w:rPr>
      <w:rFonts w:cs="宋体"/>
      <w:sz w:val="24"/>
      <w:szCs w:val="24"/>
      <w:lang w:val="en-US" w:eastAsia="zh-CN" w:bidi="ar-SA"/>
    </w:rPr>
  </w:style>
  <w:style w:type="paragraph" w:customStyle="1" w:styleId="99">
    <w:name w:val="p17"/>
    <w:basedOn w:val="1"/>
    <w:qFormat/>
    <w:uiPriority w:val="0"/>
    <w:pPr>
      <w:widowControl/>
    </w:pPr>
    <w:rPr>
      <w:rFonts w:ascii="宋体" w:hAnsi="宋体" w:cs="宋体"/>
      <w:kern w:val="0"/>
      <w:szCs w:val="21"/>
    </w:rPr>
  </w:style>
  <w:style w:type="paragraph" w:customStyle="1" w:styleId="100">
    <w:name w:val="报告书正文"/>
    <w:basedOn w:val="15"/>
    <w:next w:val="97"/>
    <w:qFormat/>
    <w:uiPriority w:val="0"/>
    <w:pPr>
      <w:widowControl/>
      <w:snapToGrid/>
      <w:spacing w:line="360" w:lineRule="auto"/>
      <w:ind w:firstLine="480" w:firstLineChars="200"/>
      <w:jc w:val="both"/>
    </w:pPr>
    <w:rPr>
      <w:rFonts w:ascii="Times New Roman" w:hAnsi="Times New Roman" w:eastAsia="宋体" w:cs="Times New Roman"/>
      <w:sz w:val="24"/>
      <w:szCs w:val="21"/>
    </w:rPr>
  </w:style>
  <w:style w:type="paragraph" w:customStyle="1" w:styleId="101">
    <w:name w:val="表格内容1"/>
    <w:basedOn w:val="1"/>
    <w:qFormat/>
    <w:uiPriority w:val="0"/>
    <w:pPr>
      <w:adjustRightInd w:val="0"/>
      <w:snapToGrid w:val="0"/>
      <w:spacing w:line="240" w:lineRule="auto"/>
      <w:ind w:firstLine="0" w:firstLineChars="0"/>
      <w:jc w:val="center"/>
      <w:textAlignment w:val="baseline"/>
    </w:pPr>
    <w:rPr>
      <w:rFonts w:ascii="Times New Roman" w:hAnsi="Times New Roman"/>
      <w:sz w:val="21"/>
      <w:szCs w:val="21"/>
    </w:rPr>
  </w:style>
  <w:style w:type="paragraph" w:customStyle="1" w:styleId="102">
    <w:name w:val="标题表格"/>
    <w:basedOn w:val="1"/>
    <w:qFormat/>
    <w:uiPriority w:val="0"/>
    <w:pPr>
      <w:spacing w:beforeLines="50"/>
      <w:jc w:val="center"/>
    </w:pPr>
    <w:rPr>
      <w:rFonts w:ascii="黑体" w:hAnsi="楷体_GB2312" w:eastAsia="黑体" w:cs="宋体"/>
    </w:rPr>
  </w:style>
  <w:style w:type="paragraph" w:customStyle="1" w:styleId="103">
    <w:name w:val="表+五号"/>
    <w:basedOn w:val="1"/>
    <w:qFormat/>
    <w:uiPriority w:val="0"/>
    <w:rPr>
      <w:szCs w:val="28"/>
    </w:rPr>
  </w:style>
  <w:style w:type="paragraph" w:customStyle="1" w:styleId="104">
    <w:name w:val="表头、图号"/>
    <w:basedOn w:val="1"/>
    <w:qFormat/>
    <w:uiPriority w:val="0"/>
    <w:pPr>
      <w:jc w:val="center"/>
    </w:pPr>
    <w:rPr>
      <w:rFonts w:eastAsia="黑体" w:cs="Times New Roman"/>
      <w:b/>
      <w:szCs w:val="22"/>
    </w:rPr>
  </w:style>
  <w:style w:type="paragraph" w:customStyle="1" w:styleId="105">
    <w:name w:val="表后空行"/>
    <w:qFormat/>
    <w:uiPriority w:val="0"/>
    <w:pPr>
      <w:widowControl w:val="0"/>
      <w:spacing w:line="240" w:lineRule="exact"/>
    </w:pPr>
    <w:rPr>
      <w:rFonts w:ascii="Times New Roman" w:hAnsi="Times New Roman" w:eastAsia="宋体" w:cs="Times New Roman"/>
      <w:color w:val="000000"/>
      <w:kern w:val="44"/>
      <w:sz w:val="18"/>
      <w:szCs w:val="18"/>
      <w:lang w:val="en-US" w:eastAsia="zh-CN" w:bidi="ar-SA"/>
    </w:rPr>
  </w:style>
  <w:style w:type="paragraph" w:customStyle="1" w:styleId="106">
    <w:name w:val="张 表格"/>
    <w:basedOn w:val="1"/>
    <w:qFormat/>
    <w:uiPriority w:val="0"/>
    <w:pPr>
      <w:spacing w:line="240" w:lineRule="auto"/>
      <w:ind w:firstLine="0" w:firstLineChars="0"/>
      <w:jc w:val="center"/>
    </w:pPr>
    <w:rPr>
      <w:rFonts w:eastAsia="仿宋"/>
      <w:color w:val="000000"/>
      <w:sz w:val="21"/>
      <w:szCs w:val="21"/>
    </w:rPr>
  </w:style>
  <w:style w:type="paragraph" w:customStyle="1" w:styleId="107">
    <w:name w:val="正文新"/>
    <w:basedOn w:val="1"/>
    <w:qFormat/>
    <w:uiPriority w:val="0"/>
    <w:pPr>
      <w:spacing w:line="460" w:lineRule="exact"/>
      <w:ind w:firstLine="480" w:firstLineChars="200"/>
    </w:pPr>
    <w:rPr>
      <w:sz w:val="24"/>
    </w:rPr>
  </w:style>
  <w:style w:type="paragraph" w:customStyle="1" w:styleId="108">
    <w:name w:val="图表标题"/>
    <w:basedOn w:val="1"/>
    <w:qFormat/>
    <w:uiPriority w:val="0"/>
    <w:pPr>
      <w:spacing w:line="360" w:lineRule="auto"/>
      <w:ind w:firstLine="578" w:firstLineChars="200"/>
      <w:jc w:val="center"/>
    </w:pPr>
    <w:rPr>
      <w:rFonts w:ascii="黑体" w:hAnsi="黑体" w:eastAsia="黑体"/>
      <w:color w:val="000000"/>
      <w:kern w:val="0"/>
      <w:sz w:val="24"/>
      <w:szCs w:val="24"/>
    </w:rPr>
  </w:style>
  <w:style w:type="paragraph" w:customStyle="1" w:styleId="109">
    <w:name w:val="表格内容"/>
    <w:basedOn w:val="8"/>
    <w:qFormat/>
    <w:uiPriority w:val="0"/>
    <w:pPr>
      <w:overflowPunct w:val="0"/>
      <w:adjustRightInd w:val="0"/>
      <w:spacing w:before="40" w:after="60" w:line="200" w:lineRule="atLeast"/>
      <w:textAlignment w:val="baseline"/>
    </w:pPr>
    <w:rPr>
      <w:rFonts w:ascii="Arial" w:hAnsi="Arial" w:eastAsia="仿宋_GB2312"/>
      <w:kern w:val="0"/>
      <w:sz w:val="24"/>
      <w:szCs w:val="20"/>
    </w:rPr>
  </w:style>
  <w:style w:type="paragraph" w:customStyle="1" w:styleId="110">
    <w:name w:val="正文A"/>
    <w:basedOn w:val="111"/>
    <w:qFormat/>
    <w:uiPriority w:val="0"/>
    <w:pPr>
      <w:spacing w:line="500" w:lineRule="exact"/>
      <w:ind w:firstLine="480" w:firstLineChars="200"/>
    </w:pPr>
    <w:rPr>
      <w:rFonts w:ascii="Times New Roman" w:hAnsi="Times New Roman" w:eastAsia="宋体"/>
    </w:rPr>
  </w:style>
  <w:style w:type="paragraph" w:customStyle="1" w:styleId="111">
    <w:name w:val="正文!!!!!!!!!!!"/>
    <w:basedOn w:val="112"/>
    <w:qFormat/>
    <w:uiPriority w:val="0"/>
    <w:pPr>
      <w:ind w:firstLine="480"/>
    </w:pPr>
    <w:rPr>
      <w:rFonts w:ascii="华文仿宋" w:hAnsi="华文仿宋" w:eastAsia="华文仿宋" w:cs="华文仿宋"/>
    </w:rPr>
  </w:style>
  <w:style w:type="paragraph" w:customStyle="1" w:styleId="112">
    <w:name w:val="正文 楷体"/>
    <w:basedOn w:val="1"/>
    <w:qFormat/>
    <w:uiPriority w:val="0"/>
    <w:pPr>
      <w:spacing w:line="500" w:lineRule="exact"/>
      <w:ind w:firstLine="200" w:firstLineChars="200"/>
    </w:pPr>
    <w:rPr>
      <w:rFonts w:ascii="楷体_GB2312" w:hAnsi="楷体_GB2312" w:eastAsia="楷体_GB2312" w:cs="宋体"/>
      <w:sz w:val="24"/>
      <w:szCs w:val="24"/>
    </w:rPr>
  </w:style>
  <w:style w:type="paragraph" w:customStyle="1" w:styleId="113">
    <w:name w:val="表头字体"/>
    <w:basedOn w:val="1"/>
    <w:autoRedefine/>
    <w:qFormat/>
    <w:uiPriority w:val="0"/>
    <w:pPr>
      <w:spacing w:line="360" w:lineRule="auto"/>
      <w:jc w:val="center"/>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7" Type="http://schemas.openxmlformats.org/officeDocument/2006/relationships/fontTable" Target="fontTable.xml"/><Relationship Id="rId56" Type="http://schemas.openxmlformats.org/officeDocument/2006/relationships/customXml" Target="../customXml/item2.xml"/><Relationship Id="rId55" Type="http://schemas.openxmlformats.org/officeDocument/2006/relationships/numbering" Target="numbering.xml"/><Relationship Id="rId54" Type="http://schemas.openxmlformats.org/officeDocument/2006/relationships/customXml" Target="../customXml/item1.xml"/><Relationship Id="rId53" Type="http://schemas.openxmlformats.org/officeDocument/2006/relationships/image" Target="media/image33.jpeg"/><Relationship Id="rId52" Type="http://schemas.openxmlformats.org/officeDocument/2006/relationships/image" Target="media/image32.jpeg"/><Relationship Id="rId51" Type="http://schemas.openxmlformats.org/officeDocument/2006/relationships/image" Target="media/image31.png"/><Relationship Id="rId50" Type="http://schemas.openxmlformats.org/officeDocument/2006/relationships/image" Target="media/image30.png"/><Relationship Id="rId5" Type="http://schemas.openxmlformats.org/officeDocument/2006/relationships/header" Target="header1.xml"/><Relationship Id="rId49" Type="http://schemas.openxmlformats.org/officeDocument/2006/relationships/image" Target="media/image29.jpeg"/><Relationship Id="rId48" Type="http://schemas.openxmlformats.org/officeDocument/2006/relationships/image" Target="media/image28.jpeg"/><Relationship Id="rId47" Type="http://schemas.openxmlformats.org/officeDocument/2006/relationships/image" Target="media/image27.jpeg"/><Relationship Id="rId46" Type="http://schemas.openxmlformats.org/officeDocument/2006/relationships/image" Target="media/image26.jpeg"/><Relationship Id="rId45" Type="http://schemas.openxmlformats.org/officeDocument/2006/relationships/image" Target="media/image25.jpeg"/><Relationship Id="rId44" Type="http://schemas.openxmlformats.org/officeDocument/2006/relationships/image" Target="media/image24.jpeg"/><Relationship Id="rId43" Type="http://schemas.openxmlformats.org/officeDocument/2006/relationships/image" Target="media/image23.jpeg"/><Relationship Id="rId42" Type="http://schemas.openxmlformats.org/officeDocument/2006/relationships/image" Target="media/image22.jpeg"/><Relationship Id="rId41" Type="http://schemas.openxmlformats.org/officeDocument/2006/relationships/image" Target="media/image21.jpeg"/><Relationship Id="rId40" Type="http://schemas.openxmlformats.org/officeDocument/2006/relationships/image" Target="media/image20.jpeg"/><Relationship Id="rId4" Type="http://schemas.openxmlformats.org/officeDocument/2006/relationships/endnotes" Target="endnotes.xml"/><Relationship Id="rId39" Type="http://schemas.openxmlformats.org/officeDocument/2006/relationships/image" Target="media/image19.jpeg"/><Relationship Id="rId38" Type="http://schemas.openxmlformats.org/officeDocument/2006/relationships/image" Target="media/image18.png"/><Relationship Id="rId37" Type="http://schemas.openxmlformats.org/officeDocument/2006/relationships/image" Target="media/image17.jpeg"/><Relationship Id="rId36" Type="http://schemas.openxmlformats.org/officeDocument/2006/relationships/image" Target="media/image16.jpeg"/><Relationship Id="rId35" Type="http://schemas.openxmlformats.org/officeDocument/2006/relationships/image" Target="media/image15.png"/><Relationship Id="rId34" Type="http://schemas.openxmlformats.org/officeDocument/2006/relationships/image" Target="media/image14.png"/><Relationship Id="rId33" Type="http://schemas.openxmlformats.org/officeDocument/2006/relationships/image" Target="media/image13.png"/><Relationship Id="rId32" Type="http://schemas.openxmlformats.org/officeDocument/2006/relationships/image" Target="media/image12.png"/><Relationship Id="rId31" Type="http://schemas.openxmlformats.org/officeDocument/2006/relationships/image" Target="media/image11.png"/><Relationship Id="rId30" Type="http://schemas.openxmlformats.org/officeDocument/2006/relationships/image" Target="media/image10.wmf"/><Relationship Id="rId3" Type="http://schemas.openxmlformats.org/officeDocument/2006/relationships/footnotes" Target="footnotes.xml"/><Relationship Id="rId29" Type="http://schemas.openxmlformats.org/officeDocument/2006/relationships/oleObject" Target="embeddings/oleObject4.bin"/><Relationship Id="rId28" Type="http://schemas.openxmlformats.org/officeDocument/2006/relationships/image" Target="media/image9.wmf"/><Relationship Id="rId27" Type="http://schemas.openxmlformats.org/officeDocument/2006/relationships/oleObject" Target="embeddings/oleObject3.bin"/><Relationship Id="rId26" Type="http://schemas.openxmlformats.org/officeDocument/2006/relationships/image" Target="media/image8.wmf"/><Relationship Id="rId25" Type="http://schemas.openxmlformats.org/officeDocument/2006/relationships/oleObject" Target="embeddings/oleObject2.bin"/><Relationship Id="rId24" Type="http://schemas.openxmlformats.org/officeDocument/2006/relationships/image" Target="media/image7.wmf"/><Relationship Id="rId23" Type="http://schemas.openxmlformats.org/officeDocument/2006/relationships/oleObject" Target="embeddings/oleObject1.bin"/><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extobjs>
    <extobj name="F360BE8B-6686-4F3D-AEAF-501FE73E4058-1">
      <extobjdata type="F360BE8B-6686-4F3D-AEAF-501FE73E4058" data="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"/>
    </extobj>
    <extobj name="F360BE8B-6686-4F3D-AEAF-501FE73E4058-2">
      <extobjdata type="F360BE8B-6686-4F3D-AEAF-501FE73E4058" data="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"/>
    </extobj>
  </extobjs>
</s:customData>
</file>

<file path=customXml/item2.xml><?xml version="1.0" encoding="utf-8"?>
<contractReview xmlns="http://schemas.wps.cn/vas-ai-hub/contract-review">
  <reviewItems>
    <reviewItem>
      <errorID>b2b9f47a-bbed-431c-839f-d2a44a2a162e</errorID>
      <errorWord>－</errorWord>
      <group>L1_Punc</group>
      <groupName>标点问题</groupName>
      <ability>L2_Punc_CN</ability>
      <abilityName>标点符号问题</abilityName>
      <candidateList>
        <item>——</item>
      </candidateList>
      <explain/>
      <paraID>6EF2C6FE</paraID>
      <start>20</start>
      <end>21</end>
      <status>unmodified</status>
      <modifiedWord/>
      <trackRevisions>false</trackRevisions>
    </reviewItem>
    <reviewItem>
      <errorID>d1604a85-a9d3-4259-a539-4f1c6d548573</errorID>
      <errorWord>（4）</errorWord>
      <group>L1_Punc</group>
      <groupName>标点问题</groupName>
      <ability>L2_Punc_CN</ability>
      <abilityName>标点符号问题</abilityName>
      <candidateList>
        <item>(4)</item>
      </candidateList>
      <explain/>
      <paraID>1315590E</paraID>
      <start>0</start>
      <end>3</end>
      <status>modified</status>
      <modifiedWord>(4)</modifiedWord>
      <trackRevisions>false</trackRevisions>
    </reviewItem>
    <reviewItem>
      <errorID>0439140b-9dd9-4e03-8443-7553a7f8eee4</errorID>
      <errorWord>，</errorWord>
      <group>L1_Punc</group>
      <groupName>标点问题</groupName>
      <ability>L2_Punc_CN</ability>
      <abilityName>标点符号问题</abilityName>
      <candidateList>
        <item>、</item>
      </candidateList>
      <explain/>
      <paraID>6247AD1C</paraID>
      <start>67</start>
      <end>68</end>
      <status>modified</status>
      <modifiedWord>、</modifiedWord>
      <trackRevisions>false</trackRevisions>
    </reviewItem>
    <reviewItem>
      <errorID>ef659100-d161-42ce-b951-b2bbd43d673f</errorID>
      <errorWord>及</errorWord>
      <group>L1_Grammar</group>
      <groupName>语法问题</groupName>
      <ability>L2_Grammar</ability>
      <abilityName>语法错误</abilityName>
      <candidateList>
        <item>活动，并设立</item>
      </candidateList>
      <explain/>
      <paraID>30F754DB</paraID>
      <start>45</start>
      <end>46</end>
      <status>unmodified</status>
      <modifiedWord/>
      <trackRevisions>false</trackRevisions>
    </reviewItem>
    <reviewItem>
      <errorID>13bc8820-c898-4fa1-a7f1-e0ed29ac9c92</errorID>
      <errorWord>主要以保护博格达现代冰川为主</errorWord>
      <group>L1_Grammar</group>
      <groupName>语法问题</groupName>
      <ability>L2_Grammar</ability>
      <abilityName>语法错误</abilityName>
      <candidateList>
        <item>以保护博格达现代冰川为主</item>
      </candidateList>
      <explain>该表达中的“主要以保护博格达现代冰川为主”存在语义重复。</explain>
      <paraID>1F3211D7</paraID>
      <start>0</start>
      <end>14</end>
      <status>unmodified</status>
      <modifiedWord/>
      <trackRevisions>false</trackRevisions>
    </reviewItem>
    <reviewItem>
      <errorID>771786f4-c184-4eb5-89a1-3dab2de3a177</errorID>
      <errorWord>主要以保护天池地质公园内的古冰川遗迹为主</errorWord>
      <group>L1_Grammar</group>
      <groupName>语法问题</groupName>
      <ability>L2_Grammar</ability>
      <abilityName>语法错误</abilityName>
      <candidateList>
        <item>以保护天池地质公园内的古冰川遗迹为主</item>
      </candidateList>
      <explain>该表达中的“主要以保护天池地质公园内的古冰川遗迹为主”存在语义重复。</explain>
      <paraID>238AA409</paraID>
      <start>0</start>
      <end>20</end>
      <status>unmodified</status>
      <modifiedWord/>
      <trackRevisions>false</trackRevisions>
    </reviewItem>
    <reviewItem>
      <errorID>23576749-4f39-42b5-a242-d5bc1a96dadd</errorID>
      <errorWord>主要以保护马牙山火山岩型石林为主</errorWord>
      <group>L1_Grammar</group>
      <groupName>语法问题</groupName>
      <ability>L2_Grammar</ability>
      <abilityName>语法错误</abilityName>
      <candidateList>
        <item>以保护马牙山火山岩型石林为主</item>
      </candidateList>
      <explain>该表达中的“主要以保护马牙山火山岩型石林为主”存在语义重复。</explain>
      <paraID> 629986C</paraID>
      <start>0</start>
      <end>16</end>
      <status>unmodified</status>
      <modifiedWord/>
      <trackRevisions>false</trackRevisions>
    </reviewItem>
    <reviewItem>
      <errorID>90046e9f-ea5d-4394-9c04-15fa6a875ece</errorID>
      <errorWord>主要以保护天池水体及天池堤坝为主</errorWord>
      <group>L1_Grammar</group>
      <groupName>语法问题</groupName>
      <ability>L2_Grammar</ability>
      <abilityName>语法错误</abilityName>
      <candidateList>
        <item>以保护天池水体及天池堤坝为主</item>
      </candidateList>
      <explain>该表达中的“主要以保护天池水体及天池堤坝为主”存在语义重复。</explain>
      <paraID>6396D554</paraID>
      <start>0</start>
      <end>16</end>
      <status>unmodified</status>
      <modifiedWord/>
      <trackRevisions>false</trackRevisions>
    </reviewItem>
    <reviewItem>
      <errorID>e7915ad5-938b-425a-a6cc-295852b9c7b3</errorID>
      <errorWord>主要以保护三工河沿线的河谷及部分地质遗迹景观为主</errorWord>
      <group>L1_Grammar</group>
      <groupName>语法问题</groupName>
      <ability>L2_Grammar</ability>
      <abilityName>语法错误</abilityName>
      <candidateList>
        <item>以保护三工河沿线的河谷及部分地质遗迹景观为主</item>
      </candidateList>
      <explain>该表达中的“主要以保护三工河沿线的河谷及部分地质遗迹景观为主”存在语义重复。</explain>
      <paraID>771B181F</paraID>
      <start>0</start>
      <end>24</end>
      <status>unmodified</status>
      <modifiedWord/>
      <trackRevisions>false</trackRevisions>
    </reviewItem>
    <reviewItem>
      <errorID>6c0f224e-182a-4711-bc25-edb0308c1fb5</errorID>
      <errorWord>主要以保护化石山古生物化石遗迹为主</errorWord>
      <group>L1_Grammar</group>
      <groupName>语法问题</groupName>
      <ability>L2_Grammar</ability>
      <abilityName>语法错误</abilityName>
      <candidateList>
        <item>以保护化石山古生物化石遗迹为主</item>
      </candidateList>
      <explain>该表达中的“主要以保护化石山古生物化石遗迹为主”存在语义重复。</explain>
      <paraID>5C974115</paraID>
      <start>0</start>
      <end>17</end>
      <status>unmodified</status>
      <modifiedWord/>
      <trackRevisions>false</trackRevisions>
    </reviewItem>
    <reviewItem>
      <errorID>bb41d94a-7edf-404c-a03c-75f7ecb17a52</errorID>
      <errorWord>策</errorWord>
      <group>L1_Word</group>
      <groupName>字词问题</groupName>
      <ability>L2_Typo</ability>
      <abilityName>字词错误</abilityName>
      <candidateList>
        <item>策和</item>
      </candidateList>
      <explain/>
      <paraID>6D4528EE</paraID>
      <start>79</start>
      <end>80</end>
      <status>unmodified</status>
      <modifiedWord/>
      <trackRevisions>false</trackRevisions>
    </reviewItem>
    <reviewItem>
      <errorID>e51665b1-8606-4f0e-bfa8-f9ae3c3897ad</errorID>
      <errorWord>。</errorWord>
      <group>L1_Punc</group>
      <groupName>标点问题</groupName>
      <ability>L2_Punc_CN</ability>
      <abilityName>标点符号问题</abilityName>
      <candidateList>
        <item/>
      </candidateList>
      <explain/>
      <paraID>3584DD52</paraID>
      <start>233</start>
      <end>233</end>
      <status>modified</status>
      <modifiedWord/>
      <trackRevisions>false</trackRevisions>
    </reviewItem>
    <reviewItem>
      <errorID>9c93967e-621e-4a87-a4d2-724c6b2134fc</errorID>
      <errorWord>、</errorWord>
      <group>L1_Punc</group>
      <groupName>标点问题</groupName>
      <ability>L2_Punc_CN</ability>
      <abilityName>标点符号问题</abilityName>
      <candidateList>
        <item>. </item>
      </candidateList>
      <explain/>
      <paraID>1D558BA9</paraID>
      <start>111</start>
      <end>113</end>
      <status>modified</status>
      <modifiedWord>. </modifiedWord>
      <trackRevisions>false</trackRevisions>
    </reviewItem>
    <reviewItem>
      <errorID>1e9d292a-22be-4a3c-8e71-5d32d8fd3f07</errorID>
      <errorWord>、</errorWord>
      <group>L1_Punc</group>
      <groupName>标点问题</groupName>
      <ability>L2_Punc_CN</ability>
      <abilityName>标点符号问题</abilityName>
      <candidateList>
        <item>. </item>
      </candidateList>
      <explain/>
      <paraID>4BA28385</paraID>
      <start>94</start>
      <end>96</end>
      <status>modified</status>
      <modifiedWord>. </modifiedWord>
      <trackRevisions>false</trackRevisions>
    </reviewItem>
    <reviewItem>
      <errorID>f4ae2c2b-c100-4752-bd51-c1b3e5eb0aaa</errorID>
      <errorWord>。</errorWord>
      <group>L1_Punc</group>
      <groupName>标点问题</groupName>
      <ability>L2_Punc_CN</ability>
      <abilityName>标点符号问题</abilityName>
      <candidateList>
        <item>，</item>
      </candidateList>
      <explain/>
      <paraID>1E273098</paraID>
      <start>59</start>
      <end>60</end>
      <status>modified</status>
      <modifiedWord>，</modifiedWord>
      <trackRevisions>false</trackRevisions>
    </reviewItem>
    <reviewItem>
      <errorID>d424a01a-62cc-4f99-a8d8-4492b7628af5</errorID>
      <errorWord> </errorWord>
      <group>L1_Punc</group>
      <groupName>标点问题</groupName>
      <ability>L2_Punc_CN</ability>
      <abilityName>标点符号问题</abilityName>
      <candidateList>
        <item>·</item>
      </candidateList>
      <explain/>
      <paraID>15A0E81F</paraID>
      <start>67</start>
      <end>68</end>
      <status>modified</status>
      <modifiedWord> </modifiedWord>
      <trackRevisions>false</trackRevisions>
    </reviewItem>
    <reviewItem>
      <errorID>44495e50-b15e-45b1-b247-3c68488f4c39</errorID>
      <errorWord> </errorWord>
      <group>L1_Punc</group>
      <groupName>标点问题</groupName>
      <ability>L2_Punc_CN</ability>
      <abilityName>标点符号问题</abilityName>
      <candidateList>
        <item>·</item>
      </candidateList>
      <explain/>
      <paraID>330FAEB3</paraID>
      <start>91</start>
      <end>92</end>
      <status>modified</status>
      <modifiedWord> </modifiedWord>
      <trackRevisions>false</trackRevisions>
    </reviewItem>
    <reviewItem>
      <errorID>9c2afe82-675d-4bb5-a908-c4f88d1a2049</errorID>
      <errorWord> </errorWord>
      <group>L1_Punc</group>
      <groupName>标点问题</groupName>
      <ability>L2_Punc_CN</ability>
      <abilityName>标点符号问题</abilityName>
      <candidateList>
        <item>·</item>
      </candidateList>
      <explain/>
      <paraID>330FAEB3</paraID>
      <start>162</start>
      <end>163</end>
      <status>modified</status>
      <modifiedWord> </modifiedWord>
      <trackRevisions>false</trackRevisions>
    </reviewItem>
    <reviewItem>
      <errorID>d0425c06-004c-41eb-8228-34e3c9e99765</errorID>
      <errorWord> </errorWord>
      <group>L1_Punc</group>
      <groupName>标点问题</groupName>
      <ability>L2_Punc_CN</ability>
      <abilityName>标点符号问题</abilityName>
      <candidateList>
        <item>·</item>
      </candidateList>
      <explain/>
      <paraID>5ED5CC6D</paraID>
      <start>87</start>
      <end>88</end>
      <status>modified</status>
      <modifiedWord> </modifiedWord>
      <trackRevisions>false</trackRevisions>
    </reviewItem>
    <reviewItem>
      <errorID>c274da07-d521-4644-9651-0b9d7a7eae9d</errorID>
      <errorWord> </errorWord>
      <group>L1_Punc</group>
      <groupName>标点问题</groupName>
      <ability>L2_Punc_CN</ability>
      <abilityName>标点符号问题</abilityName>
      <candidateList>
        <item>·</item>
      </candidateList>
      <explain/>
      <paraID>7E25BE37</paraID>
      <start>42</start>
      <end>43</end>
      <status>modified</status>
      <modifiedWord> </modifiedWord>
      <trackRevisions>false</trackRevisions>
    </reviewItem>
    <reviewItem>
      <errorID>98bc6ed0-88ae-47c8-afb0-db7ecfa6ef44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2CC558A4</paraID>
      <start>50</start>
      <end>51</end>
      <status>unmodified</status>
      <modifiedWord/>
      <trackRevisions>false</trackRevisions>
    </reviewItem>
    <reviewItem>
      <errorID>4ba7d164-8f17-4c19-9719-331d0d4a492d</errorID>
      <errorWord>。</errorWord>
      <group>L1_Punc</group>
      <groupName>标点问题</groupName>
      <ability>L2_Punc_CN</ability>
      <abilityName>标点符号问题</abilityName>
      <candidateList>
        <item>）。</item>
      </candidateList>
      <explain/>
      <paraID>2CC558A4</paraID>
      <start>102</start>
      <end>104</end>
      <status>modified</status>
      <modifiedWord>）。</modifiedWord>
      <trackRevisions>false</trackRevisions>
    </reviewItem>
    <reviewItem>
      <errorID>a1077116-d543-455e-9d39-cf4fa96b3a3e</errorID>
      <errorWord>布局的组团绿化和建筑周边绿化</errorWord>
      <group>L1_Word</group>
      <groupName>字词问题</groupName>
      <ability>L2_Typo</ability>
      <abilityName>字词错误</abilityName>
      <candidateList>
        <item>的组团绿化和建筑周边绿化布局</item>
      </candidateList>
      <explain/>
      <paraID> 328993E</paraID>
      <start>108</start>
      <end>122</end>
      <status>modified</status>
      <modifiedWord>的组团绿化和建筑周边绿化布局</modifiedWord>
      <trackRevisions>false</trackRevisions>
    </reviewItem>
    <reviewItem>
      <errorID>8fb0c26b-9166-455a-8701-c426b7f7e677</errorID>
      <errorWord>采取由</errorWord>
      <group>L1_Word</group>
      <groupName>字词问题</groupName>
      <ability>L2_Typo</ability>
      <abilityName>字词错误</abilityName>
      <candidateList>
        <item>采取</item>
      </candidateList>
      <explain>〈动〉❶选择施行（某种方针、政策、措施、手段、形式、态度等）：～守势｜～紧急措施。❷取：～指纹。</explain>
      <paraID>65C670B3</paraID>
      <start>117</start>
      <end>119</end>
      <status>modified</status>
      <modifiedWord>采取</modifiedWord>
      <trackRevisions>false</trackRevisions>
    </reviewItem>
    <reviewItem>
      <errorID>9e18a90a-374a-432e-b25e-6f98855fc6fa</errorID>
      <errorWord>然后</errorWord>
      <group>L1_Word</group>
      <groupName>字词问题</groupName>
      <ability>L2_Typo</ability>
      <abilityName>字词错误</abilityName>
      <candidateList>
        <item>后</item>
      </candidateList>
      <explain/>
      <paraID> D59A9EC</paraID>
      <start>22</start>
      <end>23</end>
      <status>modified</status>
      <modifiedWord>后</modifiedWord>
      <trackRevisions>false</trackRevisions>
    </reviewItem>
    <reviewItem>
      <errorID>cb6fd2e3-6f75-4a48-87af-a973d845dd1a</errorID>
      <errorWord>《新疆维吾尔自治区</errorWord>
      <group>L1_Grammar</group>
      <groupName>语法问题</groupName>
      <ability>L2_Grammar</ability>
      <abilityName>语法错误</abilityName>
      <candidateList>
        <item>国家对</item>
      </candidateList>
      <explain/>
      <paraID> DD69529</paraID>
      <start>2</start>
      <end>11</end>
      <status>unmodified</status>
      <modifiedWord/>
      <trackRevisions>false</trackRevisions>
    </reviewItem>
    <reviewItem>
      <errorID>bef2c3c7-c397-4808-b03d-7ed04f5a435b</errorID>
      <errorWord>》</errorWord>
      <group>L1_Grammar</group>
      <groupName>语法问题</groupName>
      <ability>L2_Grammar</ability>
      <abilityName>语法错误</abilityName>
      <candidateList>
        <item>编制的要求</item>
      </candidateList>
      <explain/>
      <paraID> DD69529</paraID>
      <start>18</start>
      <end>19</end>
      <status>unmodified</status>
      <modifiedWord/>
      <trackRevisions>false</trackRevisions>
    </reviewItem>
    <reviewItem>
      <errorID>8ff80308-83a5-4cf2-ba49-dea4e00a01c1</errorID>
      <errorWord>，</errorWord>
      <group>L1_Punc</group>
      <groupName>标点问题</groupName>
      <ability>L2_Punc_CN</ability>
      <abilityName>标点符号问题</abilityName>
      <candidateList>
        <item>；</item>
      </candidateList>
      <explain/>
      <paraID>6902E661</paraID>
      <start>91</start>
      <end>92</end>
      <status>modified</status>
      <modifiedWord>；</modifiedWord>
      <trackRevisions>false</trackRevisions>
    </reviewItem>
    <reviewItem>
      <errorID>7949d50e-fe64-4e01-a522-be25f07bd4cc</errorID>
      <errorWord>占用沙化</errorWord>
      <group>L1_Grammar</group>
      <groupName>语法问题</groupName>
      <ability>L2_Grammar</ability>
      <abilityName>语法错误</abilityName>
      <candidateList>
        <item>占用</item>
      </candidateList>
      <explain/>
      <paraID>6902E661</paraID>
      <start>95</start>
      <end>97</end>
      <status>modified</status>
      <modifiedWord>占用</modifiedWord>
      <trackRevisions>false</trackRevisions>
    </reviewItem>
    <reviewItem>
      <errorID>e073570f-bb13-4734-8315-fa19be42a724</errorID>
      <errorWord>以及</errorWord>
      <group>L1_Word</group>
      <groupName>字词问题</groupName>
      <ability>L2_Typo</ability>
      <abilityName>字词错误</abilityName>
      <candidateList>
        <item>、</item>
      </candidateList>
      <explain/>
      <paraID> FEEB6FE</paraID>
      <start>33</start>
      <end>34</end>
      <status>modified</status>
      <modifiedWord>、</modifiedWord>
      <trackRevisions>false</trackRevisions>
    </reviewItem>
    <reviewItem>
      <errorID>dd7c63b5-7f62-40f1-8176-64a5a5c1cc66</errorID>
      <errorWord>结合</errorWord>
      <group>L1_Word</group>
      <groupName>字词问题</groupName>
      <ability>L2_Typo</ability>
      <abilityName>字词错误</abilityName>
      <candidateList>
        <item>以及</item>
      </candidateList>
      <explain/>
      <paraID> FEEB6FE</paraID>
      <start>48</start>
      <end>50</end>
      <status>modified</status>
      <modifiedWord>以及</modifiedWord>
      <trackRevisions>false</trackRevisions>
    </reviewItem>
    <reviewItem>
      <errorID>1958bb0b-9d26-4832-b578-f6e681b8dcc0</errorID>
      <errorWord>综合</errorWord>
      <group>L1_Punc</group>
      <groupName>标点问题</groupName>
      <ability>L2_Punc_CN</ability>
      <abilityName>标点符号问题</abilityName>
      <candidateList>
        <item>，综合</item>
      </candidateList>
      <explain/>
      <paraID>3D011B28</paraID>
      <start>20</start>
      <end>23</end>
      <status>modified</status>
      <modifiedWord>，综合</modifiedWord>
      <trackRevisions>false</trackRevisions>
    </reviewItem>
    <reviewItem>
      <errorID>28764c19-f82a-474a-bcae-42154b76cb29</errorID>
      <errorWord>判断</errorWord>
      <group>L1_Punc</group>
      <groupName>标点问题</groupName>
      <ability>L2_Punc_CN</ability>
      <abilityName>标点符号问题</abilityName>
      <candidateList>
        <item>，判断</item>
      </candidateList>
      <explain/>
      <paraID>3D011B28</paraID>
      <start>88</start>
      <end>91</end>
      <status>modified</status>
      <modifiedWord>，判断</modifiedWord>
      <trackRevisions>false</trackRevisions>
    </reviewItem>
    <reviewItem>
      <errorID>e927881a-c13c-443c-ae49-1b6fdbade157</errorID>
      <errorWord>H.J2</errorWord>
      <group>L1_Word</group>
      <groupName>字词问题</groupName>
      <ability>L2_Typo</ability>
      <abilityName>字词错误</abilityName>
      <candidateList>
        <item>HJ 2</item>
      </candidateList>
      <explain/>
      <paraID>2FF9A3A3</paraID>
      <start>20</start>
      <end>24</end>
      <status>modified</status>
      <modifiedWord>HJ 2</modifiedWord>
      <trackRevisions>false</trackRevisions>
    </reviewItem>
    <reviewItem>
      <errorID>330d8c48-e085-4fa0-b73a-bd01ffb2f913</errorID>
      <errorWord>：</errorWord>
      <group>L1_Punc</group>
      <groupName>标点问题</groupName>
      <ability>L2_Punc_CN</ability>
      <abilityName>标点符号问题</abilityName>
      <candidateList>
        <item>，</item>
      </candidateList>
      <explain/>
      <paraID>2FF9A3A3</paraID>
      <start>40</start>
      <end>41</end>
      <status>modified</status>
      <modifiedWord>，</modifiedWord>
      <trackRevisions>false</trackRevisions>
    </reviewItem>
    <reviewItem>
      <errorID>a2a78a04-4920-4456-ab2e-edcce2e1194a</errorID>
      <errorWord>数据</errorWord>
      <group>L1_Grammar</group>
      <groupName>语法问题</groupName>
      <ability>L2_Grammar</ability>
      <abilityName>语法错误</abilityName>
      <candidateList>
        <item>数据来源，该数据</item>
      </candidateList>
      <explain/>
      <paraID>2FF9A3A3</paraID>
      <start>187</start>
      <end>195</end>
      <status>modified</status>
      <modifiedWord>数据来源，该数据</modifiedWord>
      <trackRevisions>false</trackRevisions>
    </reviewItem>
    <reviewItem>
      <errorID>1141cc81-e613-4533-9920-680cd893a86f</errorID>
      <errorWord>硫磺</errorWord>
      <group>L1_Word</group>
      <groupName>字词问题</groupName>
      <ability>L2_Typo</ability>
      <abilityName>字词错误</abilityName>
      <candidateList>
        <item>硫黄</item>
      </candidateList>
      <explain/>
      <paraID>626B99D4</paraID>
      <start>69</start>
      <end>71</end>
      <status>unmodified</status>
      <modifiedWord/>
      <trackRevisions>false</trackRevisions>
    </reviewItem>
    <reviewItem>
      <errorID>c4e2ec6a-d053-4ebf-a553-fa3f8ba40408</errorID>
      <errorWord>硫磺</errorWord>
      <group>L1_Word</group>
      <groupName>字词问题</groupName>
      <ability>L2_Typo</ability>
      <abilityName>字词错误</abilityName>
      <candidateList>
        <item>硫黄</item>
      </candidateList>
      <explain/>
      <paraID>730C7721</paraID>
      <start>15</start>
      <end>17</end>
      <status>unmodified</status>
      <modifiedWord/>
      <trackRevisions>false</trackRevisions>
    </reviewItem>
    <reviewItem>
      <errorID>09c3242d-29d2-49dc-a7ca-30aa949a907b</errorID>
      <errorWord>地表水</errorWord>
      <group>L1_Word</group>
      <groupName>字词问题</groupName>
      <ability>L2_Typo</ability>
      <abilityName>字词错误</abilityName>
      <candidateList>
        <item> 地表水</item>
      </candidateList>
      <explain/>
      <paraID>68CC57A3</paraID>
      <start>76</start>
      <end>80</end>
      <status>modified</status>
      <modifiedWord> 地表水</modifiedWord>
      <trackRevisions>false</trackRevisions>
    </reviewItem>
    <reviewItem>
      <errorID>bff961fa-c618-4bfa-ab96-3bb376a7572d</errorID>
      <errorWord>、</errorWord>
      <group>L1_Punc</group>
      <groupName>标点问题</groupName>
      <ability>L2_Punc_CN</ability>
      <abilityName>标点符号问题</abilityName>
      <candidateList>
        <item> </item>
      </candidateList>
      <explain/>
      <paraID>40386E46</paraID>
      <start>3</start>
      <end>4</end>
      <status>modified</status>
      <modifiedWord> </modifiedWord>
      <trackRevisions>false</trackRevisions>
    </reviewItem>
    <reviewItem>
      <errorID>f36202e7-a6e0-4b29-982c-02b262cc9395</errorID>
      <errorWord>、</errorWord>
      <group>L1_Punc</group>
      <groupName>标点问题</groupName>
      <ability>L2_Punc_CN</ability>
      <abilityName>标点符号问题</abilityName>
      <candidateList>
        <item> </item>
      </candidateList>
      <explain/>
      <paraID>3149044F</paraID>
      <start>3</start>
      <end>4</end>
      <status>modified</status>
      <modifiedWord> </modifiedWord>
      <trackRevisions>false</trackRevisions>
    </reviewItem>
    <reviewItem>
      <errorID>a676a2f6-68ba-4f95-b3fa-a3d0095d6f06</errorID>
      <errorWord>中产生的扬尘</errorWord>
      <group>L1_Grammar</group>
      <groupName>语法问题</groupName>
      <ability>L2_Grammar</ability>
      <abilityName>语法错误</abilityName>
      <candidateList>
        <item>中</item>
      </candidateList>
      <explain/>
      <paraID>4ED5930B</paraID>
      <start>41</start>
      <end>42</end>
      <status>modified</status>
      <modifiedWord>中</modifiedWord>
      <trackRevisions>false</trackRevisions>
    </reviewItem>
    <reviewItem>
      <errorID>76907bd9-f010-4107-89a1-27b4f5442ede</errorID>
      <errorWord>时产生的扬尘</errorWord>
      <group>L1_Grammar</group>
      <groupName>语法问题</groupName>
      <ability>L2_Grammar</ability>
      <abilityName>语法错误</abilityName>
      <candidateList>
        <item>时</item>
      </candidateList>
      <explain/>
      <paraID>4ED5930B</paraID>
      <start>50</start>
      <end>51</end>
      <status>modified</status>
      <modifiedWord>时</modifiedWord>
      <trackRevisions>false</trackRevisions>
    </reviewItem>
    <reviewItem>
      <errorID>ddc243b4-eb06-4bf7-86b8-f989b937eb97</errorID>
      <errorWord>中的扬尘</errorWord>
      <group>L1_Grammar</group>
      <groupName>语法问题</groupName>
      <ability>L2_Grammar</ability>
      <abilityName>语法错误</abilityName>
      <candidateList>
        <item>中</item>
      </candidateList>
      <explain/>
      <paraID>4ED5930B</paraID>
      <start>57</start>
      <end>58</end>
      <status>modified</status>
      <modifiedWord>中</modifiedWord>
      <trackRevisions>false</trackRevisions>
    </reviewItem>
    <reviewItem>
      <errorID>cb8f0eec-fcf9-43eb-9be0-65dc0f57f307</errorID>
      <errorWord>场地的扬尘</errorWord>
      <group>L1_Grammar</group>
      <groupName>语法问题</groupName>
      <ability>L2_Grammar</ability>
      <abilityName>语法错误</abilityName>
      <candidateList>
        <item>场地</item>
      </candidateList>
      <explain/>
      <paraID>4ED5930B</paraID>
      <start>60</start>
      <end>62</end>
      <status>modified</status>
      <modifiedWord>场地</modifiedWord>
      <trackRevisions>false</trackRevisions>
    </reviewItem>
    <reviewItem>
      <errorID>26472460-0aae-4f1f-9a19-bd5fb848fdf2</errorID>
      <errorWord>GB3095</errorWord>
      <group>L1_Word</group>
      <groupName>字词问题</groupName>
      <ability>L2_Typo</ability>
      <abilityName>字词错误</abilityName>
      <candidateList>
        <item>GB 3095</item>
      </candidateList>
      <explain/>
      <paraID>31983120</paraID>
      <start>79</start>
      <end>86</end>
      <status>modified</status>
      <modifiedWord>GB 3095</modifiedWord>
      <trackRevisions>false</trackRevisions>
    </reviewItem>
    <reviewItem>
      <errorID>143595de-2be3-4042-9e90-87a99eedd7f2</errorID>
      <errorWord>、</errorWord>
      <group>L1_Punc</group>
      <groupName>标点问题</groupName>
      <ability>L2_Punc_CN</ability>
      <abilityName>标点符号问题</abilityName>
      <candidateList>
        <item> </item>
      </candidateList>
      <explain/>
      <paraID>7B3C5399</paraID>
      <start>3</start>
      <end>4</end>
      <status>modified</status>
      <modifiedWord> </modifiedWord>
      <trackRevisions>false</trackRevisions>
    </reviewItem>
    <reviewItem>
      <errorID>010f68b8-373f-4374-b8a6-cbcd61359ecf</errorID>
      <errorWord>(</errorWord>
      <group>L1_Format</group>
      <groupName>格式问题</groupName>
      <ability>L2_HalfPunc_CN</ability>
      <abilityName>全半角问题</abilityName>
      <candidateList>
        <item>（</item>
      </candidateList>
      <explain>文本全半角错误。</explain>
      <paraID>12C05D2E</paraID>
      <start>13</start>
      <end>14</end>
      <status>modified</status>
      <modifiedWord>（</modifiedWord>
      <trackRevisions>false</trackRevisions>
    </reviewItem>
    <reviewItem>
      <errorID>86a1506c-9c38-4a56-b41e-502f561d20a0</errorID>
      <errorWord>)</errorWord>
      <group>L1_Format</group>
      <groupName>格式问题</groupName>
      <ability>L2_HalfPunc_CN</ability>
      <abilityName>全半角问题</abilityName>
      <candidateList>
        <item>）</item>
      </candidateList>
      <explain>文本全半角错误。</explain>
      <paraID>12C05D2E</paraID>
      <start>17</start>
      <end>18</end>
      <status>modified</status>
      <modifiedWord>）</modifiedWord>
      <trackRevisions>false</trackRevisions>
    </reviewItem>
    <reviewItem>
      <errorID>81ab1d2d-de31-497d-a4bb-702db84cfc1e</errorID>
      <errorWord>方而</errorWord>
      <group>L1_Word</group>
      <groupName>字词问题</groupName>
      <ability>L2_Typo</ability>
      <abilityName>字词错误</abilityName>
      <candidateList>
        <item>方面</item>
      </candidateList>
      <explain>〈名〉相对的或并列的几个人或事物中的一部分叫一个方面：优势是在我们～，不是在敌人～｜必须不断提高农业生产～的机械化水平。</explain>
      <paraID>2D39CA60</paraID>
      <start>21</start>
      <end>23</end>
      <status>modified</status>
      <modifiedWord>方面</modifiedWord>
      <trackRevisions>false</trackRevisions>
    </reviewItem>
    <reviewItem>
      <errorID>d00f666c-1ac4-4f1c-8fdb-5d496f887cd1</errorID>
      <errorWord>)</errorWord>
      <group>L1_Format</group>
      <groupName>格式问题</groupName>
      <ability>L2_HalfPunc_CN</ability>
      <abilityName>全半角问题</abilityName>
      <candidateList>
        <item>）</item>
      </candidateList>
      <explain>文本全半角错误。</explain>
      <paraID>601065CF</paraID>
      <start>22</start>
      <end>23</end>
      <status>modified</status>
      <modifiedWord>）</modifiedWord>
      <trackRevisions>false</trackRevisions>
    </reviewItem>
    <reviewItem>
      <errorID>cddeb046-fdb6-4b0c-8cd5-3bd3ef65ddd0</errorID>
      <errorWord>(</errorWord>
      <group>L1_Format</group>
      <groupName>格式问题</groupName>
      <ability>L2_HalfPunc_CN</ability>
      <abilityName>全半角问题</abilityName>
      <candidateList>
        <item>（</item>
      </candidateList>
      <explain>文本全半角错误。</explain>
      <paraID>4F58AAEC</paraID>
      <start>32</start>
      <end>33</end>
      <status>modified</status>
      <modifiedWord>（</modifiedWord>
      <trackRevisions>false</trackRevisions>
    </reviewItem>
    <reviewItem>
      <errorID>0e5b61b1-e9bb-4c96-b508-2a32f3e64564</errorID>
      <errorWord>)</errorWord>
      <group>L1_Format</group>
      <groupName>格式问题</groupName>
      <ability>L2_HalfPunc_CN</ability>
      <abilityName>全半角问题</abilityName>
      <candidateList>
        <item>）</item>
      </candidateList>
      <explain>文本全半角错误。</explain>
      <paraID>4F58AAEC</paraID>
      <start>37</start>
      <end>38</end>
      <status>modified</status>
      <modifiedWord>）</modifiedWord>
      <trackRevisions>false</trackRevisions>
    </reviewItem>
    <reviewItem>
      <errorID>1805cbe0-b2db-4c02-9675-a1e9a0c1da9d</errorID>
      <errorWord>效果</errorWord>
      <group>L1_Punc</group>
      <groupName>标点问题</groupName>
      <ability>L2_Punc_CN</ability>
      <abilityName>标点符号问题</abilityName>
      <candidateList>
        <item>效果。</item>
      </candidateList>
      <explain/>
      <paraID> 1E5F89B</paraID>
      <start>56</start>
      <end>59</end>
      <status>modified</status>
      <modifiedWord>效果。</modifiedWord>
      <trackRevisions>false</trackRevisions>
    </reviewItem>
    <reviewItem>
      <errorID>e74f11c0-99c0-4600-a214-9fb38de948f9</errorID>
      <errorWord>有效地</errorWord>
      <group>L1_Word</group>
      <groupName>字词问题</groupName>
      <ability>L2_Typo</ability>
      <abilityName>字词错误</abilityName>
      <candidateList>
        <item>有效</item>
      </candidateList>
      <explain/>
      <paraID>7F31ECF6</paraID>
      <start>292</start>
      <end>294</end>
      <status>modified</status>
      <modifiedWord>有效</modifiedWord>
      <trackRevisions>false</trackRevisions>
    </reviewItem>
    <reviewItem>
      <errorID>d237547e-6f12-4e65-af24-e24b826435bc</errorID>
      <errorWord>、</errorWord>
      <group>L1_Punc</group>
      <groupName>标点问题</groupName>
      <ability>L2_Punc_CN</ability>
      <abilityName>标点符号问题</abilityName>
      <candidateList>
        <item> </item>
      </candidateList>
      <explain/>
      <paraID>4C7ED86F</paraID>
      <start>3</start>
      <end>4</end>
      <status>modified</status>
      <modifiedWord> </modifiedWord>
      <trackRevisions>false</trackRevisions>
    </reviewItem>
    <reviewItem>
      <errorID>2903f388-5f47-4417-82fc-46973be224dc</errorID>
      <errorWord>、</errorWord>
      <group>L1_Punc</group>
      <groupName>标点问题</groupName>
      <ability>L2_Punc_CN</ability>
      <abilityName>标点符号问题</abilityName>
      <candidateList>
        <item> </item>
      </candidateList>
      <explain/>
      <paraID>474366A2</paraID>
      <start>3</start>
      <end>4</end>
      <status>modified</status>
      <modifiedWord> </modifiedWord>
      <trackRevisions>false</trackRevisions>
    </reviewItem>
    <reviewItem>
      <errorID>b5979759-73b1-4379-9612-3c058c6eea66</errorID>
      <errorWord>、</errorWord>
      <group>L1_Punc</group>
      <groupName>标点问题</groupName>
      <ability>L2_Punc_CN</ability>
      <abilityName>标点符号问题</abilityName>
      <candidateList>
        <item> </item>
      </candidateList>
      <explain/>
      <paraID>73D6BA9D</paraID>
      <start>3</start>
      <end>4</end>
      <status>modified</status>
      <modifiedWord> </modifiedWord>
      <trackRevisions>false</trackRevisions>
    </reviewItem>
    <reviewItem>
      <errorID>4ec159d1-ee8a-4517-8d46-24a58312a687</errorID>
      <errorWord>(</errorWord>
      <group>L1_Format</group>
      <groupName>格式问题</groupName>
      <ability>L2_HalfPunc_CN</ability>
      <abilityName>全半角问题</abilityName>
      <candidateList>
        <item>（</item>
      </candidateList>
      <explain>文本全半角错误。</explain>
      <paraID>52332927</paraID>
      <start>57</start>
      <end>58</end>
      <status>modified</status>
      <modifiedWord>（</modifiedWord>
      <trackRevisions>false</trackRevisions>
    </reviewItem>
    <reviewItem>
      <errorID>9b37810c-bd60-4e47-8fab-901abf23cc25</errorID>
      <errorWord>(</errorWord>
      <group>L1_Format</group>
      <groupName>格式问题</groupName>
      <ability>L2_HalfPunc_CN</ability>
      <abilityName>全半角问题</abilityName>
      <candidateList>
        <item>（</item>
      </candidateList>
      <explain>文本全半角错误。</explain>
      <paraID>2D534123</paraID>
      <start>46</start>
      <end>47</end>
      <status>modified</status>
      <modifiedWord>（</modifiedWord>
      <trackRevisions>false</trackRevisions>
    </reviewItem>
    <reviewItem>
      <errorID>cfd7d145-d058-43fc-9f48-4a60341fbf11</errorID>
      <errorWord>(</errorWord>
      <group>L1_Format</group>
      <groupName>格式问题</groupName>
      <ability>L2_HalfPunc_CN</ability>
      <abilityName>全半角问题</abilityName>
      <candidateList>
        <item>（</item>
      </candidateList>
      <explain>文本全半角错误。</explain>
      <paraID>7F838E6E</paraID>
      <start>49</start>
      <end>50</end>
      <status>modified</status>
      <modifiedWord>（</modifiedWord>
      <trackRevisions>false</trackRevisions>
    </reviewItem>
    <reviewItem>
      <errorID>324e5722-1050-448d-bdb2-d617463efbb3</errorID>
      <errorWord>(</errorWord>
      <group>L1_Format</group>
      <groupName>格式问题</groupName>
      <ability>L2_HalfPunc_CN</ability>
      <abilityName>全半角问题</abilityName>
      <candidateList>
        <item>（</item>
      </candidateList>
      <explain>文本全半角错误。</explain>
      <paraID>3CB42D50</paraID>
      <start>46</start>
      <end>47</end>
      <status>modified</status>
      <modifiedWord>（</modifiedWord>
      <trackRevisions>false</trackRevisions>
    </reviewItem>
    <reviewItem>
      <errorID>2cf711c2-3781-41c5-a1d7-a9e21b568af9</errorID>
      <errorWord>（</errorWord>
      <group>L1_Punc</group>
      <groupName>标点问题</groupName>
      <ability>L2_Punc_CN</ability>
      <abilityName>标点符号问题</abilityName>
      <candidateList/>
      <explain>同一形式括号套用。</explain>
      <paraID>7CCDF382</paraID>
      <start>6</start>
      <end>7</end>
      <status>unmodified</status>
      <modifiedWord/>
      <trackRevisions>false</trackRevisions>
    </reviewItem>
    <reviewItem>
      <errorID>301f0195-aa82-49ce-9275-a3b641a83e3c</errorID>
      <errorWord>）</errorWord>
      <group>L1_Punc</group>
      <groupName>标点问题</groupName>
      <ability>L2_Punc_CN</ability>
      <abilityName>标点符号问题</abilityName>
      <candidateList/>
      <explain>同一形式括号套用。</explain>
      <paraID>7CCDF382</paraID>
      <start>8</start>
      <end>9</end>
      <status>unmodified</status>
      <modifiedWord/>
      <trackRevisions>false</trackRevisions>
    </reviewItem>
    <reviewItem>
      <errorID>2967e042-22e3-4f44-bee0-e2219bb49835</errorID>
      <errorWord>点源</errorWord>
      <group>L1_Word</group>
      <groupName>字词问题</groupName>
      <ability>L2_Typo</ability>
      <abilityName>字词错误</abilityName>
      <candidateList>
        <item>电源</item>
      </candidateList>
      <explain/>
      <paraID>4B05E9AA</paraID>
      <start>11</start>
      <end>13</end>
      <status>unmodified</status>
      <modifiedWord/>
      <trackRevisions>false</trackRevisions>
    </reviewItem>
    <reviewItem>
      <errorID>c745d353-2cd5-46f0-a9f7-9a2939021917</errorID>
      <errorWord>)</errorWord>
      <group>L1_Format</group>
      <groupName>格式问题</groupName>
      <ability>L2_HalfPunc_CN</ability>
      <abilityName>全半角问题</abilityName>
      <candidateList>
        <item>）</item>
      </candidateList>
      <explain>文本全半角错误。</explain>
      <paraID>2F9774C6</paraID>
      <start>23</start>
      <end>24</end>
      <status>modified</status>
      <modifiedWord>）</modifiedWord>
      <trackRevisions>false</trackRevisions>
    </reviewItem>
    <reviewItem>
      <errorID>14d23753-7d9a-4a5e-8900-1eddf66d472a</errorID>
      <errorWord>水为</errorWord>
      <group>L1_Word</group>
      <groupName>字词问题</groupName>
      <ability>L2_Typo</ability>
      <abilityName>字词错误</abilityName>
      <candidateList>
        <item>水位</item>
      </candidateList>
      <explain>存在发音相同字词的误用。</explain>
      <paraID>317456B5</paraID>
      <start>4</start>
      <end>6</end>
      <status>unmodified</status>
      <modifiedWord/>
      <trackRevisions>false</trackRevisions>
    </reviewItem>
    <reviewItem>
      <errorID>313b524d-fc48-4760-93d3-1487086a7d15</errorID>
      <errorWord>(</errorWord>
      <group>L1_Format</group>
      <groupName>格式问题</groupName>
      <ability>L2_HalfPunc_CN</ability>
      <abilityName>全半角问题</abilityName>
      <candidateList>
        <item>（</item>
      </candidateList>
      <explain>文本全半角错误。</explain>
      <paraID>119BB293</paraID>
      <start>75</start>
      <end>76</end>
      <status>modified</status>
      <modifiedWord>（</modifiedWord>
      <trackRevisions>false</trackRevisions>
    </reviewItem>
    <reviewItem>
      <errorID>09b69dec-2d00-4a45-94f2-bd1fd73a337e</errorID>
      <errorWord>）</errorWord>
      <group>L1_Format</group>
      <groupName>格式问题</groupName>
      <ability>L2_HalfPunc_CN</ability>
      <abilityName>全半角问题</abilityName>
      <candidateList>
        <item>)</item>
      </candidateList>
      <explain>文本全半角错误。</explain>
      <paraID>40DC05B0</paraID>
      <start>5</start>
      <end>6</end>
      <status>modified</status>
      <modifiedWord>)</modifiedWord>
      <trackRevisions>false</trackRevisions>
    </reviewItem>
    <reviewItem>
      <errorID>e95f0fed-33a0-4523-87f9-28ee5c34be2e</errorID>
      <errorWord>)</errorWord>
      <group>L1_Format</group>
      <groupName>格式问题</groupName>
      <ability>L2_HalfPunc_CN</ability>
      <abilityName>全半角问题</abilityName>
      <candidateList>
        <item>）</item>
      </candidateList>
      <explain>文本全半角错误。</explain>
      <paraID> C359C22</paraID>
      <start>72</start>
      <end>73</end>
      <status>modified</status>
      <modifiedWord>）</modifiedWord>
      <trackRevisions>false</trackRevisions>
    </reviewItem>
    <reviewItem>
      <errorID>a4eea5d1-f802-4e3e-975b-84b9f4ed2626</errorID>
      <errorWord>制度</errorWord>
      <group>L1_Word</group>
      <groupName>字词问题</groupName>
      <ability>L2_Typo</ability>
      <abilityName>字词错误</abilityName>
      <candidateList>
        <item>秩序</item>
      </candidateList>
      <explain/>
      <paraID>7EFC59CD</paraID>
      <start>47</start>
      <end>49</end>
      <status>unmodified</status>
      <modifiedWord/>
      <trackRevisions>false</trackRevisions>
    </reviewItem>
    <reviewItem>
      <errorID>96784963-00a6-44f1-9639-a3bbd30d2e1b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7DC7DA7A</paraID>
      <start>13</start>
      <end>14</end>
      <status>unmodified</status>
      <modifiedWord/>
      <trackRevisions>false</trackRevisions>
    </reviewItem>
    <reviewItem>
      <errorID>e0d20b98-d664-4472-8a9c-af29ee190eb7</errorID>
      <errorWord>)</errorWord>
      <group>L1_Format</group>
      <groupName>格式问题</groupName>
      <ability>L2_HalfPunc_CN</ability>
      <abilityName>全半角问题</abilityName>
      <candidateList>
        <item>）</item>
      </candidateList>
      <explain>文本全半角错误。</explain>
      <paraID>1BA44B30</paraID>
      <start>4</start>
      <end>5</end>
      <status>modified</status>
      <modifiedWord>）</modifiedWord>
      <trackRevisions>false</trackRevisions>
    </reviewItem>
    <reviewItem>
      <errorID>25f3d07c-d2b2-4a9a-8ee7-1f6c5d8af16e</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6E3FF05E</paraID>
      <start>5</start>
      <end>12</end>
      <status>unmodified</status>
      <modifiedWord/>
      <trackRevisions>false</trackRevisions>
    </reviewItem>
    <reviewItem>
      <errorID>3eca6fe9-7837-491d-b118-923f0e33af74</errorID>
      <errorWord>-</errorWord>
      <group>L1_Format</group>
      <groupName>格式问题</groupName>
      <ability>L2_HalfPunc_CN</ability>
      <abilityName>全半角问题</abilityName>
      <candidateList>
        <item>－</item>
      </candidateList>
      <explain>文本全半角错误。</explain>
      <paraID>77E2E4C0</paraID>
      <start>18</start>
      <end>19</end>
      <status>unmodified</status>
      <modifiedWord/>
      <trackRevisions>false</trackRevisions>
    </reviewItem>
    <reviewItem>
      <errorID>90b177ab-09d6-4b5e-942b-31656d1bb27d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48EE9B7E</paraID>
      <start>131</start>
      <end>132</end>
      <status>unmodified</status>
      <modifiedWord/>
      <trackRevisions>false</trackRevisions>
    </reviewItem>
    <reviewItem>
      <errorID>70494e4e-986a-43da-a35b-de311d808faf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48EE9B7E</paraID>
      <start>139</start>
      <end>140</end>
      <status>unmodified</status>
      <modifiedWord/>
      <trackRevisions>false</trackRevisions>
    </reviewItem>
    <reviewItem>
      <errorID>c3127e14-6bb7-432c-b16a-2a7dedba82f7</errorID>
      <errorWord>Artemisiaabsinthiun</errorWord>
      <group>L1_English</group>
      <groupName>英文问题</groupName>
      <ability>L2_Other_Grammar</ability>
      <abilityName>其他语法问题</abilityName>
      <candidateList>
        <item>Artemisia absinthium</item>
      </candidateList>
      <explain>疑似单词/词组使用不当, 建议将Artemisiaabsinthiun修改为Artemisia absinthium</explain>
      <paraID>1D0E651E</paraID>
      <start>0</start>
      <end>19</end>
      <status>unmodified</status>
      <modifiedWord/>
      <trackRevisions>false</trackRevisions>
    </reviewItem>
    <reviewItem>
      <errorID>4f115624-e348-4ee1-a61f-e652ff72cf12</errorID>
      <errorWord>japornicus</errorWord>
      <group>L1_English</group>
      <groupName>英文问题</groupName>
      <ability>L2_Spell</ability>
      <abilityName>拼写问题</abilityName>
      <candidateList>
        <item>japonicus</item>
      </candidateList>
      <explain>疑似单词拼写有误，建议将japornicus修改为japonicus</explain>
      <paraID>675270BC</paraID>
      <start>7</start>
      <end>17</end>
      <status>unmodified</status>
      <modifiedWord/>
      <trackRevisions>false</trackRevisions>
    </reviewItem>
    <reviewItem>
      <errorID>8d24cc19-6349-4f4d-a28e-a37c02d319ff</errorID>
      <errorWord>（</errorWord>
      <group>L1_Format</group>
      <groupName>格式问题</groupName>
      <ability>L2_HalfPunc_CN</ability>
      <abilityName>全半角问题</abilityName>
      <candidateList>
        <item>(</item>
      </candidateList>
      <explain>文本全半角错误。</explain>
      <paraID>7F501528</paraID>
      <start>19</start>
      <end>20</end>
      <status>unmodified</status>
      <modifiedWord/>
      <trackRevisions>false</trackRevisions>
    </reviewItem>
    <reviewItem>
      <errorID>0b8fb0d5-c2b0-4941-b4aa-d34d52dd22df</errorID>
      <errorWord>）</errorWord>
      <group>L1_Format</group>
      <groupName>格式问题</groupName>
      <ability>L2_HalfPunc_CN</ability>
      <abilityName>全半角问题</abilityName>
      <candidateList>
        <item>)</item>
      </candidateList>
      <explain>文本全半角错误。</explain>
      <paraID>7F501528</paraID>
      <start>22</start>
      <end>23</end>
      <status>unmodified</status>
      <modifiedWord/>
      <trackRevisions>false</trackRevisions>
    </reviewItem>
    <reviewItem>
      <errorID>b8fafd32-a7d1-4b6e-9b0d-8bdc1ae4f0d4</errorID>
      <errorWord>（</errorWord>
      <group>L1_Format</group>
      <groupName>格式问题</groupName>
      <ability>L2_HalfPunc_CN</ability>
      <abilityName>全半角问题</abilityName>
      <candidateList>
        <item>(</item>
      </candidateList>
      <explain>文本全半角错误。</explain>
      <paraID> A105704</paraID>
      <start>21</start>
      <end>22</end>
      <status>unmodified</status>
      <modifiedWord/>
      <trackRevisions>false</trackRevisions>
    </reviewItem>
    <reviewItem>
      <errorID>9e6159c3-06ca-4430-a38c-a7b385b5e00d</errorID>
      <errorWord>）</errorWord>
      <group>L1_Format</group>
      <groupName>格式问题</groupName>
      <ability>L2_HalfPunc_CN</ability>
      <abilityName>全半角问题</abilityName>
      <candidateList>
        <item>)</item>
      </candidateList>
      <explain>文本全半角错误。</explain>
      <paraID> A105704</paraID>
      <start>27</start>
      <end>28</end>
      <status>unmodified</status>
      <modifiedWord/>
      <trackRevisions>false</trackRevisions>
    </reviewItem>
    <reviewItem>
      <errorID>314b3000-c312-4c15-b4b9-4068a81564af</errorID>
      <errorWord>rotundifoia</errorWord>
      <group>L1_English</group>
      <groupName>英文问题</groupName>
      <ability>L2_Spell</ability>
      <abilityName>拼写问题</abilityName>
      <candidateList>
        <item>rotundifolia</item>
      </candidateList>
      <explain>疑似单词拼写有误，建议将rotundifoia修改为rotundifolia</explain>
      <paraID> 106B901</paraID>
      <start>6</start>
      <end>17</end>
      <status>unmodified</status>
      <modifiedWord/>
      <trackRevisions>false</trackRevisions>
    </reviewItem>
    <reviewItem>
      <errorID>054b6c03-8ecc-4306-8b41-443022decd05</errorID>
      <errorWord>integrifoium</errorWord>
      <group>L1_English</group>
      <groupName>英文问题</groupName>
      <ability>L2_Spell</ability>
      <abilityName>拼写问题</abilityName>
      <candidateList>
        <item>integrifolium</item>
      </candidateList>
      <explain>疑似单词拼写有误，建议将integrifoium修改为integrifolium</explain>
      <paraID>68C970A6</paraID>
      <start>14</start>
      <end>26</end>
      <status>unmodified</status>
      <modifiedWord/>
      <trackRevisions>false</trackRevisions>
    </reviewItem>
    <reviewItem>
      <errorID>083d8d3e-90d4-4b8a-88be-031e6973f9e7</errorID>
      <errorWord>（</errorWord>
      <group>L1_Format</group>
      <groupName>格式问题</groupName>
      <ability>L2_HalfPunc_CN</ability>
      <abilityName>全半角问题</abilityName>
      <candidateList>
        <item>(</item>
      </candidateList>
      <explain>文本全半角错误。</explain>
      <paraID>4761EE75</paraID>
      <start>17</start>
      <end>18</end>
      <status>unmodified</status>
      <modifiedWord/>
      <trackRevisions>false</trackRevisions>
    </reviewItem>
    <reviewItem>
      <errorID>4db9eeba-ce95-4e12-aa61-07a6b0e424df</errorID>
      <errorWord>）</errorWord>
      <group>L1_Format</group>
      <groupName>格式问题</groupName>
      <ability>L2_HalfPunc_CN</ability>
      <abilityName>全半角问题</abilityName>
      <candidateList>
        <item>)</item>
      </candidateList>
      <explain>文本全半角错误。</explain>
      <paraID>4761EE75</paraID>
      <start>27</start>
      <end>28</end>
      <status>unmodified</status>
      <modifiedWord/>
      <trackRevisions>false</trackRevisions>
    </reviewItem>
    <reviewItem>
      <errorID>32347bef-9080-4618-9cbe-f71feaf310e6</errorID>
      <errorWord>（</errorWord>
      <group>L1_Format</group>
      <groupName>格式问题</groupName>
      <ability>L2_HalfPunc_CN</ability>
      <abilityName>全半角问题</abilityName>
      <candidateList>
        <item>(</item>
      </candidateList>
      <explain>文本全半角错误。</explain>
      <paraID>3945D906</paraID>
      <start>21</start>
      <end>22</end>
      <status>unmodified</status>
      <modifiedWord/>
      <trackRevisions>false</trackRevisions>
    </reviewItem>
    <reviewItem>
      <errorID>330058b6-714c-4736-b880-104213fdc415</errorID>
      <errorWord>）</errorWord>
      <group>L1_Format</group>
      <groupName>格式问题</groupName>
      <ability>L2_HalfPunc_CN</ability>
      <abilityName>全半角问题</abilityName>
      <candidateList>
        <item>)</item>
      </candidateList>
      <explain>文本全半角错误。</explain>
      <paraID>3945D906</paraID>
      <start>27</start>
      <end>28</end>
      <status>unmodified</status>
      <modifiedWord/>
      <trackRevisions>false</trackRevisions>
    </reviewItem>
    <reviewItem>
      <errorID>488f52af-37f3-489e-b086-ad634100631a</errorID>
      <errorWord>新疆</errorWord>
      <group>L1_Political</group>
      <groupName>政治性问题</groupName>
      <ability>L2_Unpolitical</ability>
      <abilityName>政治敏感错误</abilityName>
      <candidateList/>
      <explain>省级行政单位不能与国家并列。</explain>
      <paraID> 8A7EA2D</paraID>
      <start>69</start>
      <end>71</end>
      <status>unmodified</status>
      <modifiedWord/>
      <trackRevisions>false</trackRevisions>
    </reviewItem>
    <reviewItem>
      <errorID>13e6f70e-f0f2-4e10-a79d-1a919299531c</errorID>
      <errorWord>japornicus</errorWord>
      <group>L1_English</group>
      <groupName>英文问题</groupName>
      <ability>L2_Spell</ability>
      <abilityName>拼写问题</abilityName>
      <candidateList>
        <item>japonicus</item>
      </candidateList>
      <explain>疑似单词拼写有误，建议将japornicus修改为japonicus</explain>
      <paraID>2F0A5DE0</paraID>
      <start>170</start>
      <end>180</end>
      <status>unmodified</status>
      <modifiedWord/>
      <trackRevisions>false</trackRevisions>
    </reviewItem>
    <reviewItem>
      <errorID>0131f071-6a4c-458e-b712-4720b9832c5a</errorID>
      <errorWord>integrifoium</errorWord>
      <group>L1_English</group>
      <groupName>英文问题</groupName>
      <ability>L2_Spell</ability>
      <abilityName>拼写问题</abilityName>
      <candidateList>
        <item>integrifolium</item>
      </candidateList>
      <explain>疑似单词拼写有误，建议将integrifoium修改为integrifolium</explain>
      <paraID>2F0A5DE0</paraID>
      <start>356</start>
      <end>368</end>
      <status>unmodified</status>
      <modifiedWord/>
      <trackRevisions>false</trackRevisions>
    </reviewItem>
    <reviewItem>
      <errorID>0f3b9e20-f52c-44bd-93c6-7aedf23b3f91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9A1AA64</paraID>
      <start>15</start>
      <end>16</end>
      <status>unmodified</status>
      <modifiedWord/>
      <trackRevisions>false</trackRevisions>
    </reviewItem>
    <reviewItem>
      <errorID>9e00dda4-1103-4d76-a43b-5b3dc6091064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7DD7A4B1</paraID>
      <start>15</start>
      <end>16</end>
      <status>unmodified</status>
      <modifiedWord/>
      <trackRevisions>false</trackRevisions>
    </reviewItem>
    <reviewItem>
      <errorID>30e28fee-aaed-4fb4-b22c-43de1492a139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3CD8DE04</paraID>
      <start>14</start>
      <end>15</end>
      <status>unmodified</status>
      <modifiedWord/>
      <trackRevisions>false</trackRevisions>
    </reviewItem>
    <reviewItem>
      <errorID>a6c2ded5-8404-4c72-9186-af120bdba05c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5FB69971</paraID>
      <start>15</start>
      <end>16</end>
      <status>unmodified</status>
      <modifiedWord/>
      <trackRevisions>false</trackRevisions>
    </reviewItem>
    <reviewItem>
      <errorID>e0b0b3c4-c6c8-420b-b007-936fe7e17a53</errorID>
      <errorWord>Alaudala</errorWord>
      <group>L1_English</group>
      <groupName>英文问题</groupName>
      <ability>L2_Spell</ability>
      <abilityName>拼写问题</abilityName>
      <candidateList>
        <item>Alauda</item>
      </candidateList>
      <explain>疑似单词拼写有误，建议将Alaudala修改为Alauda</explain>
      <paraID>2E7603DA</paraID>
      <start>0</start>
      <end>8</end>
      <status>unmodified</status>
      <modifiedWord/>
      <trackRevisions>false</trackRevisions>
    </reviewItem>
    <reviewItem>
      <errorID>7bd7f3eb-9070-4877-a9c7-99c69d107e45</errorID>
      <errorWord>II</errorWord>
      <group>L1_Knowledge</group>
      <groupName>知识性问题</groupName>
      <ability>L2_Knowledge</ability>
      <abilityName>其他知识</abilityName>
      <candidateList>
        <item>Ⅱ</item>
      </candidateList>
      <explain>中文环境下罗马数字格式错误。</explain>
      <paraID>4B6A43C1</paraID>
      <start>51</start>
      <end>53</end>
      <status>unmodified</status>
      <modifiedWord/>
      <trackRevisions>false</trackRevisions>
    </reviewItem>
    <reviewItem>
      <errorID>857db5af-c1e7-4add-8583-5dc767d2ee0a</errorID>
      <errorWord>II级</errorWord>
      <group>L1_Knowledge</group>
      <groupName>知识性问题</groupName>
      <ability>L2_Knowledge</ability>
      <abilityName>其他知识</abilityName>
      <candidateList>
        <item>Ⅱ级</item>
      </candidateList>
      <explain>中文环境下罗马数字格式错误。</explain>
      <paraID>4B6A43C1</paraID>
      <start>60</start>
      <end>63</end>
      <status>unmodified</status>
      <modifiedWord/>
      <trackRevisions>false</trackRevisions>
    </reviewItem>
    <reviewItem>
      <errorID>de1e98ca-3f79-4d5c-b1c1-17842668e4c2</errorID>
      <errorWord>II</errorWord>
      <group>L1_Knowledge</group>
      <groupName>知识性问题</groupName>
      <ability>L2_Knowledge</ability>
      <abilityName>其他知识</abilityName>
      <candidateList>
        <item>Ⅱ</item>
      </candidateList>
      <explain>中文环境下罗马数字格式错误。</explain>
      <paraID>6C006DD0</paraID>
      <start>51</start>
      <end>53</end>
      <status>unmodified</status>
      <modifiedWord/>
      <trackRevisions>false</trackRevisions>
    </reviewItem>
    <reviewItem>
      <errorID>44decc6c-67c8-4b52-8f5e-df1a2d53c334</errorID>
      <errorWord>II级</errorWord>
      <group>L1_Knowledge</group>
      <groupName>知识性问题</groupName>
      <ability>L2_Knowledge</ability>
      <abilityName>其他知识</abilityName>
      <candidateList>
        <item>Ⅱ级</item>
      </candidateList>
      <explain>中文环境下罗马数字格式错误。</explain>
      <paraID>6C006DD0</paraID>
      <start>60</start>
      <end>63</end>
      <status>unmodified</status>
      <modifiedWord/>
      <trackRevisions>false</trackRevisions>
    </reviewItem>
    <reviewItem>
      <errorID>4c8d96ed-914b-4b89-8492-1dadaf2942fa</errorID>
      <errorWord>II级</errorWord>
      <group>L1_Knowledge</group>
      <groupName>知识性问题</groupName>
      <ability>L2_Knowledge</ability>
      <abilityName>其他知识</abilityName>
      <candidateList>
        <item>Ⅱ级</item>
      </candidateList>
      <explain>中文环境下罗马数字格式错误。</explain>
      <paraID>47302C33</paraID>
      <start>57</start>
      <end>60</end>
      <status>unmodified</status>
      <modifiedWord/>
      <trackRevisions>false</trackRevisions>
    </reviewItem>
    <reviewItem>
      <errorID>3a4d3c7a-1da4-487e-a8f3-6586ecc617dc</errorID>
      <errorWord>Alaudala</errorWord>
      <group>L1_English</group>
      <groupName>英文问题</groupName>
      <ability>L2_Spell</ability>
      <abilityName>拼写问题</abilityName>
      <candidateList>
        <item>Alauda</item>
      </candidateList>
      <explain>疑似单词拼写有误，建议将Alaudala修改为Alauda</explain>
      <paraID>6ACA31D2</paraID>
      <start>0</start>
      <end>8</end>
      <status>unmodified</status>
      <modifiedWord/>
      <trackRevisions>false</trackRevisions>
    </reviewItem>
    <reviewItem>
      <errorID>4fa1e596-2810-40b6-b93c-326d407f9767</errorID>
      <errorWord>Laniun</errorWord>
      <group>L1_English</group>
      <groupName>英文问题</groupName>
      <ability>L2_Spell</ability>
      <abilityName>拼写问题</abilityName>
      <candidateList>
        <item>Lanius</item>
      </candidateList>
      <explain>疑似单词拼写有误，建议将Laniun修改为Lanius</explain>
      <paraID>59BA8BAF</paraID>
      <start>0</start>
      <end>6</end>
      <status>unmodified</status>
      <modifiedWord/>
      <trackRevisions>false</trackRevisions>
    </reviewItem>
    <reviewItem>
      <errorID>8fd2a122-f465-43a5-86d3-7208f3e8511b</errorID>
      <errorWord>II</errorWord>
      <group>L1_Knowledge</group>
      <groupName>知识性问题</groupName>
      <ability>L2_Knowledge</ability>
      <abilityName>其他知识</abilityName>
      <candidateList>
        <item>Ⅱ</item>
      </candidateList>
      <explain>中文环境下罗马数字格式错误。</explain>
      <paraID>7A6E3065</paraID>
      <start>51</start>
      <end>53</end>
      <status>unmodified</status>
      <modifiedWord/>
      <trackRevisions>false</trackRevisions>
    </reviewItem>
    <reviewItem>
      <errorID>5c2f08c1-2da3-43a7-8e0e-7cad7ad02f6f</errorID>
      <errorWord>II级</errorWord>
      <group>L1_Knowledge</group>
      <groupName>知识性问题</groupName>
      <ability>L2_Knowledge</ability>
      <abilityName>其他知识</abilityName>
      <candidateList>
        <item>Ⅱ级</item>
      </candidateList>
      <explain>中文环境下罗马数字格式错误。</explain>
      <paraID>7A6E3065</paraID>
      <start>60</start>
      <end>63</end>
      <status>unmodified</status>
      <modifiedWord/>
      <trackRevisions>false</trackRevisions>
    </reviewItem>
    <reviewItem>
      <errorID>8034ef7c-12a1-448a-9fd6-736ba8e8aaa4</errorID>
      <errorWord>II</errorWord>
      <group>L1_Knowledge</group>
      <groupName>知识性问题</groupName>
      <ability>L2_Knowledge</ability>
      <abilityName>其他知识</abilityName>
      <candidateList>
        <item>Ⅱ</item>
      </candidateList>
      <explain>中文环境下罗马数字格式错误。</explain>
      <paraID>6DD5C1D5</paraID>
      <start>123</start>
      <end>125</end>
      <status>unmodified</status>
      <modifiedWord/>
      <trackRevisions>false</trackRevisions>
    </reviewItem>
    <reviewItem>
      <errorID>5faad487-be6a-44e7-9d04-56f520dfd0c7</errorID>
      <errorWord>II级</errorWord>
      <group>L1_Knowledge</group>
      <groupName>知识性问题</groupName>
      <ability>L2_Knowledge</ability>
      <abilityName>其他知识</abilityName>
      <candidateList>
        <item>Ⅱ级</item>
      </candidateList>
      <explain>中文环境下罗马数字格式错误。</explain>
      <paraID>6DD5C1D5</paraID>
      <start>132</start>
      <end>135</end>
      <status>unmodified</status>
      <modifiedWord/>
      <trackRevisions>false</trackRevisions>
    </reviewItem>
    <reviewItem>
      <errorID>107bf279-e35b-4521-bc0a-75fc0fb5c451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7E528CCE</paraID>
      <start>67</start>
      <end>68</end>
      <status>unmodified</status>
      <modifiedWord/>
      <trackRevisions>false</trackRevisions>
    </reviewItem>
    <reviewItem>
      <errorID>338d1a3a-d782-4cbf-9c2f-31357780d478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7E528CCE</paraID>
      <start>78</start>
      <end>79</end>
      <status>unmodified</status>
      <modifiedWord/>
      <trackRevisions>false</trackRevisions>
    </reviewItem>
    <reviewItem>
      <errorID>d9130379-0f64-401c-9ff6-010cfb95eee3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58F17530</paraID>
      <start>125</start>
      <end>126</end>
      <status>unmodified</status>
      <modifiedWord/>
      <trackRevisions>false</trackRevisions>
    </reviewItem>
    <reviewItem>
      <errorID>8ecaf5f0-522c-4f3f-a1d5-6fab60ef3623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58F17530</paraID>
      <start>168</start>
      <end>169</end>
      <status>unmodified</status>
      <modifiedWord/>
      <trackRevisions>false</trackRevisions>
    </reviewItem>
    <reviewItem>
      <errorID>32ea188f-fffa-4b37-978c-28256ecf72b9</errorID>
      <errorWord>II级</errorWord>
      <group>L1_Knowledge</group>
      <groupName>知识性问题</groupName>
      <ability>L2_Knowledge</ability>
      <abilityName>其他知识</abilityName>
      <candidateList>
        <item>Ⅱ级</item>
      </candidateList>
      <explain>中文环境下罗马数字格式错误。</explain>
      <paraID>53669CFF</paraID>
      <start>0</start>
      <end>3</end>
      <status>unmodified</status>
      <modifiedWord/>
      <trackRevisions>false</trackRevisions>
    </reviewItem>
    <reviewItem>
      <errorID>07ebdd19-76e4-476f-b3de-b9a4238b4713</errorID>
      <errorWord>主要以保护博格达现代冰川为主</errorWord>
      <group>L1_Grammar</group>
      <groupName>语法问题</groupName>
      <ability>L2_Grammar</ability>
      <abilityName>语法错误</abilityName>
      <candidateList>
        <item>以保护博格达现代冰川为主</item>
      </candidateList>
      <explain>该表达中的“主要以保护博格达现代冰川为主”存在语义重复。</explain>
      <paraID>621A4DCB</paraID>
      <start>0</start>
      <end>14</end>
      <status>unmodified</status>
      <modifiedWord/>
      <trackRevisions>false</trackRevisions>
    </reviewItem>
    <reviewItem>
      <errorID>89a1d7d5-20b4-4b17-9a4b-46383949907c</errorID>
      <errorWord>主要以保护天池地质公园内的古冰川遗迹为主</errorWord>
      <group>L1_Grammar</group>
      <groupName>语法问题</groupName>
      <ability>L2_Grammar</ability>
      <abilityName>语法错误</abilityName>
      <candidateList>
        <item>以保护天池地质公园内的古冰川遗迹为主</item>
      </candidateList>
      <explain>该表达中的“主要以保护天池地质公园内的古冰川遗迹为主”存在语义重复。</explain>
      <paraID>10751557</paraID>
      <start>0</start>
      <end>20</end>
      <status>unmodified</status>
      <modifiedWord/>
      <trackRevisions>false</trackRevisions>
    </reviewItem>
    <reviewItem>
      <errorID>9c1819ae-90e9-4d85-914d-b348e648f4ca</errorID>
      <errorWord>主要以保护马牙山火山岩型石林为主</errorWord>
      <group>L1_Grammar</group>
      <groupName>语法问题</groupName>
      <ability>L2_Grammar</ability>
      <abilityName>语法错误</abilityName>
      <candidateList>
        <item>以保护马牙山火山岩型石林为主</item>
      </candidateList>
      <explain>该表达中的“主要以保护马牙山火山岩型石林为主”存在语义重复。</explain>
      <paraID>3099AC87</paraID>
      <start>0</start>
      <end>16</end>
      <status>unmodified</status>
      <modifiedWord/>
      <trackRevisions>false</trackRevisions>
    </reviewItem>
    <reviewItem>
      <errorID>f3f195ad-c302-4171-8ba3-74e9d101d022</errorID>
      <errorWord>主要以保护天池水体及天池堤坝为主</errorWord>
      <group>L1_Grammar</group>
      <groupName>语法问题</groupName>
      <ability>L2_Grammar</ability>
      <abilityName>语法错误</abilityName>
      <candidateList>
        <item>以保护天池水体及天池堤坝为主</item>
      </candidateList>
      <explain>该表达中的“主要以保护天池水体及天池堤坝为主”存在语义重复。</explain>
      <paraID>67D0A06C</paraID>
      <start>0</start>
      <end>16</end>
      <status>unmodified</status>
      <modifiedWord/>
      <trackRevisions>false</trackRevisions>
    </reviewItem>
    <reviewItem>
      <errorID>f50cd178-5724-4816-a81f-0fe32bbbb236</errorID>
      <errorWord>主要以保护三工河沿线的河谷及部分地质遗迹景观为主</errorWord>
      <group>L1_Grammar</group>
      <groupName>语法问题</groupName>
      <ability>L2_Grammar</ability>
      <abilityName>语法错误</abilityName>
      <candidateList>
        <item>以保护三工河沿线的河谷及部分地质遗迹景观为主</item>
      </candidateList>
      <explain>该表达中的“主要以保护三工河沿线的河谷及部分地质遗迹景观为主”存在语义重复。</explain>
      <paraID>6D7D2A5E</paraID>
      <start>0</start>
      <end>24</end>
      <status>unmodified</status>
      <modifiedWord/>
      <trackRevisions>false</trackRevisions>
    </reviewItem>
    <reviewItem>
      <errorID>caa698fd-13a3-4d94-8baa-ac56d4755770</errorID>
      <errorWord>主要以保护化石山古生物化石遗迹为主</errorWord>
      <group>L1_Grammar</group>
      <groupName>语法问题</groupName>
      <ability>L2_Grammar</ability>
      <abilityName>语法错误</abilityName>
      <candidateList>
        <item>以保护化石山古生物化石遗迹为主</item>
      </candidateList>
      <explain>该表达中的“主要以保护化石山古生物化石遗迹为主”存在语义重复。</explain>
      <paraID>1078049D</paraID>
      <start>0</start>
      <end>17</end>
      <status>unmodified</status>
      <modifiedWord/>
      <trackRevisions>false</trackRevisions>
    </reviewItem>
    <reviewItem>
      <errorID>d6da854a-f8a7-4141-93d5-2762d36dd95e</errorID>
      <errorWord>《新疆天山天池国家地质公园总体规划》（2012—2020年）</errorWord>
      <group>L1_Knowledge</group>
      <groupName>知识性问题</groupName>
      <ability>L2_Knowledge</ability>
      <abilityName>其他知识</abilityName>
      <candidateList>
        <item>《新疆天山天池国家地质公园总体规划（2012—2020年）》</item>
      </candidateList>
      <explain>疑似政策文件、法律法规名称等书写不规范，请注意检查。</explain>
      <paraID>607D53E0</paraID>
      <start>8</start>
      <end>38</end>
      <status>unmodified</status>
      <modifiedWord/>
      <trackRevisions>false</trackRevisions>
    </reviewItem>
    <reviewItem>
      <errorID>5bdbc0de-e972-44a9-9b85-1d9a2dd84337</errorID>
      <errorWord>《新疆天山天池国家地质公园总体规划》（2012—2020年）</errorWord>
      <group>L1_Knowledge</group>
      <groupName>知识性问题</groupName>
      <ability>L2_Knowledge</ability>
      <abilityName>其他知识</abilityName>
      <candidateList>
        <item>《新疆天山天池国家地质公园总体规划（2012—2020年）》</item>
      </candidateList>
      <explain>疑似政策文件、法律法规名称等书写不规范，请注意检查。</explain>
      <paraID>71E325E7</paraID>
      <start>7</start>
      <end>37</end>
      <status>unmodified</status>
      <modifiedWord/>
      <trackRevisions>false</trackRevisions>
    </reviewItem>
    <reviewItem>
      <errorID>971e487a-eddb-4c71-ad7a-70e29fce6550</errorID>
      <errorWord>《新疆天山天池国家地质公园总体规划》（2012—2020年）</errorWord>
      <group>L1_Knowledge</group>
      <groupName>知识性问题</groupName>
      <ability>L2_Knowledge</ability>
      <abilityName>其他知识</abilityName>
      <candidateList>
        <item>《新疆天山天池国家地质公园总体规划（2012—2020年）》</item>
      </candidateList>
      <explain>疑似政策文件、法律法规名称等书写不规范，请注意检查。</explain>
      <paraID>1ACC3D27</paraID>
      <start>44</start>
      <end>74</end>
      <status>unmodified</status>
      <modifiedWord/>
      <trackRevisions>false</trackRevisions>
    </reviewItem>
    <reviewItem>
      <errorID>26955cde-8aec-4ce4-8340-45c2a8220ca5</errorID>
      <errorWord>后回覆</errorWord>
      <group>L1_Word</group>
      <groupName>字词问题</groupName>
      <ability>L2_Fanti</ability>
      <abilityName>繁转简</abilityName>
      <candidateList>
        <item>后回复</item>
      </candidateList>
      <explain/>
      <paraID>30148DCA</paraID>
      <start>32</start>
      <end>35</end>
      <status>unmodified</status>
      <modifiedWord/>
      <trackRevisions>false</trackRevisions>
    </reviewItem>
    <reviewItem>
      <errorID>78ccdcd2-8872-4a6e-ab29-ae80a321f283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4D417080</paraID>
      <start>82</start>
      <end>83</end>
      <status>unmodified</status>
      <modifiedWord/>
      <trackRevisions>false</trackRevisions>
    </reviewItem>
    <reviewItem>
      <errorID>3d9fea28-452a-4be6-a5a7-438b050bfe14</errorID>
      <errorWord>-</errorWord>
      <group>L1_Format</group>
      <groupName>格式问题</groupName>
      <ability>L2_HalfPunc_CN</ability>
      <abilityName>全半角问题</abilityName>
      <candidateList>
        <item>－</item>
      </candidateList>
      <explain>文本全半角错误。</explain>
      <paraID>48FECB55</paraID>
      <start>25</start>
      <end>26</end>
      <status>unmodified</status>
      <modifiedWord/>
      <trackRevisions>false</trackRevisions>
    </reviewItem>
    <reviewItem>
      <errorID>07246965-7f1b-42e6-9541-b79dcaa33cf2</errorID>
      <errorWord>;</errorWord>
      <group>L1_Format</group>
      <groupName>格式问题</groupName>
      <ability>L2_HalfPunc_CN</ability>
      <abilityName>全半角问题</abilityName>
      <candidateList>
        <item>；</item>
      </candidateList>
      <explain>文本全半角错误。</explain>
      <paraID>5AB7A5F2</paraID>
      <start>27</start>
      <end>28</end>
      <status>unmodified</status>
      <modifiedWord/>
      <trackRevisions>false</trackRevisions>
    </reviewItem>
    <reviewItem>
      <errorID>f4d5e419-774a-4961-a773-0dc76b30c5b1</errorID>
      <errorWord>;</errorWord>
      <group>L1_Format</group>
      <groupName>格式问题</groupName>
      <ability>L2_HalfPunc_CN</ability>
      <abilityName>全半角问题</abilityName>
      <candidateList>
        <item>；</item>
      </candidateList>
      <explain>文本全半角错误。</explain>
      <paraID>4BFFF680</paraID>
      <start>27</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1174ed-b44d-4409-9706-632d67b609f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141</Pages>
  <Words>11038</Words>
  <Characters>11565</Characters>
  <Lines>541</Lines>
  <Paragraphs>152</Paragraphs>
  <TotalTime>8</TotalTime>
  <ScaleCrop>false</ScaleCrop>
  <LinksUpToDate>false</LinksUpToDate>
  <CharactersWithSpaces>11603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2023-09-14T09:54:00Z</dcterms:created>
  <dc:creator>lhj</dc:creator>
  <cp:lastModifiedBy>Administrator</cp:lastModifiedBy>
  <cp:lastPrinted>2026-07-24T03:52:00Z</cp:lastPrinted>
  <dcterms:modified xsi:type="dcterms:W3CDTF">2026-07-28T03:21:02Z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4D6D30BD5F0646A3B1021E0B1A34A323_13</vt:lpwstr>
  </property>
  <property fmtid="{D5CDD505-2E9C-101B-9397-08002B2CF9AE}" pid="4" name="KSOTemplateDocerSaveRecord">
    <vt:lpwstr>eyJoZGlkIjoiZDhjMTg0ZDY4ODQ4MmVjMzlkYWE5OTFhNTg5ZTE3YmIiLCJ1c2VySWQiOiI0ODgxMDA2ODYifQ==</vt:lpwstr>
  </property>
</Properties>
</file>