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4DB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bookmarkStart w:id="2" w:name="_GoBack"/>
      <w:bookmarkEnd w:id="2"/>
    </w:p>
    <w:p w14:paraId="4227D55A">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0" w:firstLineChars="0"/>
        <w:jc w:val="center"/>
        <w:textAlignment w:val="auto"/>
        <w:outlineLvl w:val="0"/>
        <w:rPr>
          <w:rFonts w:hint="eastAsia" w:ascii="黑体" w:hAnsi="黑体" w:eastAsia="黑体" w:cs="Times New Roman"/>
          <w:snapToGrid w:val="0"/>
          <w:color w:val="000000" w:themeColor="text1"/>
          <w:kern w:val="0"/>
          <w:sz w:val="30"/>
          <w:szCs w:val="30"/>
          <w:lang w:val="en-US" w:eastAsia="zh-CN" w:bidi="ar-SA"/>
          <w14:textFill>
            <w14:solidFill>
              <w14:schemeClr w14:val="tx1"/>
            </w14:solidFill>
          </w14:textFill>
        </w:rPr>
      </w:pPr>
      <w:r>
        <w:rPr>
          <w:rFonts w:hint="eastAsia" w:ascii="黑体" w:hAnsi="黑体" w:eastAsia="黑体" w:cs="Times New Roman"/>
          <w:snapToGrid w:val="0"/>
          <w:color w:val="000000" w:themeColor="text1"/>
          <w:kern w:val="0"/>
          <w:sz w:val="30"/>
          <w:szCs w:val="30"/>
          <w:lang w:val="en-US" w:eastAsia="zh-CN" w:bidi="ar-SA"/>
          <w14:textFill>
            <w14:solidFill>
              <w14:schemeClr w14:val="tx1"/>
            </w14:solidFill>
          </w14:textFill>
        </w:rPr>
        <w:t>一、建设项目基本情况</w:t>
      </w:r>
    </w:p>
    <w:tbl>
      <w:tblPr>
        <w:tblStyle w:val="1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801"/>
        <w:gridCol w:w="2218"/>
        <w:gridCol w:w="2212"/>
        <w:gridCol w:w="2639"/>
      </w:tblGrid>
      <w:tr w14:paraId="7D5A0B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01" w:type="dxa"/>
            <w:noWrap w:val="0"/>
            <w:tcMar>
              <w:top w:w="16" w:type="dxa"/>
              <w:left w:w="16" w:type="dxa"/>
              <w:right w:w="16" w:type="dxa"/>
            </w:tcMar>
            <w:vAlign w:val="center"/>
          </w:tcPr>
          <w:p w14:paraId="75A7E283">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建设项目名称</w:t>
            </w:r>
          </w:p>
        </w:tc>
        <w:tc>
          <w:tcPr>
            <w:tcW w:w="7069" w:type="dxa"/>
            <w:gridSpan w:val="3"/>
            <w:noWrap w:val="0"/>
            <w:vAlign w:val="center"/>
          </w:tcPr>
          <w:p w14:paraId="748E98B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新疆木垒哈萨克自治县托浪岗金矿普查项目</w:t>
            </w:r>
          </w:p>
        </w:tc>
      </w:tr>
      <w:tr w14:paraId="627FD8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01" w:type="dxa"/>
            <w:noWrap w:val="0"/>
            <w:tcMar>
              <w:top w:w="16" w:type="dxa"/>
              <w:left w:w="16" w:type="dxa"/>
              <w:right w:w="16" w:type="dxa"/>
            </w:tcMar>
            <w:vAlign w:val="center"/>
          </w:tcPr>
          <w:p w14:paraId="140B80F3">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项目代码</w:t>
            </w:r>
          </w:p>
        </w:tc>
        <w:tc>
          <w:tcPr>
            <w:tcW w:w="7069" w:type="dxa"/>
            <w:gridSpan w:val="3"/>
            <w:noWrap w:val="0"/>
            <w:vAlign w:val="center"/>
          </w:tcPr>
          <w:p w14:paraId="0CDA3A4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无</w:t>
            </w:r>
          </w:p>
        </w:tc>
      </w:tr>
      <w:tr w14:paraId="6C1A4D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01" w:type="dxa"/>
            <w:noWrap w:val="0"/>
            <w:tcMar>
              <w:top w:w="16" w:type="dxa"/>
              <w:left w:w="16" w:type="dxa"/>
              <w:right w:w="16" w:type="dxa"/>
            </w:tcMar>
            <w:vAlign w:val="center"/>
          </w:tcPr>
          <w:p w14:paraId="7FBF7DBC">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建设单位联系人</w:t>
            </w:r>
          </w:p>
        </w:tc>
        <w:tc>
          <w:tcPr>
            <w:tcW w:w="2218" w:type="dxa"/>
            <w:noWrap w:val="0"/>
            <w:vAlign w:val="center"/>
          </w:tcPr>
          <w:p w14:paraId="140E107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2212" w:type="dxa"/>
            <w:noWrap w:val="0"/>
            <w:vAlign w:val="center"/>
          </w:tcPr>
          <w:p w14:paraId="41DAE38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联系方式</w:t>
            </w:r>
          </w:p>
        </w:tc>
        <w:tc>
          <w:tcPr>
            <w:tcW w:w="2639" w:type="dxa"/>
            <w:noWrap w:val="0"/>
            <w:vAlign w:val="center"/>
          </w:tcPr>
          <w:p w14:paraId="4ECDE02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p>
        </w:tc>
      </w:tr>
      <w:tr w14:paraId="1C36E2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01" w:type="dxa"/>
            <w:noWrap w:val="0"/>
            <w:tcMar>
              <w:top w:w="16" w:type="dxa"/>
              <w:left w:w="16" w:type="dxa"/>
              <w:right w:w="16" w:type="dxa"/>
            </w:tcMar>
            <w:vAlign w:val="center"/>
          </w:tcPr>
          <w:p w14:paraId="06003A63">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建设地点</w:t>
            </w:r>
          </w:p>
        </w:tc>
        <w:tc>
          <w:tcPr>
            <w:tcW w:w="7069" w:type="dxa"/>
            <w:gridSpan w:val="3"/>
            <w:noWrap w:val="0"/>
            <w:vAlign w:val="center"/>
          </w:tcPr>
          <w:p w14:paraId="343EE67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u w:val="single"/>
                <w:lang w:val="en-US" w:eastAsia="zh-CN"/>
                <w14:textFill>
                  <w14:solidFill>
                    <w14:schemeClr w14:val="tx1"/>
                  </w14:solidFill>
                </w14:textFill>
              </w:rPr>
              <w:t>新疆维吾尔自治区昌吉回族自治州木垒哈萨克自治县城北东38方向直距145公里处</w:t>
            </w:r>
          </w:p>
        </w:tc>
      </w:tr>
      <w:tr w14:paraId="64E28B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01" w:type="dxa"/>
            <w:noWrap w:val="0"/>
            <w:tcMar>
              <w:top w:w="16" w:type="dxa"/>
              <w:left w:w="16" w:type="dxa"/>
              <w:right w:w="16" w:type="dxa"/>
            </w:tcMar>
            <w:vAlign w:val="center"/>
          </w:tcPr>
          <w:p w14:paraId="4FA249EE">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地理坐标</w:t>
            </w:r>
          </w:p>
        </w:tc>
        <w:tc>
          <w:tcPr>
            <w:tcW w:w="7069" w:type="dxa"/>
            <w:gridSpan w:val="3"/>
            <w:noWrap w:val="0"/>
            <w:vAlign w:val="center"/>
          </w:tcPr>
          <w:p w14:paraId="1E0E3A3F">
            <w:pPr>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东经</w:t>
            </w:r>
            <w:r>
              <w:rPr>
                <w:rFonts w:hint="eastAsia"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度</w:t>
            </w:r>
            <w:r>
              <w:rPr>
                <w:rFonts w:hint="eastAsia"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分</w:t>
            </w:r>
            <w:r>
              <w:rPr>
                <w:rFonts w:hint="eastAsia"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秒，</w:t>
            </w:r>
            <w:r>
              <w:rPr>
                <w:rFonts w:hint="default" w:ascii="Times New Roman" w:hAnsi="Times New Roman" w:cs="Times New Roman"/>
                <w:color w:val="000000" w:themeColor="text1"/>
                <w:sz w:val="24"/>
                <w:szCs w:val="24"/>
                <w:lang w:val="en-US" w:eastAsia="zh-CN"/>
                <w14:textFill>
                  <w14:solidFill>
                    <w14:schemeClr w14:val="tx1"/>
                  </w14:solidFill>
                </w14:textFill>
              </w:rPr>
              <w:t>北纬</w:t>
            </w:r>
            <w:r>
              <w:rPr>
                <w:rFonts w:hint="eastAsia"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度</w:t>
            </w:r>
            <w:r>
              <w:rPr>
                <w:rFonts w:hint="eastAsia"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分</w:t>
            </w:r>
            <w:r>
              <w:rPr>
                <w:rFonts w:hint="eastAsia"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秒）</w:t>
            </w:r>
          </w:p>
        </w:tc>
      </w:tr>
      <w:tr w14:paraId="0DA8D2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801" w:type="dxa"/>
            <w:noWrap w:val="0"/>
            <w:tcMar>
              <w:top w:w="16" w:type="dxa"/>
              <w:left w:w="16" w:type="dxa"/>
              <w:right w:w="16" w:type="dxa"/>
            </w:tcMar>
            <w:vAlign w:val="center"/>
          </w:tcPr>
          <w:p w14:paraId="29EEE166">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国民经济</w:t>
            </w:r>
          </w:p>
          <w:p w14:paraId="1542E728">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行业类别</w:t>
            </w:r>
          </w:p>
        </w:tc>
        <w:tc>
          <w:tcPr>
            <w:tcW w:w="2218" w:type="dxa"/>
            <w:noWrap w:val="0"/>
            <w:vAlign w:val="center"/>
          </w:tcPr>
          <w:p w14:paraId="388B390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M科学研究和技术服务业-74专业技术服务业-747地质勘查</w:t>
            </w:r>
          </w:p>
        </w:tc>
        <w:tc>
          <w:tcPr>
            <w:tcW w:w="2212" w:type="dxa"/>
            <w:noWrap w:val="0"/>
            <w:vAlign w:val="center"/>
          </w:tcPr>
          <w:p w14:paraId="42EEC8F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bookmarkStart w:id="0" w:name="_Hlk49843745"/>
            <w:r>
              <w:rPr>
                <w:rFonts w:hint="default" w:ascii="Times New Roman" w:hAnsi="Times New Roman" w:cs="Times New Roman"/>
                <w:color w:val="000000" w:themeColor="text1"/>
                <w:sz w:val="24"/>
                <w:szCs w:val="24"/>
                <w14:textFill>
                  <w14:solidFill>
                    <w14:schemeClr w14:val="tx1"/>
                  </w14:solidFill>
                </w14:textFill>
              </w:rPr>
              <w:t>建设项目</w:t>
            </w:r>
          </w:p>
          <w:p w14:paraId="6344C73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行业类别</w:t>
            </w:r>
            <w:bookmarkEnd w:id="0"/>
          </w:p>
        </w:tc>
        <w:tc>
          <w:tcPr>
            <w:tcW w:w="2639" w:type="dxa"/>
            <w:noWrap w:val="0"/>
            <w:vAlign w:val="center"/>
          </w:tcPr>
          <w:p w14:paraId="4678F2A3">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四十六、专业技术服务业99.陆地矿产资源地质勘查（含油气资源勘探）</w:t>
            </w:r>
          </w:p>
        </w:tc>
      </w:tr>
      <w:tr w14:paraId="1B8F85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801" w:type="dxa"/>
            <w:noWrap w:val="0"/>
            <w:tcMar>
              <w:top w:w="16" w:type="dxa"/>
              <w:left w:w="16" w:type="dxa"/>
              <w:right w:w="16" w:type="dxa"/>
            </w:tcMar>
            <w:vAlign w:val="center"/>
          </w:tcPr>
          <w:p w14:paraId="307DBB71">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建设性质</w:t>
            </w:r>
          </w:p>
        </w:tc>
        <w:tc>
          <w:tcPr>
            <w:tcW w:w="2218" w:type="dxa"/>
            <w:noWrap w:val="0"/>
            <w:vAlign w:val="center"/>
          </w:tcPr>
          <w:p w14:paraId="2D058AC3">
            <w:pPr>
              <w:keepNext w:val="0"/>
              <w:keepLines w:val="0"/>
              <w:pageBreakBefore w:val="0"/>
              <w:widowControl w:val="0"/>
              <w:kinsoku/>
              <w:wordWrap/>
              <w:overflowPunct/>
              <w:topLinePunct w:val="0"/>
              <w:autoSpaceDE/>
              <w:autoSpaceDN/>
              <w:bidi w:val="0"/>
              <w:ind w:firstLine="0" w:firstLineChars="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新建（迁建）</w:t>
            </w:r>
          </w:p>
          <w:p w14:paraId="2100705C">
            <w:pPr>
              <w:keepNext w:val="0"/>
              <w:keepLines w:val="0"/>
              <w:pageBreakBefore w:val="0"/>
              <w:widowControl w:val="0"/>
              <w:kinsoku/>
              <w:wordWrap/>
              <w:overflowPunct/>
              <w:topLinePunct w:val="0"/>
              <w:autoSpaceDE/>
              <w:autoSpaceDN/>
              <w:bidi w:val="0"/>
              <w:ind w:firstLine="0" w:firstLineChars="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□改建</w:t>
            </w:r>
          </w:p>
          <w:p w14:paraId="67D732DE">
            <w:pPr>
              <w:keepNext w:val="0"/>
              <w:keepLines w:val="0"/>
              <w:pageBreakBefore w:val="0"/>
              <w:widowControl w:val="0"/>
              <w:kinsoku/>
              <w:wordWrap/>
              <w:overflowPunct/>
              <w:topLinePunct w:val="0"/>
              <w:autoSpaceDE/>
              <w:autoSpaceDN/>
              <w:bidi w:val="0"/>
              <w:ind w:firstLine="0" w:firstLineChars="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□扩建</w:t>
            </w:r>
          </w:p>
          <w:p w14:paraId="75683CB1">
            <w:pPr>
              <w:keepNext w:val="0"/>
              <w:keepLines w:val="0"/>
              <w:pageBreakBefore w:val="0"/>
              <w:widowControl w:val="0"/>
              <w:kinsoku/>
              <w:wordWrap/>
              <w:overflowPunct/>
              <w:topLinePunct w:val="0"/>
              <w:autoSpaceDE/>
              <w:autoSpaceDN/>
              <w:bidi w:val="0"/>
              <w:ind w:firstLine="0" w:firstLineChars="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□技术改造</w:t>
            </w:r>
          </w:p>
        </w:tc>
        <w:tc>
          <w:tcPr>
            <w:tcW w:w="2212" w:type="dxa"/>
            <w:noWrap w:val="0"/>
            <w:vAlign w:val="center"/>
          </w:tcPr>
          <w:p w14:paraId="7D903E0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建设项目</w:t>
            </w:r>
          </w:p>
          <w:p w14:paraId="1739376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申报情形</w:t>
            </w:r>
          </w:p>
        </w:tc>
        <w:tc>
          <w:tcPr>
            <w:tcW w:w="2639" w:type="dxa"/>
            <w:noWrap w:val="0"/>
            <w:vAlign w:val="center"/>
          </w:tcPr>
          <w:p w14:paraId="0E9908C0">
            <w:pPr>
              <w:keepNext w:val="0"/>
              <w:keepLines w:val="0"/>
              <w:pageBreakBefore w:val="0"/>
              <w:widowControl w:val="0"/>
              <w:kinsoku/>
              <w:wordWrap/>
              <w:overflowPunct/>
              <w:topLinePunct w:val="0"/>
              <w:autoSpaceDE/>
              <w:autoSpaceDN/>
              <w:bidi w:val="0"/>
              <w:ind w:firstLine="0" w:firstLineChars="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首次申报项目</w:t>
            </w:r>
          </w:p>
          <w:p w14:paraId="71820118">
            <w:pPr>
              <w:keepNext w:val="0"/>
              <w:keepLines w:val="0"/>
              <w:pageBreakBefore w:val="0"/>
              <w:widowControl w:val="0"/>
              <w:kinsoku/>
              <w:wordWrap/>
              <w:overflowPunct/>
              <w:topLinePunct w:val="0"/>
              <w:autoSpaceDE/>
              <w:autoSpaceDN/>
              <w:bidi w:val="0"/>
              <w:ind w:firstLine="0" w:firstLineChars="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□不予批准后再次申报项目</w:t>
            </w:r>
          </w:p>
          <w:p w14:paraId="5FC9C296">
            <w:pPr>
              <w:keepNext w:val="0"/>
              <w:keepLines w:val="0"/>
              <w:pageBreakBefore w:val="0"/>
              <w:widowControl w:val="0"/>
              <w:kinsoku/>
              <w:wordWrap/>
              <w:overflowPunct/>
              <w:topLinePunct w:val="0"/>
              <w:autoSpaceDE/>
              <w:autoSpaceDN/>
              <w:bidi w:val="0"/>
              <w:ind w:firstLine="0" w:firstLineChars="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超五年重新审核项目</w:t>
            </w:r>
          </w:p>
          <w:p w14:paraId="267E840A">
            <w:pPr>
              <w:keepNext w:val="0"/>
              <w:keepLines w:val="0"/>
              <w:pageBreakBefore w:val="0"/>
              <w:widowControl w:val="0"/>
              <w:kinsoku/>
              <w:wordWrap/>
              <w:overflowPunct/>
              <w:topLinePunct w:val="0"/>
              <w:autoSpaceDE/>
              <w:autoSpaceDN/>
              <w:bidi w:val="0"/>
              <w:ind w:firstLine="0" w:firstLineChars="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□重大变动重新报批项目</w:t>
            </w:r>
          </w:p>
        </w:tc>
      </w:tr>
      <w:tr w14:paraId="5AF262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801" w:type="dxa"/>
            <w:noWrap w:val="0"/>
            <w:tcMar>
              <w:top w:w="16" w:type="dxa"/>
              <w:left w:w="16" w:type="dxa"/>
              <w:right w:w="16" w:type="dxa"/>
            </w:tcMar>
            <w:vAlign w:val="center"/>
          </w:tcPr>
          <w:p w14:paraId="7D2A2AA1">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项目审批（核准/</w:t>
            </w:r>
          </w:p>
          <w:p w14:paraId="1D2866AF">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备案）部门（选填）</w:t>
            </w:r>
          </w:p>
        </w:tc>
        <w:tc>
          <w:tcPr>
            <w:tcW w:w="2218" w:type="dxa"/>
            <w:noWrap w:val="0"/>
            <w:vAlign w:val="center"/>
          </w:tcPr>
          <w:p w14:paraId="4F93D94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w:t>
            </w:r>
          </w:p>
        </w:tc>
        <w:tc>
          <w:tcPr>
            <w:tcW w:w="2212" w:type="dxa"/>
            <w:noWrap w:val="0"/>
            <w:vAlign w:val="center"/>
          </w:tcPr>
          <w:p w14:paraId="363A323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项目审批（核准/</w:t>
            </w:r>
          </w:p>
          <w:p w14:paraId="73AE7BD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备案）文号（选填）</w:t>
            </w:r>
          </w:p>
        </w:tc>
        <w:tc>
          <w:tcPr>
            <w:tcW w:w="2639" w:type="dxa"/>
            <w:noWrap w:val="0"/>
            <w:vAlign w:val="center"/>
          </w:tcPr>
          <w:p w14:paraId="14F82E8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w:t>
            </w:r>
          </w:p>
        </w:tc>
      </w:tr>
      <w:tr w14:paraId="74086C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01" w:type="dxa"/>
            <w:noWrap w:val="0"/>
            <w:tcMar>
              <w:top w:w="16" w:type="dxa"/>
              <w:left w:w="16" w:type="dxa"/>
              <w:right w:w="16" w:type="dxa"/>
            </w:tcMar>
            <w:vAlign w:val="center"/>
          </w:tcPr>
          <w:p w14:paraId="685BEFFC">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总投资（万元）</w:t>
            </w:r>
          </w:p>
        </w:tc>
        <w:tc>
          <w:tcPr>
            <w:tcW w:w="2218" w:type="dxa"/>
            <w:noWrap w:val="0"/>
            <w:vAlign w:val="center"/>
          </w:tcPr>
          <w:p w14:paraId="752EAAF9">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2000</w:t>
            </w:r>
          </w:p>
        </w:tc>
        <w:tc>
          <w:tcPr>
            <w:tcW w:w="2212" w:type="dxa"/>
            <w:noWrap w:val="0"/>
            <w:tcMar>
              <w:top w:w="16" w:type="dxa"/>
              <w:left w:w="16" w:type="dxa"/>
              <w:right w:w="16" w:type="dxa"/>
            </w:tcMar>
            <w:vAlign w:val="center"/>
          </w:tcPr>
          <w:p w14:paraId="2924E819">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环保投资（万元）</w:t>
            </w:r>
          </w:p>
        </w:tc>
        <w:tc>
          <w:tcPr>
            <w:tcW w:w="2639" w:type="dxa"/>
            <w:noWrap w:val="0"/>
            <w:vAlign w:val="center"/>
          </w:tcPr>
          <w:p w14:paraId="1C242DDA">
            <w:pPr>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87.5</w:t>
            </w:r>
          </w:p>
        </w:tc>
      </w:tr>
      <w:tr w14:paraId="15CC4C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01" w:type="dxa"/>
            <w:noWrap w:val="0"/>
            <w:tcMar>
              <w:top w:w="16" w:type="dxa"/>
              <w:left w:w="16" w:type="dxa"/>
              <w:right w:w="16" w:type="dxa"/>
            </w:tcMar>
            <w:vAlign w:val="center"/>
          </w:tcPr>
          <w:p w14:paraId="62BCC6A3">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环保投资占比（%）</w:t>
            </w:r>
          </w:p>
        </w:tc>
        <w:tc>
          <w:tcPr>
            <w:tcW w:w="2218" w:type="dxa"/>
            <w:noWrap w:val="0"/>
            <w:vAlign w:val="center"/>
          </w:tcPr>
          <w:p w14:paraId="7A5F76CF">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4.375</w:t>
            </w:r>
          </w:p>
        </w:tc>
        <w:tc>
          <w:tcPr>
            <w:tcW w:w="2212" w:type="dxa"/>
            <w:noWrap w:val="0"/>
            <w:tcMar>
              <w:top w:w="16" w:type="dxa"/>
              <w:left w:w="16" w:type="dxa"/>
              <w:right w:w="16" w:type="dxa"/>
            </w:tcMar>
            <w:vAlign w:val="center"/>
          </w:tcPr>
          <w:p w14:paraId="28ACFDB9">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施工工期</w:t>
            </w:r>
          </w:p>
        </w:tc>
        <w:tc>
          <w:tcPr>
            <w:tcW w:w="2639" w:type="dxa"/>
            <w:noWrap w:val="0"/>
            <w:vAlign w:val="center"/>
          </w:tcPr>
          <w:p w14:paraId="3231A90B">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总工期42个月（2026年6月—2029年12月），其中冬季停工约16个月，实际野外作业约26个月（780天）</w:t>
            </w:r>
          </w:p>
        </w:tc>
      </w:tr>
      <w:tr w14:paraId="2F49A2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01" w:type="dxa"/>
            <w:noWrap w:val="0"/>
            <w:tcMar>
              <w:top w:w="16" w:type="dxa"/>
              <w:left w:w="16" w:type="dxa"/>
              <w:right w:w="16" w:type="dxa"/>
            </w:tcMar>
            <w:vAlign w:val="center"/>
          </w:tcPr>
          <w:p w14:paraId="029876D4">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是否开工建设</w:t>
            </w:r>
          </w:p>
        </w:tc>
        <w:tc>
          <w:tcPr>
            <w:tcW w:w="2218" w:type="dxa"/>
            <w:noWrap w:val="0"/>
            <w:vAlign w:val="center"/>
          </w:tcPr>
          <w:p w14:paraId="5D04860F">
            <w:pPr>
              <w:adjustRightInd w:val="0"/>
              <w:snapToGrid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☑否</w:t>
            </w:r>
          </w:p>
          <w:p w14:paraId="713F3DD6">
            <w:pPr>
              <w:adjustRightInd w:val="0"/>
              <w:snapToGrid w:val="0"/>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是：</w:t>
            </w:r>
            <w:r>
              <w:rPr>
                <w:rFonts w:hint="default" w:ascii="Times New Roman" w:hAnsi="Times New Roman" w:cs="Times New Roman"/>
                <w:color w:val="000000" w:themeColor="text1"/>
                <w:sz w:val="24"/>
                <w:szCs w:val="24"/>
                <w:u w:val="single"/>
                <w14:textFill>
                  <w14:solidFill>
                    <w14:schemeClr w14:val="tx1"/>
                  </w14:solidFill>
                </w14:textFill>
              </w:rPr>
              <w:t xml:space="preserve">        </w:t>
            </w:r>
          </w:p>
        </w:tc>
        <w:tc>
          <w:tcPr>
            <w:tcW w:w="2212" w:type="dxa"/>
            <w:noWrap w:val="0"/>
            <w:tcMar>
              <w:top w:w="16" w:type="dxa"/>
              <w:left w:w="16" w:type="dxa"/>
              <w:right w:w="16" w:type="dxa"/>
            </w:tcMar>
            <w:vAlign w:val="center"/>
          </w:tcPr>
          <w:p w14:paraId="305E82C8">
            <w:pPr>
              <w:adjustRightInd w:val="0"/>
              <w:snapToGrid w:val="0"/>
              <w:jc w:val="both"/>
              <w:rPr>
                <w:rFonts w:hint="default" w:ascii="Times New Roman" w:hAnsi="Times New Roman" w:cs="Times New Roman"/>
                <w:color w:val="000000" w:themeColor="text1"/>
                <w:spacing w:val="-6"/>
                <w:sz w:val="24"/>
                <w:szCs w:val="24"/>
                <w14:textFill>
                  <w14:solidFill>
                    <w14:schemeClr w14:val="tx1"/>
                  </w14:solidFill>
                </w14:textFill>
              </w:rPr>
            </w:pPr>
            <w:r>
              <w:rPr>
                <w:rFonts w:hint="default" w:ascii="Times New Roman" w:hAnsi="Times New Roman" w:cs="Times New Roman"/>
                <w:color w:val="000000" w:themeColor="text1"/>
                <w:spacing w:val="-6"/>
                <w:sz w:val="24"/>
                <w:szCs w:val="24"/>
                <w14:textFill>
                  <w14:solidFill>
                    <w14:schemeClr w14:val="tx1"/>
                  </w14:solidFill>
                </w14:textFill>
              </w:rPr>
              <w:t>用地（用海）</w:t>
            </w:r>
          </w:p>
          <w:p w14:paraId="62BAA890">
            <w:pPr>
              <w:adjustRightInd w:val="0"/>
              <w:snapToGrid w:val="0"/>
              <w:ind w:firstLine="456" w:firstLineChars="200"/>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spacing w:val="-6"/>
                <w:sz w:val="24"/>
                <w:szCs w:val="24"/>
                <w14:textFill>
                  <w14:solidFill>
                    <w14:schemeClr w14:val="tx1"/>
                  </w14:solidFill>
                </w14:textFill>
              </w:rPr>
              <w:t>面积（m</w:t>
            </w:r>
            <w:r>
              <w:rPr>
                <w:rFonts w:hint="default" w:ascii="Times New Roman" w:hAnsi="Times New Roman" w:cs="Times New Roman"/>
                <w:color w:val="000000" w:themeColor="text1"/>
                <w:spacing w:val="-6"/>
                <w:sz w:val="24"/>
                <w:szCs w:val="24"/>
                <w:vertAlign w:val="superscript"/>
                <w14:textFill>
                  <w14:solidFill>
                    <w14:schemeClr w14:val="tx1"/>
                  </w14:solidFill>
                </w14:textFill>
              </w:rPr>
              <w:t>2</w:t>
            </w:r>
            <w:r>
              <w:rPr>
                <w:rFonts w:hint="default" w:ascii="Times New Roman" w:hAnsi="Times New Roman" w:cs="Times New Roman"/>
                <w:color w:val="000000" w:themeColor="text1"/>
                <w:spacing w:val="-6"/>
                <w:sz w:val="24"/>
                <w:szCs w:val="24"/>
                <w14:textFill>
                  <w14:solidFill>
                    <w14:schemeClr w14:val="tx1"/>
                  </w14:solidFill>
                </w14:textFill>
              </w:rPr>
              <w:t>）</w:t>
            </w:r>
          </w:p>
        </w:tc>
        <w:tc>
          <w:tcPr>
            <w:tcW w:w="2639" w:type="dxa"/>
            <w:noWrap w:val="0"/>
            <w:vAlign w:val="center"/>
          </w:tcPr>
          <w:p w14:paraId="4F1FB4A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勘查面积：</w:t>
            </w:r>
            <w:r>
              <w:rPr>
                <w:rFonts w:hint="default" w:ascii="Times New Roman" w:hAnsi="Times New Roman" w:cs="Times New Roman"/>
                <w:color w:val="000000" w:themeColor="text1"/>
                <w:kern w:val="0"/>
                <w:sz w:val="24"/>
                <w:szCs w:val="24"/>
                <w:highlight w:val="none"/>
                <w:lang w:val="en-US" w:eastAsia="zh-CN"/>
                <w14:textFill>
                  <w14:solidFill>
                    <w14:schemeClr w14:val="tx1"/>
                  </w14:solidFill>
                </w14:textFill>
              </w:rPr>
              <w:t>3.56</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km</w:t>
            </w:r>
            <w:r>
              <w:rPr>
                <w:rFonts w:hint="default" w:ascii="Times New Roman" w:hAnsi="Times New Roman" w:eastAsia="宋体" w:cs="Times New Roman"/>
                <w:color w:val="000000" w:themeColor="text1"/>
                <w:kern w:val="0"/>
                <w:sz w:val="24"/>
                <w:szCs w:val="24"/>
                <w:highlight w:val="none"/>
                <w:vertAlign w:val="superscript"/>
                <w:lang w:val="en-US" w:eastAsia="zh-CN"/>
                <w14:textFill>
                  <w14:solidFill>
                    <w14:schemeClr w14:val="tx1"/>
                  </w14:solidFill>
                </w14:textFill>
              </w:rPr>
              <w:t>2</w:t>
            </w:r>
          </w:p>
          <w:p w14:paraId="263863D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临时占地：15217m</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2</w:t>
            </w:r>
          </w:p>
        </w:tc>
      </w:tr>
      <w:tr w14:paraId="31A99E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801" w:type="dxa"/>
            <w:noWrap w:val="0"/>
            <w:vAlign w:val="center"/>
          </w:tcPr>
          <w:p w14:paraId="0E711B09">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专项评价设置情况</w:t>
            </w:r>
          </w:p>
        </w:tc>
        <w:tc>
          <w:tcPr>
            <w:tcW w:w="7069" w:type="dxa"/>
            <w:gridSpan w:val="3"/>
            <w:noWrap w:val="0"/>
            <w:vAlign w:val="center"/>
          </w:tcPr>
          <w:p w14:paraId="042D490D">
            <w:pPr>
              <w:autoSpaceDE w:val="0"/>
              <w:autoSpaceDN w:val="0"/>
              <w:adjustRightInd w:val="0"/>
              <w:snapToGrid w:val="0"/>
              <w:jc w:val="cente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cs="Times New Roman"/>
                <w:color w:val="000000" w:themeColor="text1"/>
                <w:kern w:val="0"/>
                <w:sz w:val="24"/>
                <w:szCs w:val="24"/>
                <w:lang w:val="en-US" w:eastAsia="zh-CN"/>
                <w14:textFill>
                  <w14:solidFill>
                    <w14:schemeClr w14:val="tx1"/>
                  </w14:solidFill>
                </w14:textFill>
              </w:rPr>
              <w:t>无</w:t>
            </w:r>
          </w:p>
        </w:tc>
      </w:tr>
      <w:tr w14:paraId="740AC4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01" w:type="dxa"/>
            <w:noWrap w:val="0"/>
            <w:vAlign w:val="center"/>
          </w:tcPr>
          <w:p w14:paraId="66C00DB0">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规划情况</w:t>
            </w:r>
          </w:p>
        </w:tc>
        <w:tc>
          <w:tcPr>
            <w:tcW w:w="7069" w:type="dxa"/>
            <w:gridSpan w:val="3"/>
            <w:noWrap w:val="0"/>
            <w:vAlign w:val="center"/>
          </w:tcPr>
          <w:p w14:paraId="62763E8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color w:val="000000" w:themeColor="text1"/>
                <w:kern w:val="0"/>
                <w:sz w:val="24"/>
                <w:szCs w:val="24"/>
                <w:lang w:val="en-US" w:eastAsia="zh-CN"/>
                <w14:textFill>
                  <w14:solidFill>
                    <w14:schemeClr w14:val="tx1"/>
                  </w14:solidFill>
                </w14:textFill>
              </w:rPr>
            </w:pPr>
            <w:r>
              <w:rPr>
                <w:rFonts w:hint="default" w:ascii="Times New Roman" w:hAnsi="Times New Roman" w:cs="Times New Roman"/>
                <w:color w:val="000000" w:themeColor="text1"/>
                <w:kern w:val="0"/>
                <w:sz w:val="24"/>
                <w:szCs w:val="24"/>
                <w:lang w:val="en-US" w:eastAsia="zh-CN"/>
                <w14:textFill>
                  <w14:solidFill>
                    <w14:schemeClr w14:val="tx1"/>
                  </w14:solidFill>
                </w14:textFill>
              </w:rPr>
              <w:t>（1）规划名称：《新疆维吾尔自治区矿产资源总体规划（2021-2025年）》；审批机关：自然资源部；审批文号：自然资函〔2022〕1092号。</w:t>
            </w:r>
          </w:p>
          <w:p w14:paraId="7F4A63D0">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color w:val="000000" w:themeColor="text1"/>
                <w:kern w:val="0"/>
                <w:sz w:val="24"/>
                <w:szCs w:val="24"/>
                <w:lang w:val="en-US" w:eastAsia="zh-CN"/>
                <w14:textFill>
                  <w14:solidFill>
                    <w14:schemeClr w14:val="tx1"/>
                  </w14:solidFill>
                </w14:textFill>
              </w:rPr>
            </w:pPr>
            <w:r>
              <w:rPr>
                <w:rFonts w:hint="default" w:ascii="Times New Roman" w:hAnsi="Times New Roman" w:cs="Times New Roman"/>
                <w:color w:val="000000" w:themeColor="text1"/>
                <w:kern w:val="0"/>
                <w:sz w:val="24"/>
                <w:szCs w:val="24"/>
                <w:lang w:val="en-US" w:eastAsia="zh-CN"/>
                <w14:textFill>
                  <w14:solidFill>
                    <w14:schemeClr w14:val="tx1"/>
                  </w14:solidFill>
                </w14:textFill>
              </w:rPr>
              <w:t>（2）规划名称：《新疆维吾尔自治区昌吉回族自治州矿产资源总体规划（2021-2025年）》；规划编制单位：昌吉回族自治州人民政府。</w:t>
            </w:r>
          </w:p>
        </w:tc>
      </w:tr>
      <w:tr w14:paraId="0B97EC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801" w:type="dxa"/>
            <w:noWrap w:val="0"/>
            <w:vAlign w:val="center"/>
          </w:tcPr>
          <w:p w14:paraId="5DEB8DB7">
            <w:pPr>
              <w:keepNext w:val="0"/>
              <w:keepLines w:val="0"/>
              <w:pageBreakBefore w:val="0"/>
              <w:widowControl w:val="0"/>
              <w:kinsoku/>
              <w:wordWrap/>
              <w:overflowPunct/>
              <w:topLinePunct w:val="0"/>
              <w:bidi w:val="0"/>
              <w:adjustRightInd w:val="0"/>
              <w:snapToGrid w:val="0"/>
              <w:ind w:firstLine="0" w:firstLineChars="0"/>
              <w:jc w:val="center"/>
              <w:textAlignment w:val="auto"/>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规划环境影响评价情况</w:t>
            </w:r>
          </w:p>
        </w:tc>
        <w:tc>
          <w:tcPr>
            <w:tcW w:w="7069" w:type="dxa"/>
            <w:gridSpan w:val="3"/>
            <w:noWrap w:val="0"/>
            <w:vAlign w:val="center"/>
          </w:tcPr>
          <w:p w14:paraId="4CDCE99E">
            <w:pPr>
              <w:bidi w:val="0"/>
              <w:rPr>
                <w:rFonts w:hint="default" w:ascii="Times New Roman" w:hAnsi="Times New Roman" w:eastAsia="宋体" w:cs="Times New Roman"/>
                <w:i w:val="0"/>
                <w:iCs w:val="0"/>
                <w:caps w:val="0"/>
                <w:color w:val="000000" w:themeColor="text1"/>
                <w:spacing w:val="0"/>
                <w:sz w:val="24"/>
                <w:szCs w:val="24"/>
                <w:shd w:val="clear" w:fill="FFFFFF"/>
                <w:lang w:eastAsia="zh-CN"/>
                <w14:textFill>
                  <w14:solidFill>
                    <w14:schemeClr w14:val="tx1"/>
                  </w14:solidFill>
                </w14:textFill>
              </w:rPr>
            </w:pPr>
            <w:r>
              <w:rPr>
                <w:rFonts w:hint="default" w:ascii="Times New Roman" w:hAnsi="Times New Roman" w:cs="Times New Roman"/>
                <w:color w:val="000000" w:themeColor="text1"/>
                <w:kern w:val="0"/>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《新疆维吾尔自治区矿产资源总体规划（2021-2025年）环境影响报告书》</w:t>
            </w:r>
            <w:r>
              <w:rPr>
                <w:rFonts w:hint="default" w:ascii="Times New Roman" w:hAnsi="Times New Roman" w:cs="Times New Roman"/>
                <w:color w:val="000000" w:themeColor="text1"/>
                <w:kern w:val="0"/>
                <w:sz w:val="24"/>
                <w:szCs w:val="24"/>
                <w:lang w:val="en-US" w:eastAsia="zh-CN"/>
                <w14:textFill>
                  <w14:solidFill>
                    <w14:schemeClr w14:val="tx1"/>
                  </w14:solidFill>
                </w14:textFill>
              </w:rPr>
              <w:t>，中华人民共和国生态环境部，（环审〔2022〕124号）</w:t>
            </w:r>
            <w:r>
              <w:rPr>
                <w:rFonts w:hint="default" w:ascii="Times New Roman" w:hAnsi="Times New Roman" w:eastAsia="宋体" w:cs="Times New Roman"/>
                <w:i w:val="0"/>
                <w:iCs w:val="0"/>
                <w:caps w:val="0"/>
                <w:color w:val="000000" w:themeColor="text1"/>
                <w:spacing w:val="0"/>
                <w:sz w:val="24"/>
                <w:szCs w:val="24"/>
                <w:shd w:val="clear" w:fill="FFFFFF"/>
                <w:lang w:eastAsia="zh-CN"/>
                <w14:textFill>
                  <w14:solidFill>
                    <w14:schemeClr w14:val="tx1"/>
                  </w14:solidFill>
                </w14:textFill>
              </w:rPr>
              <w:t>；</w:t>
            </w:r>
          </w:p>
          <w:p w14:paraId="093C7E14">
            <w:pPr>
              <w:bidi w:val="0"/>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（2）《新疆维吾尔自治区昌吉回族自治州矿产资源总体规划（2021-2025年）环境影响报告书》，</w:t>
            </w:r>
            <w:r>
              <w:rPr>
                <w:rFonts w:hint="default" w:ascii="Times New Roman" w:hAnsi="Times New Roman" w:eastAsia="Segoe UI" w:cs="Times New Roman"/>
                <w:i w:val="0"/>
                <w:iCs w:val="0"/>
                <w:caps w:val="0"/>
                <w:color w:val="000000" w:themeColor="text1"/>
                <w:spacing w:val="0"/>
                <w:sz w:val="24"/>
                <w:szCs w:val="24"/>
                <w:shd w:val="clear" w:fill="FFFFFF"/>
                <w14:textFill>
                  <w14:solidFill>
                    <w14:schemeClr w14:val="tx1"/>
                  </w14:solidFill>
                </w14:textFill>
              </w:rPr>
              <w:t>昌吉回族自治州生态环境局</w:t>
            </w:r>
            <w:r>
              <w:rPr>
                <w:rFonts w:hint="default" w:ascii="Times New Roman" w:hAnsi="Times New Roman" w:eastAsia="宋体" w:cs="Times New Roman"/>
                <w:i w:val="0"/>
                <w:iCs w:val="0"/>
                <w:caps w:val="0"/>
                <w:color w:val="000000" w:themeColor="text1"/>
                <w:spacing w:val="0"/>
                <w:sz w:val="24"/>
                <w:szCs w:val="24"/>
                <w:shd w:val="clear" w:fill="FFFFFF"/>
                <w:lang w:eastAsia="zh-CN"/>
                <w14:textFill>
                  <w14:solidFill>
                    <w14:schemeClr w14:val="tx1"/>
                  </w14:solidFill>
                </w14:textFill>
              </w:rPr>
              <w:t>，昌州环函〔2023〕40号</w:t>
            </w:r>
          </w:p>
        </w:tc>
      </w:tr>
      <w:tr w14:paraId="656B18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01" w:type="dxa"/>
            <w:noWrap w:val="0"/>
            <w:vAlign w:val="center"/>
          </w:tcPr>
          <w:p w14:paraId="22FF7AE1">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规划及规划环境影响评价符合性分析</w:t>
            </w:r>
          </w:p>
        </w:tc>
        <w:tc>
          <w:tcPr>
            <w:tcW w:w="7069" w:type="dxa"/>
            <w:gridSpan w:val="3"/>
            <w:noWrap w:val="0"/>
            <w:vAlign w:val="center"/>
          </w:tcPr>
          <w:p w14:paraId="7C3586AE">
            <w:pPr>
              <w:pStyle w:val="2"/>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与《新疆维吾尔自治区矿产资源总体规划（2021-2025年）》及其环评的符合性分析</w:t>
            </w:r>
          </w:p>
          <w:p w14:paraId="32BBCCFC">
            <w:pPr>
              <w:bidi w:val="0"/>
              <w:rPr>
                <w:rStyle w:val="16"/>
                <w:rFonts w:hint="default" w:ascii="Times New Roman" w:hAnsi="Times New Roman" w:eastAsia="Segoe UI" w:cs="Times New Roman"/>
                <w:b/>
                <w:bCs/>
                <w:i w:val="0"/>
                <w:iCs w:val="0"/>
                <w:caps w:val="0"/>
                <w:color w:val="000000" w:themeColor="text1"/>
                <w:spacing w:val="0"/>
                <w:szCs w:val="24"/>
                <w:shd w:val="clear" w:fill="FFFFFF"/>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为金矿普查项目，金矿属于自治区规划确定的重点勘查矿种，符合规划确定的勘查方向。项目位于自治区规划的准噶尔盆地东缘重点勘查区内，勘查工作部署符合该区域的找矿布局。本项目采用便携式钻机、一基多孔、减少占地、泥浆循环与防渗、表土剥离与分层回填等绿色勘查技术方法和环境恢复治理措施，全面贯彻了绿色勘查理念，符合规划环评及其审查意见中关于</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生态优先、绿色发展</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全面推进绿色勘查</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的要求。项目勘查区内不涉及自然保护区、风景名胜区、饮用水水源保护区等禁止勘查区域，符合规划的空间布局约束要求。</w:t>
            </w:r>
          </w:p>
          <w:p w14:paraId="5E33CE13">
            <w:pPr>
              <w:pStyle w:val="10"/>
              <w:keepNext w:val="0"/>
              <w:keepLines w:val="0"/>
              <w:widowControl/>
              <w:suppressLineNumbers w:val="0"/>
              <w:spacing w:before="0" w:beforeAutospacing="0" w:after="0" w:afterAutospacing="0"/>
              <w:ind w:left="0" w:leftChars="0" w:right="0" w:firstLine="0" w:firstLineChars="0"/>
              <w:rPr>
                <w:rStyle w:val="20"/>
                <w:rFonts w:hint="default" w:ascii="Times New Roman" w:hAnsi="Times New Roman" w:cs="Times New Roman"/>
                <w:color w:val="000000" w:themeColor="text1"/>
                <w14:textFill>
                  <w14:solidFill>
                    <w14:schemeClr w14:val="tx1"/>
                  </w14:solidFill>
                </w14:textFill>
              </w:rPr>
            </w:pPr>
            <w:r>
              <w:rPr>
                <w:rStyle w:val="20"/>
                <w:rFonts w:hint="default" w:ascii="Times New Roman" w:hAnsi="Times New Roman" w:cs="Times New Roman"/>
                <w:color w:val="000000" w:themeColor="text1"/>
                <w:lang w:val="en-US" w:eastAsia="zh-CN"/>
                <w14:textFill>
                  <w14:solidFill>
                    <w14:schemeClr w14:val="tx1"/>
                  </w14:solidFill>
                </w14:textFill>
              </w:rPr>
              <w:t>2</w:t>
            </w:r>
            <w:r>
              <w:rPr>
                <w:rStyle w:val="20"/>
                <w:rFonts w:hint="eastAsia" w:ascii="Times New Roman" w:hAnsi="Times New Roman" w:cs="Times New Roman"/>
                <w:color w:val="000000" w:themeColor="text1"/>
                <w:lang w:val="en-US" w:eastAsia="zh-CN"/>
                <w14:textFill>
                  <w14:solidFill>
                    <w14:schemeClr w14:val="tx1"/>
                  </w14:solidFill>
                </w14:textFill>
              </w:rPr>
              <w:t>. 与</w:t>
            </w:r>
            <w:r>
              <w:rPr>
                <w:rStyle w:val="20"/>
                <w:rFonts w:hint="default" w:ascii="Times New Roman" w:hAnsi="Times New Roman" w:cs="Times New Roman"/>
                <w:color w:val="000000" w:themeColor="text1"/>
                <w14:textFill>
                  <w14:solidFill>
                    <w14:schemeClr w14:val="tx1"/>
                  </w14:solidFill>
                </w14:textFill>
              </w:rPr>
              <w:t>《新疆维吾尔自治区昌吉回族自治州矿产资源总体规划（2021-2025年）》及其环评的符合性分析</w:t>
            </w:r>
          </w:p>
          <w:p w14:paraId="3CB2F9C7">
            <w:pPr>
              <w:bidi w:val="0"/>
              <w:rPr>
                <w:rFonts w:hint="default" w:ascii="Times New Roman" w:hAnsi="Times New Roman" w:eastAsia="黑体" w:cs="Times New Roman"/>
                <w:b/>
                <w:bCs/>
                <w:color w:val="000000" w:themeColor="text1"/>
                <w:kern w:val="44"/>
                <w:sz w:val="24"/>
                <w:szCs w:val="24"/>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位于昌吉回族自治州木垒哈萨克自治县境内，属于州级规划明确的重点勘查区域及鼓励勘查矿种。项目采用地质测量、物探、化探、槽探、钻探等多种手段相结合的综合勘查方法，工作部署合理，符合规划对勘查工作的技术要求。项目环评报告中针对施工期扬尘、噪声、废水、固体废物均提出了具体的污染防治措施，并对临时占地提出了生态恢复方案，符合规划环评及其审查意见中关于</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落实‘三线一单’管控要求</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加强荒漠生态系统保护</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落实污染防治与生态修复措施</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等要求。项目建设单位在取得探矿权后，已委托编制勘查方案并通过专家审查，承诺将严格按照经批准的方案进行勘查作业，体现了对规划及规划环评要求的执行力度。</w:t>
            </w:r>
          </w:p>
        </w:tc>
      </w:tr>
      <w:tr w14:paraId="63FBB8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01" w:type="dxa"/>
            <w:noWrap w:val="0"/>
            <w:vAlign w:val="center"/>
          </w:tcPr>
          <w:p w14:paraId="0F79EDB6">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其他符合性分析</w:t>
            </w:r>
          </w:p>
        </w:tc>
        <w:tc>
          <w:tcPr>
            <w:tcW w:w="7069" w:type="dxa"/>
            <w:gridSpan w:val="3"/>
            <w:noWrap w:val="0"/>
            <w:vAlign w:val="center"/>
          </w:tcPr>
          <w:p w14:paraId="06874145">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1.产业政策符合性分析</w:t>
            </w:r>
          </w:p>
          <w:p w14:paraId="097558E5">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本项目为陆地矿产资源地质勘查项目，勘查矿种为金矿。对照《产业结构调整指导目录（2024年本）》，本项目不属于鼓励类、限制类及淘汰类，属于允许类项目，符合国家产业政策。</w:t>
            </w:r>
          </w:p>
          <w:p w14:paraId="68711B37">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2.与生态环境分区管控符合性分析</w:t>
            </w:r>
          </w:p>
          <w:p w14:paraId="0B374BCE">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t>（1）与《新疆维吾尔自治区生态环境分区管控动态更新成果》（新环环评发[2024]157号）符合性分析</w:t>
            </w:r>
          </w:p>
          <w:p w14:paraId="50F852FA">
            <w:pPr>
              <w:bidi w:val="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根据《新疆维吾尔自治区生态环境分区管控动态更新成果》（新环环评发〔2024〕157号）的相关要求，本项目已逐项对照分析，具体符合性见表</w:t>
            </w:r>
            <w:r>
              <w:rPr>
                <w:rFonts w:hint="default" w:ascii="Times New Roman" w:hAnsi="Times New Roman" w:eastAsia="宋体" w:cs="Times New Roman"/>
                <w:color w:val="000000" w:themeColor="text1"/>
                <w:lang w:val="en-US" w:eastAsia="zh-CN"/>
                <w14:textFill>
                  <w14:solidFill>
                    <w14:schemeClr w14:val="tx1"/>
                  </w14:solidFill>
                </w14:textFill>
              </w:rPr>
              <w:t>1-1</w:t>
            </w:r>
            <w:r>
              <w:rPr>
                <w:rFonts w:hint="default" w:ascii="Times New Roman" w:hAnsi="Times New Roman" w:eastAsia="宋体" w:cs="Times New Roman"/>
                <w:color w:val="000000" w:themeColor="text1"/>
                <w14:textFill>
                  <w14:solidFill>
                    <w14:schemeClr w14:val="tx1"/>
                  </w14:solidFill>
                </w14:textFill>
              </w:rPr>
              <w:t>。</w:t>
            </w:r>
          </w:p>
          <w:p w14:paraId="2101D2FF">
            <w:pPr>
              <w:keepNext/>
              <w:keepLines/>
              <w:widowControl w:val="0"/>
              <w:bidi w:val="0"/>
              <w:spacing w:beforeLines="0" w:beforeAutospacing="0" w:afterLines="0" w:afterAutospacing="0" w:line="240" w:lineRule="auto"/>
              <w:ind w:firstLine="0" w:firstLineChars="0"/>
              <w:jc w:val="center"/>
              <w:outlineLvl w:val="3"/>
              <w:rPr>
                <w:rFonts w:hint="default" w:ascii="Times New Roman" w:hAnsi="Times New Roman" w:eastAsia="黑体" w:cs="Times New Roman"/>
                <w:b/>
                <w:color w:val="000000" w:themeColor="text1"/>
                <w:kern w:val="2"/>
                <w:sz w:val="21"/>
                <w:szCs w:val="24"/>
                <w:lang w:val="en-US" w:eastAsia="zh-CN" w:bidi="ar-SA"/>
                <w14:textFill>
                  <w14:solidFill>
                    <w14:schemeClr w14:val="tx1"/>
                  </w14:solidFill>
                </w14:textFill>
              </w:rPr>
            </w:pPr>
            <w:r>
              <w:rPr>
                <w:rFonts w:hint="default" w:ascii="Times New Roman" w:hAnsi="Times New Roman" w:eastAsia="黑体" w:cs="Times New Roman"/>
                <w:b/>
                <w:color w:val="000000" w:themeColor="text1"/>
                <w:kern w:val="2"/>
                <w:sz w:val="21"/>
                <w:szCs w:val="24"/>
                <w:lang w:val="en-US" w:eastAsia="zh-CN" w:bidi="ar-SA"/>
                <w14:textFill>
                  <w14:solidFill>
                    <w14:schemeClr w14:val="tx1"/>
                  </w14:solidFill>
                </w14:textFill>
              </w:rPr>
              <w:t>表1.2-4  本项目与新环环评发[2024]157号符合性分析表</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708"/>
              <w:gridCol w:w="3463"/>
              <w:gridCol w:w="2085"/>
            </w:tblGrid>
            <w:tr w14:paraId="2748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5" w:type="pct"/>
                  <w:gridSpan w:val="2"/>
                  <w:vAlign w:val="center"/>
                </w:tcPr>
                <w:p w14:paraId="2CA3847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管控维度</w:t>
                  </w:r>
                </w:p>
              </w:tc>
              <w:tc>
                <w:tcPr>
                  <w:tcW w:w="2530" w:type="pct"/>
                  <w:vAlign w:val="center"/>
                </w:tcPr>
                <w:p w14:paraId="20C2A7D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管控要求</w:t>
                  </w:r>
                </w:p>
              </w:tc>
              <w:tc>
                <w:tcPr>
                  <w:tcW w:w="1523" w:type="pct"/>
                  <w:vAlign w:val="center"/>
                </w:tcPr>
                <w:p w14:paraId="5FD8F81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本项目符合性分析</w:t>
                  </w:r>
                </w:p>
              </w:tc>
            </w:tr>
            <w:tr w14:paraId="7AAC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restart"/>
                  <w:vAlign w:val="center"/>
                </w:tcPr>
                <w:p w14:paraId="0A17586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空间布局约束</w:t>
                  </w:r>
                </w:p>
              </w:tc>
              <w:tc>
                <w:tcPr>
                  <w:tcW w:w="517" w:type="pct"/>
                  <w:vMerge w:val="restart"/>
                  <w:vAlign w:val="center"/>
                </w:tcPr>
                <w:p w14:paraId="4A70CA6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禁止开发建设的活动</w:t>
                  </w:r>
                </w:p>
              </w:tc>
              <w:tc>
                <w:tcPr>
                  <w:tcW w:w="2530" w:type="pct"/>
                  <w:vAlign w:val="center"/>
                </w:tcPr>
                <w:p w14:paraId="4D5C071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禁止新建、扩建《产业结构调整指导目录（2024年本）》中淘汰类项目。禁止引入《市场准入负面清单（2022年版）》等禁止准入类事项。</w:t>
                  </w:r>
                </w:p>
              </w:tc>
              <w:tc>
                <w:tcPr>
                  <w:tcW w:w="1523" w:type="pct"/>
                  <w:vAlign w:val="center"/>
                </w:tcPr>
                <w:p w14:paraId="1E5BFAE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本项目不属于淘汰类或禁止准入类项目。</w:t>
                  </w:r>
                </w:p>
              </w:tc>
            </w:tr>
            <w:tr w14:paraId="5634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vAlign w:val="center"/>
                </w:tcPr>
                <w:p w14:paraId="0E6BE36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17" w:type="pct"/>
                  <w:vMerge w:val="continue"/>
                  <w:vAlign w:val="center"/>
                </w:tcPr>
                <w:p w14:paraId="382ED65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2530" w:type="pct"/>
                  <w:vAlign w:val="center"/>
                </w:tcPr>
                <w:p w14:paraId="070B09F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禁止建设不符合国家和自治区环境保护标准的项目</w:t>
                  </w:r>
                </w:p>
              </w:tc>
              <w:tc>
                <w:tcPr>
                  <w:tcW w:w="1523" w:type="pct"/>
                  <w:vAlign w:val="center"/>
                </w:tcPr>
                <w:p w14:paraId="61A2808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本项目符合国家和自治区相关环保标准。</w:t>
                  </w:r>
                </w:p>
              </w:tc>
            </w:tr>
            <w:tr w14:paraId="32D3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vAlign w:val="center"/>
                </w:tcPr>
                <w:p w14:paraId="5F894F3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17" w:type="pct"/>
                  <w:vMerge w:val="continue"/>
                  <w:vAlign w:val="center"/>
                </w:tcPr>
                <w:p w14:paraId="2413E8D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2530" w:type="pct"/>
                  <w:vAlign w:val="center"/>
                </w:tcPr>
                <w:p w14:paraId="3A50BFA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禁止在饮用水水源保护区、风景名胜区、自然保护区的核心区和缓冲区、城镇居民区、文化教育科学研究区等人口集中区域以及法律法规规定的其他禁止养殖区域建设畜禽养殖场、养殖小区。</w:t>
                  </w:r>
                </w:p>
              </w:tc>
              <w:tc>
                <w:tcPr>
                  <w:tcW w:w="1523" w:type="pct"/>
                  <w:vAlign w:val="center"/>
                </w:tcPr>
                <w:p w14:paraId="10A813B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不涉及上述敏感区域。</w:t>
                  </w:r>
                </w:p>
              </w:tc>
            </w:tr>
            <w:tr w14:paraId="4E48D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vAlign w:val="center"/>
                </w:tcPr>
                <w:p w14:paraId="06E5CAE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17" w:type="pct"/>
                  <w:vMerge w:val="continue"/>
                  <w:vAlign w:val="center"/>
                </w:tcPr>
                <w:p w14:paraId="5EC2D88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2530" w:type="pct"/>
                  <w:vAlign w:val="center"/>
                </w:tcPr>
                <w:p w14:paraId="058208B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禁止在水源涵养区、地下水源、饮用水源、自然保护区、风景名胜区、森林公园、重要湿地及人群密集区等生态敏感区域内进行煤炭、石油、天然气开发。</w:t>
                  </w:r>
                </w:p>
              </w:tc>
              <w:tc>
                <w:tcPr>
                  <w:tcW w:w="1523" w:type="pct"/>
                  <w:vAlign w:val="center"/>
                </w:tcPr>
                <w:p w14:paraId="29AAF39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本项目为探矿活动，不涉及所列生态敏感区。</w:t>
                  </w:r>
                </w:p>
              </w:tc>
            </w:tr>
            <w:tr w14:paraId="1F67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vAlign w:val="center"/>
                </w:tcPr>
                <w:p w14:paraId="5AF76A1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17" w:type="pct"/>
                  <w:vMerge w:val="continue"/>
                  <w:vAlign w:val="center"/>
                </w:tcPr>
                <w:p w14:paraId="04FFF7B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2530" w:type="pct"/>
                  <w:vAlign w:val="center"/>
                </w:tcPr>
                <w:p w14:paraId="4E60FF6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禁止破坏湿地及其生态功能的行为，包括开垦、填埋、排放不达标废水、倾倒固体废物等。</w:t>
                  </w:r>
                </w:p>
              </w:tc>
              <w:tc>
                <w:tcPr>
                  <w:tcW w:w="1523" w:type="pct"/>
                  <w:vAlign w:val="center"/>
                </w:tcPr>
                <w:p w14:paraId="34340D3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项目不涉及湿地区域，无相关破坏行为。</w:t>
                  </w:r>
                </w:p>
              </w:tc>
            </w:tr>
            <w:tr w14:paraId="16B5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428" w:type="pct"/>
                  <w:vMerge w:val="continue"/>
                  <w:vAlign w:val="center"/>
                </w:tcPr>
                <w:p w14:paraId="2A7543A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17" w:type="pct"/>
                  <w:vMerge w:val="restart"/>
                  <w:vAlign w:val="center"/>
                </w:tcPr>
                <w:p w14:paraId="7B85555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限制开发建设的活动</w:t>
                  </w:r>
                </w:p>
              </w:tc>
              <w:tc>
                <w:tcPr>
                  <w:tcW w:w="2530" w:type="pct"/>
                  <w:vAlign w:val="center"/>
                </w:tcPr>
                <w:p w14:paraId="2109CB6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建设项目用地原则上不得占用永久基本农田，确需占用永久基本农田的建设项目须符合《中华人民共和国基本农田保护条例》中相关要求，占用耕地、林地或草地的建设项目须按照国家、自治区相关补偿要求进行补偿。</w:t>
                  </w:r>
                </w:p>
              </w:tc>
              <w:tc>
                <w:tcPr>
                  <w:tcW w:w="1523" w:type="pct"/>
                  <w:vAlign w:val="center"/>
                </w:tcPr>
                <w:p w14:paraId="0376D91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项目不占用永久基本农田。</w:t>
                  </w:r>
                </w:p>
              </w:tc>
            </w:tr>
            <w:tr w14:paraId="45E8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vAlign w:val="center"/>
                </w:tcPr>
                <w:p w14:paraId="3C7D91D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17" w:type="pct"/>
                  <w:vMerge w:val="continue"/>
                  <w:vAlign w:val="center"/>
                </w:tcPr>
                <w:p w14:paraId="396B298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2530" w:type="pct"/>
                  <w:vAlign w:val="center"/>
                </w:tcPr>
                <w:p w14:paraId="1B4BC15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严格管控自然保护地范围内非生态活动，稳妥推进核心区内居民、耕地有序退出，矿权依法依规退出。</w:t>
                  </w:r>
                </w:p>
              </w:tc>
              <w:tc>
                <w:tcPr>
                  <w:tcW w:w="1523" w:type="pct"/>
                  <w:vAlign w:val="center"/>
                </w:tcPr>
                <w:p w14:paraId="3E4A68F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不涉及自然保护地。</w:t>
                  </w:r>
                </w:p>
              </w:tc>
            </w:tr>
            <w:tr w14:paraId="3CDD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vAlign w:val="center"/>
                </w:tcPr>
                <w:p w14:paraId="316CD55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17" w:type="pct"/>
                  <w:vMerge w:val="restart"/>
                  <w:vAlign w:val="center"/>
                </w:tcPr>
                <w:p w14:paraId="31D2192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不符合空间布局要求活动的退出要求</w:t>
                  </w:r>
                </w:p>
              </w:tc>
              <w:tc>
                <w:tcPr>
                  <w:tcW w:w="2530" w:type="pct"/>
                  <w:vAlign w:val="center"/>
                </w:tcPr>
                <w:p w14:paraId="692A8B8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任何单位和个人不得在水源涵养区、饮用水水源保护区内和河流、湖泊、水库周围建设重化工、涉重金属等工业污染项目；对已建成的工业污染项目，当地人民政府应当组织限期搬迁。</w:t>
                  </w:r>
                </w:p>
              </w:tc>
              <w:tc>
                <w:tcPr>
                  <w:tcW w:w="1523" w:type="pct"/>
                  <w:vAlign w:val="center"/>
                </w:tcPr>
                <w:p w14:paraId="5CDB22A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不涉及水源涵养区、饮用水水源保护区内和河流、湖泊、水库，本项目不属于工业污染项目。</w:t>
                  </w:r>
                </w:p>
              </w:tc>
            </w:tr>
            <w:tr w14:paraId="303D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vAlign w:val="center"/>
                </w:tcPr>
                <w:p w14:paraId="44CEB51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17" w:type="pct"/>
                  <w:vMerge w:val="continue"/>
                  <w:vAlign w:val="center"/>
                </w:tcPr>
                <w:p w14:paraId="5173607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2530" w:type="pct"/>
                  <w:vAlign w:val="center"/>
                </w:tcPr>
                <w:p w14:paraId="0C1AC1E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对不符合国家产业政策、严重污染水环境的生产项目全部予以取缔。</w:t>
                  </w:r>
                </w:p>
              </w:tc>
              <w:tc>
                <w:tcPr>
                  <w:tcW w:w="1523" w:type="pct"/>
                  <w:vAlign w:val="center"/>
                </w:tcPr>
                <w:p w14:paraId="7765E25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本项目符合国家产业政策，不涉及严重水污染。</w:t>
                  </w:r>
                </w:p>
              </w:tc>
            </w:tr>
            <w:tr w14:paraId="4FA7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8" w:type="pct"/>
                  <w:vMerge w:val="continue"/>
                  <w:vAlign w:val="center"/>
                </w:tcPr>
                <w:p w14:paraId="4928B4F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17" w:type="pct"/>
                  <w:vAlign w:val="center"/>
                </w:tcPr>
                <w:p w14:paraId="5F9349A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其他布局要求</w:t>
                  </w:r>
                </w:p>
              </w:tc>
              <w:tc>
                <w:tcPr>
                  <w:tcW w:w="2530" w:type="pct"/>
                  <w:vAlign w:val="center"/>
                </w:tcPr>
                <w:p w14:paraId="5639C61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p>
              </w:tc>
              <w:tc>
                <w:tcPr>
                  <w:tcW w:w="1523" w:type="pct"/>
                  <w:vAlign w:val="center"/>
                </w:tcPr>
                <w:p w14:paraId="2D12216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项目符合相关规划及规划环评要求。</w:t>
                  </w:r>
                </w:p>
              </w:tc>
            </w:tr>
            <w:tr w14:paraId="6EB0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vAlign w:val="center"/>
                </w:tcPr>
                <w:p w14:paraId="2E7D47A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17" w:type="pct"/>
                  <w:vAlign w:val="center"/>
                </w:tcPr>
                <w:p w14:paraId="56EB1D6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污染控制措施要求</w:t>
                  </w:r>
                </w:p>
              </w:tc>
              <w:tc>
                <w:tcPr>
                  <w:tcW w:w="2530" w:type="pct"/>
                  <w:vAlign w:val="center"/>
                </w:tcPr>
                <w:p w14:paraId="37399A9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强化重点区域地下水环境风险管控，对化学品生产企业、工业集聚区、尾矿库、矿山开采区、危险废物处置场、垃圾填埋场等地下水污染源及周边区域，逐步开展地下水环境状况调查评估，加强风险管控。</w:t>
                  </w:r>
                </w:p>
              </w:tc>
              <w:tc>
                <w:tcPr>
                  <w:tcW w:w="1523" w:type="pct"/>
                  <w:vAlign w:val="center"/>
                </w:tcPr>
                <w:p w14:paraId="150225F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本项目采用钻探工艺，对地下水扰动有限，将落实相应风险管控措施。</w:t>
                  </w:r>
                </w:p>
              </w:tc>
            </w:tr>
            <w:tr w14:paraId="45D7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Align w:val="center"/>
                </w:tcPr>
                <w:p w14:paraId="3A5EAFF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环境风险防控</w:t>
                  </w:r>
                </w:p>
              </w:tc>
              <w:tc>
                <w:tcPr>
                  <w:tcW w:w="517" w:type="pct"/>
                  <w:vAlign w:val="center"/>
                </w:tcPr>
                <w:p w14:paraId="0F8FEED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联防联控要求</w:t>
                  </w:r>
                </w:p>
              </w:tc>
              <w:tc>
                <w:tcPr>
                  <w:tcW w:w="2530" w:type="pct"/>
                  <w:vAlign w:val="center"/>
                </w:tcPr>
                <w:p w14:paraId="30DF900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加强环境风险预警防控。加强涉危险废物企业、涉重金属企业、化工园区、集中式饮用水水源地及重点流域环境风险调查评估，实施分类分级风险管控，协同推进重点区域、流域生态环境污染综合防治、风险防控与生态修复。</w:t>
                  </w:r>
                </w:p>
              </w:tc>
              <w:tc>
                <w:tcPr>
                  <w:tcW w:w="1523" w:type="pct"/>
                  <w:vAlign w:val="center"/>
                </w:tcPr>
                <w:p w14:paraId="2698C83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本项目不属于所列重点管控对象。</w:t>
                  </w:r>
                </w:p>
              </w:tc>
            </w:tr>
            <w:tr w14:paraId="1AC0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Align w:val="center"/>
                </w:tcPr>
                <w:p w14:paraId="06F3619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资源管理要求</w:t>
                  </w:r>
                </w:p>
              </w:tc>
              <w:tc>
                <w:tcPr>
                  <w:tcW w:w="517" w:type="pct"/>
                  <w:vAlign w:val="center"/>
                </w:tcPr>
                <w:p w14:paraId="54C0527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资源综合利用</w:t>
                  </w:r>
                </w:p>
              </w:tc>
              <w:tc>
                <w:tcPr>
                  <w:tcW w:w="2530" w:type="pct"/>
                  <w:vAlign w:val="center"/>
                </w:tcPr>
                <w:p w14:paraId="7AFD751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结合工业领域减污降碳要求，加快探索钢铁、有色、化工、建材等重点行业工业固体废物减量化路径，全面推行清洁生产。全面推进绿色矿山、</w:t>
                  </w:r>
                  <w:r>
                    <w:rPr>
                      <w:rFonts w:hint="eastAsia" w:cs="Times New Roman"/>
                      <w:b w:val="0"/>
                      <w:bCs w:val="0"/>
                      <w:color w:val="000000" w:themeColor="text1"/>
                      <w:kern w:val="0"/>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无废</w:t>
                  </w:r>
                  <w:r>
                    <w:rPr>
                      <w:rFonts w:hint="eastAsia" w:cs="Times New Roman"/>
                      <w:b w:val="0"/>
                      <w:bCs w:val="0"/>
                      <w:color w:val="000000" w:themeColor="text1"/>
                      <w:kern w:val="0"/>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矿区建设，推广尾矿等大宗工业固体废物环境友好型井下充填回填，减少尾矿库贮存量。推动大宗工业固体废物在提取有价组分、生产建材、筑路、生态修复、土壤治理等领域的规模化利用。</w:t>
                  </w:r>
                </w:p>
              </w:tc>
              <w:tc>
                <w:tcPr>
                  <w:tcW w:w="1523" w:type="pct"/>
                  <w:vAlign w:val="center"/>
                </w:tcPr>
                <w:p w14:paraId="339DF53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①项目钻探泥浆循环利用。②生活区用太阳能光伏板供电，生产区柴油发电机用合格国标柴油，符合能源节约与清洁利用要求。③项目工程均为临时占地，不占永久基本农田。④剥离表土用于场地生态恢复，钻井泥浆沉淀物干化后回填</w:t>
                  </w: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实现资源化利用。项目符合资源利用效率要求。</w:t>
                  </w:r>
                </w:p>
              </w:tc>
            </w:tr>
          </w:tbl>
          <w:p w14:paraId="2FF9B75D">
            <w:pPr>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综上，本项目在空间布局、污染控制、环境风险防控及资源管理等方面均符合《新疆维吾尔自治区生态环境分区管控动态更新成果》（新环环评发〔2024〕157号）的相关管控要求。</w:t>
            </w:r>
          </w:p>
          <w:p w14:paraId="1C261186">
            <w:pPr>
              <w:bidi w:val="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eastAsia="zh-CN"/>
                <w14:textFill>
                  <w14:solidFill>
                    <w14:schemeClr w14:val="tx1"/>
                  </w14:solidFill>
                </w14:textFill>
              </w:rPr>
              <w:t>（</w:t>
            </w:r>
            <w:r>
              <w:rPr>
                <w:rFonts w:hint="default" w:ascii="Times New Roman" w:hAnsi="Times New Roman" w:cs="Times New Roman"/>
                <w:b/>
                <w:bCs/>
                <w:color w:val="000000" w:themeColor="text1"/>
                <w:lang w:val="en-US" w:eastAsia="zh-CN"/>
                <w14:textFill>
                  <w14:solidFill>
                    <w14:schemeClr w14:val="tx1"/>
                  </w14:solidFill>
                </w14:textFill>
              </w:rPr>
              <w:t>2</w:t>
            </w:r>
            <w:r>
              <w:rPr>
                <w:rFonts w:hint="default" w:ascii="Times New Roman" w:hAnsi="Times New Roman" w:cs="Times New Roman"/>
                <w:b/>
                <w:bCs/>
                <w:color w:val="000000" w:themeColor="text1"/>
                <w:lang w:eastAsia="zh-CN"/>
                <w14:textFill>
                  <w14:solidFill>
                    <w14:schemeClr w14:val="tx1"/>
                  </w14:solidFill>
                </w14:textFill>
              </w:rPr>
              <w:t>）</w:t>
            </w:r>
            <w:r>
              <w:rPr>
                <w:rFonts w:hint="default" w:ascii="Times New Roman" w:hAnsi="Times New Roman" w:cs="Times New Roman"/>
                <w:b/>
                <w:bCs/>
                <w:color w:val="000000" w:themeColor="text1"/>
                <w:lang w:val="en-US" w:eastAsia="zh-CN"/>
                <w14:textFill>
                  <w14:solidFill>
                    <w14:schemeClr w14:val="tx1"/>
                  </w14:solidFill>
                </w14:textFill>
              </w:rPr>
              <w:t>与</w:t>
            </w:r>
            <w:r>
              <w:rPr>
                <w:rFonts w:hint="default" w:ascii="Times New Roman" w:hAnsi="Times New Roman" w:cs="Times New Roman"/>
                <w:b/>
                <w:bCs/>
                <w:color w:val="000000" w:themeColor="text1"/>
                <w14:textFill>
                  <w14:solidFill>
                    <w14:schemeClr w14:val="tx1"/>
                  </w14:solidFill>
                </w14:textFill>
              </w:rPr>
              <w:t>《昌吉回族自治州生态环境分区管控动态更新成果（2024年）》</w:t>
            </w:r>
            <w:r>
              <w:rPr>
                <w:rFonts w:hint="default" w:ascii="Times New Roman" w:hAnsi="Times New Roman" w:cs="Times New Roman"/>
                <w:b/>
                <w:bCs/>
                <w:color w:val="000000" w:themeColor="text1"/>
                <w:lang w:val="en-US" w:eastAsia="zh-CN"/>
                <w14:textFill>
                  <w14:solidFill>
                    <w14:schemeClr w14:val="tx1"/>
                  </w14:solidFill>
                </w14:textFill>
              </w:rPr>
              <w:t>符合性分析</w:t>
            </w:r>
          </w:p>
          <w:p w14:paraId="4D940057">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对照《昌吉回族自治州生态环境分区管控动态更新成果</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2024年</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》，本工程位于昌吉回族自治州木垒哈萨克自治县，属于木垒哈萨克自治县一般管控单元</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单元编码</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ZH65232830001</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。符合性分析见表1-</w:t>
            </w:r>
            <w:r>
              <w:rPr>
                <w:rFonts w:hint="default"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，项目在昌吉回族自治州生态环境分区管控单元位置示意图见附图2。</w:t>
            </w:r>
          </w:p>
          <w:p w14:paraId="4F077DE5">
            <w:pPr>
              <w:pStyle w:val="5"/>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表1-2    与</w:t>
            </w:r>
            <w:r>
              <w:rPr>
                <w:rFonts w:hint="default" w:ascii="Times New Roman" w:hAnsi="Times New Roman" w:cs="Times New Roman"/>
                <w:color w:val="000000" w:themeColor="text1"/>
                <w14:textFill>
                  <w14:solidFill>
                    <w14:schemeClr w14:val="tx1"/>
                  </w14:solidFill>
                </w14:textFill>
              </w:rPr>
              <w:t>吉回族自治州生态环境分区管控动态更新成果（2024年）</w:t>
            </w:r>
            <w:r>
              <w:rPr>
                <w:rFonts w:hint="default" w:ascii="Times New Roman" w:hAnsi="Times New Roman" w:cs="Times New Roman"/>
                <w:color w:val="000000" w:themeColor="text1"/>
                <w:lang w:val="en-US" w:eastAsia="zh-CN"/>
                <w14:textFill>
                  <w14:solidFill>
                    <w14:schemeClr w14:val="tx1"/>
                  </w14:solidFill>
                </w14:textFill>
              </w:rPr>
              <w:t>符合性分析表</w:t>
            </w:r>
          </w:p>
          <w:tbl>
            <w:tblPr>
              <w:tblStyle w:val="13"/>
              <w:tblW w:w="685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3"/>
              <w:gridCol w:w="2648"/>
              <w:gridCol w:w="2789"/>
              <w:gridCol w:w="653"/>
            </w:tblGrid>
            <w:tr w14:paraId="57A40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A6732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木垒哈萨克自治县一般管控单元（单元编码：ZH65232830001）</w:t>
                  </w:r>
                </w:p>
              </w:tc>
            </w:tr>
            <w:tr w14:paraId="427DD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3" w:hRule="atLeast"/>
                <w:jc w:val="center"/>
              </w:trPr>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576E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管控维度</w:t>
                  </w:r>
                </w:p>
              </w:tc>
              <w:tc>
                <w:tcPr>
                  <w:tcW w:w="1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1E0C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管控要求</w:t>
                  </w:r>
                </w:p>
              </w:tc>
              <w:tc>
                <w:tcPr>
                  <w:tcW w:w="2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2088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本项目</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AB3D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符合性</w:t>
                  </w:r>
                </w:p>
              </w:tc>
            </w:tr>
            <w:tr w14:paraId="66408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9" w:hRule="atLeast"/>
                <w:jc w:val="center"/>
              </w:trPr>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67F2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空间布局约束</w:t>
                  </w:r>
                </w:p>
              </w:tc>
              <w:tc>
                <w:tcPr>
                  <w:tcW w:w="1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5AD3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应符合国土空间规划要求。2</w:t>
                  </w:r>
                  <w:r>
                    <w:rPr>
                      <w:rFonts w:hint="eastAsia"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应符合《产业结构调整指导目录（2024年本）》《市场准入负面清单（2022年版）》。</w:t>
                  </w:r>
                </w:p>
              </w:tc>
              <w:tc>
                <w:tcPr>
                  <w:tcW w:w="2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5164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本项目为陆地矿产资源勘查，不涉及自治区和昌吉回族自治州各类生态红线；符合自治区颁布实施的生态环境功能区划、国土空间规划等，符合区域规划环评要求。根据</w:t>
                  </w: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《产业结构调整指导目录（2024年本）》</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，本项目不属于鼓励类、限制类及淘汰类，属于允许类项目，符合国家产业政策。</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6920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符合</w:t>
                  </w:r>
                </w:p>
              </w:tc>
            </w:tr>
            <w:tr w14:paraId="14CAF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89B7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污染物排放管控</w:t>
                  </w:r>
                </w:p>
              </w:tc>
              <w:tc>
                <w:tcPr>
                  <w:tcW w:w="1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ACC0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污染物排放执行国家和地方相关标准中普适性要求。2</w:t>
                  </w:r>
                  <w:r>
                    <w:rPr>
                      <w:rFonts w:hint="eastAsia"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加强农业面源污染治理，科学合理使用化肥农药，逐步削减农业面源污染物排放量。3、施工工地全面落实</w:t>
                  </w:r>
                  <w:r>
                    <w:rPr>
                      <w:rFonts w:hint="eastAsia" w:cs="Times New Roman"/>
                      <w:b w:val="0"/>
                      <w:bCs w:val="0"/>
                      <w:color w:val="000000" w:themeColor="text1"/>
                      <w:kern w:val="0"/>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六个百分之百</w:t>
                  </w:r>
                  <w:r>
                    <w:rPr>
                      <w:rFonts w:hint="eastAsia" w:cs="Times New Roman"/>
                      <w:b w:val="0"/>
                      <w:bCs w:val="0"/>
                      <w:color w:val="000000" w:themeColor="text1"/>
                      <w:kern w:val="0"/>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（施工工地周边围挡、物料堆放覆盖、出入车辆冲洗、施工现场地面硬化、拆迁工地湿法作业、渣土车辆密闭运输）。</w:t>
                  </w:r>
                </w:p>
              </w:tc>
              <w:tc>
                <w:tcPr>
                  <w:tcW w:w="2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FD98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项目施工期产生的大气污染物主要是扬尘和柴油燃烧废气，施工期采取了临时堆土场加盖防尘网等生态保护和修复措施。施工期产生的</w:t>
                  </w:r>
                  <w:r>
                    <w:rPr>
                      <w:rFonts w:hint="eastAsia" w:cs="Times New Roman"/>
                      <w:b w:val="0"/>
                      <w:bCs w:val="0"/>
                      <w:color w:val="000000" w:themeColor="text1"/>
                      <w:kern w:val="0"/>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三废</w:t>
                  </w:r>
                  <w:r>
                    <w:rPr>
                      <w:rFonts w:hint="eastAsia" w:cs="Times New Roman"/>
                      <w:b w:val="0"/>
                      <w:bCs w:val="0"/>
                      <w:color w:val="000000" w:themeColor="text1"/>
                      <w:kern w:val="0"/>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、噪声及生态影响均提出了相应的治理或减缓措施。</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17C4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符合</w:t>
                  </w:r>
                </w:p>
              </w:tc>
            </w:tr>
            <w:tr w14:paraId="120F3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FE78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环境风险防控</w:t>
                  </w:r>
                </w:p>
              </w:tc>
              <w:tc>
                <w:tcPr>
                  <w:tcW w:w="1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C17E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执行区域生态环境保护的基本要求。2</w:t>
                  </w:r>
                  <w:r>
                    <w:rPr>
                      <w:rFonts w:hint="eastAsia"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执行昌吉州总体准入清单中的要求。</w:t>
                  </w:r>
                </w:p>
              </w:tc>
              <w:tc>
                <w:tcPr>
                  <w:tcW w:w="2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2CDC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本项目不涉及重大风险源，</w:t>
                  </w: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勘查期间</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废水不外排，风险可控；符合昌吉州总体准入清单要求。</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0B8C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符合</w:t>
                  </w:r>
                </w:p>
              </w:tc>
            </w:tr>
            <w:tr w14:paraId="279BC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37E7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资源</w:t>
                  </w:r>
                </w:p>
                <w:p w14:paraId="698D13F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开发</w:t>
                  </w:r>
                </w:p>
                <w:p w14:paraId="12EE764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效率</w:t>
                  </w:r>
                </w:p>
                <w:p w14:paraId="26D03FC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要求</w:t>
                  </w:r>
                </w:p>
                <w:p w14:paraId="7772617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1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DB9C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执行区域资源能源利用的基本要求。</w:t>
                  </w:r>
                </w:p>
                <w:p w14:paraId="66204E5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执行昌吉州总体准入清单中的要求。</w:t>
                  </w:r>
                </w:p>
              </w:tc>
              <w:tc>
                <w:tcPr>
                  <w:tcW w:w="2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67F5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本项目主要利用资源为新鲜水及电能，本项目用水量及耗电量较小，占地面积较小，对区域水资源、土地资源、能源消耗较小。</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B578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符合</w:t>
                  </w:r>
                </w:p>
              </w:tc>
            </w:tr>
          </w:tbl>
          <w:p w14:paraId="187FEC47">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综上所述，本项目建设符合《昌吉回族自治州生态环境分区管控动态更新成果（2024年）》管理要求。</w:t>
            </w:r>
          </w:p>
          <w:p w14:paraId="367D9996">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3.相关环保政策符合性分析</w:t>
            </w:r>
          </w:p>
          <w:p w14:paraId="6461D78B">
            <w:pPr>
              <w:pStyle w:val="5"/>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表1-3    本项目与相关环保政策的符合性分析一览表</w:t>
            </w:r>
          </w:p>
          <w:tbl>
            <w:tblPr>
              <w:tblStyle w:val="13"/>
              <w:tblW w:w="68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0"/>
              <w:gridCol w:w="2454"/>
              <w:gridCol w:w="3061"/>
              <w:gridCol w:w="447"/>
            </w:tblGrid>
            <w:tr w14:paraId="6326A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24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FEB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相关环保政策及要求</w:t>
                  </w:r>
                </w:p>
              </w:tc>
              <w:tc>
                <w:tcPr>
                  <w:tcW w:w="2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372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本项目拟采取的措施</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E95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符合性</w:t>
                  </w:r>
                </w:p>
              </w:tc>
            </w:tr>
            <w:tr w14:paraId="4427F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582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《绿色地质勘查工作规范》</w:t>
                  </w: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DZ/T0374-2021</w:t>
                  </w: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w:t>
                  </w:r>
                </w:p>
              </w:tc>
              <w:tc>
                <w:tcPr>
                  <w:tcW w:w="1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89D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编制地质勘查设计前，应就地质勘查工作部署对水、大气、声、土壤、野生动植物、自然遗迹和人文遗迹等的环境影响进行分析，确定主要的环境影响因素，制定环境保护、环境修复措施，编制经费预算，作为绿色勘查内容体现在勘查设计中，可以单独成章，也可以</w:t>
                  </w: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融入</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相关章节</w:t>
                  </w:r>
                </w:p>
              </w:tc>
              <w:tc>
                <w:tcPr>
                  <w:tcW w:w="2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709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14:textFill>
                        <w14:solidFill>
                          <w14:schemeClr w14:val="tx1"/>
                        </w14:solidFill>
                      </w14:textFill>
                    </w:rPr>
                    <w:t>本项目为金矿普查项目，从设计阶段即全面贯彻绿色勘查理念。具体措施包括：</w:t>
                  </w:r>
                </w:p>
                <w:p w14:paraId="79DB1A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①</w:t>
                  </w:r>
                  <w:r>
                    <w:rPr>
                      <w:rFonts w:hint="default" w:ascii="Times New Roman" w:hAnsi="Times New Roman" w:eastAsia="宋体" w:cs="Times New Roman"/>
                      <w:i w:val="0"/>
                      <w:iCs w:val="0"/>
                      <w:color w:val="000000" w:themeColor="text1"/>
                      <w:sz w:val="21"/>
                      <w:szCs w:val="21"/>
                      <w:u w:val="none"/>
                      <w14:textFill>
                        <w14:solidFill>
                          <w14:schemeClr w14:val="tx1"/>
                        </w14:solidFill>
                      </w14:textFill>
                    </w:rPr>
                    <w:t>采用环保工艺：优先采用便携式钻机、一基多孔、泥浆循环与防渗等绿色勘查技术。</w:t>
                  </w: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②</w:t>
                  </w:r>
                  <w:r>
                    <w:rPr>
                      <w:rFonts w:hint="default" w:ascii="Times New Roman" w:hAnsi="Times New Roman" w:eastAsia="宋体" w:cs="Times New Roman"/>
                      <w:i w:val="0"/>
                      <w:iCs w:val="0"/>
                      <w:color w:val="000000" w:themeColor="text1"/>
                      <w:sz w:val="21"/>
                      <w:szCs w:val="21"/>
                      <w:u w:val="none"/>
                      <w14:textFill>
                        <w14:solidFill>
                          <w14:schemeClr w14:val="tx1"/>
                        </w14:solidFill>
                      </w14:textFill>
                    </w:rPr>
                    <w:t>最小化生态扰动：严格控制临时占地面积</w:t>
                  </w: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（总计约</w:t>
                  </w:r>
                  <w:r>
                    <w:rPr>
                      <w:rFonts w:hint="default" w:ascii="Times New Roman" w:hAnsi="Times New Roman" w:cs="Times New Roman"/>
                      <w:i w:val="0"/>
                      <w:iCs w:val="0"/>
                      <w:color w:val="000000" w:themeColor="text1"/>
                      <w:sz w:val="21"/>
                      <w:szCs w:val="21"/>
                      <w:highlight w:val="none"/>
                      <w:u w:val="none"/>
                      <w:lang w:eastAsia="zh-CN"/>
                      <w14:textFill>
                        <w14:solidFill>
                          <w14:schemeClr w14:val="tx1"/>
                        </w14:solidFill>
                      </w14:textFill>
                    </w:rPr>
                    <w:t>15217</w:t>
                  </w: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m²）</w:t>
                  </w:r>
                  <w:r>
                    <w:rPr>
                      <w:rFonts w:hint="default" w:ascii="Times New Roman" w:hAnsi="Times New Roman" w:eastAsia="宋体" w:cs="Times New Roman"/>
                      <w:i w:val="0"/>
                      <w:iCs w:val="0"/>
                      <w:color w:val="000000" w:themeColor="text1"/>
                      <w:sz w:val="21"/>
                      <w:szCs w:val="21"/>
                      <w:u w:val="none"/>
                      <w14:textFill>
                        <w14:solidFill>
                          <w14:schemeClr w14:val="tx1"/>
                        </w14:solidFill>
                      </w14:textFill>
                    </w:rPr>
                    <w:t>，充分利用现有道路，减少新修便道。</w:t>
                  </w: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③</w:t>
                  </w:r>
                  <w:r>
                    <w:rPr>
                      <w:rFonts w:hint="default" w:ascii="Times New Roman" w:hAnsi="Times New Roman" w:eastAsia="宋体" w:cs="Times New Roman"/>
                      <w:i w:val="0"/>
                      <w:iCs w:val="0"/>
                      <w:color w:val="000000" w:themeColor="text1"/>
                      <w:sz w:val="21"/>
                      <w:szCs w:val="21"/>
                      <w:u w:val="none"/>
                      <w14:textFill>
                        <w14:solidFill>
                          <w14:schemeClr w14:val="tx1"/>
                        </w14:solidFill>
                      </w14:textFill>
                    </w:rPr>
                    <w:t>污染物规范处置：钻探泥浆循环使用，终孔后上清液</w:t>
                  </w: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回用</w:t>
                  </w:r>
                  <w:r>
                    <w:rPr>
                      <w:rFonts w:hint="default" w:ascii="Times New Roman" w:hAnsi="Times New Roman" w:eastAsia="宋体" w:cs="Times New Roman"/>
                      <w:i w:val="0"/>
                      <w:iCs w:val="0"/>
                      <w:color w:val="000000" w:themeColor="text1"/>
                      <w:sz w:val="21"/>
                      <w:szCs w:val="21"/>
                      <w:u w:val="none"/>
                      <w14:textFill>
                        <w14:solidFill>
                          <w14:schemeClr w14:val="tx1"/>
                        </w14:solidFill>
                      </w14:textFill>
                    </w:rPr>
                    <w:t>，泥浆固化物干化后就地填埋；生活污水与生活垃圾定期清运至指定处理场所。</w:t>
                  </w: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④</w:t>
                  </w:r>
                  <w:r>
                    <w:rPr>
                      <w:rFonts w:hint="default" w:ascii="Times New Roman" w:hAnsi="Times New Roman" w:eastAsia="宋体" w:cs="Times New Roman"/>
                      <w:i w:val="0"/>
                      <w:iCs w:val="0"/>
                      <w:color w:val="000000" w:themeColor="text1"/>
                      <w:sz w:val="21"/>
                      <w:szCs w:val="21"/>
                      <w:u w:val="none"/>
                      <w14:textFill>
                        <w14:solidFill>
                          <w14:schemeClr w14:val="tx1"/>
                        </w14:solidFill>
                      </w14:textFill>
                    </w:rPr>
                    <w:t>落实生态恢复：承诺施工结束后拆除所有临时设施，进行场地清理、平整、表土回覆，并播撒适宜草种恢复植被。</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325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14:paraId="68DD5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645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新疆维吾尔自治区国民经济和社会发展第十五个五年规划纲要</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1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0CB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u w:val="none"/>
                      <w:lang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14:textFill>
                        <w14:solidFill>
                          <w14:schemeClr w14:val="tx1"/>
                        </w14:solidFill>
                      </w14:textFill>
                    </w:rPr>
                    <w:t>核心要求：深入实施新一轮找矿突破战略行动，提高关键矿产资源供应保障能力，推进绿色矿业及加工产业集群建设；加快经济社会发展全面绿色转型，协同推进降碳、减污、扩绿、增长，加快形成绿色生产生活方式；坚持生态优先、绿色发展，筑牢国家西北生态安全屏障</w:t>
                  </w:r>
                  <w:r>
                    <w:rPr>
                      <w:rFonts w:hint="default" w:ascii="Times New Roman" w:hAnsi="Times New Roman" w:cs="Times New Roman"/>
                      <w:i w:val="0"/>
                      <w:iCs w:val="0"/>
                      <w:color w:val="000000" w:themeColor="text1"/>
                      <w:sz w:val="21"/>
                      <w:szCs w:val="21"/>
                      <w:u w:val="none"/>
                      <w:lang w:eastAsia="zh-CN"/>
                      <w14:textFill>
                        <w14:solidFill>
                          <w14:schemeClr w14:val="tx1"/>
                        </w14:solidFill>
                      </w14:textFill>
                    </w:rPr>
                    <w:t>。</w:t>
                  </w:r>
                </w:p>
              </w:tc>
              <w:tc>
                <w:tcPr>
                  <w:tcW w:w="2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616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①</w:t>
                  </w:r>
                  <w:r>
                    <w:rPr>
                      <w:rFonts w:hint="default" w:ascii="Times New Roman" w:hAnsi="Times New Roman" w:eastAsia="宋体" w:cs="Times New Roman"/>
                      <w:i w:val="0"/>
                      <w:iCs w:val="0"/>
                      <w:color w:val="000000" w:themeColor="text1"/>
                      <w:sz w:val="21"/>
                      <w:szCs w:val="21"/>
                      <w:u w:val="none"/>
                      <w14:textFill>
                        <w14:solidFill>
                          <w14:schemeClr w14:val="tx1"/>
                        </w14:solidFill>
                      </w14:textFill>
                    </w:rPr>
                    <w:t>服务找矿突破：本项目勘查矿种为金矿，属于自治区重点勘查矿种，直接服务于新一轮找矿突破战略行动，与规划关于提高关键矿产资源供应保障能力的战略部署高度契合。</w:t>
                  </w: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②</w:t>
                  </w:r>
                  <w:r>
                    <w:rPr>
                      <w:rFonts w:hint="default" w:ascii="Times New Roman" w:hAnsi="Times New Roman" w:eastAsia="宋体" w:cs="Times New Roman"/>
                      <w:i w:val="0"/>
                      <w:iCs w:val="0"/>
                      <w:color w:val="000000" w:themeColor="text1"/>
                      <w:sz w:val="21"/>
                      <w:szCs w:val="21"/>
                      <w:u w:val="none"/>
                      <w14:textFill>
                        <w14:solidFill>
                          <w14:schemeClr w14:val="tx1"/>
                        </w14:solidFill>
                      </w14:textFill>
                    </w:rPr>
                    <w:t>落实绿色勘查：全面贯彻绿色勘查理念，选用便携式模块化钻机，采用泥浆循环与防渗工艺，严格控制临时占地面积，符合规划关于绿色生产和生态保护的要求。</w:t>
                  </w: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③</w:t>
                  </w:r>
                  <w:r>
                    <w:rPr>
                      <w:rFonts w:hint="default" w:ascii="Times New Roman" w:hAnsi="Times New Roman" w:eastAsia="宋体" w:cs="Times New Roman"/>
                      <w:i w:val="0"/>
                      <w:iCs w:val="0"/>
                      <w:color w:val="000000" w:themeColor="text1"/>
                      <w:sz w:val="21"/>
                      <w:szCs w:val="21"/>
                      <w:u w:val="none"/>
                      <w14:textFill>
                        <w14:solidFill>
                          <w14:schemeClr w14:val="tx1"/>
                        </w14:solidFill>
                      </w14:textFill>
                    </w:rPr>
                    <w:t>严守生态底线：项目勘查区不涉及自然保护区、生态保护红线等禁止勘查区域，施工期废水全部回用或蒸发不外排，固废分类妥善处置，施工结束后进行场地清理平整、表土回覆并播撒适生草种恢复植被，符合规划关于筑牢生态安全屏障的要求。</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6B7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14:paraId="79DFA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6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E8D5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《新疆生态环境保护</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十四五</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规划》</w:t>
                  </w:r>
                </w:p>
              </w:tc>
              <w:tc>
                <w:tcPr>
                  <w:tcW w:w="17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1788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实施最严格的生态保护制度。坚决遏制</w:t>
                  </w:r>
                  <w:r>
                    <w:rPr>
                      <w:rFonts w:hint="eastAsia"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两高</w:t>
                  </w:r>
                  <w:r>
                    <w:rPr>
                      <w:rFonts w:hint="eastAsia"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项目盲目发展，严格执行</w:t>
                  </w:r>
                  <w:r>
                    <w:rPr>
                      <w:rFonts w:hint="eastAsia" w:ascii="Times New Roman" w:hAnsi="Times New Roman" w:cs="Times New Roman"/>
                      <w:i w:val="0"/>
                      <w:iCs w:val="0"/>
                      <w:color w:val="000000" w:themeColor="text1"/>
                      <w:sz w:val="21"/>
                      <w:szCs w:val="21"/>
                      <w:u w:val="none"/>
                      <w:lang w:val="en-US" w:eastAsia="zh-CN"/>
                      <w14:textFill>
                        <w14:solidFill>
                          <w14:schemeClr w14:val="tx1"/>
                        </w14:solidFill>
                      </w14:textFill>
                    </w:rPr>
                    <w:t>能源</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、矿产资源开发自治区人民政府</w:t>
                  </w:r>
                  <w:r>
                    <w:rPr>
                      <w:rFonts w:hint="eastAsia"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一支笔</w:t>
                  </w:r>
                  <w:r>
                    <w:rPr>
                      <w:rFonts w:hint="eastAsia"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审批制度、环境保护一票</w:t>
                  </w:r>
                  <w:r>
                    <w:rPr>
                      <w:rFonts w:hint="eastAsia" w:ascii="Times New Roman" w:hAnsi="Times New Roman" w:cs="Times New Roman"/>
                      <w:i w:val="0"/>
                      <w:iCs w:val="0"/>
                      <w:color w:val="000000" w:themeColor="text1"/>
                      <w:sz w:val="21"/>
                      <w:szCs w:val="21"/>
                      <w:u w:val="none"/>
                      <w:lang w:val="en-US" w:eastAsia="zh-CN"/>
                      <w14:textFill>
                        <w14:solidFill>
                          <w14:schemeClr w14:val="tx1"/>
                        </w14:solidFill>
                      </w14:textFill>
                    </w:rPr>
                    <w:t>否</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决制度，落实</w:t>
                  </w:r>
                  <w:r>
                    <w:rPr>
                      <w:rFonts w:hint="eastAsia"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三线一单</w:t>
                  </w:r>
                  <w:r>
                    <w:rPr>
                      <w:rFonts w:hint="eastAsia"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生态环境分区管控要求，守住生态保护红线、环境质量底线和资源利用上线，实施生态环境准入清单管控。</w:t>
                  </w:r>
                </w:p>
              </w:tc>
              <w:tc>
                <w:tcPr>
                  <w:tcW w:w="2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0C39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①</w:t>
                  </w:r>
                  <w:r>
                    <w:rPr>
                      <w:rFonts w:hint="default" w:ascii="Times New Roman" w:hAnsi="Times New Roman" w:cs="Times New Roman"/>
                      <w:i w:val="0"/>
                      <w:iCs w:val="0"/>
                      <w:color w:val="000000" w:themeColor="text1"/>
                      <w:sz w:val="21"/>
                      <w:szCs w:val="21"/>
                      <w:u w:val="none"/>
                      <w14:textFill>
                        <w14:solidFill>
                          <w14:schemeClr w14:val="tx1"/>
                        </w14:solidFill>
                      </w14:textFill>
                    </w:rPr>
                    <w:t>产业定位：本项目为金矿地质勘查项目，不属于</w:t>
                  </w:r>
                  <w:r>
                    <w:rPr>
                      <w:rFonts w:hint="eastAsia" w:cs="Times New Roman"/>
                      <w:i w:val="0"/>
                      <w:iCs w:val="0"/>
                      <w:color w:val="000000" w:themeColor="text1"/>
                      <w:sz w:val="21"/>
                      <w:szCs w:val="21"/>
                      <w:u w:val="none"/>
                      <w:lang w:eastAsia="zh-CN"/>
                      <w14:textFill>
                        <w14:solidFill>
                          <w14:schemeClr w14:val="tx1"/>
                        </w14:solidFill>
                      </w14:textFill>
                    </w:rPr>
                    <w:t>“</w:t>
                  </w:r>
                  <w:r>
                    <w:rPr>
                      <w:rFonts w:hint="default" w:ascii="Times New Roman" w:hAnsi="Times New Roman" w:cs="Times New Roman"/>
                      <w:i w:val="0"/>
                      <w:iCs w:val="0"/>
                      <w:color w:val="000000" w:themeColor="text1"/>
                      <w:sz w:val="21"/>
                      <w:szCs w:val="21"/>
                      <w:u w:val="none"/>
                      <w14:textFill>
                        <w14:solidFill>
                          <w14:schemeClr w14:val="tx1"/>
                        </w14:solidFill>
                      </w14:textFill>
                    </w:rPr>
                    <w:t>高污染、高环境风险</w:t>
                  </w:r>
                  <w:r>
                    <w:rPr>
                      <w:rFonts w:hint="eastAsia" w:cs="Times New Roman"/>
                      <w:i w:val="0"/>
                      <w:iCs w:val="0"/>
                      <w:color w:val="000000" w:themeColor="text1"/>
                      <w:sz w:val="21"/>
                      <w:szCs w:val="21"/>
                      <w:u w:val="none"/>
                      <w:lang w:eastAsia="zh-CN"/>
                      <w14:textFill>
                        <w14:solidFill>
                          <w14:schemeClr w14:val="tx1"/>
                        </w14:solidFill>
                      </w14:textFill>
                    </w:rPr>
                    <w:t>”</w:t>
                  </w:r>
                  <w:r>
                    <w:rPr>
                      <w:rFonts w:hint="default" w:ascii="Times New Roman" w:hAnsi="Times New Roman" w:cs="Times New Roman"/>
                      <w:i w:val="0"/>
                      <w:iCs w:val="0"/>
                      <w:color w:val="000000" w:themeColor="text1"/>
                      <w:sz w:val="21"/>
                      <w:szCs w:val="21"/>
                      <w:u w:val="none"/>
                      <w14:textFill>
                        <w14:solidFill>
                          <w14:schemeClr w14:val="tx1"/>
                        </w14:solidFill>
                      </w14:textFill>
                    </w:rPr>
                    <w:t>的工业类项目，符合规划中关于产业准入的要求。</w:t>
                  </w: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②</w:t>
                  </w:r>
                  <w:r>
                    <w:rPr>
                      <w:rFonts w:hint="default" w:ascii="Times New Roman" w:hAnsi="Times New Roman" w:cs="Times New Roman"/>
                      <w:i w:val="0"/>
                      <w:iCs w:val="0"/>
                      <w:color w:val="000000" w:themeColor="text1"/>
                      <w:sz w:val="21"/>
                      <w:szCs w:val="21"/>
                      <w:u w:val="none"/>
                      <w14:textFill>
                        <w14:solidFill>
                          <w14:schemeClr w14:val="tx1"/>
                        </w14:solidFill>
                      </w14:textFill>
                    </w:rPr>
                    <w:t>地下水保护：勘探期生活及生产废水均不外排。钻探泥浆采用防渗沉淀池</w:t>
                  </w: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处理后上清液回用不外排，</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沉淀固体干化后就地填埋</w:t>
                  </w:r>
                  <w:r>
                    <w:rPr>
                      <w:rFonts w:hint="default" w:ascii="Times New Roman" w:hAnsi="Times New Roman" w:cs="Times New Roman"/>
                      <w:i w:val="0"/>
                      <w:iCs w:val="0"/>
                      <w:color w:val="000000" w:themeColor="text1"/>
                      <w:sz w:val="21"/>
                      <w:szCs w:val="21"/>
                      <w:u w:val="none"/>
                      <w14:textFill>
                        <w14:solidFill>
                          <w14:schemeClr w14:val="tx1"/>
                        </w14:solidFill>
                      </w14:textFill>
                    </w:rPr>
                    <w:t>。项目不开采地下水，不会对地下水环境产生不利影响。</w:t>
                  </w:r>
                </w:p>
                <w:p w14:paraId="6A76FA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③</w:t>
                  </w:r>
                  <w:r>
                    <w:rPr>
                      <w:rFonts w:hint="default" w:ascii="Times New Roman" w:hAnsi="Times New Roman" w:cs="Times New Roman"/>
                      <w:i w:val="0"/>
                      <w:iCs w:val="0"/>
                      <w:color w:val="000000" w:themeColor="text1"/>
                      <w:sz w:val="21"/>
                      <w:szCs w:val="21"/>
                      <w:u w:val="none"/>
                      <w14:textFill>
                        <w14:solidFill>
                          <w14:schemeClr w14:val="tx1"/>
                        </w14:solidFill>
                      </w14:textFill>
                    </w:rPr>
                    <w:t>绿色勘查：如前述，项目全面采用了绿色勘查技术和管理措施，与绿色矿山建设要求</w:t>
                  </w: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相符</w:t>
                  </w:r>
                  <w:r>
                    <w:rPr>
                      <w:rFonts w:hint="default" w:ascii="Times New Roman" w:hAnsi="Times New Roman" w:cs="Times New Roman"/>
                      <w:i w:val="0"/>
                      <w:iCs w:val="0"/>
                      <w:color w:val="000000" w:themeColor="text1"/>
                      <w:sz w:val="21"/>
                      <w:szCs w:val="21"/>
                      <w:u w:val="none"/>
                      <w14:textFill>
                        <w14:solidFill>
                          <w14:schemeClr w14:val="tx1"/>
                        </w14:solidFill>
                      </w14:textFill>
                    </w:rPr>
                    <w:t>。</w:t>
                  </w:r>
                </w:p>
              </w:tc>
              <w:tc>
                <w:tcPr>
                  <w:tcW w:w="3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1398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14:paraId="4E1E6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6B5A0">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default" w:ascii="Times New Roman" w:hAnsi="Times New Roman" w:cs="Times New Roman"/>
                      <w:i w:val="0"/>
                      <w:iCs w:val="0"/>
                      <w:color w:val="000000" w:themeColor="text1"/>
                      <w:sz w:val="21"/>
                      <w:szCs w:val="21"/>
                      <w:u w:val="none"/>
                      <w14:textFill>
                        <w14:solidFill>
                          <w14:schemeClr w14:val="tx1"/>
                        </w14:solidFill>
                      </w14:textFill>
                    </w:rPr>
                  </w:pPr>
                </w:p>
              </w:tc>
              <w:tc>
                <w:tcPr>
                  <w:tcW w:w="17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8C012">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2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97983">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default" w:ascii="Times New Roman" w:hAnsi="Times New Roman" w:cs="Times New Roman"/>
                      <w:i w:val="0"/>
                      <w:iCs w:val="0"/>
                      <w:color w:val="000000" w:themeColor="text1"/>
                      <w:sz w:val="21"/>
                      <w:szCs w:val="21"/>
                      <w:u w:val="none"/>
                      <w14:textFill>
                        <w14:solidFill>
                          <w14:schemeClr w14:val="tx1"/>
                        </w14:solidFill>
                      </w14:textFill>
                    </w:rPr>
                  </w:pPr>
                </w:p>
              </w:tc>
              <w:tc>
                <w:tcPr>
                  <w:tcW w:w="3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1AF4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i w:val="0"/>
                      <w:iCs w:val="0"/>
                      <w:color w:val="000000" w:themeColor="text1"/>
                      <w:sz w:val="21"/>
                      <w:szCs w:val="21"/>
                      <w:u w:val="none"/>
                      <w14:textFill>
                        <w14:solidFill>
                          <w14:schemeClr w14:val="tx1"/>
                        </w14:solidFill>
                      </w14:textFill>
                    </w:rPr>
                  </w:pPr>
                </w:p>
              </w:tc>
            </w:tr>
            <w:tr w14:paraId="5A5CC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3" w:hRule="atLeast"/>
                <w:jc w:val="center"/>
              </w:trPr>
              <w:tc>
                <w:tcPr>
                  <w:tcW w:w="6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DC74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《昌吉回族自治州生态环境保护与建设</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十四五</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规划》</w:t>
                  </w:r>
                </w:p>
              </w:tc>
              <w:tc>
                <w:tcPr>
                  <w:tcW w:w="1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696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加快发展现代煤化工、新材料、有色金属、煤炭、煤电、矿产开采及加工等优势产业，培育壮大先进装备制造、页岩油气加工、节能环保、新型建材、新能源等新兴产业和生产性服务业。</w:t>
                  </w:r>
                </w:p>
              </w:tc>
              <w:tc>
                <w:tcPr>
                  <w:tcW w:w="2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2F5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本项目属于</w:t>
                  </w: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金</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矿勘探。</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DB8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14:paraId="18AB1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61FB3">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default" w:ascii="Times New Roman" w:hAnsi="Times New Roman" w:cs="Times New Roman"/>
                      <w:i w:val="0"/>
                      <w:iCs w:val="0"/>
                      <w:color w:val="000000" w:themeColor="text1"/>
                      <w:sz w:val="21"/>
                      <w:szCs w:val="21"/>
                      <w:u w:val="none"/>
                      <w14:textFill>
                        <w14:solidFill>
                          <w14:schemeClr w14:val="tx1"/>
                        </w14:solidFill>
                      </w14:textFill>
                    </w:rPr>
                  </w:pPr>
                </w:p>
              </w:tc>
              <w:tc>
                <w:tcPr>
                  <w:tcW w:w="1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122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严守水资源管理</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三条红线</w:t>
                  </w:r>
                  <w:r>
                    <w:rPr>
                      <w:rFonts w:hint="eastAsia"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严格实行区域用水总量和强度控制，健全州、县</w:t>
                  </w: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市</w:t>
                  </w: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、乡</w:t>
                  </w: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镇</w:t>
                  </w: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三级行政区用水总量和用水强度控制指标体系，规范农业灌溉用水定额管理，严格执行国家、自治区和行业用水定额标准，强化节水约束性指标管理。</w:t>
                  </w:r>
                </w:p>
              </w:tc>
              <w:tc>
                <w:tcPr>
                  <w:tcW w:w="2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8C5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勘探期仅消耗少量新鲜水，用量在区域可承受范围内，不会突破区域资源利用上线。</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716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14:paraId="10AF2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A8162">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default" w:ascii="Times New Roman" w:hAnsi="Times New Roman" w:cs="Times New Roman"/>
                      <w:i w:val="0"/>
                      <w:iCs w:val="0"/>
                      <w:color w:val="000000" w:themeColor="text1"/>
                      <w:sz w:val="21"/>
                      <w:szCs w:val="21"/>
                      <w:u w:val="none"/>
                      <w14:textFill>
                        <w14:solidFill>
                          <w14:schemeClr w14:val="tx1"/>
                        </w14:solidFill>
                      </w14:textFill>
                    </w:rPr>
                  </w:pPr>
                </w:p>
              </w:tc>
              <w:tc>
                <w:tcPr>
                  <w:tcW w:w="1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893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建立健全地下水污染防治重点区划定制度，规范禁止开采区、限制开采区划定；强化禁止开采区、限制开采区管理；规范地下水超采治理。强化对污染地下水行为的管控，切实防止土壤污染导致地下水污染。</w:t>
                  </w:r>
                </w:p>
              </w:tc>
              <w:tc>
                <w:tcPr>
                  <w:tcW w:w="2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CB3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勘探期使用的新鲜水由罐车从木垒哈萨克自治县县城拉运至项目区，不开采地下水。钻探工程结束后，钻井泥浆全部排入</w:t>
                  </w:r>
                  <w: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防渗沉淀池处理后上清液回用</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，沉淀固体干化后就地填埋。生活污水排入防渗池内，定期清运至当地生活污水处理厂进行处理，不外排。不会对地下水环境产生不利影响。</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B8B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bl>
          <w:p w14:paraId="5AB3B98D">
            <w:pPr>
              <w:rPr>
                <w:rFonts w:hint="default" w:ascii="Times New Roman" w:hAnsi="Times New Roman" w:cs="Times New Roman"/>
                <w:color w:val="000000" w:themeColor="text1"/>
                <w:lang w:val="en-US" w:eastAsia="zh-CN"/>
                <w14:textFill>
                  <w14:solidFill>
                    <w14:schemeClr w14:val="tx1"/>
                  </w14:solidFill>
                </w14:textFill>
              </w:rPr>
            </w:pPr>
          </w:p>
        </w:tc>
      </w:tr>
    </w:tbl>
    <w:p w14:paraId="777DE5EA">
      <w:pPr>
        <w:spacing w:line="360" w:lineRule="auto"/>
        <w:outlineLvl w:val="0"/>
        <w:rPr>
          <w:rFonts w:eastAsia="黑体"/>
          <w:color w:val="000000" w:themeColor="text1"/>
          <w:sz w:val="30"/>
          <w14:textFill>
            <w14:solidFill>
              <w14:schemeClr w14:val="tx1"/>
            </w14:solidFill>
          </w14:textFill>
        </w:rPr>
        <w:sectPr>
          <w:headerReference r:id="rId5" w:type="default"/>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09EE19F1">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0" w:firstLineChars="0"/>
        <w:jc w:val="center"/>
        <w:textAlignment w:val="auto"/>
        <w:outlineLvl w:val="0"/>
        <w:rPr>
          <w:rFonts w:hint="default" w:ascii="黑体" w:hAnsi="黑体" w:eastAsia="黑体" w:cs="Times New Roman"/>
          <w:snapToGrid w:val="0"/>
          <w:color w:val="000000" w:themeColor="text1"/>
          <w:kern w:val="0"/>
          <w:sz w:val="30"/>
          <w:szCs w:val="30"/>
          <w:lang w:val="en-US" w:eastAsia="zh-CN" w:bidi="ar-SA"/>
          <w14:textFill>
            <w14:solidFill>
              <w14:schemeClr w14:val="tx1"/>
            </w14:solidFill>
          </w14:textFill>
        </w:rPr>
      </w:pPr>
      <w:r>
        <w:rPr>
          <w:rFonts w:hint="eastAsia" w:ascii="黑体" w:hAnsi="黑体" w:eastAsia="黑体" w:cs="Times New Roman"/>
          <w:snapToGrid w:val="0"/>
          <w:color w:val="000000" w:themeColor="text1"/>
          <w:kern w:val="0"/>
          <w:sz w:val="30"/>
          <w:szCs w:val="30"/>
          <w:lang w:val="en-US" w:eastAsia="zh-CN" w:bidi="ar-SA"/>
          <w14:textFill>
            <w14:solidFill>
              <w14:schemeClr w14:val="tx1"/>
            </w14:solidFill>
          </w14:textFill>
        </w:rPr>
        <w:t>二、建设内容</w:t>
      </w:r>
    </w:p>
    <w:tbl>
      <w:tblPr>
        <w:tblStyle w:val="1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15"/>
        <w:gridCol w:w="8546"/>
      </w:tblGrid>
      <w:tr w14:paraId="49C353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284" w:type="pct"/>
            <w:noWrap w:val="0"/>
            <w:vAlign w:val="center"/>
          </w:tcPr>
          <w:p w14:paraId="1C1B975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地理位置</w:t>
            </w:r>
          </w:p>
        </w:tc>
        <w:tc>
          <w:tcPr>
            <w:tcW w:w="4715" w:type="pct"/>
            <w:noWrap w:val="0"/>
            <w:vAlign w:val="center"/>
          </w:tcPr>
          <w:p w14:paraId="73E20B1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本项目位于新疆维吾尔自治区昌吉回族自治州木垒哈萨克自治县城北东38°方向直距145公里处，行政区划隶属木垒哈萨克自治县管辖。勘查总面积为</w:t>
            </w:r>
            <w:r>
              <w:rPr>
                <w:rFonts w:hint="default" w:ascii="Times New Roman" w:hAnsi="Times New Roman" w:cs="Times New Roman"/>
                <w:color w:val="000000" w:themeColor="text1"/>
                <w:kern w:val="0"/>
                <w:sz w:val="24"/>
                <w:szCs w:val="24"/>
                <w:lang w:val="en-US" w:eastAsia="zh-CN"/>
                <w14:textFill>
                  <w14:solidFill>
                    <w14:schemeClr w14:val="tx1"/>
                  </w14:solidFill>
                </w14:textFill>
              </w:rPr>
              <w:t>3.56</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km</w:t>
            </w:r>
            <w:r>
              <w:rPr>
                <w:rFonts w:hint="default" w:ascii="Times New Roman" w:hAnsi="Times New Roman" w:eastAsia="宋体" w:cs="Times New Roman"/>
                <w:color w:val="000000" w:themeColor="text1"/>
                <w:kern w:val="0"/>
                <w:sz w:val="24"/>
                <w:szCs w:val="24"/>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，极值坐标系范围为：；北纬</w:t>
            </w:r>
            <w:r>
              <w:rPr>
                <w:rFonts w:hint="eastAsia" w:cs="Times New Roman"/>
                <w:color w:val="000000" w:themeColor="text1"/>
                <w:kern w:val="0"/>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。拐点坐标一览表见表</w:t>
            </w:r>
            <w:r>
              <w:rPr>
                <w:rFonts w:hint="default" w:ascii="Times New Roman" w:hAnsi="Times New Roman" w:cs="Times New Roman"/>
                <w:color w:val="000000" w:themeColor="text1"/>
                <w:kern w:val="0"/>
                <w:sz w:val="24"/>
                <w:szCs w:val="24"/>
                <w:lang w:val="en-US" w:eastAsia="zh-CN"/>
                <w14:textFill>
                  <w14:solidFill>
                    <w14:schemeClr w14:val="tx1"/>
                  </w14:solidFill>
                </w14:textFill>
              </w:rPr>
              <w:t>2-1</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w:t>
            </w:r>
            <w:r>
              <w:rPr>
                <w:rFonts w:hint="default" w:ascii="Times New Roman" w:hAnsi="Times New Roman" w:cs="Times New Roman"/>
                <w:color w:val="000000" w:themeColor="text1"/>
                <w:kern w:val="0"/>
                <w:sz w:val="24"/>
                <w:szCs w:val="24"/>
                <w:lang w:val="en-US" w:eastAsia="zh-CN"/>
                <w14:textFill>
                  <w14:solidFill>
                    <w14:schemeClr w14:val="tx1"/>
                  </w14:solidFill>
                </w14:textFill>
              </w:rPr>
              <w:t>勘查区</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地理位置示意图见附图1，</w:t>
            </w:r>
            <w:r>
              <w:rPr>
                <w:rFonts w:hint="default" w:ascii="Times New Roman" w:hAnsi="Times New Roman" w:cs="Times New Roman"/>
                <w:color w:val="000000" w:themeColor="text1"/>
                <w:kern w:val="0"/>
                <w:sz w:val="24"/>
                <w:szCs w:val="24"/>
                <w:lang w:val="en-US" w:eastAsia="zh-CN"/>
                <w14:textFill>
                  <w14:solidFill>
                    <w14:schemeClr w14:val="tx1"/>
                  </w14:solidFill>
                </w14:textFill>
              </w:rPr>
              <w:t>勘探区</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四周均为空地</w:t>
            </w:r>
            <w:r>
              <w:rPr>
                <w:rFonts w:hint="default" w:ascii="Times New Roman" w:hAnsi="Times New Roman" w:cs="Times New Roman"/>
                <w:color w:val="000000" w:themeColor="text1"/>
                <w:kern w:val="0"/>
                <w:sz w:val="24"/>
                <w:szCs w:val="24"/>
                <w:lang w:val="en-US" w:eastAsia="zh-CN"/>
                <w14:textFill>
                  <w14:solidFill>
                    <w14:schemeClr w14:val="tx1"/>
                  </w14:solidFill>
                </w14:textFill>
              </w:rPr>
              <w:t>，勘探区周边位置关系见附图2。</w:t>
            </w:r>
          </w:p>
          <w:p w14:paraId="7171A3E6">
            <w:pPr>
              <w:keepNext/>
              <w:keepLines/>
              <w:widowControl w:val="0"/>
              <w:bidi w:val="0"/>
              <w:spacing w:beforeLines="0" w:beforeAutospacing="0" w:afterLines="0" w:afterAutospacing="0" w:line="240" w:lineRule="auto"/>
              <w:ind w:firstLine="0" w:firstLineChars="0"/>
              <w:jc w:val="center"/>
              <w:outlineLvl w:val="3"/>
              <w:rPr>
                <w:rFonts w:hint="default" w:ascii="Times New Roman" w:hAnsi="Times New Roman" w:eastAsia="黑体" w:cs="Times New Roman"/>
                <w:b/>
                <w:color w:val="000000" w:themeColor="text1"/>
                <w:kern w:val="2"/>
                <w:sz w:val="21"/>
                <w:szCs w:val="24"/>
                <w:lang w:val="en-US" w:eastAsia="zh-CN" w:bidi="ar-SA"/>
                <w14:textFill>
                  <w14:solidFill>
                    <w14:schemeClr w14:val="tx1"/>
                  </w14:solidFill>
                </w14:textFill>
              </w:rPr>
            </w:pPr>
            <w:r>
              <w:rPr>
                <w:rFonts w:hint="default" w:ascii="Times New Roman" w:hAnsi="Times New Roman" w:eastAsia="黑体" w:cs="Times New Roman"/>
                <w:b/>
                <w:color w:val="000000" w:themeColor="text1"/>
                <w:kern w:val="2"/>
                <w:sz w:val="21"/>
                <w:szCs w:val="24"/>
                <w:lang w:val="en-US" w:eastAsia="zh-CN" w:bidi="ar-SA"/>
                <w14:textFill>
                  <w14:solidFill>
                    <w14:schemeClr w14:val="tx1"/>
                  </w14:solidFill>
                </w14:textFill>
              </w:rPr>
              <w:t>表2-1    工作区范围拐点坐标一览表</w:t>
            </w:r>
          </w:p>
          <w:tbl>
            <w:tblPr>
              <w:tblStyle w:val="13"/>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412"/>
              <w:gridCol w:w="2717"/>
              <w:gridCol w:w="2950"/>
              <w:gridCol w:w="1238"/>
            </w:tblGrid>
            <w:tr w14:paraId="5B19E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849" w:type="pct"/>
                  <w:vMerge w:val="restart"/>
                  <w:tcBorders>
                    <w:tl2br w:val="nil"/>
                    <w:tr2bl w:val="nil"/>
                  </w:tcBorders>
                  <w:shd w:val="clear" w:color="auto" w:fill="auto"/>
                  <w:vAlign w:val="center"/>
                </w:tcPr>
                <w:p w14:paraId="0E6DB6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拐点坐标</w:t>
                  </w:r>
                </w:p>
              </w:tc>
              <w:tc>
                <w:tcPr>
                  <w:tcW w:w="3406" w:type="pct"/>
                  <w:gridSpan w:val="2"/>
                  <w:tcBorders>
                    <w:tl2br w:val="nil"/>
                    <w:tr2bl w:val="nil"/>
                  </w:tcBorders>
                  <w:shd w:val="clear" w:color="auto" w:fill="auto"/>
                  <w:vAlign w:val="center"/>
                </w:tcPr>
                <w:p w14:paraId="04A167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经纬度坐标</w:t>
                  </w:r>
                </w:p>
              </w:tc>
              <w:tc>
                <w:tcPr>
                  <w:tcW w:w="744" w:type="pct"/>
                  <w:vMerge w:val="restart"/>
                  <w:tcBorders>
                    <w:tl2br w:val="nil"/>
                    <w:tr2bl w:val="nil"/>
                  </w:tcBorders>
                  <w:shd w:val="clear" w:color="auto" w:fill="auto"/>
                  <w:vAlign w:val="center"/>
                </w:tcPr>
                <w:p w14:paraId="43153F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勘探</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面积</w:t>
                  </w:r>
                </w:p>
              </w:tc>
            </w:tr>
            <w:tr w14:paraId="4D2A2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3" w:hRule="atLeast"/>
                <w:jc w:val="center"/>
              </w:trPr>
              <w:tc>
                <w:tcPr>
                  <w:tcW w:w="849" w:type="pct"/>
                  <w:vMerge w:val="continue"/>
                  <w:tcBorders>
                    <w:tl2br w:val="nil"/>
                    <w:tr2bl w:val="nil"/>
                  </w:tcBorders>
                  <w:shd w:val="clear" w:color="auto" w:fill="auto"/>
                  <w:vAlign w:val="center"/>
                </w:tcPr>
                <w:p w14:paraId="35B604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633" w:type="pct"/>
                  <w:tcBorders>
                    <w:tl2br w:val="nil"/>
                    <w:tr2bl w:val="nil"/>
                  </w:tcBorders>
                  <w:shd w:val="clear" w:color="auto" w:fill="auto"/>
                  <w:vAlign w:val="center"/>
                </w:tcPr>
                <w:p w14:paraId="40B352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东经</w:t>
                  </w:r>
                </w:p>
              </w:tc>
              <w:tc>
                <w:tcPr>
                  <w:tcW w:w="1772" w:type="pct"/>
                  <w:tcBorders>
                    <w:tl2br w:val="nil"/>
                    <w:tr2bl w:val="nil"/>
                  </w:tcBorders>
                  <w:shd w:val="clear" w:color="auto" w:fill="auto"/>
                  <w:vAlign w:val="center"/>
                </w:tcPr>
                <w:p w14:paraId="63E7ED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北纬</w:t>
                  </w:r>
                </w:p>
              </w:tc>
              <w:tc>
                <w:tcPr>
                  <w:tcW w:w="744" w:type="pct"/>
                  <w:vMerge w:val="continue"/>
                  <w:tcBorders>
                    <w:tl2br w:val="nil"/>
                    <w:tr2bl w:val="nil"/>
                  </w:tcBorders>
                  <w:shd w:val="clear" w:color="auto" w:fill="auto"/>
                  <w:vAlign w:val="center"/>
                </w:tcPr>
                <w:p w14:paraId="60D94D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p>
              </w:tc>
            </w:tr>
            <w:tr w14:paraId="3080E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3" w:hRule="atLeast"/>
                <w:jc w:val="center"/>
              </w:trPr>
              <w:tc>
                <w:tcPr>
                  <w:tcW w:w="849" w:type="pct"/>
                  <w:tcBorders>
                    <w:tl2br w:val="nil"/>
                    <w:tr2bl w:val="nil"/>
                  </w:tcBorders>
                  <w:shd w:val="clear" w:color="auto" w:fill="auto"/>
                  <w:vAlign w:val="center"/>
                </w:tcPr>
                <w:p w14:paraId="36C940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1633" w:type="pct"/>
                  <w:tcBorders>
                    <w:tl2br w:val="nil"/>
                    <w:tr2bl w:val="nil"/>
                  </w:tcBorders>
                  <w:shd w:val="clear" w:color="auto" w:fill="auto"/>
                  <w:vAlign w:val="center"/>
                </w:tcPr>
                <w:p w14:paraId="773ACE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p>
              </w:tc>
              <w:tc>
                <w:tcPr>
                  <w:tcW w:w="1772" w:type="pct"/>
                  <w:tcBorders>
                    <w:tl2br w:val="nil"/>
                    <w:tr2bl w:val="nil"/>
                  </w:tcBorders>
                  <w:shd w:val="clear" w:color="auto" w:fill="auto"/>
                  <w:vAlign w:val="center"/>
                </w:tcPr>
                <w:p w14:paraId="362FC0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4" w:type="pct"/>
                  <w:vMerge w:val="restart"/>
                  <w:tcBorders>
                    <w:tl2br w:val="nil"/>
                    <w:tr2bl w:val="nil"/>
                  </w:tcBorders>
                  <w:shd w:val="clear" w:color="auto" w:fill="auto"/>
                  <w:vAlign w:val="center"/>
                </w:tcPr>
                <w:p w14:paraId="2D6EFC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3.56km²</w:t>
                  </w:r>
                </w:p>
              </w:tc>
            </w:tr>
            <w:tr w14:paraId="48FBC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3" w:hRule="atLeast"/>
                <w:jc w:val="center"/>
              </w:trPr>
              <w:tc>
                <w:tcPr>
                  <w:tcW w:w="849" w:type="pct"/>
                  <w:tcBorders>
                    <w:tl2br w:val="nil"/>
                    <w:tr2bl w:val="nil"/>
                  </w:tcBorders>
                  <w:shd w:val="clear" w:color="auto" w:fill="auto"/>
                  <w:vAlign w:val="center"/>
                </w:tcPr>
                <w:p w14:paraId="34A5AE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c>
                <w:tcPr>
                  <w:tcW w:w="1633" w:type="pct"/>
                  <w:tcBorders>
                    <w:tl2br w:val="nil"/>
                    <w:tr2bl w:val="nil"/>
                  </w:tcBorders>
                  <w:shd w:val="clear" w:color="auto" w:fill="auto"/>
                  <w:vAlign w:val="center"/>
                </w:tcPr>
                <w:p w14:paraId="39648F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p>
              </w:tc>
              <w:tc>
                <w:tcPr>
                  <w:tcW w:w="1772" w:type="pct"/>
                  <w:tcBorders>
                    <w:tl2br w:val="nil"/>
                    <w:tr2bl w:val="nil"/>
                  </w:tcBorders>
                  <w:shd w:val="clear" w:color="auto" w:fill="auto"/>
                  <w:vAlign w:val="center"/>
                </w:tcPr>
                <w:p w14:paraId="3CA052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4" w:type="pct"/>
                  <w:vMerge w:val="continue"/>
                  <w:tcBorders>
                    <w:tl2br w:val="nil"/>
                    <w:tr2bl w:val="nil"/>
                  </w:tcBorders>
                  <w:shd w:val="clear" w:color="auto" w:fill="auto"/>
                  <w:vAlign w:val="center"/>
                </w:tcPr>
                <w:p w14:paraId="035D84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42CFF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3" w:hRule="atLeast"/>
                <w:jc w:val="center"/>
              </w:trPr>
              <w:tc>
                <w:tcPr>
                  <w:tcW w:w="849" w:type="pct"/>
                  <w:tcBorders>
                    <w:tl2br w:val="nil"/>
                    <w:tr2bl w:val="nil"/>
                  </w:tcBorders>
                  <w:shd w:val="clear" w:color="auto" w:fill="auto"/>
                  <w:vAlign w:val="center"/>
                </w:tcPr>
                <w:p w14:paraId="48333F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1633" w:type="pct"/>
                  <w:tcBorders>
                    <w:tl2br w:val="nil"/>
                    <w:tr2bl w:val="nil"/>
                  </w:tcBorders>
                  <w:shd w:val="clear" w:color="auto" w:fill="auto"/>
                  <w:vAlign w:val="center"/>
                </w:tcPr>
                <w:p w14:paraId="6994BC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p>
              </w:tc>
              <w:tc>
                <w:tcPr>
                  <w:tcW w:w="1772" w:type="pct"/>
                  <w:tcBorders>
                    <w:tl2br w:val="nil"/>
                    <w:tr2bl w:val="nil"/>
                  </w:tcBorders>
                  <w:shd w:val="clear" w:color="auto" w:fill="auto"/>
                  <w:vAlign w:val="center"/>
                </w:tcPr>
                <w:p w14:paraId="3C9901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744" w:type="pct"/>
                  <w:vMerge w:val="continue"/>
                  <w:tcBorders>
                    <w:tl2br w:val="nil"/>
                    <w:tr2bl w:val="nil"/>
                  </w:tcBorders>
                  <w:shd w:val="clear" w:color="auto" w:fill="auto"/>
                  <w:vAlign w:val="center"/>
                </w:tcPr>
                <w:p w14:paraId="66DF0D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7E345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3" w:hRule="atLeast"/>
                <w:jc w:val="center"/>
              </w:trPr>
              <w:tc>
                <w:tcPr>
                  <w:tcW w:w="849" w:type="pct"/>
                  <w:tcBorders>
                    <w:tl2br w:val="nil"/>
                    <w:tr2bl w:val="nil"/>
                  </w:tcBorders>
                  <w:shd w:val="clear" w:color="auto" w:fill="auto"/>
                  <w:vAlign w:val="center"/>
                </w:tcPr>
                <w:p w14:paraId="3CEB49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p>
              </w:tc>
              <w:tc>
                <w:tcPr>
                  <w:tcW w:w="1633" w:type="pct"/>
                  <w:tcBorders>
                    <w:tl2br w:val="nil"/>
                    <w:tr2bl w:val="nil"/>
                  </w:tcBorders>
                  <w:shd w:val="clear" w:color="auto" w:fill="auto"/>
                  <w:vAlign w:val="center"/>
                </w:tcPr>
                <w:p w14:paraId="7488E8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p>
              </w:tc>
              <w:tc>
                <w:tcPr>
                  <w:tcW w:w="1772" w:type="pct"/>
                  <w:tcBorders>
                    <w:tl2br w:val="nil"/>
                    <w:tr2bl w:val="nil"/>
                  </w:tcBorders>
                  <w:shd w:val="clear" w:color="auto" w:fill="auto"/>
                  <w:vAlign w:val="center"/>
                </w:tcPr>
                <w:p w14:paraId="68754C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744" w:type="pct"/>
                  <w:vMerge w:val="continue"/>
                  <w:tcBorders>
                    <w:tl2br w:val="nil"/>
                    <w:tr2bl w:val="nil"/>
                  </w:tcBorders>
                  <w:shd w:val="clear" w:color="auto" w:fill="auto"/>
                  <w:vAlign w:val="center"/>
                </w:tcPr>
                <w:p w14:paraId="306A3A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6F5B6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3" w:hRule="atLeast"/>
                <w:jc w:val="center"/>
              </w:trPr>
              <w:tc>
                <w:tcPr>
                  <w:tcW w:w="849" w:type="pct"/>
                  <w:tcBorders>
                    <w:tl2br w:val="nil"/>
                    <w:tr2bl w:val="nil"/>
                  </w:tcBorders>
                  <w:shd w:val="clear" w:color="auto" w:fill="auto"/>
                  <w:vAlign w:val="center"/>
                </w:tcPr>
                <w:p w14:paraId="043261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1633" w:type="pct"/>
                  <w:tcBorders>
                    <w:tl2br w:val="nil"/>
                    <w:tr2bl w:val="nil"/>
                  </w:tcBorders>
                  <w:shd w:val="clear" w:color="auto" w:fill="auto"/>
                  <w:vAlign w:val="center"/>
                </w:tcPr>
                <w:p w14:paraId="3E3909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p>
              </w:tc>
              <w:tc>
                <w:tcPr>
                  <w:tcW w:w="1772" w:type="pct"/>
                  <w:tcBorders>
                    <w:tl2br w:val="nil"/>
                    <w:tr2bl w:val="nil"/>
                  </w:tcBorders>
                  <w:shd w:val="clear" w:color="auto" w:fill="auto"/>
                  <w:vAlign w:val="center"/>
                </w:tcPr>
                <w:p w14:paraId="5FFF8E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744" w:type="pct"/>
                  <w:vMerge w:val="continue"/>
                  <w:tcBorders>
                    <w:tl2br w:val="nil"/>
                    <w:tr2bl w:val="nil"/>
                  </w:tcBorders>
                  <w:shd w:val="clear" w:color="auto" w:fill="auto"/>
                  <w:vAlign w:val="center"/>
                </w:tcPr>
                <w:p w14:paraId="173B69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7B8E6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3" w:hRule="atLeast"/>
                <w:jc w:val="center"/>
              </w:trPr>
              <w:tc>
                <w:tcPr>
                  <w:tcW w:w="849" w:type="pct"/>
                  <w:tcBorders>
                    <w:tl2br w:val="nil"/>
                    <w:tr2bl w:val="nil"/>
                  </w:tcBorders>
                  <w:shd w:val="clear" w:color="auto" w:fill="auto"/>
                  <w:vAlign w:val="center"/>
                </w:tcPr>
                <w:p w14:paraId="642533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w:t>
                  </w:r>
                </w:p>
              </w:tc>
              <w:tc>
                <w:tcPr>
                  <w:tcW w:w="1633" w:type="pct"/>
                  <w:tcBorders>
                    <w:tl2br w:val="nil"/>
                    <w:tr2bl w:val="nil"/>
                  </w:tcBorders>
                  <w:shd w:val="clear" w:color="auto" w:fill="auto"/>
                  <w:vAlign w:val="center"/>
                </w:tcPr>
                <w:p w14:paraId="0E8118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p>
              </w:tc>
              <w:tc>
                <w:tcPr>
                  <w:tcW w:w="1772" w:type="pct"/>
                  <w:tcBorders>
                    <w:tl2br w:val="nil"/>
                    <w:tr2bl w:val="nil"/>
                  </w:tcBorders>
                  <w:shd w:val="clear" w:color="auto" w:fill="auto"/>
                  <w:vAlign w:val="center"/>
                </w:tcPr>
                <w:p w14:paraId="06F099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744" w:type="pct"/>
                  <w:vMerge w:val="continue"/>
                  <w:tcBorders>
                    <w:tl2br w:val="nil"/>
                    <w:tr2bl w:val="nil"/>
                  </w:tcBorders>
                  <w:shd w:val="clear" w:color="auto" w:fill="auto"/>
                  <w:vAlign w:val="center"/>
                </w:tcPr>
                <w:p w14:paraId="016D9D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211FA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3" w:hRule="atLeast"/>
                <w:jc w:val="center"/>
              </w:trPr>
              <w:tc>
                <w:tcPr>
                  <w:tcW w:w="849" w:type="pct"/>
                  <w:tcBorders>
                    <w:tl2br w:val="nil"/>
                    <w:tr2bl w:val="nil"/>
                  </w:tcBorders>
                  <w:shd w:val="clear" w:color="auto" w:fill="auto"/>
                  <w:vAlign w:val="center"/>
                </w:tcPr>
                <w:p w14:paraId="52355B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w:t>
                  </w:r>
                </w:p>
              </w:tc>
              <w:tc>
                <w:tcPr>
                  <w:tcW w:w="1633" w:type="pct"/>
                  <w:tcBorders>
                    <w:tl2br w:val="nil"/>
                    <w:tr2bl w:val="nil"/>
                  </w:tcBorders>
                  <w:shd w:val="clear" w:color="auto" w:fill="auto"/>
                  <w:vAlign w:val="center"/>
                </w:tcPr>
                <w:p w14:paraId="0278B6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p>
              </w:tc>
              <w:tc>
                <w:tcPr>
                  <w:tcW w:w="1772" w:type="pct"/>
                  <w:tcBorders>
                    <w:tl2br w:val="nil"/>
                    <w:tr2bl w:val="nil"/>
                  </w:tcBorders>
                  <w:shd w:val="clear" w:color="auto" w:fill="auto"/>
                  <w:vAlign w:val="center"/>
                </w:tcPr>
                <w:p w14:paraId="64DFA3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744" w:type="pct"/>
                  <w:vMerge w:val="continue"/>
                  <w:tcBorders>
                    <w:tl2br w:val="nil"/>
                    <w:tr2bl w:val="nil"/>
                  </w:tcBorders>
                  <w:shd w:val="clear" w:color="auto" w:fill="auto"/>
                  <w:vAlign w:val="center"/>
                </w:tcPr>
                <w:p w14:paraId="652206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3E71D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3" w:hRule="atLeast"/>
                <w:jc w:val="center"/>
              </w:trPr>
              <w:tc>
                <w:tcPr>
                  <w:tcW w:w="849" w:type="pct"/>
                  <w:tcBorders>
                    <w:tl2br w:val="nil"/>
                    <w:tr2bl w:val="nil"/>
                  </w:tcBorders>
                  <w:shd w:val="clear" w:color="auto" w:fill="auto"/>
                  <w:vAlign w:val="center"/>
                </w:tcPr>
                <w:p w14:paraId="4ED6D3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w:t>
                  </w:r>
                </w:p>
              </w:tc>
              <w:tc>
                <w:tcPr>
                  <w:tcW w:w="1633" w:type="pct"/>
                  <w:tcBorders>
                    <w:tl2br w:val="nil"/>
                    <w:tr2bl w:val="nil"/>
                  </w:tcBorders>
                  <w:shd w:val="clear" w:color="auto" w:fill="auto"/>
                  <w:vAlign w:val="center"/>
                </w:tcPr>
                <w:p w14:paraId="7FC168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p>
              </w:tc>
              <w:tc>
                <w:tcPr>
                  <w:tcW w:w="1772" w:type="pct"/>
                  <w:tcBorders>
                    <w:tl2br w:val="nil"/>
                    <w:tr2bl w:val="nil"/>
                  </w:tcBorders>
                  <w:shd w:val="clear" w:color="auto" w:fill="auto"/>
                  <w:vAlign w:val="center"/>
                </w:tcPr>
                <w:p w14:paraId="60DA2A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744" w:type="pct"/>
                  <w:vMerge w:val="continue"/>
                  <w:tcBorders>
                    <w:tl2br w:val="nil"/>
                    <w:tr2bl w:val="nil"/>
                  </w:tcBorders>
                  <w:shd w:val="clear" w:color="auto" w:fill="auto"/>
                  <w:vAlign w:val="center"/>
                </w:tcPr>
                <w:p w14:paraId="0A1EAB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bl>
          <w:p w14:paraId="21EDAD70">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p>
        </w:tc>
      </w:tr>
      <w:tr w14:paraId="735FA1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284" w:type="pct"/>
            <w:noWrap w:val="0"/>
            <w:vAlign w:val="center"/>
          </w:tcPr>
          <w:p w14:paraId="4310101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项目组成及规模</w:t>
            </w:r>
          </w:p>
        </w:tc>
        <w:tc>
          <w:tcPr>
            <w:tcW w:w="4715" w:type="pct"/>
            <w:shd w:val="clear" w:color="auto" w:fill="auto"/>
            <w:noWrap w:val="0"/>
            <w:vAlign w:val="center"/>
          </w:tcPr>
          <w:p w14:paraId="60DFC4D0">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1.项目基本情况</w:t>
            </w:r>
          </w:p>
          <w:p w14:paraId="759D59E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（1）项目名称：新疆木垒哈萨克自治县托浪岗金矿普查</w:t>
            </w:r>
            <w:r>
              <w:rPr>
                <w:rFonts w:hint="default" w:ascii="Times New Roman" w:hAnsi="Times New Roman" w:cs="Times New Roman"/>
                <w:color w:val="000000" w:themeColor="text1"/>
                <w:kern w:val="0"/>
                <w:sz w:val="24"/>
                <w:szCs w:val="24"/>
                <w:lang w:val="en-US" w:eastAsia="zh-CN"/>
                <w14:textFill>
                  <w14:solidFill>
                    <w14:schemeClr w14:val="tx1"/>
                  </w14:solidFill>
                </w14:textFill>
              </w:rPr>
              <w:t>项目</w:t>
            </w:r>
          </w:p>
          <w:p w14:paraId="2F76417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（2）建设单位：灵宝市腾达矿业有限责任公司</w:t>
            </w:r>
          </w:p>
          <w:p w14:paraId="4FB5C8D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（3）建设性质：新建</w:t>
            </w:r>
          </w:p>
          <w:p w14:paraId="2C062DD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（4）探矿权人：灵宝市腾达矿业有限责任公司</w:t>
            </w:r>
          </w:p>
          <w:p w14:paraId="7E5879C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（5）探矿</w:t>
            </w:r>
            <w:r>
              <w:rPr>
                <w:rFonts w:hint="default" w:ascii="Times New Roman" w:hAnsi="Times New Roman" w:cs="Times New Roman"/>
                <w:color w:val="000000" w:themeColor="text1"/>
                <w:kern w:val="0"/>
                <w:sz w:val="24"/>
                <w:szCs w:val="24"/>
                <w:lang w:val="en-US" w:eastAsia="zh-CN"/>
                <w14:textFill>
                  <w14:solidFill>
                    <w14:schemeClr w14:val="tx1"/>
                  </w14:solidFill>
                </w14:textFill>
              </w:rPr>
              <w:t>证</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信息：证号</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XT6500002025124040000098</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，有效期限</w:t>
            </w:r>
            <w:r>
              <w:rPr>
                <w:rFonts w:hint="default" w:ascii="Times New Roman" w:hAnsi="Times New Roman" w:cs="Times New Roman"/>
                <w:color w:val="000000" w:themeColor="text1"/>
                <w:kern w:val="0"/>
                <w:sz w:val="24"/>
                <w:szCs w:val="24"/>
                <w:lang w:val="en-US" w:eastAsia="zh-CN"/>
                <w14:textFill>
                  <w14:solidFill>
                    <w14:schemeClr w14:val="tx1"/>
                  </w14:solidFill>
                </w14:textFill>
              </w:rPr>
              <w:t>2026年1月30日</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至</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2030年12月9日</w:t>
            </w:r>
          </w:p>
          <w:p w14:paraId="12E9438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（6）</w:t>
            </w:r>
            <w:r>
              <w:rPr>
                <w:rFonts w:hint="default" w:ascii="Times New Roman" w:hAnsi="Times New Roman" w:cs="Times New Roman"/>
                <w:color w:val="000000" w:themeColor="text1"/>
                <w:kern w:val="0"/>
                <w:sz w:val="24"/>
                <w:szCs w:val="24"/>
                <w:lang w:val="en-US" w:eastAsia="zh-CN"/>
                <w14:textFill>
                  <w14:solidFill>
                    <w14:schemeClr w14:val="tx1"/>
                  </w14:solidFill>
                </w14:textFill>
              </w:rPr>
              <w:t>勘查</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矿种：金矿</w:t>
            </w:r>
          </w:p>
          <w:p w14:paraId="7F15C29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Segoe UI" w:cs="Times New Roman"/>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（7）</w:t>
            </w:r>
            <w:r>
              <w:rPr>
                <w:rFonts w:hint="default" w:ascii="Times New Roman" w:hAnsi="Times New Roman" w:cs="Times New Roman"/>
                <w:color w:val="000000" w:themeColor="text1"/>
                <w:kern w:val="0"/>
                <w:sz w:val="24"/>
                <w:szCs w:val="24"/>
                <w:lang w:val="en-US" w:eastAsia="zh-CN"/>
                <w14:textFill>
                  <w14:solidFill>
                    <w14:schemeClr w14:val="tx1"/>
                  </w14:solidFill>
                </w14:textFill>
              </w:rPr>
              <w:t>普查</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方式：</w:t>
            </w:r>
            <w:r>
              <w:rPr>
                <w:rFonts w:hint="default" w:ascii="Times New Roman" w:hAnsi="Times New Roman" w:eastAsia="Segoe UI" w:cs="Times New Roman"/>
                <w:i w:val="0"/>
                <w:iCs w:val="0"/>
                <w:caps w:val="0"/>
                <w:color w:val="000000" w:themeColor="text1"/>
                <w:spacing w:val="0"/>
                <w:sz w:val="24"/>
                <w:szCs w:val="24"/>
                <w:shd w:val="clear" w:fill="FFFFFF"/>
                <w14:textFill>
                  <w14:solidFill>
                    <w14:schemeClr w14:val="tx1"/>
                  </w14:solidFill>
                </w14:textFill>
              </w:rPr>
              <w:t>以地质测量、物探、化探为基础，配合槽探和机械岩</w:t>
            </w:r>
            <w:r>
              <w:rPr>
                <w:rFonts w:hint="default" w:ascii="Times New Roman" w:hAnsi="Times New Roman" w:eastAsia="宋体" w:cs="Times New Roman"/>
                <w:i w:val="0"/>
                <w:iCs w:val="0"/>
                <w:caps w:val="0"/>
                <w:color w:val="000000" w:themeColor="text1"/>
                <w:spacing w:val="0"/>
                <w:sz w:val="24"/>
                <w:szCs w:val="24"/>
                <w:shd w:val="clear" w:fill="FFFFFF"/>
                <w:lang w:eastAsia="zh-CN"/>
                <w14:textFill>
                  <w14:solidFill>
                    <w14:schemeClr w14:val="tx1"/>
                  </w14:solidFill>
                </w14:textFill>
              </w:rPr>
              <w:t>芯</w:t>
            </w:r>
            <w:r>
              <w:rPr>
                <w:rFonts w:hint="default" w:ascii="Times New Roman" w:hAnsi="Times New Roman" w:eastAsia="Segoe UI" w:cs="Times New Roman"/>
                <w:i w:val="0"/>
                <w:iCs w:val="0"/>
                <w:caps w:val="0"/>
                <w:color w:val="000000" w:themeColor="text1"/>
                <w:spacing w:val="0"/>
                <w:sz w:val="24"/>
                <w:szCs w:val="24"/>
                <w:shd w:val="clear" w:fill="FFFFFF"/>
                <w14:textFill>
                  <w14:solidFill>
                    <w14:schemeClr w14:val="tx1"/>
                  </w14:solidFill>
                </w14:textFill>
              </w:rPr>
              <w:t>钻探等进行综合勘查。</w:t>
            </w:r>
          </w:p>
          <w:p w14:paraId="3446DE40">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pPr>
            <w:r>
              <w:rPr>
                <w:rFonts w:hint="default" w:ascii="Times New Roman" w:hAnsi="Times New Roman" w:cs="Times New Roman"/>
                <w:b/>
                <w:bCs/>
                <w:color w:val="000000" w:themeColor="text1"/>
                <w:kern w:val="0"/>
                <w:sz w:val="24"/>
                <w:szCs w:val="24"/>
                <w:lang w:val="en-US" w:eastAsia="zh-CN"/>
                <w14:textFill>
                  <w14:solidFill>
                    <w14:schemeClr w14:val="tx1"/>
                  </w14:solidFill>
                </w14:textFill>
              </w:rPr>
              <w:t>2.</w:t>
            </w:r>
            <w:r>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t>项目组成</w:t>
            </w:r>
          </w:p>
          <w:p w14:paraId="391BD24F">
            <w:pPr>
              <w:keepNext w:val="0"/>
              <w:keepLines w:val="0"/>
              <w:widowControl/>
              <w:suppressLineNumbers w:val="0"/>
              <w:jc w:val="left"/>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本项目分为主体工程、辅助工程、公用工程和环保工程。具体探矿工程建设内容见表</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2-1</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p>
          <w:p w14:paraId="0F198AD7">
            <w:pPr>
              <w:pStyle w:val="5"/>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表2-1    项目组成一览表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53"/>
              <w:gridCol w:w="1070"/>
              <w:gridCol w:w="6557"/>
              <w:gridCol w:w="40"/>
            </w:tblGrid>
            <w:tr w14:paraId="71B9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4" w:type="pct"/>
                <w:trHeight w:val="283" w:hRule="atLeast"/>
                <w:jc w:val="center"/>
              </w:trPr>
              <w:tc>
                <w:tcPr>
                  <w:tcW w:w="392" w:type="pct"/>
                  <w:tcBorders>
                    <w:tl2br w:val="nil"/>
                    <w:tr2bl w:val="nil"/>
                  </w:tcBorders>
                  <w:noWrap w:val="0"/>
                  <w:vAlign w:val="center"/>
                </w:tcPr>
                <w:p w14:paraId="5B5712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t>工程类别</w:t>
                  </w:r>
                </w:p>
              </w:tc>
              <w:tc>
                <w:tcPr>
                  <w:tcW w:w="643" w:type="pct"/>
                  <w:tcBorders>
                    <w:tl2br w:val="nil"/>
                    <w:tr2bl w:val="nil"/>
                  </w:tcBorders>
                  <w:noWrap w:val="0"/>
                  <w:vAlign w:val="center"/>
                </w:tcPr>
                <w:p w14:paraId="152997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t>名称</w:t>
                  </w:r>
                </w:p>
              </w:tc>
              <w:tc>
                <w:tcPr>
                  <w:tcW w:w="3939" w:type="pct"/>
                  <w:tcBorders>
                    <w:tl2br w:val="nil"/>
                    <w:tr2bl w:val="nil"/>
                  </w:tcBorders>
                  <w:noWrap w:val="0"/>
                  <w:vAlign w:val="center"/>
                </w:tcPr>
                <w:p w14:paraId="0B1561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t>基本情况</w:t>
                  </w:r>
                </w:p>
              </w:tc>
            </w:tr>
            <w:tr w14:paraId="2FB6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4" w:type="pct"/>
                <w:trHeight w:val="254" w:hRule="atLeast"/>
                <w:jc w:val="center"/>
              </w:trPr>
              <w:tc>
                <w:tcPr>
                  <w:tcW w:w="392" w:type="pct"/>
                  <w:vMerge w:val="restart"/>
                  <w:tcBorders>
                    <w:tl2br w:val="nil"/>
                    <w:tr2bl w:val="nil"/>
                  </w:tcBorders>
                  <w:noWrap w:val="0"/>
                  <w:vAlign w:val="center"/>
                </w:tcPr>
                <w:p w14:paraId="3DBA5F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主体工程</w:t>
                  </w:r>
                </w:p>
              </w:tc>
              <w:tc>
                <w:tcPr>
                  <w:tcW w:w="643" w:type="pct"/>
                  <w:tcBorders>
                    <w:tl2br w:val="nil"/>
                    <w:tr2bl w:val="nil"/>
                  </w:tcBorders>
                  <w:noWrap w:val="0"/>
                  <w:vAlign w:val="center"/>
                </w:tcPr>
                <w:p w14:paraId="376A02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地形地质测量</w:t>
                  </w:r>
                </w:p>
              </w:tc>
              <w:tc>
                <w:tcPr>
                  <w:tcW w:w="3939" w:type="pct"/>
                  <w:tcBorders>
                    <w:tl2br w:val="nil"/>
                    <w:tr2bl w:val="nil"/>
                  </w:tcBorders>
                  <w:noWrap w:val="0"/>
                  <w:vAlign w:val="center"/>
                </w:tcPr>
                <w:p w14:paraId="60BD1D2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1"/>
                      <w:szCs w:val="21"/>
                      <w:shd w:val="clear" w:fill="FFFFFF"/>
                      <w14:textFill>
                        <w14:solidFill>
                          <w14:schemeClr w14:val="tx1"/>
                        </w14:solidFill>
                      </w14:textFill>
                    </w:rPr>
                    <w:t>开展1:2000地形测量3.56km²；1:1000地质剖面测量3.0km；1:10000地质测量3.56km²；1:2000地质测量1.0km²。</w:t>
                  </w:r>
                </w:p>
              </w:tc>
            </w:tr>
            <w:tr w14:paraId="2D99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4" w:type="pct"/>
                <w:trHeight w:val="254" w:hRule="atLeast"/>
                <w:jc w:val="center"/>
              </w:trPr>
              <w:tc>
                <w:tcPr>
                  <w:tcW w:w="392" w:type="pct"/>
                  <w:vMerge w:val="continue"/>
                  <w:tcBorders>
                    <w:tl2br w:val="nil"/>
                    <w:tr2bl w:val="nil"/>
                  </w:tcBorders>
                  <w:noWrap w:val="0"/>
                  <w:vAlign w:val="center"/>
                </w:tcPr>
                <w:p w14:paraId="5D6CB6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643" w:type="pct"/>
                  <w:tcBorders>
                    <w:tl2br w:val="nil"/>
                    <w:tr2bl w:val="nil"/>
                  </w:tcBorders>
                  <w:noWrap w:val="0"/>
                  <w:vAlign w:val="center"/>
                </w:tcPr>
                <w:p w14:paraId="24F3AA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物探工程</w:t>
                  </w:r>
                </w:p>
              </w:tc>
              <w:tc>
                <w:tcPr>
                  <w:tcW w:w="3939" w:type="pct"/>
                  <w:tcBorders>
                    <w:tl2br w:val="nil"/>
                    <w:tr2bl w:val="nil"/>
                  </w:tcBorders>
                  <w:noWrap w:val="0"/>
                  <w:vAlign w:val="center"/>
                </w:tcPr>
                <w:p w14:paraId="4555CFA6">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rFonts w:hint="default" w:ascii="Times New Roman" w:hAnsi="Times New Roman" w:eastAsia="Segoe UI" w:cs="Times New Roman"/>
                      <w:i w:val="0"/>
                      <w:iCs w:val="0"/>
                      <w:caps w:val="0"/>
                      <w:color w:val="000000" w:themeColor="text1"/>
                      <w:spacing w:val="0"/>
                      <w:sz w:val="21"/>
                      <w:szCs w:val="21"/>
                      <w:shd w:val="clear" w:fill="FFFFFF"/>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1"/>
                      <w:szCs w:val="21"/>
                      <w:shd w:val="clear" w:fill="FFFFFF"/>
                      <w14:textFill>
                        <w14:solidFill>
                          <w14:schemeClr w14:val="tx1"/>
                        </w14:solidFill>
                      </w14:textFill>
                    </w:rPr>
                    <w:t>开展1:5000磁法测量3.56km²；1:5000激电中梯测量3.56km²；激电测深60点。</w:t>
                  </w:r>
                </w:p>
              </w:tc>
            </w:tr>
            <w:tr w14:paraId="2AFE4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4" w:type="pct"/>
                <w:trHeight w:val="254" w:hRule="atLeast"/>
                <w:jc w:val="center"/>
              </w:trPr>
              <w:tc>
                <w:tcPr>
                  <w:tcW w:w="392" w:type="pct"/>
                  <w:vMerge w:val="continue"/>
                  <w:tcBorders>
                    <w:tl2br w:val="nil"/>
                    <w:tr2bl w:val="nil"/>
                  </w:tcBorders>
                  <w:noWrap w:val="0"/>
                  <w:vAlign w:val="center"/>
                </w:tcPr>
                <w:p w14:paraId="24716E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643" w:type="pct"/>
                  <w:tcBorders>
                    <w:tl2br w:val="nil"/>
                    <w:tr2bl w:val="nil"/>
                  </w:tcBorders>
                  <w:noWrap w:val="0"/>
                  <w:vAlign w:val="center"/>
                </w:tcPr>
                <w:p w14:paraId="0EF9F4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化探工程</w:t>
                  </w:r>
                </w:p>
              </w:tc>
              <w:tc>
                <w:tcPr>
                  <w:tcW w:w="3939" w:type="pct"/>
                  <w:tcBorders>
                    <w:tl2br w:val="nil"/>
                    <w:tr2bl w:val="nil"/>
                  </w:tcBorders>
                  <w:noWrap w:val="0"/>
                  <w:vAlign w:val="center"/>
                </w:tcPr>
                <w:p w14:paraId="1B50200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rFonts w:hint="default" w:ascii="Times New Roman" w:hAnsi="Times New Roman" w:eastAsia="Segoe UI" w:cs="Times New Roman"/>
                      <w:i w:val="0"/>
                      <w:iCs w:val="0"/>
                      <w:caps w:val="0"/>
                      <w:color w:val="000000" w:themeColor="text1"/>
                      <w:spacing w:val="0"/>
                      <w:sz w:val="21"/>
                      <w:szCs w:val="21"/>
                      <w:shd w:val="clear" w:fill="FFFFFF"/>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1"/>
                      <w:szCs w:val="21"/>
                      <w:shd w:val="clear" w:fill="FFFFFF"/>
                      <w14:textFill>
                        <w14:solidFill>
                          <w14:schemeClr w14:val="tx1"/>
                        </w14:solidFill>
                      </w14:textFill>
                    </w:rPr>
                    <w:t>开展1:10000岩石化探测量3.56km²，网度100m×20m，设计采样点约1866件。</w:t>
                  </w:r>
                </w:p>
              </w:tc>
            </w:tr>
            <w:tr w14:paraId="61FD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4" w:type="pct"/>
                <w:trHeight w:val="254" w:hRule="atLeast"/>
                <w:jc w:val="center"/>
              </w:trPr>
              <w:tc>
                <w:tcPr>
                  <w:tcW w:w="392" w:type="pct"/>
                  <w:vMerge w:val="continue"/>
                  <w:tcBorders>
                    <w:tl2br w:val="nil"/>
                    <w:tr2bl w:val="nil"/>
                  </w:tcBorders>
                  <w:noWrap w:val="0"/>
                  <w:vAlign w:val="center"/>
                </w:tcPr>
                <w:p w14:paraId="5D755C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643" w:type="pct"/>
                  <w:tcBorders>
                    <w:tl2br w:val="nil"/>
                    <w:tr2bl w:val="nil"/>
                  </w:tcBorders>
                  <w:noWrap w:val="0"/>
                  <w:vAlign w:val="center"/>
                </w:tcPr>
                <w:p w14:paraId="7459D7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槽探工程</w:t>
                  </w:r>
                </w:p>
              </w:tc>
              <w:tc>
                <w:tcPr>
                  <w:tcW w:w="3939" w:type="pct"/>
                  <w:tcBorders>
                    <w:tl2br w:val="nil"/>
                    <w:tr2bl w:val="nil"/>
                  </w:tcBorders>
                  <w:noWrap w:val="0"/>
                  <w:vAlign w:val="center"/>
                </w:tcPr>
                <w:p w14:paraId="7D4E03E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rFonts w:hint="default" w:ascii="Times New Roman" w:hAnsi="Times New Roman" w:eastAsia="Segoe UI" w:cs="Times New Roman"/>
                      <w:i w:val="0"/>
                      <w:iCs w:val="0"/>
                      <w:caps w:val="0"/>
                      <w:color w:val="000000" w:themeColor="text1"/>
                      <w:spacing w:val="0"/>
                      <w:sz w:val="21"/>
                      <w:szCs w:val="21"/>
                      <w:shd w:val="clear" w:fill="FFFFFF"/>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1"/>
                      <w:szCs w:val="21"/>
                      <w:shd w:val="clear" w:fill="FFFFFF"/>
                      <w14:textFill>
                        <w14:solidFill>
                          <w14:schemeClr w14:val="tx1"/>
                        </w14:solidFill>
                      </w14:textFill>
                    </w:rPr>
                    <w:t>设计槽探工作量</w:t>
                  </w:r>
                  <w:r>
                    <w:rPr>
                      <w:rFonts w:hint="eastAsia" w:ascii="Times New Roman" w:hAnsi="Times New Roman" w:eastAsia="宋体" w:cs="Times New Roman"/>
                      <w:i w:val="0"/>
                      <w:iCs w:val="0"/>
                      <w:caps w:val="0"/>
                      <w:color w:val="000000" w:themeColor="text1"/>
                      <w:spacing w:val="0"/>
                      <w:sz w:val="21"/>
                      <w:szCs w:val="21"/>
                      <w:shd w:val="clear" w:fill="FFFFFF"/>
                      <w:lang w:val="en-US" w:eastAsia="zh-CN"/>
                      <w14:textFill>
                        <w14:solidFill>
                          <w14:schemeClr w14:val="tx1"/>
                        </w14:solidFill>
                      </w14:textFill>
                    </w:rPr>
                    <w:t>1850</w:t>
                  </w:r>
                  <w:r>
                    <w:rPr>
                      <w:rFonts w:hint="default" w:ascii="Times New Roman" w:hAnsi="Times New Roman" w:eastAsia="Segoe UI" w:cs="Times New Roman"/>
                      <w:i w:val="0"/>
                      <w:iCs w:val="0"/>
                      <w:caps w:val="0"/>
                      <w:color w:val="000000" w:themeColor="text1"/>
                      <w:spacing w:val="0"/>
                      <w:sz w:val="21"/>
                      <w:szCs w:val="21"/>
                      <w:shd w:val="clear" w:fill="FFFFFF"/>
                      <w14:textFill>
                        <w14:solidFill>
                          <w14:schemeClr w14:val="tx1"/>
                        </w14:solidFill>
                      </w14:textFill>
                    </w:rPr>
                    <w:t>m，主要用于揭露地表矿（化）体及重要地质界线。</w:t>
                  </w:r>
                </w:p>
              </w:tc>
            </w:tr>
            <w:tr w14:paraId="6DBF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4" w:type="pct"/>
                <w:trHeight w:val="254" w:hRule="atLeast"/>
                <w:jc w:val="center"/>
              </w:trPr>
              <w:tc>
                <w:tcPr>
                  <w:tcW w:w="392" w:type="pct"/>
                  <w:vMerge w:val="continue"/>
                  <w:tcBorders>
                    <w:tl2br w:val="nil"/>
                    <w:tr2bl w:val="nil"/>
                  </w:tcBorders>
                  <w:noWrap w:val="0"/>
                  <w:vAlign w:val="center"/>
                </w:tcPr>
                <w:p w14:paraId="24DEB2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643" w:type="pct"/>
                  <w:tcBorders>
                    <w:tl2br w:val="nil"/>
                    <w:tr2bl w:val="nil"/>
                  </w:tcBorders>
                  <w:noWrap w:val="0"/>
                  <w:vAlign w:val="center"/>
                </w:tcPr>
                <w:p w14:paraId="759524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钻探工程</w:t>
                  </w:r>
                </w:p>
              </w:tc>
              <w:tc>
                <w:tcPr>
                  <w:tcW w:w="3939" w:type="pct"/>
                  <w:tcBorders>
                    <w:tl2br w:val="nil"/>
                    <w:tr2bl w:val="nil"/>
                  </w:tcBorders>
                  <w:noWrap w:val="0"/>
                  <w:vAlign w:val="center"/>
                </w:tcPr>
                <w:p w14:paraId="1C526152">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设计机械岩心钻探</w:t>
                  </w:r>
                  <w:r>
                    <w:rPr>
                      <w:rFonts w:hint="eastAsia" w:ascii="Times New Roman" w:hAnsi="Times New Roman" w:cs="Times New Roman"/>
                      <w:color w:val="000000" w:themeColor="text1"/>
                      <w:kern w:val="0"/>
                      <w:sz w:val="21"/>
                      <w:szCs w:val="21"/>
                      <w:lang w:val="en-US" w:eastAsia="zh-CN" w:bidi="ar-SA"/>
                      <w14:textFill>
                        <w14:solidFill>
                          <w14:schemeClr w14:val="tx1"/>
                        </w14:solidFill>
                      </w14:textFill>
                    </w:rPr>
                    <w:t>4565</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m，均为斜孔，用于控制矿体深部情况。优先采用轻便、模块化钻机。</w:t>
                  </w:r>
                </w:p>
              </w:tc>
            </w:tr>
            <w:tr w14:paraId="18EA7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4" w:type="pct"/>
                <w:trHeight w:val="312" w:hRule="atLeast"/>
                <w:jc w:val="center"/>
              </w:trPr>
              <w:tc>
                <w:tcPr>
                  <w:tcW w:w="392" w:type="pct"/>
                  <w:vMerge w:val="continue"/>
                  <w:tcBorders>
                    <w:tl2br w:val="nil"/>
                    <w:tr2bl w:val="nil"/>
                  </w:tcBorders>
                  <w:noWrap w:val="0"/>
                  <w:vAlign w:val="center"/>
                </w:tcPr>
                <w:p w14:paraId="672B3E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643" w:type="pct"/>
                  <w:tcBorders>
                    <w:tl2br w:val="nil"/>
                    <w:tr2bl w:val="nil"/>
                  </w:tcBorders>
                  <w:noWrap w:val="0"/>
                  <w:vAlign w:val="center"/>
                </w:tcPr>
                <w:p w14:paraId="23C7FE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取样化验工作</w:t>
                  </w:r>
                </w:p>
              </w:tc>
              <w:tc>
                <w:tcPr>
                  <w:tcW w:w="3939" w:type="pct"/>
                  <w:tcBorders>
                    <w:tl2br w:val="nil"/>
                    <w:tr2bl w:val="nil"/>
                  </w:tcBorders>
                  <w:noWrap w:val="0"/>
                  <w:vAlign w:val="center"/>
                </w:tcPr>
                <w:p w14:paraId="3CCC0A3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各类样品总计约2370件，包括基本分析样、岩矿鉴定样、组合分析样、化探样等。</w:t>
                  </w:r>
                </w:p>
              </w:tc>
            </w:tr>
            <w:tr w14:paraId="3DDAD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4" w:type="pct"/>
                <w:trHeight w:val="90" w:hRule="atLeast"/>
                <w:jc w:val="center"/>
              </w:trPr>
              <w:tc>
                <w:tcPr>
                  <w:tcW w:w="392" w:type="pct"/>
                  <w:vMerge w:val="restart"/>
                  <w:tcBorders>
                    <w:tl2br w:val="nil"/>
                    <w:tr2bl w:val="nil"/>
                  </w:tcBorders>
                  <w:noWrap w:val="0"/>
                  <w:vAlign w:val="center"/>
                </w:tcPr>
                <w:p w14:paraId="54CB5E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辅助工程</w:t>
                  </w:r>
                </w:p>
              </w:tc>
              <w:tc>
                <w:tcPr>
                  <w:tcW w:w="643" w:type="pct"/>
                  <w:tcBorders>
                    <w:tl2br w:val="nil"/>
                    <w:tr2bl w:val="nil"/>
                  </w:tcBorders>
                  <w:noWrap w:val="0"/>
                  <w:vAlign w:val="center"/>
                </w:tcPr>
                <w:p w14:paraId="06FB86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工人食宿</w:t>
                  </w:r>
                </w:p>
              </w:tc>
              <w:tc>
                <w:tcPr>
                  <w:tcW w:w="3939" w:type="pct"/>
                  <w:tcBorders>
                    <w:tl2br w:val="nil"/>
                    <w:tr2bl w:val="nil"/>
                  </w:tcBorders>
                  <w:noWrap w:val="0"/>
                  <w:vAlign w:val="center"/>
                </w:tcPr>
                <w:p w14:paraId="6AF9E81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rFonts w:hint="default" w:ascii="Times New Roman" w:hAnsi="Times New Roman" w:eastAsia="宋体" w:cs="Times New Roman"/>
                      <w:color w:val="000000" w:themeColor="text1"/>
                      <w:kern w:val="0"/>
                      <w:sz w:val="21"/>
                      <w:szCs w:val="21"/>
                      <w:highlight w:val="yellow"/>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本项目根据</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轮换设置简易</w:t>
                  </w: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活动板房</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，实行动态迁移式管理，不设立固定式大型生活营区。每个营地服务周期与相邻</w:t>
                  </w: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勘查</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施工周期匹配，随工作面转移而搬迁。</w:t>
                  </w:r>
                </w:p>
              </w:tc>
            </w:tr>
            <w:tr w14:paraId="2733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4" w:type="pct"/>
                <w:trHeight w:val="283" w:hRule="atLeast"/>
                <w:jc w:val="center"/>
              </w:trPr>
              <w:tc>
                <w:tcPr>
                  <w:tcW w:w="392" w:type="pct"/>
                  <w:vMerge w:val="continue"/>
                  <w:tcBorders>
                    <w:tl2br w:val="nil"/>
                    <w:tr2bl w:val="nil"/>
                  </w:tcBorders>
                  <w:noWrap w:val="0"/>
                  <w:vAlign w:val="center"/>
                </w:tcPr>
                <w:p w14:paraId="5C3ACC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643" w:type="pct"/>
                  <w:tcBorders>
                    <w:tl2br w:val="nil"/>
                    <w:tr2bl w:val="nil"/>
                  </w:tcBorders>
                  <w:noWrap w:val="0"/>
                  <w:vAlign w:val="center"/>
                </w:tcPr>
                <w:p w14:paraId="574958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道路</w:t>
                  </w:r>
                </w:p>
              </w:tc>
              <w:tc>
                <w:tcPr>
                  <w:tcW w:w="3939" w:type="pct"/>
                  <w:tcBorders>
                    <w:tl2br w:val="nil"/>
                    <w:tr2bl w:val="nil"/>
                  </w:tcBorders>
                  <w:noWrap w:val="0"/>
                  <w:vAlign w:val="center"/>
                </w:tcPr>
                <w:p w14:paraId="647F16E4">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1"/>
                      <w:szCs w:val="21"/>
                      <w:shd w:val="clear" w:fill="FFFFFF"/>
                      <w14:textFill>
                        <w14:solidFill>
                          <w14:schemeClr w14:val="tx1"/>
                        </w14:solidFill>
                      </w14:textFill>
                    </w:rPr>
                    <w:t>外部交通条件较为便利，充分利用现有公路和便道，原则上不新修车辆运输道路，仅对部分路段进行简单平整。</w:t>
                  </w:r>
                </w:p>
              </w:tc>
            </w:tr>
            <w:tr w14:paraId="391A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4" w:type="pct"/>
                <w:trHeight w:val="283" w:hRule="atLeast"/>
                <w:jc w:val="center"/>
              </w:trPr>
              <w:tc>
                <w:tcPr>
                  <w:tcW w:w="392" w:type="pct"/>
                  <w:vMerge w:val="restart"/>
                  <w:tcBorders>
                    <w:tl2br w:val="nil"/>
                    <w:tr2bl w:val="nil"/>
                  </w:tcBorders>
                  <w:noWrap w:val="0"/>
                  <w:vAlign w:val="center"/>
                </w:tcPr>
                <w:p w14:paraId="7610E3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公用工程</w:t>
                  </w:r>
                </w:p>
              </w:tc>
              <w:tc>
                <w:tcPr>
                  <w:tcW w:w="643" w:type="pct"/>
                  <w:tcBorders>
                    <w:tl2br w:val="nil"/>
                    <w:tr2bl w:val="nil"/>
                  </w:tcBorders>
                  <w:noWrap w:val="0"/>
                  <w:vAlign w:val="center"/>
                </w:tcPr>
                <w:p w14:paraId="6C572C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给水</w:t>
                  </w:r>
                </w:p>
              </w:tc>
              <w:tc>
                <w:tcPr>
                  <w:tcW w:w="3939" w:type="pct"/>
                  <w:tcBorders>
                    <w:tl2br w:val="nil"/>
                    <w:tr2bl w:val="nil"/>
                  </w:tcBorders>
                  <w:noWrap w:val="0"/>
                  <w:vAlign w:val="center"/>
                </w:tcPr>
                <w:p w14:paraId="74EAF030">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生活、生产用水从</w:t>
                  </w: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木垒哈萨克自治县</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城拉运，通过水罐车（10m³）拉运至营地</w:t>
                  </w:r>
                  <w:r>
                    <w:rPr>
                      <w:rFonts w:hint="eastAsia" w:ascii="Times New Roman" w:hAnsi="Times New Roman" w:cs="Times New Roman"/>
                      <w:color w:val="000000" w:themeColor="text1"/>
                      <w:kern w:val="0"/>
                      <w:sz w:val="21"/>
                      <w:szCs w:val="21"/>
                      <w:lang w:val="en-US" w:eastAsia="zh-CN" w:bidi="ar-SA"/>
                      <w14:textFill>
                        <w14:solidFill>
                          <w14:schemeClr w14:val="tx1"/>
                        </w14:solidFill>
                      </w14:textFill>
                    </w:rPr>
                    <w:t>。</w:t>
                  </w:r>
                </w:p>
              </w:tc>
            </w:tr>
            <w:tr w14:paraId="68A9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4" w:type="pct"/>
                <w:trHeight w:val="90" w:hRule="atLeast"/>
                <w:jc w:val="center"/>
              </w:trPr>
              <w:tc>
                <w:tcPr>
                  <w:tcW w:w="392" w:type="pct"/>
                  <w:vMerge w:val="continue"/>
                  <w:tcBorders>
                    <w:tl2br w:val="nil"/>
                    <w:tr2bl w:val="nil"/>
                  </w:tcBorders>
                  <w:noWrap w:val="0"/>
                  <w:vAlign w:val="center"/>
                </w:tcPr>
                <w:p w14:paraId="106B94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643" w:type="pct"/>
                  <w:tcBorders>
                    <w:tl2br w:val="nil"/>
                    <w:tr2bl w:val="nil"/>
                  </w:tcBorders>
                  <w:noWrap w:val="0"/>
                  <w:vAlign w:val="center"/>
                </w:tcPr>
                <w:p w14:paraId="176164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供电</w:t>
                  </w:r>
                </w:p>
              </w:tc>
              <w:tc>
                <w:tcPr>
                  <w:tcW w:w="3939" w:type="pct"/>
                  <w:tcBorders>
                    <w:tl2br w:val="nil"/>
                    <w:tr2bl w:val="nil"/>
                  </w:tcBorders>
                  <w:noWrap w:val="0"/>
                  <w:vAlign w:val="center"/>
                </w:tcPr>
                <w:p w14:paraId="70F371DC">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生活区使用太阳能光伏板+蓄电池供电；钻探区、物探及样品加工等生产设备采用柴油发电机供电，柴油按需拉运，现场不设储罐。</w:t>
                  </w:r>
                </w:p>
              </w:tc>
            </w:tr>
            <w:tr w14:paraId="0B05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4" w:type="pct"/>
                <w:trHeight w:val="283" w:hRule="atLeast"/>
                <w:jc w:val="center"/>
              </w:trPr>
              <w:tc>
                <w:tcPr>
                  <w:tcW w:w="392" w:type="pct"/>
                  <w:vMerge w:val="restart"/>
                  <w:tcBorders>
                    <w:tl2br w:val="nil"/>
                    <w:tr2bl w:val="nil"/>
                  </w:tcBorders>
                  <w:noWrap w:val="0"/>
                  <w:vAlign w:val="center"/>
                </w:tcPr>
                <w:p w14:paraId="673C0B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环保工程</w:t>
                  </w:r>
                </w:p>
              </w:tc>
              <w:tc>
                <w:tcPr>
                  <w:tcW w:w="643" w:type="pct"/>
                  <w:tcBorders>
                    <w:tl2br w:val="nil"/>
                    <w:tr2bl w:val="nil"/>
                  </w:tcBorders>
                  <w:noWrap w:val="0"/>
                  <w:vAlign w:val="center"/>
                </w:tcPr>
                <w:p w14:paraId="7D98F1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废气</w:t>
                  </w:r>
                </w:p>
              </w:tc>
              <w:tc>
                <w:tcPr>
                  <w:tcW w:w="3939" w:type="pct"/>
                  <w:tcBorders>
                    <w:tl2br w:val="nil"/>
                    <w:tr2bl w:val="nil"/>
                  </w:tcBorders>
                  <w:noWrap w:val="0"/>
                  <w:vAlign w:val="center"/>
                </w:tcPr>
                <w:p w14:paraId="523A1E3E">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钻探采用湿式钻孔工艺。施工场地采取洒水抑尘措施，</w:t>
                  </w: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勘查机械</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使用优质燃料，加强施工机械和车辆的维护保养，减少废气排放。</w:t>
                  </w:r>
                </w:p>
              </w:tc>
            </w:tr>
            <w:tr w14:paraId="77BB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92" w:type="pct"/>
                  <w:vMerge w:val="continue"/>
                  <w:tcBorders>
                    <w:tl2br w:val="nil"/>
                    <w:tr2bl w:val="nil"/>
                  </w:tcBorders>
                  <w:noWrap w:val="0"/>
                  <w:vAlign w:val="center"/>
                </w:tcPr>
                <w:p w14:paraId="649F72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643" w:type="pct"/>
                  <w:tcBorders>
                    <w:tl2br w:val="nil"/>
                    <w:tr2bl w:val="nil"/>
                  </w:tcBorders>
                  <w:noWrap w:val="0"/>
                  <w:vAlign w:val="center"/>
                </w:tcPr>
                <w:p w14:paraId="795A37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废水</w:t>
                  </w:r>
                </w:p>
              </w:tc>
              <w:tc>
                <w:tcPr>
                  <w:tcW w:w="3963" w:type="pct"/>
                  <w:gridSpan w:val="2"/>
                  <w:tcBorders>
                    <w:tl2br w:val="nil"/>
                    <w:tr2bl w:val="nil"/>
                  </w:tcBorders>
                  <w:noWrap w:val="0"/>
                  <w:vAlign w:val="center"/>
                </w:tcPr>
                <w:p w14:paraId="14B2B46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1"/>
                      <w:szCs w:val="21"/>
                      <w:shd w:val="clear" w:fill="FFFFFF"/>
                      <w14:textFill>
                        <w14:solidFill>
                          <w14:schemeClr w14:val="tx1"/>
                        </w14:solidFill>
                      </w14:textFill>
                    </w:rPr>
                    <w:t>①生活污水排入移动式防渗环保厕所，定期由吸污车拉运至</w:t>
                  </w:r>
                  <w:r>
                    <w:rPr>
                      <w:rFonts w:hint="default" w:ascii="Times New Roman" w:hAnsi="Times New Roman" w:eastAsia="宋体" w:cs="Times New Roman"/>
                      <w:i w:val="0"/>
                      <w:iCs w:val="0"/>
                      <w:caps w:val="0"/>
                      <w:color w:val="000000" w:themeColor="text1"/>
                      <w:spacing w:val="0"/>
                      <w:sz w:val="21"/>
                      <w:szCs w:val="21"/>
                      <w:shd w:val="clear" w:fill="FFFFFF"/>
                      <w:lang w:eastAsia="zh-CN"/>
                      <w14:textFill>
                        <w14:solidFill>
                          <w14:schemeClr w14:val="tx1"/>
                        </w14:solidFill>
                      </w14:textFill>
                    </w:rPr>
                    <w:t>木垒哈萨克自治县</w:t>
                  </w:r>
                  <w:r>
                    <w:rPr>
                      <w:rFonts w:hint="default" w:ascii="Times New Roman" w:hAnsi="Times New Roman" w:eastAsia="Segoe UI" w:cs="Times New Roman"/>
                      <w:i w:val="0"/>
                      <w:iCs w:val="0"/>
                      <w:caps w:val="0"/>
                      <w:color w:val="000000" w:themeColor="text1"/>
                      <w:spacing w:val="0"/>
                      <w:sz w:val="21"/>
                      <w:szCs w:val="21"/>
                      <w:shd w:val="clear" w:fill="FFFFFF"/>
                      <w14:textFill>
                        <w14:solidFill>
                          <w14:schemeClr w14:val="tx1"/>
                        </w14:solidFill>
                      </w14:textFill>
                    </w:rPr>
                    <w:t>污水处理厂处置；②钻探泥浆废水经沉淀池沉淀后回用，不外排；③设备冲洗废水排入沉淀池处理，不外排。</w:t>
                  </w:r>
                </w:p>
              </w:tc>
            </w:tr>
            <w:tr w14:paraId="0EDEF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92" w:type="pct"/>
                  <w:vMerge w:val="continue"/>
                  <w:tcBorders>
                    <w:tl2br w:val="nil"/>
                    <w:tr2bl w:val="nil"/>
                  </w:tcBorders>
                  <w:noWrap w:val="0"/>
                  <w:vAlign w:val="center"/>
                </w:tcPr>
                <w:p w14:paraId="5D2EFF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643" w:type="pct"/>
                  <w:tcBorders>
                    <w:tl2br w:val="nil"/>
                    <w:tr2bl w:val="nil"/>
                  </w:tcBorders>
                  <w:noWrap w:val="0"/>
                  <w:vAlign w:val="center"/>
                </w:tcPr>
                <w:p w14:paraId="386E85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bidi="ar-SA"/>
                      <w14:textFill>
                        <w14:solidFill>
                          <w14:schemeClr w14:val="tx1"/>
                        </w14:solidFill>
                      </w14:textFill>
                    </w:rPr>
                    <w:t>固废</w:t>
                  </w:r>
                </w:p>
              </w:tc>
              <w:tc>
                <w:tcPr>
                  <w:tcW w:w="3963" w:type="pct"/>
                  <w:gridSpan w:val="2"/>
                  <w:tcBorders>
                    <w:tl2br w:val="nil"/>
                    <w:tr2bl w:val="nil"/>
                  </w:tcBorders>
                  <w:noWrap w:val="0"/>
                  <w:vAlign w:val="center"/>
                </w:tcPr>
                <w:p w14:paraId="6782E8A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1"/>
                      <w:szCs w:val="21"/>
                      <w:shd w:val="clear" w:fill="FFFFFF"/>
                      <w:lang w:val="en-US" w:eastAsia="zh-CN"/>
                      <w14:textFill>
                        <w14:solidFill>
                          <w14:schemeClr w14:val="tx1"/>
                        </w14:solidFill>
                      </w14:textFill>
                    </w:rPr>
                    <w:t>①表土：槽探、场地平整前进行表土剥离，分层堆放于临时堆场（采取防尘网苫盖、设置临时挡护），勘探结束后用于场地平整和生态恢复；②钻井泥浆与岩屑：排入防渗沉淀池，经沉淀和自然干化后，就地</w:t>
                  </w:r>
                  <w:r>
                    <w:rPr>
                      <w:rFonts w:hint="default" w:ascii="Times New Roman" w:hAnsi="Times New Roman" w:eastAsia="Segoe UI" w:cs="Times New Roman"/>
                      <w:i w:val="0"/>
                      <w:iCs w:val="0"/>
                      <w:caps w:val="0"/>
                      <w:color w:val="000000" w:themeColor="text1"/>
                      <w:spacing w:val="0"/>
                      <w:sz w:val="22"/>
                      <w:szCs w:val="22"/>
                      <w:shd w:val="clear" w:fill="FFFFFF"/>
                      <w14:textFill>
                        <w14:solidFill>
                          <w14:schemeClr w14:val="tx1"/>
                        </w14:solidFill>
                      </w14:textFill>
                    </w:rPr>
                    <w:t>回填至钻孔孔口段或就地覆土平整</w:t>
                  </w:r>
                  <w:r>
                    <w:rPr>
                      <w:rFonts w:hint="default" w:ascii="Times New Roman" w:hAnsi="Times New Roman" w:eastAsia="Segoe UI" w:cs="Times New Roman"/>
                      <w:i w:val="0"/>
                      <w:iCs w:val="0"/>
                      <w:caps w:val="0"/>
                      <w:color w:val="000000" w:themeColor="text1"/>
                      <w:spacing w:val="0"/>
                      <w:sz w:val="21"/>
                      <w:szCs w:val="21"/>
                      <w:shd w:val="clear" w:fill="FFFFFF"/>
                      <w:lang w:val="en-US" w:eastAsia="zh-CN"/>
                      <w14:textFill>
                        <w14:solidFill>
                          <w14:schemeClr w14:val="tx1"/>
                        </w14:solidFill>
                      </w14:textFill>
                    </w:rPr>
                    <w:t>；③生活垃圾与废包装：集中收集，定期清运至木垒哈萨克自治县生活垃圾填埋场处置。</w:t>
                  </w:r>
                </w:p>
              </w:tc>
            </w:tr>
            <w:tr w14:paraId="5107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4" w:type="pct"/>
                <w:trHeight w:val="283" w:hRule="atLeast"/>
                <w:jc w:val="center"/>
              </w:trPr>
              <w:tc>
                <w:tcPr>
                  <w:tcW w:w="392" w:type="pct"/>
                  <w:vMerge w:val="continue"/>
                  <w:tcBorders>
                    <w:tl2br w:val="nil"/>
                    <w:tr2bl w:val="nil"/>
                  </w:tcBorders>
                  <w:noWrap w:val="0"/>
                  <w:vAlign w:val="center"/>
                </w:tcPr>
                <w:p w14:paraId="049FEA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643" w:type="pct"/>
                  <w:tcBorders>
                    <w:tl2br w:val="nil"/>
                    <w:tr2bl w:val="nil"/>
                  </w:tcBorders>
                  <w:noWrap w:val="0"/>
                  <w:vAlign w:val="center"/>
                </w:tcPr>
                <w:p w14:paraId="04610E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噪声治理</w:t>
                  </w:r>
                </w:p>
              </w:tc>
              <w:tc>
                <w:tcPr>
                  <w:tcW w:w="3939" w:type="pct"/>
                  <w:tcBorders>
                    <w:tl2br w:val="nil"/>
                    <w:tr2bl w:val="nil"/>
                  </w:tcBorders>
                  <w:noWrap w:val="0"/>
                  <w:vAlign w:val="center"/>
                </w:tcPr>
                <w:p w14:paraId="07D953A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1"/>
                      <w:szCs w:val="21"/>
                      <w:shd w:val="clear" w:fill="FFFFFF"/>
                      <w14:textFill>
                        <w14:solidFill>
                          <w14:schemeClr w14:val="tx1"/>
                        </w14:solidFill>
                      </w14:textFill>
                    </w:rPr>
                    <w:t>①优先选用低噪声、液压驱动的设备；②柴油发电机、钻机等强噪声设备安装减振垫；③加强设备维护保养；④合理安排作业时间，夜间尽量不进行高噪声作业。</w:t>
                  </w:r>
                </w:p>
              </w:tc>
            </w:tr>
            <w:tr w14:paraId="17730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4" w:type="pct"/>
                <w:trHeight w:val="283" w:hRule="atLeast"/>
                <w:jc w:val="center"/>
              </w:trPr>
              <w:tc>
                <w:tcPr>
                  <w:tcW w:w="392" w:type="pct"/>
                  <w:vMerge w:val="continue"/>
                  <w:tcBorders>
                    <w:tl2br w:val="nil"/>
                    <w:tr2bl w:val="nil"/>
                  </w:tcBorders>
                  <w:noWrap w:val="0"/>
                  <w:vAlign w:val="center"/>
                </w:tcPr>
                <w:p w14:paraId="6B16E8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643" w:type="pct"/>
                  <w:tcBorders>
                    <w:tl2br w:val="nil"/>
                    <w:tr2bl w:val="nil"/>
                  </w:tcBorders>
                  <w:noWrap w:val="0"/>
                  <w:vAlign w:val="center"/>
                </w:tcPr>
                <w:p w14:paraId="1289A0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生态环境</w:t>
                  </w:r>
                </w:p>
              </w:tc>
              <w:tc>
                <w:tcPr>
                  <w:tcW w:w="3939" w:type="pct"/>
                  <w:tcBorders>
                    <w:tl2br w:val="nil"/>
                    <w:tr2bl w:val="nil"/>
                  </w:tcBorders>
                  <w:noWrap w:val="0"/>
                  <w:vAlign w:val="center"/>
                </w:tcPr>
                <w:p w14:paraId="50B043AA">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①坚持</w:t>
                  </w:r>
                  <w:r>
                    <w:rPr>
                      <w:rFonts w:hint="eastAsia"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预防为主，保护优先</w:t>
                  </w:r>
                  <w:r>
                    <w:rPr>
                      <w:rFonts w:hint="eastAsia"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全面落实绿色勘查要求；②严格划定施工作业范围，控制临时占地面积，减少对植被和地表的扰动；③施工结束后，拆除所有临时设施，对临时占地进行场地清理、平整、表土回覆，并播撒适宜当地生长的草籽，恢复原有地貌和植被。</w:t>
                  </w:r>
                </w:p>
              </w:tc>
            </w:tr>
          </w:tbl>
          <w:p w14:paraId="31522645">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3.主要工作量</w:t>
            </w:r>
          </w:p>
          <w:p w14:paraId="0B145DE0">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本项目主要采用</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地质测量先行、物化探跟进、槽钻探验证</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的综合勘查方法。</w:t>
            </w:r>
            <w:r>
              <w:rPr>
                <w:rFonts w:hint="default" w:ascii="Times New Roman" w:hAnsi="Times New Roman" w:cs="Times New Roman"/>
                <w:color w:val="000000" w:themeColor="text1"/>
                <w:lang w:val="en-US" w:eastAsia="zh-CN"/>
                <w14:textFill>
                  <w14:solidFill>
                    <w14:schemeClr w14:val="tx1"/>
                  </w14:solidFill>
                </w14:textFill>
              </w:rPr>
              <w:t>具体工作量见表2-2。</w:t>
            </w:r>
          </w:p>
          <w:p w14:paraId="74B79EB0">
            <w:pPr>
              <w:pStyle w:val="5"/>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表2-2    主要工作量</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7"/>
              <w:gridCol w:w="750"/>
              <w:gridCol w:w="1320"/>
              <w:gridCol w:w="3906"/>
            </w:tblGrid>
            <w:tr w14:paraId="2961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2D8046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工作项目</w:t>
                  </w:r>
                </w:p>
              </w:tc>
              <w:tc>
                <w:tcPr>
                  <w:tcW w:w="750" w:type="dxa"/>
                  <w:vAlign w:val="center"/>
                </w:tcPr>
                <w:p w14:paraId="336530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单位</w:t>
                  </w:r>
                </w:p>
              </w:tc>
              <w:tc>
                <w:tcPr>
                  <w:tcW w:w="1320" w:type="dxa"/>
                  <w:vAlign w:val="center"/>
                </w:tcPr>
                <w:p w14:paraId="4E088D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设计工作量</w:t>
                  </w:r>
                </w:p>
              </w:tc>
              <w:tc>
                <w:tcPr>
                  <w:tcW w:w="3906" w:type="dxa"/>
                  <w:vAlign w:val="center"/>
                </w:tcPr>
                <w:p w14:paraId="13AB42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备注</w:t>
                  </w:r>
                </w:p>
              </w:tc>
            </w:tr>
            <w:tr w14:paraId="40F18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83" w:type="dxa"/>
                  <w:gridSpan w:val="4"/>
                  <w:vAlign w:val="center"/>
                </w:tcPr>
                <w:p w14:paraId="005E92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（一）测量工作</w:t>
                  </w:r>
                </w:p>
              </w:tc>
            </w:tr>
            <w:tr w14:paraId="4C88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186A75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1:2000地形测量</w:t>
                  </w:r>
                </w:p>
              </w:tc>
              <w:tc>
                <w:tcPr>
                  <w:tcW w:w="750" w:type="dxa"/>
                  <w:vAlign w:val="center"/>
                </w:tcPr>
                <w:p w14:paraId="45812B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km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p>
              </w:tc>
              <w:tc>
                <w:tcPr>
                  <w:tcW w:w="1320" w:type="dxa"/>
                  <w:vAlign w:val="center"/>
                </w:tcPr>
                <w:p w14:paraId="5BB7FF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3.56</w:t>
                  </w:r>
                </w:p>
              </w:tc>
              <w:tc>
                <w:tcPr>
                  <w:tcW w:w="3906" w:type="dxa"/>
                  <w:vAlign w:val="center"/>
                </w:tcPr>
                <w:p w14:paraId="399330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2"/>
                      <w:szCs w:val="22"/>
                      <w:shd w:val="clear" w:fill="FFFFFF"/>
                      <w14:textFill>
                        <w14:solidFill>
                          <w14:schemeClr w14:val="tx1"/>
                        </w14:solidFill>
                      </w14:textFill>
                    </w:rPr>
                    <w:t>为地质填图和工程布置提供底图</w:t>
                  </w:r>
                </w:p>
              </w:tc>
            </w:tr>
            <w:tr w14:paraId="598A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39D045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勘查线剖面测量</w:t>
                  </w:r>
                </w:p>
              </w:tc>
              <w:tc>
                <w:tcPr>
                  <w:tcW w:w="750" w:type="dxa"/>
                  <w:vAlign w:val="center"/>
                </w:tcPr>
                <w:p w14:paraId="3584CD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km</w:t>
                  </w:r>
                </w:p>
              </w:tc>
              <w:tc>
                <w:tcPr>
                  <w:tcW w:w="1320" w:type="dxa"/>
                  <w:vAlign w:val="center"/>
                </w:tcPr>
                <w:p w14:paraId="70C751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2.58</w:t>
                  </w:r>
                </w:p>
              </w:tc>
              <w:tc>
                <w:tcPr>
                  <w:tcW w:w="3906" w:type="dxa"/>
                  <w:vAlign w:val="center"/>
                </w:tcPr>
                <w:p w14:paraId="005017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用于资源量估算</w:t>
                  </w:r>
                </w:p>
              </w:tc>
            </w:tr>
            <w:tr w14:paraId="6848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0A8C19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工程点测量</w:t>
                  </w:r>
                </w:p>
              </w:tc>
              <w:tc>
                <w:tcPr>
                  <w:tcW w:w="750" w:type="dxa"/>
                  <w:vAlign w:val="center"/>
                </w:tcPr>
                <w:p w14:paraId="2F1661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点</w:t>
                  </w:r>
                </w:p>
              </w:tc>
              <w:tc>
                <w:tcPr>
                  <w:tcW w:w="1320" w:type="dxa"/>
                  <w:vAlign w:val="center"/>
                </w:tcPr>
                <w:p w14:paraId="5BE758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29</w:t>
                  </w:r>
                </w:p>
              </w:tc>
              <w:tc>
                <w:tcPr>
                  <w:tcW w:w="3906" w:type="dxa"/>
                  <w:vAlign w:val="center"/>
                </w:tcPr>
                <w:p w14:paraId="5BF3EC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钻孔、探槽等工程定位</w:t>
                  </w:r>
                </w:p>
              </w:tc>
            </w:tr>
            <w:tr w14:paraId="5696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83" w:type="dxa"/>
                  <w:gridSpan w:val="4"/>
                  <w:vAlign w:val="center"/>
                </w:tcPr>
                <w:p w14:paraId="22DB96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（二）地质测量</w:t>
                  </w:r>
                </w:p>
              </w:tc>
            </w:tr>
            <w:tr w14:paraId="58D0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04DABB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1:1000地质剖面测量</w:t>
                  </w:r>
                </w:p>
              </w:tc>
              <w:tc>
                <w:tcPr>
                  <w:tcW w:w="750" w:type="dxa"/>
                  <w:vAlign w:val="center"/>
                </w:tcPr>
                <w:p w14:paraId="272489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km</w:t>
                  </w:r>
                </w:p>
              </w:tc>
              <w:tc>
                <w:tcPr>
                  <w:tcW w:w="1320" w:type="dxa"/>
                  <w:vAlign w:val="center"/>
                </w:tcPr>
                <w:p w14:paraId="6580A9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3.0</w:t>
                  </w:r>
                </w:p>
              </w:tc>
              <w:tc>
                <w:tcPr>
                  <w:tcW w:w="3906" w:type="dxa"/>
                  <w:vAlign w:val="center"/>
                </w:tcPr>
                <w:p w14:paraId="576235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确定填图单元，研究矿体特征</w:t>
                  </w:r>
                </w:p>
              </w:tc>
            </w:tr>
            <w:tr w14:paraId="6EF4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632DF9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1:10000地质测量</w:t>
                  </w:r>
                </w:p>
              </w:tc>
              <w:tc>
                <w:tcPr>
                  <w:tcW w:w="750" w:type="dxa"/>
                  <w:vAlign w:val="center"/>
                </w:tcPr>
                <w:p w14:paraId="2CB8C7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km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p>
              </w:tc>
              <w:tc>
                <w:tcPr>
                  <w:tcW w:w="1320" w:type="dxa"/>
                  <w:vAlign w:val="center"/>
                </w:tcPr>
                <w:p w14:paraId="118042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3.56</w:t>
                  </w:r>
                </w:p>
              </w:tc>
              <w:tc>
                <w:tcPr>
                  <w:tcW w:w="3906" w:type="dxa"/>
                  <w:vAlign w:val="center"/>
                </w:tcPr>
                <w:p w14:paraId="7C8949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查明全区成矿地质条件</w:t>
                  </w:r>
                </w:p>
              </w:tc>
            </w:tr>
            <w:tr w14:paraId="03A9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247691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1:2000地质测量</w:t>
                  </w:r>
                </w:p>
              </w:tc>
              <w:tc>
                <w:tcPr>
                  <w:tcW w:w="750" w:type="dxa"/>
                  <w:vAlign w:val="center"/>
                </w:tcPr>
                <w:p w14:paraId="127A12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km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p>
              </w:tc>
              <w:tc>
                <w:tcPr>
                  <w:tcW w:w="1320" w:type="dxa"/>
                  <w:vAlign w:val="center"/>
                </w:tcPr>
                <w:p w14:paraId="776B3B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1.0</w:t>
                  </w:r>
                </w:p>
              </w:tc>
              <w:tc>
                <w:tcPr>
                  <w:tcW w:w="3906" w:type="dxa"/>
                  <w:vAlign w:val="center"/>
                </w:tcPr>
                <w:p w14:paraId="4A73A3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2"/>
                      <w:szCs w:val="22"/>
                      <w:shd w:val="clear" w:fill="FFFFFF"/>
                      <w14:textFill>
                        <w14:solidFill>
                          <w14:schemeClr w14:val="tx1"/>
                        </w14:solidFill>
                      </w14:textFill>
                    </w:rPr>
                    <w:t>重点区段详细填图</w:t>
                  </w:r>
                </w:p>
              </w:tc>
            </w:tr>
            <w:tr w14:paraId="1519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83" w:type="dxa"/>
                  <w:gridSpan w:val="4"/>
                  <w:vAlign w:val="center"/>
                </w:tcPr>
                <w:p w14:paraId="2FE411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（三）物探工作</w:t>
                  </w:r>
                </w:p>
              </w:tc>
            </w:tr>
            <w:tr w14:paraId="18D9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0A887F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1:5000磁法测量</w:t>
                  </w:r>
                </w:p>
              </w:tc>
              <w:tc>
                <w:tcPr>
                  <w:tcW w:w="750" w:type="dxa"/>
                  <w:vAlign w:val="center"/>
                </w:tcPr>
                <w:p w14:paraId="2B8317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km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p>
              </w:tc>
              <w:tc>
                <w:tcPr>
                  <w:tcW w:w="1320" w:type="dxa"/>
                  <w:vAlign w:val="center"/>
                </w:tcPr>
                <w:p w14:paraId="231204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3.56</w:t>
                  </w:r>
                </w:p>
              </w:tc>
              <w:tc>
                <w:tcPr>
                  <w:tcW w:w="3906" w:type="dxa"/>
                  <w:vAlign w:val="center"/>
                </w:tcPr>
                <w:p w14:paraId="52A9A0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2"/>
                      <w:szCs w:val="22"/>
                      <w:shd w:val="clear" w:fill="FFFFFF"/>
                      <w14:textFill>
                        <w14:solidFill>
                          <w14:schemeClr w14:val="tx1"/>
                        </w14:solidFill>
                      </w14:textFill>
                    </w:rPr>
                    <w:t>覆盖整个勘查区</w:t>
                  </w:r>
                </w:p>
              </w:tc>
            </w:tr>
            <w:tr w14:paraId="0502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4AD8DF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1:5000激电中梯测量</w:t>
                  </w:r>
                </w:p>
              </w:tc>
              <w:tc>
                <w:tcPr>
                  <w:tcW w:w="750" w:type="dxa"/>
                  <w:vAlign w:val="center"/>
                </w:tcPr>
                <w:p w14:paraId="15BC6A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km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p>
              </w:tc>
              <w:tc>
                <w:tcPr>
                  <w:tcW w:w="1320" w:type="dxa"/>
                  <w:vAlign w:val="center"/>
                </w:tcPr>
                <w:p w14:paraId="4DBE8A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3.56</w:t>
                  </w:r>
                </w:p>
              </w:tc>
              <w:tc>
                <w:tcPr>
                  <w:tcW w:w="3906" w:type="dxa"/>
                  <w:vAlign w:val="center"/>
                </w:tcPr>
                <w:p w14:paraId="001B4F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2"/>
                      <w:szCs w:val="22"/>
                      <w:shd w:val="clear" w:fill="FFFFFF"/>
                      <w14:textFill>
                        <w14:solidFill>
                          <w14:schemeClr w14:val="tx1"/>
                        </w14:solidFill>
                      </w14:textFill>
                    </w:rPr>
                    <w:t>覆盖整个勘查区</w:t>
                  </w:r>
                </w:p>
              </w:tc>
            </w:tr>
            <w:tr w14:paraId="5F06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489845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激电测深</w:t>
                  </w:r>
                </w:p>
              </w:tc>
              <w:tc>
                <w:tcPr>
                  <w:tcW w:w="750" w:type="dxa"/>
                  <w:vAlign w:val="center"/>
                </w:tcPr>
                <w:p w14:paraId="68A45C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点</w:t>
                  </w:r>
                </w:p>
              </w:tc>
              <w:tc>
                <w:tcPr>
                  <w:tcW w:w="1320" w:type="dxa"/>
                  <w:vAlign w:val="center"/>
                </w:tcPr>
                <w:p w14:paraId="7AF4AC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60</w:t>
                  </w:r>
                </w:p>
              </w:tc>
              <w:tc>
                <w:tcPr>
                  <w:tcW w:w="3906" w:type="dxa"/>
                  <w:vAlign w:val="center"/>
                </w:tcPr>
                <w:p w14:paraId="5658D2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对重点异常进行深部探测</w:t>
                  </w:r>
                </w:p>
              </w:tc>
            </w:tr>
            <w:tr w14:paraId="107A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83" w:type="dxa"/>
                  <w:gridSpan w:val="4"/>
                  <w:vAlign w:val="center"/>
                </w:tcPr>
                <w:p w14:paraId="379F83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（四）化探工作</w:t>
                  </w:r>
                </w:p>
              </w:tc>
            </w:tr>
            <w:tr w14:paraId="510A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1F0A32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1:10000岩石化探测量</w:t>
                  </w:r>
                </w:p>
              </w:tc>
              <w:tc>
                <w:tcPr>
                  <w:tcW w:w="750" w:type="dxa"/>
                  <w:vAlign w:val="center"/>
                </w:tcPr>
                <w:p w14:paraId="726208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km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p>
              </w:tc>
              <w:tc>
                <w:tcPr>
                  <w:tcW w:w="1320" w:type="dxa"/>
                  <w:vAlign w:val="center"/>
                </w:tcPr>
                <w:p w14:paraId="7E5447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3.56</w:t>
                  </w:r>
                </w:p>
              </w:tc>
              <w:tc>
                <w:tcPr>
                  <w:tcW w:w="3906" w:type="dxa"/>
                  <w:vAlign w:val="center"/>
                </w:tcPr>
                <w:p w14:paraId="04E8F9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2"/>
                      <w:szCs w:val="22"/>
                      <w:shd w:val="clear" w:fill="FFFFFF"/>
                      <w14:textFill>
                        <w14:solidFill>
                          <w14:schemeClr w14:val="tx1"/>
                        </w14:solidFill>
                      </w14:textFill>
                    </w:rPr>
                    <w:t>网度100m×20m</w:t>
                  </w:r>
                </w:p>
              </w:tc>
            </w:tr>
            <w:tr w14:paraId="286E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057DDB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2"/>
                      <w:szCs w:val="22"/>
                      <w:shd w:val="clear" w:fill="FFFFFF"/>
                      <w14:textFill>
                        <w14:solidFill>
                          <w14:schemeClr w14:val="tx1"/>
                        </w14:solidFill>
                      </w14:textFill>
                    </w:rPr>
                    <w:t>化探样品</w:t>
                  </w:r>
                </w:p>
              </w:tc>
              <w:tc>
                <w:tcPr>
                  <w:tcW w:w="750" w:type="dxa"/>
                  <w:vAlign w:val="center"/>
                </w:tcPr>
                <w:p w14:paraId="2B6E32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件</w:t>
                  </w:r>
                </w:p>
              </w:tc>
              <w:tc>
                <w:tcPr>
                  <w:tcW w:w="1320" w:type="dxa"/>
                  <w:vAlign w:val="center"/>
                </w:tcPr>
                <w:p w14:paraId="75FB4B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1866</w:t>
                  </w:r>
                </w:p>
              </w:tc>
              <w:tc>
                <w:tcPr>
                  <w:tcW w:w="3906" w:type="dxa"/>
                  <w:vAlign w:val="center"/>
                </w:tcPr>
                <w:p w14:paraId="39E2ED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分析Au、Ag、Cu、Pb、Zn等13种元素</w:t>
                  </w:r>
                </w:p>
              </w:tc>
            </w:tr>
            <w:tr w14:paraId="59F7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83" w:type="dxa"/>
                  <w:gridSpan w:val="4"/>
                  <w:vAlign w:val="center"/>
                </w:tcPr>
                <w:p w14:paraId="567C15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（五）浅表工程</w:t>
                  </w:r>
                </w:p>
              </w:tc>
            </w:tr>
            <w:tr w14:paraId="1378E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46B7A5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2"/>
                      <w:szCs w:val="22"/>
                      <w:shd w:val="clear" w:fill="FFFFFF"/>
                      <w14:textFill>
                        <w14:solidFill>
                          <w14:schemeClr w14:val="tx1"/>
                        </w14:solidFill>
                      </w14:textFill>
                    </w:rPr>
                    <w:t>槽探</w:t>
                  </w:r>
                </w:p>
              </w:tc>
              <w:tc>
                <w:tcPr>
                  <w:tcW w:w="750" w:type="dxa"/>
                  <w:vAlign w:val="center"/>
                </w:tcPr>
                <w:p w14:paraId="4E3396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m</w:t>
                  </w:r>
                </w:p>
              </w:tc>
              <w:tc>
                <w:tcPr>
                  <w:tcW w:w="1320" w:type="dxa"/>
                  <w:vAlign w:val="center"/>
                </w:tcPr>
                <w:p w14:paraId="3CE753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1850</w:t>
                  </w:r>
                </w:p>
              </w:tc>
              <w:tc>
                <w:tcPr>
                  <w:tcW w:w="3906" w:type="dxa"/>
                  <w:vAlign w:val="center"/>
                </w:tcPr>
                <w:p w14:paraId="1183A2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2"/>
                      <w:szCs w:val="22"/>
                      <w:shd w:val="clear" w:fill="FFFFFF"/>
                      <w14:textFill>
                        <w14:solidFill>
                          <w14:schemeClr w14:val="tx1"/>
                        </w14:solidFill>
                      </w14:textFill>
                    </w:rPr>
                    <w:t>揭露地表矿体及异常</w:t>
                  </w:r>
                </w:p>
              </w:tc>
            </w:tr>
            <w:tr w14:paraId="78DD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83" w:type="dxa"/>
                  <w:gridSpan w:val="4"/>
                  <w:vAlign w:val="center"/>
                </w:tcPr>
                <w:p w14:paraId="1E5B85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（六）钻探工程</w:t>
                  </w:r>
                </w:p>
              </w:tc>
            </w:tr>
            <w:tr w14:paraId="2D9F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07F37E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机械岩心钻探</w:t>
                  </w:r>
                </w:p>
              </w:tc>
              <w:tc>
                <w:tcPr>
                  <w:tcW w:w="750" w:type="dxa"/>
                  <w:vAlign w:val="center"/>
                </w:tcPr>
                <w:p w14:paraId="2B5BB5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m</w:t>
                  </w:r>
                </w:p>
              </w:tc>
              <w:tc>
                <w:tcPr>
                  <w:tcW w:w="1320" w:type="dxa"/>
                  <w:vAlign w:val="center"/>
                </w:tcPr>
                <w:p w14:paraId="5C4787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4565</w:t>
                  </w:r>
                </w:p>
              </w:tc>
              <w:tc>
                <w:tcPr>
                  <w:tcW w:w="3906" w:type="dxa"/>
                  <w:vAlign w:val="center"/>
                </w:tcPr>
                <w:p w14:paraId="14D848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均为70°斜孔，设计24个钻孔，单孔平均孔深190m，最大孔深300m，24个钻孔合计孔深4565m。</w:t>
                  </w:r>
                </w:p>
              </w:tc>
            </w:tr>
            <w:tr w14:paraId="0D63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83" w:type="dxa"/>
                  <w:gridSpan w:val="4"/>
                  <w:vAlign w:val="center"/>
                </w:tcPr>
                <w:p w14:paraId="045694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（七）样品分析测试</w:t>
                  </w:r>
                </w:p>
              </w:tc>
            </w:tr>
            <w:tr w14:paraId="6308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0E53FE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基本分析样</w:t>
                  </w:r>
                </w:p>
              </w:tc>
              <w:tc>
                <w:tcPr>
                  <w:tcW w:w="750" w:type="dxa"/>
                  <w:vAlign w:val="center"/>
                </w:tcPr>
                <w:p w14:paraId="1B6BC1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件</w:t>
                  </w:r>
                </w:p>
              </w:tc>
              <w:tc>
                <w:tcPr>
                  <w:tcW w:w="1320" w:type="dxa"/>
                  <w:vAlign w:val="center"/>
                </w:tcPr>
                <w:p w14:paraId="2EBB33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300</w:t>
                  </w:r>
                </w:p>
              </w:tc>
              <w:tc>
                <w:tcPr>
                  <w:tcW w:w="3906" w:type="dxa"/>
                  <w:vAlign w:val="center"/>
                </w:tcPr>
                <w:p w14:paraId="077BF1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分析Au品位</w:t>
                  </w:r>
                </w:p>
              </w:tc>
            </w:tr>
            <w:tr w14:paraId="2CCA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243B75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组合分析样</w:t>
                  </w:r>
                </w:p>
              </w:tc>
              <w:tc>
                <w:tcPr>
                  <w:tcW w:w="750" w:type="dxa"/>
                  <w:vAlign w:val="center"/>
                </w:tcPr>
                <w:p w14:paraId="7FC86A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件</w:t>
                  </w:r>
                </w:p>
              </w:tc>
              <w:tc>
                <w:tcPr>
                  <w:tcW w:w="1320" w:type="dxa"/>
                  <w:vAlign w:val="center"/>
                </w:tcPr>
                <w:p w14:paraId="5AC6FC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20</w:t>
                  </w:r>
                </w:p>
              </w:tc>
              <w:tc>
                <w:tcPr>
                  <w:tcW w:w="3906" w:type="dxa"/>
                  <w:vAlign w:val="center"/>
                </w:tcPr>
                <w:p w14:paraId="275AB2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分析Ag、Cu、Pb、Zn等伴生元素</w:t>
                  </w:r>
                </w:p>
              </w:tc>
            </w:tr>
            <w:tr w14:paraId="5CD9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2854F4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岩矿鉴定样（光薄片）</w:t>
                  </w:r>
                </w:p>
              </w:tc>
              <w:tc>
                <w:tcPr>
                  <w:tcW w:w="750" w:type="dxa"/>
                  <w:vAlign w:val="center"/>
                </w:tcPr>
                <w:p w14:paraId="3DE870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件</w:t>
                  </w:r>
                </w:p>
              </w:tc>
              <w:tc>
                <w:tcPr>
                  <w:tcW w:w="1320" w:type="dxa"/>
                  <w:vAlign w:val="center"/>
                </w:tcPr>
                <w:p w14:paraId="0DA96C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35</w:t>
                  </w:r>
                </w:p>
              </w:tc>
              <w:tc>
                <w:tcPr>
                  <w:tcW w:w="3906" w:type="dxa"/>
                  <w:vAlign w:val="center"/>
                </w:tcPr>
                <w:p w14:paraId="0014DB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研究矿石结构构造、矿物组成</w:t>
                  </w:r>
                </w:p>
              </w:tc>
            </w:tr>
            <w:tr w14:paraId="55D0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43B33E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化学全分析样</w:t>
                  </w:r>
                </w:p>
              </w:tc>
              <w:tc>
                <w:tcPr>
                  <w:tcW w:w="750" w:type="dxa"/>
                  <w:vAlign w:val="center"/>
                </w:tcPr>
                <w:p w14:paraId="4464ED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件</w:t>
                  </w:r>
                </w:p>
              </w:tc>
              <w:tc>
                <w:tcPr>
                  <w:tcW w:w="1320" w:type="dxa"/>
                  <w:vAlign w:val="center"/>
                </w:tcPr>
                <w:p w14:paraId="1A9E55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5</w:t>
                  </w:r>
                </w:p>
              </w:tc>
              <w:tc>
                <w:tcPr>
                  <w:tcW w:w="3906" w:type="dxa"/>
                  <w:vAlign w:val="center"/>
                </w:tcPr>
                <w:p w14:paraId="3A35B2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分析SiO₂、Al₂O₃等主要成分</w:t>
                  </w:r>
                </w:p>
              </w:tc>
            </w:tr>
            <w:tr w14:paraId="70B37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44D7CD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物相分析样</w:t>
                  </w:r>
                </w:p>
              </w:tc>
              <w:tc>
                <w:tcPr>
                  <w:tcW w:w="750" w:type="dxa"/>
                  <w:vAlign w:val="center"/>
                </w:tcPr>
                <w:p w14:paraId="271D20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件</w:t>
                  </w:r>
                </w:p>
              </w:tc>
              <w:tc>
                <w:tcPr>
                  <w:tcW w:w="1320" w:type="dxa"/>
                  <w:vAlign w:val="center"/>
                </w:tcPr>
                <w:p w14:paraId="75EE67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10</w:t>
                  </w:r>
                </w:p>
              </w:tc>
              <w:tc>
                <w:tcPr>
                  <w:tcW w:w="3906" w:type="dxa"/>
                  <w:vAlign w:val="center"/>
                </w:tcPr>
                <w:p w14:paraId="1A7B76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确定金矿物的赋存状态</w:t>
                  </w:r>
                </w:p>
              </w:tc>
            </w:tr>
            <w:tr w14:paraId="0EA2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6227A1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小体重及湿度样</w:t>
                  </w:r>
                </w:p>
              </w:tc>
              <w:tc>
                <w:tcPr>
                  <w:tcW w:w="750" w:type="dxa"/>
                  <w:vAlign w:val="center"/>
                </w:tcPr>
                <w:p w14:paraId="7D6601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件</w:t>
                  </w:r>
                </w:p>
              </w:tc>
              <w:tc>
                <w:tcPr>
                  <w:tcW w:w="1320" w:type="dxa"/>
                  <w:vAlign w:val="center"/>
                </w:tcPr>
                <w:p w14:paraId="018FF0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30</w:t>
                  </w:r>
                </w:p>
              </w:tc>
              <w:tc>
                <w:tcPr>
                  <w:tcW w:w="3906" w:type="dxa"/>
                  <w:vAlign w:val="center"/>
                </w:tcPr>
                <w:p w14:paraId="1F806A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用于资源量估算</w:t>
                  </w:r>
                </w:p>
              </w:tc>
            </w:tr>
            <w:tr w14:paraId="31EF7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64BDDE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内检/外检样</w:t>
                  </w:r>
                </w:p>
              </w:tc>
              <w:tc>
                <w:tcPr>
                  <w:tcW w:w="750" w:type="dxa"/>
                  <w:vAlign w:val="center"/>
                </w:tcPr>
                <w:p w14:paraId="5D9436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件</w:t>
                  </w:r>
                </w:p>
              </w:tc>
              <w:tc>
                <w:tcPr>
                  <w:tcW w:w="1320" w:type="dxa"/>
                  <w:vAlign w:val="center"/>
                </w:tcPr>
                <w:p w14:paraId="332B7E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36/33</w:t>
                  </w:r>
                </w:p>
              </w:tc>
              <w:tc>
                <w:tcPr>
                  <w:tcW w:w="3906" w:type="dxa"/>
                  <w:vAlign w:val="center"/>
                </w:tcPr>
                <w:p w14:paraId="4DBBF8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质量控制</w:t>
                  </w:r>
                </w:p>
              </w:tc>
            </w:tr>
            <w:tr w14:paraId="69D1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07" w:type="dxa"/>
                  <w:vAlign w:val="center"/>
                </w:tcPr>
                <w:p w14:paraId="47FF25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定性半定量全分析样</w:t>
                  </w:r>
                </w:p>
              </w:tc>
              <w:tc>
                <w:tcPr>
                  <w:tcW w:w="750" w:type="dxa"/>
                  <w:vAlign w:val="center"/>
                </w:tcPr>
                <w:p w14:paraId="1F514F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件</w:t>
                  </w:r>
                </w:p>
              </w:tc>
              <w:tc>
                <w:tcPr>
                  <w:tcW w:w="1320" w:type="dxa"/>
                  <w:vAlign w:val="center"/>
                </w:tcPr>
                <w:p w14:paraId="27957F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35</w:t>
                  </w:r>
                </w:p>
              </w:tc>
              <w:tc>
                <w:tcPr>
                  <w:tcW w:w="3906" w:type="dxa"/>
                  <w:vAlign w:val="center"/>
                </w:tcPr>
                <w:p w14:paraId="620D87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了解矿石元素组成</w:t>
                  </w:r>
                </w:p>
              </w:tc>
            </w:tr>
          </w:tbl>
          <w:p w14:paraId="377316EB">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4.主要设备</w:t>
            </w:r>
          </w:p>
          <w:p w14:paraId="62A09C73">
            <w:pPr>
              <w:keepNext w:val="0"/>
              <w:keepLines w:val="0"/>
              <w:widowControl/>
              <w:suppressLineNumbers w:val="0"/>
              <w:jc w:val="left"/>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本项目</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主要生产设备如下表所示。</w:t>
            </w:r>
          </w:p>
          <w:p w14:paraId="4A404458">
            <w:pPr>
              <w:pStyle w:val="5"/>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表2-3    主要生产设备一览表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1"/>
              <w:gridCol w:w="1726"/>
              <w:gridCol w:w="693"/>
              <w:gridCol w:w="767"/>
              <w:gridCol w:w="4600"/>
            </w:tblGrid>
            <w:tr w14:paraId="7090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19" w:type="pct"/>
                  <w:noWrap w:val="0"/>
                  <w:tcMar>
                    <w:top w:w="11" w:type="dxa"/>
                    <w:left w:w="11" w:type="dxa"/>
                    <w:bottom w:w="0" w:type="dxa"/>
                    <w:right w:w="11" w:type="dxa"/>
                  </w:tcMar>
                  <w:vAlign w:val="center"/>
                </w:tcPr>
                <w:p w14:paraId="50A97B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t>序号</w:t>
                  </w:r>
                </w:p>
              </w:tc>
              <w:tc>
                <w:tcPr>
                  <w:tcW w:w="1037" w:type="pct"/>
                  <w:noWrap w:val="0"/>
                  <w:tcMar>
                    <w:top w:w="11" w:type="dxa"/>
                    <w:left w:w="11" w:type="dxa"/>
                    <w:bottom w:w="0" w:type="dxa"/>
                    <w:right w:w="11" w:type="dxa"/>
                  </w:tcMar>
                  <w:vAlign w:val="center"/>
                </w:tcPr>
                <w:p w14:paraId="372193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t>设备名称</w:t>
                  </w:r>
                </w:p>
              </w:tc>
              <w:tc>
                <w:tcPr>
                  <w:tcW w:w="416" w:type="pct"/>
                  <w:noWrap w:val="0"/>
                  <w:tcMar>
                    <w:top w:w="11" w:type="dxa"/>
                    <w:left w:w="11" w:type="dxa"/>
                    <w:bottom w:w="0" w:type="dxa"/>
                    <w:right w:w="11" w:type="dxa"/>
                  </w:tcMar>
                  <w:vAlign w:val="center"/>
                </w:tcPr>
                <w:p w14:paraId="3E552F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t>计量单位</w:t>
                  </w:r>
                </w:p>
              </w:tc>
              <w:tc>
                <w:tcPr>
                  <w:tcW w:w="461" w:type="pct"/>
                  <w:noWrap w:val="0"/>
                  <w:tcMar>
                    <w:top w:w="11" w:type="dxa"/>
                    <w:left w:w="11" w:type="dxa"/>
                    <w:bottom w:w="0" w:type="dxa"/>
                    <w:right w:w="11" w:type="dxa"/>
                  </w:tcMar>
                  <w:vAlign w:val="center"/>
                </w:tcPr>
                <w:p w14:paraId="3BCBDF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t>配备</w:t>
                  </w:r>
                </w:p>
                <w:p w14:paraId="2CD3C0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t>数量</w:t>
                  </w:r>
                </w:p>
              </w:tc>
              <w:tc>
                <w:tcPr>
                  <w:tcW w:w="2763" w:type="pct"/>
                  <w:noWrap w:val="0"/>
                  <w:tcMar>
                    <w:top w:w="11" w:type="dxa"/>
                    <w:left w:w="11" w:type="dxa"/>
                    <w:bottom w:w="0" w:type="dxa"/>
                    <w:right w:w="11" w:type="dxa"/>
                  </w:tcMar>
                  <w:vAlign w:val="center"/>
                </w:tcPr>
                <w:p w14:paraId="6AE8E0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t>主要性能指标</w:t>
                  </w:r>
                </w:p>
              </w:tc>
            </w:tr>
            <w:tr w14:paraId="5253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19" w:type="pct"/>
                  <w:noWrap w:val="0"/>
                  <w:tcMar>
                    <w:top w:w="11" w:type="dxa"/>
                    <w:left w:w="11" w:type="dxa"/>
                    <w:bottom w:w="0" w:type="dxa"/>
                    <w:right w:w="11" w:type="dxa"/>
                  </w:tcMar>
                  <w:vAlign w:val="center"/>
                </w:tcPr>
                <w:p w14:paraId="179280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w:t>
                  </w:r>
                </w:p>
              </w:tc>
              <w:tc>
                <w:tcPr>
                  <w:tcW w:w="1037" w:type="pct"/>
                  <w:noWrap w:val="0"/>
                  <w:tcMar>
                    <w:top w:w="11" w:type="dxa"/>
                    <w:left w:w="11" w:type="dxa"/>
                    <w:bottom w:w="0" w:type="dxa"/>
                    <w:right w:w="11" w:type="dxa"/>
                  </w:tcMar>
                  <w:vAlign w:val="center"/>
                </w:tcPr>
                <w:p w14:paraId="3C7A43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bidi="ar-SA"/>
                      <w14:textFill>
                        <w14:solidFill>
                          <w14:schemeClr w14:val="tx1"/>
                        </w14:solidFill>
                      </w14:textFill>
                    </w:rPr>
                    <w:t>YX-8</w:t>
                  </w: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全液压勘探钻机</w:t>
                  </w:r>
                </w:p>
              </w:tc>
              <w:tc>
                <w:tcPr>
                  <w:tcW w:w="416" w:type="pct"/>
                  <w:noWrap w:val="0"/>
                  <w:tcMar>
                    <w:top w:w="11" w:type="dxa"/>
                    <w:left w:w="11" w:type="dxa"/>
                    <w:bottom w:w="0" w:type="dxa"/>
                    <w:right w:w="11" w:type="dxa"/>
                  </w:tcMar>
                  <w:vAlign w:val="center"/>
                </w:tcPr>
                <w:p w14:paraId="1D57E9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台</w:t>
                  </w:r>
                </w:p>
              </w:tc>
              <w:tc>
                <w:tcPr>
                  <w:tcW w:w="461" w:type="pct"/>
                  <w:noWrap w:val="0"/>
                  <w:tcMar>
                    <w:top w:w="11" w:type="dxa"/>
                    <w:left w:w="11" w:type="dxa"/>
                    <w:bottom w:w="0" w:type="dxa"/>
                    <w:right w:w="11" w:type="dxa"/>
                  </w:tcMar>
                  <w:vAlign w:val="center"/>
                </w:tcPr>
                <w:p w14:paraId="6AB669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w:t>
                  </w:r>
                </w:p>
              </w:tc>
              <w:tc>
                <w:tcPr>
                  <w:tcW w:w="2763" w:type="pct"/>
                  <w:noWrap w:val="0"/>
                  <w:tcMar>
                    <w:top w:w="11" w:type="dxa"/>
                    <w:left w:w="11" w:type="dxa"/>
                    <w:bottom w:w="0" w:type="dxa"/>
                    <w:right w:w="11" w:type="dxa"/>
                  </w:tcMar>
                  <w:vAlign w:val="center"/>
                </w:tcPr>
                <w:p w14:paraId="3CFC23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钻孔深度900m，钻孔直径75mm，取芯直径56mm；适用于中深孔钻探</w:t>
                  </w:r>
                </w:p>
              </w:tc>
            </w:tr>
            <w:tr w14:paraId="400BB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19" w:type="pct"/>
                  <w:noWrap w:val="0"/>
                  <w:tcMar>
                    <w:top w:w="11" w:type="dxa"/>
                    <w:left w:w="11" w:type="dxa"/>
                    <w:bottom w:w="0" w:type="dxa"/>
                    <w:right w:w="11" w:type="dxa"/>
                  </w:tcMar>
                  <w:vAlign w:val="center"/>
                </w:tcPr>
                <w:p w14:paraId="5E8110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2</w:t>
                  </w:r>
                </w:p>
              </w:tc>
              <w:tc>
                <w:tcPr>
                  <w:tcW w:w="1037" w:type="pct"/>
                  <w:noWrap w:val="0"/>
                  <w:tcMar>
                    <w:top w:w="11" w:type="dxa"/>
                    <w:left w:w="11" w:type="dxa"/>
                    <w:bottom w:w="0" w:type="dxa"/>
                    <w:right w:w="11" w:type="dxa"/>
                  </w:tcMar>
                  <w:vAlign w:val="center"/>
                </w:tcPr>
                <w:p w14:paraId="444CB6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bidi="ar-SA"/>
                      <w14:textFill>
                        <w14:solidFill>
                          <w14:schemeClr w14:val="tx1"/>
                        </w14:solidFill>
                      </w14:textFill>
                    </w:rPr>
                    <w:t>YX-12</w:t>
                  </w: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全液压勘探钻机</w:t>
                  </w:r>
                </w:p>
              </w:tc>
              <w:tc>
                <w:tcPr>
                  <w:tcW w:w="416" w:type="pct"/>
                  <w:noWrap w:val="0"/>
                  <w:tcMar>
                    <w:top w:w="11" w:type="dxa"/>
                    <w:left w:w="11" w:type="dxa"/>
                    <w:bottom w:w="0" w:type="dxa"/>
                    <w:right w:w="11" w:type="dxa"/>
                  </w:tcMar>
                  <w:vAlign w:val="center"/>
                </w:tcPr>
                <w:p w14:paraId="135C63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台</w:t>
                  </w:r>
                </w:p>
              </w:tc>
              <w:tc>
                <w:tcPr>
                  <w:tcW w:w="461" w:type="pct"/>
                  <w:noWrap w:val="0"/>
                  <w:tcMar>
                    <w:top w:w="11" w:type="dxa"/>
                    <w:left w:w="11" w:type="dxa"/>
                    <w:bottom w:w="0" w:type="dxa"/>
                    <w:right w:w="11" w:type="dxa"/>
                  </w:tcMar>
                  <w:vAlign w:val="center"/>
                </w:tcPr>
                <w:p w14:paraId="1026E3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w:t>
                  </w:r>
                </w:p>
              </w:tc>
              <w:tc>
                <w:tcPr>
                  <w:tcW w:w="2763" w:type="pct"/>
                  <w:noWrap w:val="0"/>
                  <w:tcMar>
                    <w:top w:w="11" w:type="dxa"/>
                    <w:left w:w="11" w:type="dxa"/>
                    <w:bottom w:w="0" w:type="dxa"/>
                    <w:right w:w="11" w:type="dxa"/>
                  </w:tcMar>
                  <w:vAlign w:val="center"/>
                </w:tcPr>
                <w:p w14:paraId="4E48AD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钻孔深度1200m，钻孔直径75mm，取芯直径56mm；适用于深孔钻探</w:t>
                  </w:r>
                </w:p>
              </w:tc>
            </w:tr>
            <w:tr w14:paraId="0FDCF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19" w:type="pct"/>
                  <w:noWrap w:val="0"/>
                  <w:tcMar>
                    <w:top w:w="11" w:type="dxa"/>
                    <w:left w:w="11" w:type="dxa"/>
                    <w:bottom w:w="0" w:type="dxa"/>
                    <w:right w:w="11" w:type="dxa"/>
                  </w:tcMar>
                  <w:vAlign w:val="center"/>
                </w:tcPr>
                <w:p w14:paraId="6B2A3F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3</w:t>
                  </w:r>
                </w:p>
              </w:tc>
              <w:tc>
                <w:tcPr>
                  <w:tcW w:w="1037" w:type="pct"/>
                  <w:noWrap w:val="0"/>
                  <w:tcMar>
                    <w:top w:w="11" w:type="dxa"/>
                    <w:left w:w="11" w:type="dxa"/>
                    <w:bottom w:w="0" w:type="dxa"/>
                    <w:right w:w="11" w:type="dxa"/>
                  </w:tcMar>
                  <w:vAlign w:val="center"/>
                </w:tcPr>
                <w:p w14:paraId="1FF7BA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泥浆泵</w:t>
                  </w:r>
                </w:p>
              </w:tc>
              <w:tc>
                <w:tcPr>
                  <w:tcW w:w="416" w:type="pct"/>
                  <w:noWrap w:val="0"/>
                  <w:tcMar>
                    <w:top w:w="11" w:type="dxa"/>
                    <w:left w:w="11" w:type="dxa"/>
                    <w:bottom w:w="0" w:type="dxa"/>
                    <w:right w:w="11" w:type="dxa"/>
                  </w:tcMar>
                  <w:vAlign w:val="center"/>
                </w:tcPr>
                <w:p w14:paraId="3724A7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台</w:t>
                  </w:r>
                </w:p>
              </w:tc>
              <w:tc>
                <w:tcPr>
                  <w:tcW w:w="461" w:type="pct"/>
                  <w:noWrap w:val="0"/>
                  <w:tcMar>
                    <w:top w:w="11" w:type="dxa"/>
                    <w:left w:w="11" w:type="dxa"/>
                    <w:bottom w:w="0" w:type="dxa"/>
                    <w:right w:w="11" w:type="dxa"/>
                  </w:tcMar>
                  <w:vAlign w:val="center"/>
                </w:tcPr>
                <w:p w14:paraId="246533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2</w:t>
                  </w:r>
                </w:p>
              </w:tc>
              <w:tc>
                <w:tcPr>
                  <w:tcW w:w="2763" w:type="pct"/>
                  <w:noWrap w:val="0"/>
                  <w:tcMar>
                    <w:top w:w="11" w:type="dxa"/>
                    <w:left w:w="11" w:type="dxa"/>
                    <w:bottom w:w="0" w:type="dxa"/>
                    <w:right w:w="11" w:type="dxa"/>
                  </w:tcMar>
                  <w:vAlign w:val="center"/>
                </w:tcPr>
                <w:p w14:paraId="3219AA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用于钻孔泥浆循环</w:t>
                  </w:r>
                </w:p>
              </w:tc>
            </w:tr>
            <w:tr w14:paraId="6273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19" w:type="pct"/>
                  <w:noWrap w:val="0"/>
                  <w:tcMar>
                    <w:top w:w="11" w:type="dxa"/>
                    <w:left w:w="11" w:type="dxa"/>
                    <w:bottom w:w="0" w:type="dxa"/>
                    <w:right w:w="11" w:type="dxa"/>
                  </w:tcMar>
                  <w:vAlign w:val="center"/>
                </w:tcPr>
                <w:p w14:paraId="27DBD5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4</w:t>
                  </w:r>
                </w:p>
              </w:tc>
              <w:tc>
                <w:tcPr>
                  <w:tcW w:w="1037" w:type="pct"/>
                  <w:noWrap w:val="0"/>
                  <w:tcMar>
                    <w:top w:w="11" w:type="dxa"/>
                    <w:left w:w="11" w:type="dxa"/>
                    <w:bottom w:w="0" w:type="dxa"/>
                    <w:right w:w="11" w:type="dxa"/>
                  </w:tcMar>
                  <w:vAlign w:val="center"/>
                </w:tcPr>
                <w:p w14:paraId="741AF6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泥浆搅拌机</w:t>
                  </w:r>
                </w:p>
              </w:tc>
              <w:tc>
                <w:tcPr>
                  <w:tcW w:w="416" w:type="pct"/>
                  <w:noWrap w:val="0"/>
                  <w:tcMar>
                    <w:top w:w="11" w:type="dxa"/>
                    <w:left w:w="11" w:type="dxa"/>
                    <w:bottom w:w="0" w:type="dxa"/>
                    <w:right w:w="11" w:type="dxa"/>
                  </w:tcMar>
                  <w:vAlign w:val="center"/>
                </w:tcPr>
                <w:p w14:paraId="54701D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台</w:t>
                  </w:r>
                </w:p>
              </w:tc>
              <w:tc>
                <w:tcPr>
                  <w:tcW w:w="461" w:type="pct"/>
                  <w:noWrap w:val="0"/>
                  <w:tcMar>
                    <w:top w:w="11" w:type="dxa"/>
                    <w:left w:w="11" w:type="dxa"/>
                    <w:bottom w:w="0" w:type="dxa"/>
                    <w:right w:w="11" w:type="dxa"/>
                  </w:tcMar>
                  <w:vAlign w:val="center"/>
                </w:tcPr>
                <w:p w14:paraId="21964F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w:t>
                  </w:r>
                </w:p>
              </w:tc>
              <w:tc>
                <w:tcPr>
                  <w:tcW w:w="2763" w:type="pct"/>
                  <w:noWrap w:val="0"/>
                  <w:tcMar>
                    <w:top w:w="11" w:type="dxa"/>
                    <w:left w:w="11" w:type="dxa"/>
                    <w:bottom w:w="0" w:type="dxa"/>
                    <w:right w:w="11" w:type="dxa"/>
                  </w:tcMar>
                  <w:vAlign w:val="center"/>
                </w:tcPr>
                <w:p w14:paraId="36B828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用于配制钻井液</w:t>
                  </w:r>
                </w:p>
              </w:tc>
            </w:tr>
            <w:tr w14:paraId="2636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19" w:type="pct"/>
                  <w:noWrap w:val="0"/>
                  <w:tcMar>
                    <w:top w:w="11" w:type="dxa"/>
                    <w:left w:w="11" w:type="dxa"/>
                    <w:bottom w:w="0" w:type="dxa"/>
                    <w:right w:w="11" w:type="dxa"/>
                  </w:tcMar>
                  <w:vAlign w:val="center"/>
                </w:tcPr>
                <w:p w14:paraId="5013AE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5</w:t>
                  </w:r>
                </w:p>
              </w:tc>
              <w:tc>
                <w:tcPr>
                  <w:tcW w:w="1037" w:type="pct"/>
                  <w:noWrap w:val="0"/>
                  <w:tcMar>
                    <w:top w:w="11" w:type="dxa"/>
                    <w:left w:w="11" w:type="dxa"/>
                    <w:bottom w:w="0" w:type="dxa"/>
                    <w:right w:w="11" w:type="dxa"/>
                  </w:tcMar>
                  <w:vAlign w:val="center"/>
                </w:tcPr>
                <w:p w14:paraId="0136E0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陀螺测斜仪</w:t>
                  </w:r>
                </w:p>
              </w:tc>
              <w:tc>
                <w:tcPr>
                  <w:tcW w:w="416" w:type="pct"/>
                  <w:shd w:val="clear" w:color="auto" w:fill="auto"/>
                  <w:noWrap w:val="0"/>
                  <w:tcMar>
                    <w:top w:w="11" w:type="dxa"/>
                    <w:left w:w="11" w:type="dxa"/>
                    <w:bottom w:w="0" w:type="dxa"/>
                    <w:right w:w="11" w:type="dxa"/>
                  </w:tcMar>
                  <w:vAlign w:val="center"/>
                </w:tcPr>
                <w:p w14:paraId="2EDCF0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台</w:t>
                  </w:r>
                </w:p>
              </w:tc>
              <w:tc>
                <w:tcPr>
                  <w:tcW w:w="461" w:type="pct"/>
                  <w:shd w:val="clear" w:color="auto" w:fill="auto"/>
                  <w:noWrap w:val="0"/>
                  <w:tcMar>
                    <w:top w:w="11" w:type="dxa"/>
                    <w:left w:w="11" w:type="dxa"/>
                    <w:bottom w:w="0" w:type="dxa"/>
                    <w:right w:w="11" w:type="dxa"/>
                  </w:tcMar>
                  <w:vAlign w:val="center"/>
                </w:tcPr>
                <w:p w14:paraId="1BA8E5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w:t>
                  </w:r>
                </w:p>
              </w:tc>
              <w:tc>
                <w:tcPr>
                  <w:tcW w:w="2763" w:type="pct"/>
                  <w:noWrap w:val="0"/>
                  <w:tcMar>
                    <w:top w:w="11" w:type="dxa"/>
                    <w:left w:w="11" w:type="dxa"/>
                    <w:bottom w:w="0" w:type="dxa"/>
                    <w:right w:w="11" w:type="dxa"/>
                  </w:tcMar>
                  <w:vAlign w:val="center"/>
                </w:tcPr>
                <w:p w14:paraId="709AF6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精确测量钻孔倾角及方位角，确保钻孔轨迹符合设计要求</w:t>
                  </w:r>
                </w:p>
              </w:tc>
            </w:tr>
            <w:tr w14:paraId="2D20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19" w:type="pct"/>
                  <w:noWrap w:val="0"/>
                  <w:tcMar>
                    <w:top w:w="11" w:type="dxa"/>
                    <w:left w:w="11" w:type="dxa"/>
                    <w:bottom w:w="0" w:type="dxa"/>
                    <w:right w:w="11" w:type="dxa"/>
                  </w:tcMar>
                  <w:vAlign w:val="center"/>
                </w:tcPr>
                <w:p w14:paraId="30323A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6</w:t>
                  </w:r>
                </w:p>
              </w:tc>
              <w:tc>
                <w:tcPr>
                  <w:tcW w:w="1037" w:type="pct"/>
                  <w:noWrap w:val="0"/>
                  <w:tcMar>
                    <w:top w:w="11" w:type="dxa"/>
                    <w:left w:w="11" w:type="dxa"/>
                    <w:bottom w:w="0" w:type="dxa"/>
                    <w:right w:w="11" w:type="dxa"/>
                  </w:tcMar>
                  <w:vAlign w:val="center"/>
                </w:tcPr>
                <w:p w14:paraId="0ABC1C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小型挖掘机</w:t>
                  </w:r>
                </w:p>
              </w:tc>
              <w:tc>
                <w:tcPr>
                  <w:tcW w:w="416" w:type="pct"/>
                  <w:noWrap w:val="0"/>
                  <w:tcMar>
                    <w:top w:w="11" w:type="dxa"/>
                    <w:left w:w="11" w:type="dxa"/>
                    <w:bottom w:w="0" w:type="dxa"/>
                    <w:right w:w="11" w:type="dxa"/>
                  </w:tcMar>
                  <w:vAlign w:val="center"/>
                </w:tcPr>
                <w:p w14:paraId="67DF7E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台</w:t>
                  </w:r>
                </w:p>
              </w:tc>
              <w:tc>
                <w:tcPr>
                  <w:tcW w:w="461" w:type="pct"/>
                  <w:noWrap w:val="0"/>
                  <w:tcMar>
                    <w:top w:w="11" w:type="dxa"/>
                    <w:left w:w="11" w:type="dxa"/>
                    <w:bottom w:w="0" w:type="dxa"/>
                    <w:right w:w="11" w:type="dxa"/>
                  </w:tcMar>
                  <w:vAlign w:val="center"/>
                </w:tcPr>
                <w:p w14:paraId="06D798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w:t>
                  </w:r>
                </w:p>
              </w:tc>
              <w:tc>
                <w:tcPr>
                  <w:tcW w:w="2763" w:type="pct"/>
                  <w:noWrap w:val="0"/>
                  <w:tcMar>
                    <w:top w:w="11" w:type="dxa"/>
                    <w:left w:w="11" w:type="dxa"/>
                    <w:bottom w:w="0" w:type="dxa"/>
                    <w:right w:w="11" w:type="dxa"/>
                  </w:tcMar>
                  <w:vAlign w:val="center"/>
                </w:tcPr>
                <w:p w14:paraId="750B9B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用于槽探开挖、场地平整及临时便道修整</w:t>
                  </w:r>
                </w:p>
              </w:tc>
            </w:tr>
            <w:tr w14:paraId="1DFE9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19" w:type="pct"/>
                  <w:noWrap w:val="0"/>
                  <w:tcMar>
                    <w:top w:w="11" w:type="dxa"/>
                    <w:left w:w="11" w:type="dxa"/>
                    <w:bottom w:w="0" w:type="dxa"/>
                    <w:right w:w="11" w:type="dxa"/>
                  </w:tcMar>
                  <w:vAlign w:val="center"/>
                </w:tcPr>
                <w:p w14:paraId="05DF6C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7</w:t>
                  </w:r>
                </w:p>
              </w:tc>
              <w:tc>
                <w:tcPr>
                  <w:tcW w:w="1037" w:type="pct"/>
                  <w:noWrap w:val="0"/>
                  <w:tcMar>
                    <w:top w:w="11" w:type="dxa"/>
                    <w:left w:w="11" w:type="dxa"/>
                    <w:bottom w:w="0" w:type="dxa"/>
                    <w:right w:w="11" w:type="dxa"/>
                  </w:tcMar>
                  <w:vAlign w:val="center"/>
                </w:tcPr>
                <w:p w14:paraId="6B585F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手持式风镐</w:t>
                  </w:r>
                </w:p>
              </w:tc>
              <w:tc>
                <w:tcPr>
                  <w:tcW w:w="416" w:type="pct"/>
                  <w:shd w:val="clear" w:color="auto" w:fill="auto"/>
                  <w:noWrap w:val="0"/>
                  <w:tcMar>
                    <w:top w:w="11" w:type="dxa"/>
                    <w:left w:w="11" w:type="dxa"/>
                    <w:bottom w:w="0" w:type="dxa"/>
                    <w:right w:w="11" w:type="dxa"/>
                  </w:tcMar>
                  <w:vAlign w:val="center"/>
                </w:tcPr>
                <w:p w14:paraId="49170A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台</w:t>
                  </w:r>
                </w:p>
              </w:tc>
              <w:tc>
                <w:tcPr>
                  <w:tcW w:w="461" w:type="pct"/>
                  <w:shd w:val="clear" w:color="auto" w:fill="auto"/>
                  <w:noWrap w:val="0"/>
                  <w:tcMar>
                    <w:top w:w="11" w:type="dxa"/>
                    <w:left w:w="11" w:type="dxa"/>
                    <w:bottom w:w="0" w:type="dxa"/>
                    <w:right w:w="11" w:type="dxa"/>
                  </w:tcMar>
                  <w:vAlign w:val="center"/>
                </w:tcPr>
                <w:p w14:paraId="2F585C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w:t>
                  </w:r>
                </w:p>
              </w:tc>
              <w:tc>
                <w:tcPr>
                  <w:tcW w:w="2763" w:type="pct"/>
                  <w:noWrap w:val="0"/>
                  <w:tcMar>
                    <w:top w:w="11" w:type="dxa"/>
                    <w:left w:w="11" w:type="dxa"/>
                    <w:bottom w:w="0" w:type="dxa"/>
                    <w:right w:w="11" w:type="dxa"/>
                  </w:tcMar>
                  <w:vAlign w:val="center"/>
                </w:tcPr>
                <w:p w14:paraId="516AD6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辅助槽探及岩石破碎</w:t>
                  </w:r>
                </w:p>
              </w:tc>
            </w:tr>
            <w:tr w14:paraId="3A639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19" w:type="pct"/>
                  <w:noWrap w:val="0"/>
                  <w:tcMar>
                    <w:top w:w="11" w:type="dxa"/>
                    <w:left w:w="11" w:type="dxa"/>
                    <w:bottom w:w="0" w:type="dxa"/>
                    <w:right w:w="11" w:type="dxa"/>
                  </w:tcMar>
                  <w:vAlign w:val="center"/>
                </w:tcPr>
                <w:p w14:paraId="0B7877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8</w:t>
                  </w:r>
                </w:p>
              </w:tc>
              <w:tc>
                <w:tcPr>
                  <w:tcW w:w="1037" w:type="pct"/>
                  <w:noWrap w:val="0"/>
                  <w:tcMar>
                    <w:top w:w="11" w:type="dxa"/>
                    <w:left w:w="11" w:type="dxa"/>
                    <w:bottom w:w="0" w:type="dxa"/>
                    <w:right w:w="11" w:type="dxa"/>
                  </w:tcMar>
                  <w:vAlign w:val="center"/>
                </w:tcPr>
                <w:p w14:paraId="67CB84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手持式GPS</w:t>
                  </w:r>
                </w:p>
              </w:tc>
              <w:tc>
                <w:tcPr>
                  <w:tcW w:w="416" w:type="pct"/>
                  <w:shd w:val="clear" w:color="auto" w:fill="auto"/>
                  <w:noWrap w:val="0"/>
                  <w:tcMar>
                    <w:top w:w="11" w:type="dxa"/>
                    <w:left w:w="11" w:type="dxa"/>
                    <w:bottom w:w="0" w:type="dxa"/>
                    <w:right w:w="11" w:type="dxa"/>
                  </w:tcMar>
                  <w:vAlign w:val="center"/>
                </w:tcPr>
                <w:p w14:paraId="15158E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部</w:t>
                  </w:r>
                </w:p>
              </w:tc>
              <w:tc>
                <w:tcPr>
                  <w:tcW w:w="461" w:type="pct"/>
                  <w:shd w:val="clear" w:color="auto" w:fill="auto"/>
                  <w:noWrap w:val="0"/>
                  <w:tcMar>
                    <w:top w:w="11" w:type="dxa"/>
                    <w:left w:w="11" w:type="dxa"/>
                    <w:bottom w:w="0" w:type="dxa"/>
                    <w:right w:w="11" w:type="dxa"/>
                  </w:tcMar>
                  <w:vAlign w:val="center"/>
                </w:tcPr>
                <w:p w14:paraId="0883CA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2</w:t>
                  </w:r>
                </w:p>
              </w:tc>
              <w:tc>
                <w:tcPr>
                  <w:tcW w:w="2763" w:type="pct"/>
                  <w:shd w:val="clear" w:color="auto" w:fill="auto"/>
                  <w:noWrap w:val="0"/>
                  <w:tcMar>
                    <w:top w:w="11" w:type="dxa"/>
                    <w:left w:w="11" w:type="dxa"/>
                    <w:bottom w:w="0" w:type="dxa"/>
                    <w:right w:w="11" w:type="dxa"/>
                  </w:tcMar>
                  <w:vAlign w:val="center"/>
                </w:tcPr>
                <w:p w14:paraId="586802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用于地质点、勘探线及工程点定位</w:t>
                  </w:r>
                </w:p>
              </w:tc>
            </w:tr>
            <w:tr w14:paraId="7572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19" w:type="pct"/>
                  <w:noWrap w:val="0"/>
                  <w:tcMar>
                    <w:top w:w="11" w:type="dxa"/>
                    <w:left w:w="11" w:type="dxa"/>
                    <w:bottom w:w="0" w:type="dxa"/>
                    <w:right w:w="11" w:type="dxa"/>
                  </w:tcMar>
                  <w:vAlign w:val="center"/>
                </w:tcPr>
                <w:p w14:paraId="593831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9</w:t>
                  </w:r>
                </w:p>
              </w:tc>
              <w:tc>
                <w:tcPr>
                  <w:tcW w:w="1037" w:type="pct"/>
                  <w:noWrap w:val="0"/>
                  <w:tcMar>
                    <w:top w:w="11" w:type="dxa"/>
                    <w:left w:w="11" w:type="dxa"/>
                    <w:bottom w:w="0" w:type="dxa"/>
                    <w:right w:w="11" w:type="dxa"/>
                  </w:tcMar>
                  <w:vAlign w:val="center"/>
                </w:tcPr>
                <w:p w14:paraId="61DD9E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RTK测量系统</w:t>
                  </w:r>
                </w:p>
              </w:tc>
              <w:tc>
                <w:tcPr>
                  <w:tcW w:w="416" w:type="pct"/>
                  <w:noWrap w:val="0"/>
                  <w:tcMar>
                    <w:top w:w="11" w:type="dxa"/>
                    <w:left w:w="11" w:type="dxa"/>
                    <w:bottom w:w="0" w:type="dxa"/>
                    <w:right w:w="11" w:type="dxa"/>
                  </w:tcMar>
                  <w:vAlign w:val="center"/>
                </w:tcPr>
                <w:p w14:paraId="42F7C8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套</w:t>
                  </w:r>
                </w:p>
              </w:tc>
              <w:tc>
                <w:tcPr>
                  <w:tcW w:w="461" w:type="pct"/>
                  <w:noWrap w:val="0"/>
                  <w:tcMar>
                    <w:top w:w="11" w:type="dxa"/>
                    <w:left w:w="11" w:type="dxa"/>
                    <w:bottom w:w="0" w:type="dxa"/>
                    <w:right w:w="11" w:type="dxa"/>
                  </w:tcMar>
                  <w:vAlign w:val="center"/>
                </w:tcPr>
                <w:p w14:paraId="49A0D6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3</w:t>
                  </w:r>
                </w:p>
              </w:tc>
              <w:tc>
                <w:tcPr>
                  <w:tcW w:w="2763" w:type="pct"/>
                  <w:noWrap w:val="0"/>
                  <w:tcMar>
                    <w:top w:w="11" w:type="dxa"/>
                    <w:left w:w="11" w:type="dxa"/>
                    <w:bottom w:w="0" w:type="dxa"/>
                    <w:right w:w="11" w:type="dxa"/>
                  </w:tcMar>
                  <w:vAlign w:val="center"/>
                </w:tcPr>
                <w:p w14:paraId="1A9F87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用于地形测量、勘探线剖面测量及工程点精确放样</w:t>
                  </w:r>
                </w:p>
              </w:tc>
            </w:tr>
            <w:tr w14:paraId="5C1C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19" w:type="pct"/>
                  <w:noWrap w:val="0"/>
                  <w:tcMar>
                    <w:top w:w="11" w:type="dxa"/>
                    <w:left w:w="11" w:type="dxa"/>
                    <w:bottom w:w="0" w:type="dxa"/>
                    <w:right w:w="11" w:type="dxa"/>
                  </w:tcMar>
                  <w:vAlign w:val="center"/>
                </w:tcPr>
                <w:p w14:paraId="6CDF7C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10</w:t>
                  </w:r>
                </w:p>
              </w:tc>
              <w:tc>
                <w:tcPr>
                  <w:tcW w:w="1037" w:type="pct"/>
                  <w:noWrap w:val="0"/>
                  <w:tcMar>
                    <w:top w:w="11" w:type="dxa"/>
                    <w:left w:w="11" w:type="dxa"/>
                    <w:bottom w:w="0" w:type="dxa"/>
                    <w:right w:w="11" w:type="dxa"/>
                  </w:tcMar>
                  <w:vAlign w:val="center"/>
                </w:tcPr>
                <w:p w14:paraId="2288CA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地质罗盘</w:t>
                  </w:r>
                </w:p>
              </w:tc>
              <w:tc>
                <w:tcPr>
                  <w:tcW w:w="416" w:type="pct"/>
                  <w:noWrap w:val="0"/>
                  <w:tcMar>
                    <w:top w:w="11" w:type="dxa"/>
                    <w:left w:w="11" w:type="dxa"/>
                    <w:bottom w:w="0" w:type="dxa"/>
                    <w:right w:w="11" w:type="dxa"/>
                  </w:tcMar>
                  <w:vAlign w:val="center"/>
                </w:tcPr>
                <w:p w14:paraId="10BEC4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个</w:t>
                  </w:r>
                </w:p>
              </w:tc>
              <w:tc>
                <w:tcPr>
                  <w:tcW w:w="461" w:type="pct"/>
                  <w:noWrap w:val="0"/>
                  <w:tcMar>
                    <w:top w:w="11" w:type="dxa"/>
                    <w:left w:w="11" w:type="dxa"/>
                    <w:bottom w:w="0" w:type="dxa"/>
                    <w:right w:w="11" w:type="dxa"/>
                  </w:tcMar>
                  <w:vAlign w:val="center"/>
                </w:tcPr>
                <w:p w14:paraId="5A95E6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3</w:t>
                  </w:r>
                </w:p>
              </w:tc>
              <w:tc>
                <w:tcPr>
                  <w:tcW w:w="2763" w:type="pct"/>
                  <w:noWrap w:val="0"/>
                  <w:tcMar>
                    <w:top w:w="11" w:type="dxa"/>
                    <w:left w:w="11" w:type="dxa"/>
                    <w:bottom w:w="0" w:type="dxa"/>
                    <w:right w:w="11" w:type="dxa"/>
                  </w:tcMar>
                  <w:vAlign w:val="center"/>
                </w:tcPr>
                <w:p w14:paraId="05A0B4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测量岩层产状（走向、倾向、倾角）及方位</w:t>
                  </w:r>
                </w:p>
              </w:tc>
            </w:tr>
            <w:tr w14:paraId="455A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19" w:type="pct"/>
                  <w:noWrap w:val="0"/>
                  <w:tcMar>
                    <w:top w:w="11" w:type="dxa"/>
                    <w:left w:w="11" w:type="dxa"/>
                    <w:bottom w:w="0" w:type="dxa"/>
                    <w:right w:w="11" w:type="dxa"/>
                  </w:tcMar>
                  <w:vAlign w:val="center"/>
                </w:tcPr>
                <w:p w14:paraId="53D31E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11</w:t>
                  </w:r>
                </w:p>
              </w:tc>
              <w:tc>
                <w:tcPr>
                  <w:tcW w:w="1037" w:type="pct"/>
                  <w:noWrap w:val="0"/>
                  <w:tcMar>
                    <w:top w:w="11" w:type="dxa"/>
                    <w:left w:w="11" w:type="dxa"/>
                    <w:bottom w:w="0" w:type="dxa"/>
                    <w:right w:w="11" w:type="dxa"/>
                  </w:tcMar>
                  <w:vAlign w:val="center"/>
                </w:tcPr>
                <w:p w14:paraId="0870C4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手持式激光测距仪</w:t>
                  </w:r>
                </w:p>
              </w:tc>
              <w:tc>
                <w:tcPr>
                  <w:tcW w:w="416" w:type="pct"/>
                  <w:noWrap w:val="0"/>
                  <w:tcMar>
                    <w:top w:w="11" w:type="dxa"/>
                    <w:left w:w="11" w:type="dxa"/>
                    <w:bottom w:w="0" w:type="dxa"/>
                    <w:right w:w="11" w:type="dxa"/>
                  </w:tcMar>
                  <w:vAlign w:val="center"/>
                </w:tcPr>
                <w:p w14:paraId="0007F4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台</w:t>
                  </w:r>
                </w:p>
              </w:tc>
              <w:tc>
                <w:tcPr>
                  <w:tcW w:w="461" w:type="pct"/>
                  <w:noWrap w:val="0"/>
                  <w:tcMar>
                    <w:top w:w="11" w:type="dxa"/>
                    <w:left w:w="11" w:type="dxa"/>
                    <w:bottom w:w="0" w:type="dxa"/>
                    <w:right w:w="11" w:type="dxa"/>
                  </w:tcMar>
                  <w:vAlign w:val="center"/>
                </w:tcPr>
                <w:p w14:paraId="66D498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2</w:t>
                  </w:r>
                </w:p>
              </w:tc>
              <w:tc>
                <w:tcPr>
                  <w:tcW w:w="2763" w:type="pct"/>
                  <w:noWrap w:val="0"/>
                  <w:tcMar>
                    <w:top w:w="11" w:type="dxa"/>
                    <w:left w:w="11" w:type="dxa"/>
                    <w:bottom w:w="0" w:type="dxa"/>
                    <w:right w:w="11" w:type="dxa"/>
                  </w:tcMar>
                  <w:vAlign w:val="center"/>
                </w:tcPr>
                <w:p w14:paraId="30281C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测量距离、高度及坡度；辅助地质剖面测量</w:t>
                  </w:r>
                </w:p>
              </w:tc>
            </w:tr>
            <w:tr w14:paraId="0AEC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19" w:type="pct"/>
                  <w:noWrap w:val="0"/>
                  <w:tcMar>
                    <w:top w:w="11" w:type="dxa"/>
                    <w:left w:w="11" w:type="dxa"/>
                    <w:bottom w:w="0" w:type="dxa"/>
                    <w:right w:w="11" w:type="dxa"/>
                  </w:tcMar>
                  <w:vAlign w:val="center"/>
                </w:tcPr>
                <w:p w14:paraId="7F2ABF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12</w:t>
                  </w:r>
                </w:p>
              </w:tc>
              <w:tc>
                <w:tcPr>
                  <w:tcW w:w="1037" w:type="pct"/>
                  <w:noWrap w:val="0"/>
                  <w:tcMar>
                    <w:top w:w="11" w:type="dxa"/>
                    <w:left w:w="11" w:type="dxa"/>
                    <w:bottom w:w="0" w:type="dxa"/>
                    <w:right w:w="11" w:type="dxa"/>
                  </w:tcMar>
                  <w:vAlign w:val="center"/>
                </w:tcPr>
                <w:p w14:paraId="1CFA9B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质子磁力仪</w:t>
                  </w:r>
                </w:p>
              </w:tc>
              <w:tc>
                <w:tcPr>
                  <w:tcW w:w="416" w:type="pct"/>
                  <w:noWrap w:val="0"/>
                  <w:tcMar>
                    <w:top w:w="11" w:type="dxa"/>
                    <w:left w:w="11" w:type="dxa"/>
                    <w:bottom w:w="0" w:type="dxa"/>
                    <w:right w:w="11" w:type="dxa"/>
                  </w:tcMar>
                  <w:vAlign w:val="center"/>
                </w:tcPr>
                <w:p w14:paraId="1D6E47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台</w:t>
                  </w:r>
                </w:p>
              </w:tc>
              <w:tc>
                <w:tcPr>
                  <w:tcW w:w="461" w:type="pct"/>
                  <w:noWrap w:val="0"/>
                  <w:tcMar>
                    <w:top w:w="11" w:type="dxa"/>
                    <w:left w:w="11" w:type="dxa"/>
                    <w:bottom w:w="0" w:type="dxa"/>
                    <w:right w:w="11" w:type="dxa"/>
                  </w:tcMar>
                  <w:vAlign w:val="center"/>
                </w:tcPr>
                <w:p w14:paraId="7C6088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w:t>
                  </w:r>
                </w:p>
              </w:tc>
              <w:tc>
                <w:tcPr>
                  <w:tcW w:w="2763" w:type="pct"/>
                  <w:noWrap w:val="0"/>
                  <w:tcMar>
                    <w:top w:w="11" w:type="dxa"/>
                    <w:left w:w="11" w:type="dxa"/>
                    <w:bottom w:w="0" w:type="dxa"/>
                    <w:right w:w="11" w:type="dxa"/>
                  </w:tcMar>
                  <w:vAlign w:val="center"/>
                </w:tcPr>
                <w:p w14:paraId="364435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用于1:5000高精度磁法测量</w:t>
                  </w:r>
                </w:p>
              </w:tc>
            </w:tr>
            <w:tr w14:paraId="066A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19" w:type="pct"/>
                  <w:noWrap w:val="0"/>
                  <w:tcMar>
                    <w:top w:w="11" w:type="dxa"/>
                    <w:left w:w="11" w:type="dxa"/>
                    <w:bottom w:w="0" w:type="dxa"/>
                    <w:right w:w="11" w:type="dxa"/>
                  </w:tcMar>
                  <w:vAlign w:val="center"/>
                </w:tcPr>
                <w:p w14:paraId="402F96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13</w:t>
                  </w:r>
                </w:p>
              </w:tc>
              <w:tc>
                <w:tcPr>
                  <w:tcW w:w="1037" w:type="pct"/>
                  <w:noWrap w:val="0"/>
                  <w:tcMar>
                    <w:top w:w="11" w:type="dxa"/>
                    <w:left w:w="11" w:type="dxa"/>
                    <w:bottom w:w="0" w:type="dxa"/>
                    <w:right w:w="11" w:type="dxa"/>
                  </w:tcMar>
                  <w:vAlign w:val="center"/>
                </w:tcPr>
                <w:p w14:paraId="0DBF95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大功率激电仪</w:t>
                  </w:r>
                </w:p>
              </w:tc>
              <w:tc>
                <w:tcPr>
                  <w:tcW w:w="416" w:type="pct"/>
                  <w:noWrap w:val="0"/>
                  <w:tcMar>
                    <w:top w:w="11" w:type="dxa"/>
                    <w:left w:w="11" w:type="dxa"/>
                    <w:bottom w:w="0" w:type="dxa"/>
                    <w:right w:w="11" w:type="dxa"/>
                  </w:tcMar>
                  <w:vAlign w:val="center"/>
                </w:tcPr>
                <w:p w14:paraId="69E9A4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套</w:t>
                  </w:r>
                </w:p>
              </w:tc>
              <w:tc>
                <w:tcPr>
                  <w:tcW w:w="461" w:type="pct"/>
                  <w:noWrap w:val="0"/>
                  <w:tcMar>
                    <w:top w:w="11" w:type="dxa"/>
                    <w:left w:w="11" w:type="dxa"/>
                    <w:bottom w:w="0" w:type="dxa"/>
                    <w:right w:w="11" w:type="dxa"/>
                  </w:tcMar>
                  <w:vAlign w:val="center"/>
                </w:tcPr>
                <w:p w14:paraId="2BF5F3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w:t>
                  </w:r>
                </w:p>
              </w:tc>
              <w:tc>
                <w:tcPr>
                  <w:tcW w:w="2763" w:type="pct"/>
                  <w:noWrap w:val="0"/>
                  <w:tcMar>
                    <w:top w:w="11" w:type="dxa"/>
                    <w:left w:w="11" w:type="dxa"/>
                    <w:bottom w:w="0" w:type="dxa"/>
                    <w:right w:w="11" w:type="dxa"/>
                  </w:tcMar>
                  <w:vAlign w:val="center"/>
                </w:tcPr>
                <w:p w14:paraId="0DD2B2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用于1:5000激电中梯测量及激电测深</w:t>
                  </w:r>
                </w:p>
              </w:tc>
            </w:tr>
            <w:tr w14:paraId="358A9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19" w:type="pct"/>
                  <w:noWrap w:val="0"/>
                  <w:tcMar>
                    <w:top w:w="11" w:type="dxa"/>
                    <w:left w:w="11" w:type="dxa"/>
                    <w:bottom w:w="0" w:type="dxa"/>
                    <w:right w:w="11" w:type="dxa"/>
                  </w:tcMar>
                  <w:vAlign w:val="center"/>
                </w:tcPr>
                <w:p w14:paraId="604AF6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14</w:t>
                  </w:r>
                </w:p>
              </w:tc>
              <w:tc>
                <w:tcPr>
                  <w:tcW w:w="1037" w:type="pct"/>
                  <w:noWrap w:val="0"/>
                  <w:tcMar>
                    <w:top w:w="11" w:type="dxa"/>
                    <w:left w:w="11" w:type="dxa"/>
                    <w:bottom w:w="0" w:type="dxa"/>
                    <w:right w:w="11" w:type="dxa"/>
                  </w:tcMar>
                  <w:vAlign w:val="center"/>
                </w:tcPr>
                <w:p w14:paraId="0E363C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手持式X射线荧光分析仪（XRF）</w:t>
                  </w:r>
                </w:p>
              </w:tc>
              <w:tc>
                <w:tcPr>
                  <w:tcW w:w="416" w:type="pct"/>
                  <w:noWrap w:val="0"/>
                  <w:tcMar>
                    <w:top w:w="11" w:type="dxa"/>
                    <w:left w:w="11" w:type="dxa"/>
                    <w:bottom w:w="0" w:type="dxa"/>
                    <w:right w:w="11" w:type="dxa"/>
                  </w:tcMar>
                  <w:vAlign w:val="center"/>
                </w:tcPr>
                <w:p w14:paraId="68BCBE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台</w:t>
                  </w:r>
                </w:p>
              </w:tc>
              <w:tc>
                <w:tcPr>
                  <w:tcW w:w="461" w:type="pct"/>
                  <w:noWrap w:val="0"/>
                  <w:tcMar>
                    <w:top w:w="11" w:type="dxa"/>
                    <w:left w:w="11" w:type="dxa"/>
                    <w:bottom w:w="0" w:type="dxa"/>
                    <w:right w:w="11" w:type="dxa"/>
                  </w:tcMar>
                  <w:vAlign w:val="center"/>
                </w:tcPr>
                <w:p w14:paraId="059B30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w:t>
                  </w:r>
                </w:p>
              </w:tc>
              <w:tc>
                <w:tcPr>
                  <w:tcW w:w="2763" w:type="pct"/>
                  <w:noWrap w:val="0"/>
                  <w:tcMar>
                    <w:top w:w="11" w:type="dxa"/>
                    <w:left w:w="11" w:type="dxa"/>
                    <w:bottom w:w="0" w:type="dxa"/>
                    <w:right w:w="11" w:type="dxa"/>
                  </w:tcMar>
                  <w:vAlign w:val="center"/>
                </w:tcPr>
                <w:p w14:paraId="6D2206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快速测定岩石、土壤中Au、Ag、Cu、Pb、Zn等13种元素含量；用于化探异常现场查证</w:t>
                  </w:r>
                </w:p>
              </w:tc>
            </w:tr>
            <w:tr w14:paraId="0E33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19" w:type="pct"/>
                  <w:noWrap w:val="0"/>
                  <w:tcMar>
                    <w:top w:w="11" w:type="dxa"/>
                    <w:left w:w="11" w:type="dxa"/>
                    <w:bottom w:w="0" w:type="dxa"/>
                    <w:right w:w="11" w:type="dxa"/>
                  </w:tcMar>
                  <w:vAlign w:val="center"/>
                </w:tcPr>
                <w:p w14:paraId="5CB314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15</w:t>
                  </w:r>
                </w:p>
              </w:tc>
              <w:tc>
                <w:tcPr>
                  <w:tcW w:w="1037" w:type="pct"/>
                  <w:noWrap w:val="0"/>
                  <w:tcMar>
                    <w:top w:w="11" w:type="dxa"/>
                    <w:left w:w="11" w:type="dxa"/>
                    <w:bottom w:w="0" w:type="dxa"/>
                    <w:right w:w="11" w:type="dxa"/>
                  </w:tcMar>
                  <w:vAlign w:val="center"/>
                </w:tcPr>
                <w:p w14:paraId="6F8081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岩芯切割机</w:t>
                  </w:r>
                </w:p>
              </w:tc>
              <w:tc>
                <w:tcPr>
                  <w:tcW w:w="416" w:type="pct"/>
                  <w:noWrap w:val="0"/>
                  <w:tcMar>
                    <w:top w:w="11" w:type="dxa"/>
                    <w:left w:w="11" w:type="dxa"/>
                    <w:bottom w:w="0" w:type="dxa"/>
                    <w:right w:w="11" w:type="dxa"/>
                  </w:tcMar>
                  <w:vAlign w:val="center"/>
                </w:tcPr>
                <w:p w14:paraId="41F1EC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台</w:t>
                  </w:r>
                </w:p>
              </w:tc>
              <w:tc>
                <w:tcPr>
                  <w:tcW w:w="461" w:type="pct"/>
                  <w:noWrap w:val="0"/>
                  <w:tcMar>
                    <w:top w:w="11" w:type="dxa"/>
                    <w:left w:w="11" w:type="dxa"/>
                    <w:bottom w:w="0" w:type="dxa"/>
                    <w:right w:w="11" w:type="dxa"/>
                  </w:tcMar>
                  <w:vAlign w:val="center"/>
                </w:tcPr>
                <w:p w14:paraId="07C2C2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w:t>
                  </w:r>
                </w:p>
              </w:tc>
              <w:tc>
                <w:tcPr>
                  <w:tcW w:w="2763" w:type="pct"/>
                  <w:noWrap w:val="0"/>
                  <w:tcMar>
                    <w:top w:w="11" w:type="dxa"/>
                    <w:left w:w="11" w:type="dxa"/>
                    <w:bottom w:w="0" w:type="dxa"/>
                    <w:right w:w="11" w:type="dxa"/>
                  </w:tcMar>
                  <w:vAlign w:val="center"/>
                </w:tcPr>
                <w:p w14:paraId="21C49D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将岩芯沿轴向切割为两半，一半送检一半留存</w:t>
                  </w:r>
                </w:p>
              </w:tc>
            </w:tr>
            <w:tr w14:paraId="0D46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9" w:type="pct"/>
                  <w:noWrap w:val="0"/>
                  <w:tcMar>
                    <w:top w:w="11" w:type="dxa"/>
                    <w:left w:w="11" w:type="dxa"/>
                    <w:bottom w:w="0" w:type="dxa"/>
                    <w:right w:w="11" w:type="dxa"/>
                  </w:tcMar>
                  <w:vAlign w:val="center"/>
                </w:tcPr>
                <w:p w14:paraId="2FDC8E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16</w:t>
                  </w:r>
                </w:p>
              </w:tc>
              <w:tc>
                <w:tcPr>
                  <w:tcW w:w="1037" w:type="pct"/>
                  <w:noWrap w:val="0"/>
                  <w:tcMar>
                    <w:top w:w="11" w:type="dxa"/>
                    <w:left w:w="11" w:type="dxa"/>
                    <w:bottom w:w="0" w:type="dxa"/>
                    <w:right w:w="11" w:type="dxa"/>
                  </w:tcMar>
                  <w:vAlign w:val="center"/>
                </w:tcPr>
                <w:p w14:paraId="7683A1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柴油发电机</w:t>
                  </w:r>
                </w:p>
              </w:tc>
              <w:tc>
                <w:tcPr>
                  <w:tcW w:w="416" w:type="pct"/>
                  <w:noWrap w:val="0"/>
                  <w:tcMar>
                    <w:top w:w="11" w:type="dxa"/>
                    <w:left w:w="11" w:type="dxa"/>
                    <w:bottom w:w="0" w:type="dxa"/>
                    <w:right w:w="11" w:type="dxa"/>
                  </w:tcMar>
                  <w:vAlign w:val="center"/>
                </w:tcPr>
                <w:p w14:paraId="631D19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台</w:t>
                  </w:r>
                </w:p>
              </w:tc>
              <w:tc>
                <w:tcPr>
                  <w:tcW w:w="461" w:type="pct"/>
                  <w:noWrap w:val="0"/>
                  <w:tcMar>
                    <w:top w:w="11" w:type="dxa"/>
                    <w:left w:w="11" w:type="dxa"/>
                    <w:bottom w:w="0" w:type="dxa"/>
                    <w:right w:w="11" w:type="dxa"/>
                  </w:tcMar>
                  <w:vAlign w:val="center"/>
                </w:tcPr>
                <w:p w14:paraId="64A886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2</w:t>
                  </w:r>
                </w:p>
              </w:tc>
              <w:tc>
                <w:tcPr>
                  <w:tcW w:w="2763" w:type="pct"/>
                  <w:noWrap w:val="0"/>
                  <w:tcMar>
                    <w:top w:w="11" w:type="dxa"/>
                    <w:left w:w="11" w:type="dxa"/>
                    <w:bottom w:w="0" w:type="dxa"/>
                    <w:right w:w="11" w:type="dxa"/>
                  </w:tcMar>
                  <w:vAlign w:val="center"/>
                </w:tcPr>
                <w:p w14:paraId="48E09E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为钻机及物探设备供电</w:t>
                  </w:r>
                </w:p>
              </w:tc>
            </w:tr>
            <w:tr w14:paraId="2CEEE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5" w:hRule="atLeast"/>
                <w:jc w:val="center"/>
              </w:trPr>
              <w:tc>
                <w:tcPr>
                  <w:tcW w:w="319" w:type="pct"/>
                  <w:noWrap w:val="0"/>
                  <w:tcMar>
                    <w:top w:w="11" w:type="dxa"/>
                    <w:left w:w="11" w:type="dxa"/>
                    <w:bottom w:w="0" w:type="dxa"/>
                    <w:right w:w="11" w:type="dxa"/>
                  </w:tcMar>
                  <w:vAlign w:val="center"/>
                </w:tcPr>
                <w:p w14:paraId="7B7F53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17</w:t>
                  </w:r>
                </w:p>
              </w:tc>
              <w:tc>
                <w:tcPr>
                  <w:tcW w:w="1037" w:type="pct"/>
                  <w:noWrap w:val="0"/>
                  <w:tcMar>
                    <w:top w:w="11" w:type="dxa"/>
                    <w:left w:w="11" w:type="dxa"/>
                    <w:bottom w:w="0" w:type="dxa"/>
                    <w:right w:w="11" w:type="dxa"/>
                  </w:tcMar>
                  <w:vAlign w:val="center"/>
                </w:tcPr>
                <w:p w14:paraId="5411EF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越野车</w:t>
                  </w:r>
                </w:p>
              </w:tc>
              <w:tc>
                <w:tcPr>
                  <w:tcW w:w="416" w:type="pct"/>
                  <w:shd w:val="clear" w:color="auto" w:fill="auto"/>
                  <w:noWrap w:val="0"/>
                  <w:tcMar>
                    <w:top w:w="11" w:type="dxa"/>
                    <w:left w:w="11" w:type="dxa"/>
                    <w:bottom w:w="0" w:type="dxa"/>
                    <w:right w:w="11" w:type="dxa"/>
                  </w:tcMar>
                  <w:vAlign w:val="center"/>
                </w:tcPr>
                <w:p w14:paraId="1B222E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台</w:t>
                  </w:r>
                </w:p>
              </w:tc>
              <w:tc>
                <w:tcPr>
                  <w:tcW w:w="461" w:type="pct"/>
                  <w:shd w:val="clear" w:color="auto" w:fill="auto"/>
                  <w:noWrap w:val="0"/>
                  <w:tcMar>
                    <w:top w:w="11" w:type="dxa"/>
                    <w:left w:w="11" w:type="dxa"/>
                    <w:bottom w:w="0" w:type="dxa"/>
                    <w:right w:w="11" w:type="dxa"/>
                  </w:tcMar>
                  <w:vAlign w:val="center"/>
                </w:tcPr>
                <w:p w14:paraId="63A5F4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2</w:t>
                  </w:r>
                </w:p>
              </w:tc>
              <w:tc>
                <w:tcPr>
                  <w:tcW w:w="2763" w:type="pct"/>
                  <w:noWrap w:val="0"/>
                  <w:tcMar>
                    <w:top w:w="11" w:type="dxa"/>
                    <w:left w:w="11" w:type="dxa"/>
                    <w:bottom w:w="0" w:type="dxa"/>
                    <w:right w:w="11" w:type="dxa"/>
                  </w:tcMar>
                  <w:vAlign w:val="center"/>
                </w:tcPr>
                <w:p w14:paraId="010411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用于人员通勤及物资运输</w:t>
                  </w:r>
                </w:p>
              </w:tc>
            </w:tr>
            <w:tr w14:paraId="1CF0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9" w:type="pct"/>
                  <w:shd w:val="clear" w:color="auto" w:fill="auto"/>
                  <w:noWrap w:val="0"/>
                  <w:tcMar>
                    <w:top w:w="11" w:type="dxa"/>
                    <w:left w:w="11" w:type="dxa"/>
                    <w:bottom w:w="0" w:type="dxa"/>
                    <w:right w:w="11" w:type="dxa"/>
                  </w:tcMar>
                  <w:vAlign w:val="center"/>
                </w:tcPr>
                <w:p w14:paraId="150249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18</w:t>
                  </w:r>
                </w:p>
              </w:tc>
              <w:tc>
                <w:tcPr>
                  <w:tcW w:w="1037" w:type="pct"/>
                  <w:shd w:val="clear" w:color="auto" w:fill="auto"/>
                  <w:noWrap w:val="0"/>
                  <w:tcMar>
                    <w:top w:w="11" w:type="dxa"/>
                    <w:left w:w="11" w:type="dxa"/>
                    <w:bottom w:w="0" w:type="dxa"/>
                    <w:right w:w="11" w:type="dxa"/>
                  </w:tcMar>
                  <w:vAlign w:val="center"/>
                </w:tcPr>
                <w:p w14:paraId="651626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水罐车</w:t>
                  </w:r>
                </w:p>
              </w:tc>
              <w:tc>
                <w:tcPr>
                  <w:tcW w:w="416" w:type="pct"/>
                  <w:shd w:val="clear" w:color="auto" w:fill="auto"/>
                  <w:noWrap w:val="0"/>
                  <w:tcMar>
                    <w:top w:w="11" w:type="dxa"/>
                    <w:left w:w="11" w:type="dxa"/>
                    <w:bottom w:w="0" w:type="dxa"/>
                    <w:right w:w="11" w:type="dxa"/>
                  </w:tcMar>
                  <w:vAlign w:val="center"/>
                </w:tcPr>
                <w:p w14:paraId="4DDA9E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台</w:t>
                  </w:r>
                </w:p>
              </w:tc>
              <w:tc>
                <w:tcPr>
                  <w:tcW w:w="461" w:type="pct"/>
                  <w:shd w:val="clear" w:color="auto" w:fill="auto"/>
                  <w:noWrap w:val="0"/>
                  <w:tcMar>
                    <w:top w:w="11" w:type="dxa"/>
                    <w:left w:w="11" w:type="dxa"/>
                    <w:bottom w:w="0" w:type="dxa"/>
                    <w:right w:w="11" w:type="dxa"/>
                  </w:tcMar>
                  <w:vAlign w:val="center"/>
                </w:tcPr>
                <w:p w14:paraId="565F5A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1</w:t>
                  </w:r>
                </w:p>
              </w:tc>
              <w:tc>
                <w:tcPr>
                  <w:tcW w:w="2763" w:type="pct"/>
                  <w:shd w:val="clear" w:color="auto" w:fill="auto"/>
                  <w:noWrap w:val="0"/>
                  <w:tcMar>
                    <w:top w:w="11" w:type="dxa"/>
                    <w:left w:w="11" w:type="dxa"/>
                    <w:bottom w:w="0" w:type="dxa"/>
                    <w:right w:w="11" w:type="dxa"/>
                  </w:tcMar>
                  <w:vAlign w:val="center"/>
                </w:tcPr>
                <w:p w14:paraId="1496A5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用于从</w:t>
                  </w:r>
                  <w:r>
                    <w:rPr>
                      <w:rFonts w:hint="default" w:ascii="Times New Roman" w:hAnsi="Times New Roman" w:cs="Times New Roman"/>
                      <w:i w:val="0"/>
                      <w:iCs w:val="0"/>
                      <w:caps w:val="0"/>
                      <w:color w:val="000000" w:themeColor="text1"/>
                      <w:spacing w:val="0"/>
                      <w:sz w:val="21"/>
                      <w:szCs w:val="21"/>
                      <w:shd w:val="clear" w:fill="FFFFFF"/>
                      <w:lang w:eastAsia="zh-CN"/>
                      <w14:textFill>
                        <w14:solidFill>
                          <w14:schemeClr w14:val="tx1"/>
                        </w14:solidFill>
                      </w14:textFill>
                    </w:rPr>
                    <w:t>木垒哈萨克自治县</w:t>
                  </w: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城拉运生产及生活用水</w:t>
                  </w:r>
                </w:p>
              </w:tc>
            </w:tr>
          </w:tbl>
          <w:p w14:paraId="6F4041AA">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pPr>
            <w:r>
              <w:rPr>
                <w:rFonts w:hint="default" w:ascii="Times New Roman" w:hAnsi="Times New Roman" w:cs="Times New Roman"/>
                <w:b/>
                <w:bCs/>
                <w:color w:val="000000" w:themeColor="text1"/>
                <w:kern w:val="0"/>
                <w:sz w:val="24"/>
                <w:szCs w:val="24"/>
                <w:lang w:val="en-US" w:eastAsia="zh-CN"/>
                <w14:textFill>
                  <w14:solidFill>
                    <w14:schemeClr w14:val="tx1"/>
                  </w14:solidFill>
                </w14:textFill>
              </w:rPr>
              <w:t>5.</w:t>
            </w:r>
            <w:r>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t>主要原辅材料</w:t>
            </w:r>
            <w:r>
              <w:rPr>
                <w:rFonts w:hint="default" w:ascii="Times New Roman" w:hAnsi="Times New Roman" w:cs="Times New Roman"/>
                <w:b/>
                <w:bCs/>
                <w:color w:val="000000" w:themeColor="text1"/>
                <w:kern w:val="0"/>
                <w:sz w:val="24"/>
                <w:szCs w:val="24"/>
                <w:lang w:val="en-US" w:eastAsia="zh-CN"/>
                <w14:textFill>
                  <w14:solidFill>
                    <w14:schemeClr w14:val="tx1"/>
                  </w14:solidFill>
                </w14:textFill>
              </w:rPr>
              <w:t>及理化性质</w:t>
            </w:r>
          </w:p>
          <w:p w14:paraId="28D8D810">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pPr>
            <w:r>
              <w:rPr>
                <w:rFonts w:hint="default" w:ascii="Times New Roman" w:hAnsi="Times New Roman" w:cs="Times New Roman"/>
                <w:b/>
                <w:bCs/>
                <w:color w:val="000000" w:themeColor="text1"/>
                <w:kern w:val="0"/>
                <w:sz w:val="24"/>
                <w:szCs w:val="24"/>
                <w:lang w:val="en-US" w:eastAsia="zh-CN"/>
                <w14:textFill>
                  <w14:solidFill>
                    <w14:schemeClr w14:val="tx1"/>
                  </w14:solidFill>
                </w14:textFill>
              </w:rPr>
              <w:t>（1）主要原辅材料</w:t>
            </w:r>
          </w:p>
          <w:p w14:paraId="04B9289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本项目生产所需主要原辅材料及能源消耗情况见表</w:t>
            </w:r>
            <w:r>
              <w:rPr>
                <w:rFonts w:hint="default" w:ascii="Times New Roman" w:hAnsi="Times New Roman" w:cs="Times New Roman"/>
                <w:color w:val="000000" w:themeColor="text1"/>
                <w:kern w:val="0"/>
                <w:sz w:val="24"/>
                <w:szCs w:val="24"/>
                <w:lang w:val="en-US" w:eastAsia="zh-CN"/>
                <w14:textFill>
                  <w14:solidFill>
                    <w14:schemeClr w14:val="tx1"/>
                  </w14:solidFill>
                </w14:textFill>
              </w:rPr>
              <w:t>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w:t>
            </w:r>
          </w:p>
          <w:p w14:paraId="795F47E9">
            <w:pPr>
              <w:keepNext/>
              <w:keepLines/>
              <w:widowControl w:val="0"/>
              <w:bidi w:val="0"/>
              <w:spacing w:beforeLines="0" w:beforeAutospacing="0" w:afterLines="0" w:afterAutospacing="0" w:line="240" w:lineRule="auto"/>
              <w:ind w:firstLine="0" w:firstLineChars="0"/>
              <w:jc w:val="center"/>
              <w:outlineLvl w:val="3"/>
              <w:rPr>
                <w:rFonts w:hint="default" w:ascii="Times New Roman" w:hAnsi="Times New Roman" w:eastAsia="黑体" w:cs="Times New Roman"/>
                <w:b/>
                <w:color w:val="000000" w:themeColor="text1"/>
                <w:kern w:val="2"/>
                <w:sz w:val="21"/>
                <w:szCs w:val="24"/>
                <w:lang w:val="en-US" w:eastAsia="zh-CN" w:bidi="ar-SA"/>
                <w14:textFill>
                  <w14:solidFill>
                    <w14:schemeClr w14:val="tx1"/>
                  </w14:solidFill>
                </w14:textFill>
              </w:rPr>
            </w:pPr>
            <w:r>
              <w:rPr>
                <w:rFonts w:hint="default" w:ascii="Times New Roman" w:hAnsi="Times New Roman" w:eastAsia="黑体" w:cs="Times New Roman"/>
                <w:b/>
                <w:color w:val="000000" w:themeColor="text1"/>
                <w:kern w:val="2"/>
                <w:sz w:val="21"/>
                <w:szCs w:val="24"/>
                <w:lang w:val="en-US" w:eastAsia="zh-CN" w:bidi="ar-SA"/>
                <w14:textFill>
                  <w14:solidFill>
                    <w14:schemeClr w14:val="tx1"/>
                  </w14:solidFill>
                </w14:textFill>
              </w:rPr>
              <w:t>表2-4    原辅材料估算用量表</w:t>
            </w:r>
          </w:p>
          <w:tbl>
            <w:tblPr>
              <w:tblStyle w:val="14"/>
              <w:tblW w:w="8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080"/>
              <w:gridCol w:w="855"/>
              <w:gridCol w:w="2865"/>
              <w:gridCol w:w="2305"/>
            </w:tblGrid>
            <w:tr w14:paraId="2E4C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01BE84C2">
                  <w:pPr>
                    <w:keepNext/>
                    <w:keepLines/>
                    <w:pageBreakBefore w:val="0"/>
                    <w:widowControl w:val="0"/>
                    <w:kinsoku/>
                    <w:wordWrap/>
                    <w:overflowPunct/>
                    <w:topLinePunct w:val="0"/>
                    <w:autoSpaceDE/>
                    <w:autoSpaceDN/>
                    <w:bidi w:val="0"/>
                    <w:adjustRightInd/>
                    <w:snapToGrid/>
                    <w:spacing w:beforeLines="0" w:beforeAutospacing="0" w:afterLines="0" w:afterAutospacing="0" w:line="240" w:lineRule="auto"/>
                    <w:ind w:firstLine="0" w:firstLineChars="0"/>
                    <w:jc w:val="center"/>
                    <w:textAlignment w:val="auto"/>
                    <w:outlineLvl w:val="3"/>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t>类别</w:t>
                  </w:r>
                </w:p>
              </w:tc>
              <w:tc>
                <w:tcPr>
                  <w:tcW w:w="1080" w:type="dxa"/>
                  <w:vAlign w:val="center"/>
                </w:tcPr>
                <w:p w14:paraId="55F6E7A1">
                  <w:pPr>
                    <w:keepNext/>
                    <w:keepLines/>
                    <w:pageBreakBefore w:val="0"/>
                    <w:widowControl w:val="0"/>
                    <w:kinsoku/>
                    <w:wordWrap/>
                    <w:overflowPunct/>
                    <w:topLinePunct w:val="0"/>
                    <w:autoSpaceDE/>
                    <w:autoSpaceDN/>
                    <w:bidi w:val="0"/>
                    <w:adjustRightInd/>
                    <w:snapToGrid/>
                    <w:spacing w:beforeLines="0" w:beforeAutospacing="0" w:afterLines="0" w:afterAutospacing="0" w:line="240" w:lineRule="auto"/>
                    <w:ind w:firstLine="0" w:firstLineChars="0"/>
                    <w:jc w:val="center"/>
                    <w:textAlignment w:val="auto"/>
                    <w:outlineLvl w:val="3"/>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t>物料名称</w:t>
                  </w:r>
                </w:p>
              </w:tc>
              <w:tc>
                <w:tcPr>
                  <w:tcW w:w="855" w:type="dxa"/>
                  <w:vAlign w:val="center"/>
                </w:tcPr>
                <w:p w14:paraId="528E7C9E">
                  <w:pPr>
                    <w:keepNext/>
                    <w:keepLines/>
                    <w:pageBreakBefore w:val="0"/>
                    <w:widowControl w:val="0"/>
                    <w:kinsoku/>
                    <w:wordWrap/>
                    <w:overflowPunct/>
                    <w:topLinePunct w:val="0"/>
                    <w:autoSpaceDE/>
                    <w:autoSpaceDN/>
                    <w:bidi w:val="0"/>
                    <w:adjustRightInd/>
                    <w:snapToGrid/>
                    <w:spacing w:beforeLines="0" w:beforeAutospacing="0" w:afterLines="0" w:afterAutospacing="0" w:line="240" w:lineRule="auto"/>
                    <w:ind w:firstLine="0" w:firstLineChars="0"/>
                    <w:jc w:val="center"/>
                    <w:textAlignment w:val="auto"/>
                    <w:outlineLvl w:val="3"/>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t>消耗量</w:t>
                  </w:r>
                </w:p>
              </w:tc>
              <w:tc>
                <w:tcPr>
                  <w:tcW w:w="2865" w:type="dxa"/>
                  <w:vAlign w:val="center"/>
                </w:tcPr>
                <w:p w14:paraId="6173F4D9">
                  <w:pPr>
                    <w:keepNext/>
                    <w:keepLines/>
                    <w:pageBreakBefore w:val="0"/>
                    <w:widowControl w:val="0"/>
                    <w:kinsoku/>
                    <w:wordWrap/>
                    <w:overflowPunct/>
                    <w:topLinePunct w:val="0"/>
                    <w:autoSpaceDE/>
                    <w:autoSpaceDN/>
                    <w:bidi w:val="0"/>
                    <w:adjustRightInd/>
                    <w:snapToGrid/>
                    <w:spacing w:beforeLines="0" w:beforeAutospacing="0" w:afterLines="0" w:afterAutospacing="0" w:line="240" w:lineRule="auto"/>
                    <w:ind w:firstLine="0" w:firstLineChars="0"/>
                    <w:jc w:val="center"/>
                    <w:textAlignment w:val="auto"/>
                    <w:outlineLvl w:val="3"/>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t>包装/贮存方式</w:t>
                  </w:r>
                </w:p>
              </w:tc>
              <w:tc>
                <w:tcPr>
                  <w:tcW w:w="2305" w:type="dxa"/>
                  <w:vAlign w:val="center"/>
                </w:tcPr>
                <w:p w14:paraId="5BCFA51F">
                  <w:pPr>
                    <w:keepNext/>
                    <w:keepLines/>
                    <w:pageBreakBefore w:val="0"/>
                    <w:widowControl w:val="0"/>
                    <w:kinsoku/>
                    <w:wordWrap/>
                    <w:overflowPunct/>
                    <w:topLinePunct w:val="0"/>
                    <w:autoSpaceDE/>
                    <w:autoSpaceDN/>
                    <w:bidi w:val="0"/>
                    <w:adjustRightInd/>
                    <w:snapToGrid/>
                    <w:spacing w:beforeLines="0" w:beforeAutospacing="0" w:afterLines="0" w:afterAutospacing="0" w:line="240" w:lineRule="auto"/>
                    <w:ind w:firstLine="0" w:firstLineChars="0"/>
                    <w:jc w:val="center"/>
                    <w:textAlignment w:val="auto"/>
                    <w:outlineLvl w:val="3"/>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t>备注</w:t>
                  </w:r>
                </w:p>
              </w:tc>
            </w:tr>
            <w:tr w14:paraId="4397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restart"/>
                  <w:vAlign w:val="center"/>
                </w:tcPr>
                <w:p w14:paraId="50278FD5">
                  <w:pPr>
                    <w:keepNext/>
                    <w:keepLines/>
                    <w:pageBreakBefore w:val="0"/>
                    <w:widowControl w:val="0"/>
                    <w:kinsoku/>
                    <w:wordWrap/>
                    <w:overflowPunct/>
                    <w:topLinePunct w:val="0"/>
                    <w:autoSpaceDE/>
                    <w:autoSpaceDN/>
                    <w:bidi w:val="0"/>
                    <w:adjustRightInd/>
                    <w:snapToGrid/>
                    <w:spacing w:beforeLines="0" w:beforeAutospacing="0" w:afterLines="0" w:afterAutospacing="0" w:line="240" w:lineRule="auto"/>
                    <w:ind w:firstLine="0" w:firstLineChars="0"/>
                    <w:jc w:val="center"/>
                    <w:textAlignment w:val="auto"/>
                    <w:outlineLvl w:val="3"/>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vertAlign w:val="baseline"/>
                      <w:lang w:val="en-US" w:eastAsia="zh-CN" w:bidi="ar-SA"/>
                      <w14:textFill>
                        <w14:solidFill>
                          <w14:schemeClr w14:val="tx1"/>
                        </w14:solidFill>
                      </w14:textFill>
                    </w:rPr>
                    <w:t>钻探助剂</w:t>
                  </w:r>
                </w:p>
              </w:tc>
              <w:tc>
                <w:tcPr>
                  <w:tcW w:w="1080" w:type="dxa"/>
                  <w:shd w:val="clear" w:color="auto" w:fill="FFFFFF"/>
                  <w:vAlign w:val="center"/>
                </w:tcPr>
                <w:p w14:paraId="7C8BAE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膨润土</w:t>
                  </w:r>
                </w:p>
              </w:tc>
              <w:tc>
                <w:tcPr>
                  <w:tcW w:w="855" w:type="dxa"/>
                  <w:shd w:val="clear" w:color="auto" w:fill="FFFFFF"/>
                  <w:vAlign w:val="center"/>
                </w:tcPr>
                <w:p w14:paraId="6F03A3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6.0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t</w:t>
                  </w:r>
                </w:p>
              </w:tc>
              <w:tc>
                <w:tcPr>
                  <w:tcW w:w="2865" w:type="dxa"/>
                  <w:shd w:val="clear" w:color="auto" w:fill="FFFFFF"/>
                  <w:vAlign w:val="center"/>
                </w:tcPr>
                <w:p w14:paraId="0A4393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袋装（25kg/袋），堆放于钻机平台。</w:t>
                  </w:r>
                </w:p>
              </w:tc>
              <w:tc>
                <w:tcPr>
                  <w:tcW w:w="2305" w:type="dxa"/>
                  <w:shd w:val="clear" w:color="auto" w:fill="FFFFFF"/>
                  <w:vAlign w:val="center"/>
                </w:tcPr>
                <w:p w14:paraId="7241BF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用于配制钻井液，增黏护壁。</w:t>
                  </w:r>
                </w:p>
              </w:tc>
            </w:tr>
            <w:tr w14:paraId="46F3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continue"/>
                  <w:vAlign w:val="center"/>
                </w:tcPr>
                <w:p w14:paraId="5B37C766">
                  <w:pPr>
                    <w:keepNext/>
                    <w:keepLines/>
                    <w:pageBreakBefore w:val="0"/>
                    <w:widowControl w:val="0"/>
                    <w:kinsoku/>
                    <w:wordWrap/>
                    <w:overflowPunct/>
                    <w:topLinePunct w:val="0"/>
                    <w:autoSpaceDE/>
                    <w:autoSpaceDN/>
                    <w:bidi w:val="0"/>
                    <w:adjustRightInd/>
                    <w:snapToGrid/>
                    <w:spacing w:beforeLines="0" w:beforeAutospacing="0" w:afterLines="0" w:afterAutospacing="0" w:line="240" w:lineRule="auto"/>
                    <w:ind w:firstLine="0" w:firstLineChars="0"/>
                    <w:jc w:val="center"/>
                    <w:textAlignment w:val="auto"/>
                    <w:outlineLvl w:val="3"/>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pPr>
                </w:p>
              </w:tc>
              <w:tc>
                <w:tcPr>
                  <w:tcW w:w="1080" w:type="dxa"/>
                  <w:shd w:val="clear" w:color="auto" w:fill="FFFFFF"/>
                  <w:vAlign w:val="center"/>
                </w:tcPr>
                <w:p w14:paraId="50201F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速氪散</w:t>
                  </w:r>
                </w:p>
              </w:tc>
              <w:tc>
                <w:tcPr>
                  <w:tcW w:w="855" w:type="dxa"/>
                  <w:shd w:val="clear" w:color="auto" w:fill="FFFFFF"/>
                  <w:vAlign w:val="center"/>
                </w:tcPr>
                <w:p w14:paraId="666F5E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t</w:t>
                  </w:r>
                </w:p>
              </w:tc>
              <w:tc>
                <w:tcPr>
                  <w:tcW w:w="2865" w:type="dxa"/>
                  <w:shd w:val="clear" w:color="auto" w:fill="FFFFFF"/>
                  <w:vAlign w:val="center"/>
                </w:tcPr>
                <w:p w14:paraId="4E51B4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袋装（25kg/袋），堆放于钻机平台</w:t>
                  </w:r>
                </w:p>
              </w:tc>
              <w:tc>
                <w:tcPr>
                  <w:tcW w:w="2305" w:type="dxa"/>
                  <w:shd w:val="clear" w:color="auto" w:fill="FFFFFF"/>
                  <w:vAlign w:val="center"/>
                </w:tcPr>
                <w:p w14:paraId="1EC841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降滤失剂，控制泥浆水分渗入地层。</w:t>
                  </w:r>
                </w:p>
              </w:tc>
            </w:tr>
            <w:tr w14:paraId="2D300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continue"/>
                  <w:vAlign w:val="center"/>
                </w:tcPr>
                <w:p w14:paraId="0240A551">
                  <w:pPr>
                    <w:keepNext/>
                    <w:keepLines/>
                    <w:pageBreakBefore w:val="0"/>
                    <w:widowControl w:val="0"/>
                    <w:kinsoku/>
                    <w:wordWrap/>
                    <w:overflowPunct/>
                    <w:topLinePunct w:val="0"/>
                    <w:autoSpaceDE/>
                    <w:autoSpaceDN/>
                    <w:bidi w:val="0"/>
                    <w:adjustRightInd/>
                    <w:snapToGrid/>
                    <w:spacing w:beforeLines="0" w:beforeAutospacing="0" w:afterLines="0" w:afterAutospacing="0" w:line="240" w:lineRule="auto"/>
                    <w:ind w:firstLine="0" w:firstLineChars="0"/>
                    <w:jc w:val="center"/>
                    <w:textAlignment w:val="auto"/>
                    <w:outlineLvl w:val="3"/>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pPr>
                </w:p>
              </w:tc>
              <w:tc>
                <w:tcPr>
                  <w:tcW w:w="1080" w:type="dxa"/>
                  <w:shd w:val="clear" w:color="auto" w:fill="FFFFFF"/>
                  <w:vAlign w:val="center"/>
                </w:tcPr>
                <w:p w14:paraId="5AD963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闭氪散</w:t>
                  </w:r>
                </w:p>
              </w:tc>
              <w:tc>
                <w:tcPr>
                  <w:tcW w:w="855" w:type="dxa"/>
                  <w:shd w:val="clear" w:color="auto" w:fill="FFFFFF"/>
                  <w:vAlign w:val="center"/>
                </w:tcPr>
                <w:p w14:paraId="530380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t</w:t>
                  </w:r>
                </w:p>
              </w:tc>
              <w:tc>
                <w:tcPr>
                  <w:tcW w:w="2865" w:type="dxa"/>
                  <w:shd w:val="clear" w:color="auto" w:fill="FFFFFF"/>
                  <w:vAlign w:val="center"/>
                </w:tcPr>
                <w:p w14:paraId="7F07A0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袋装（25kg/袋），堆放于钻机平台</w:t>
                  </w:r>
                </w:p>
              </w:tc>
              <w:tc>
                <w:tcPr>
                  <w:tcW w:w="2305" w:type="dxa"/>
                  <w:shd w:val="clear" w:color="auto" w:fill="FFFFFF"/>
                  <w:vAlign w:val="center"/>
                </w:tcPr>
                <w:p w14:paraId="0ED387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堵漏剂，在破碎地层局部添加。</w:t>
                  </w:r>
                </w:p>
              </w:tc>
            </w:tr>
            <w:tr w14:paraId="51838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646F7705">
                  <w:pPr>
                    <w:keepNext/>
                    <w:keepLines/>
                    <w:spacing w:line="240" w:lineRule="auto"/>
                    <w:ind w:firstLine="0" w:firstLineChars="0"/>
                    <w:jc w:val="center"/>
                    <w:outlineLvl w:val="3"/>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pPr>
                  <w:r>
                    <w:rPr>
                      <w:rFonts w:hint="eastAsia"/>
                      <w:b w:val="0"/>
                      <w:bCs/>
                      <w:color w:val="000000" w:themeColor="text1"/>
                      <w:sz w:val="21"/>
                      <w:lang w:val="en-US" w:eastAsia="zh-CN"/>
                      <w14:textFill>
                        <w14:solidFill>
                          <w14:schemeClr w14:val="tx1"/>
                        </w14:solidFill>
                      </w14:textFill>
                    </w:rPr>
                    <w:t>封孔材料</w:t>
                  </w:r>
                </w:p>
              </w:tc>
              <w:tc>
                <w:tcPr>
                  <w:tcW w:w="1080" w:type="dxa"/>
                  <w:shd w:val="clear" w:color="auto" w:fill="FFFFFF"/>
                  <w:vAlign w:val="center"/>
                </w:tcPr>
                <w:p w14:paraId="05445DC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水泥</w:t>
                  </w:r>
                </w:p>
              </w:tc>
              <w:tc>
                <w:tcPr>
                  <w:tcW w:w="855" w:type="dxa"/>
                  <w:shd w:val="clear" w:color="auto" w:fill="FFFFFF"/>
                  <w:vAlign w:val="center"/>
                </w:tcPr>
                <w:p w14:paraId="7E8A798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24</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.0t</w:t>
                  </w:r>
                </w:p>
              </w:tc>
              <w:tc>
                <w:tcPr>
                  <w:tcW w:w="2865" w:type="dxa"/>
                  <w:shd w:val="clear" w:color="auto" w:fill="FFFFFF"/>
                  <w:vAlign w:val="center"/>
                </w:tcPr>
                <w:p w14:paraId="6E82339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袋装（50kg/袋），分区堆放于各钻探平台，堆高不超过1.5m，下垫防渗膜上覆防雨布</w:t>
                  </w:r>
                </w:p>
              </w:tc>
              <w:tc>
                <w:tcPr>
                  <w:tcW w:w="2305" w:type="dxa"/>
                  <w:shd w:val="clear" w:color="auto" w:fill="FFFFFF"/>
                  <w:vAlign w:val="center"/>
                </w:tcPr>
                <w:p w14:paraId="5832E6A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用于钻孔终孔后全孔封堵，共</w:t>
                  </w:r>
                  <w:r>
                    <w:rPr>
                      <w:rFonts w:hint="eastAsia" w:cs="Times New Roman"/>
                      <w:color w:val="000000" w:themeColor="text1"/>
                      <w:sz w:val="21"/>
                      <w:szCs w:val="21"/>
                      <w:lang w:val="en-US" w:eastAsia="zh-CN"/>
                      <w14:textFill>
                        <w14:solidFill>
                          <w14:schemeClr w14:val="tx1"/>
                        </w14:solidFill>
                      </w14:textFill>
                    </w:rPr>
                    <w:t>24</w:t>
                  </w:r>
                  <w:r>
                    <w:rPr>
                      <w:rFonts w:hint="eastAsia" w:ascii="Times New Roman" w:hAnsi="Times New Roman" w:eastAsia="宋体" w:cs="Times New Roman"/>
                      <w:color w:val="000000" w:themeColor="text1"/>
                      <w:sz w:val="21"/>
                      <w:szCs w:val="21"/>
                      <w14:textFill>
                        <w14:solidFill>
                          <w14:schemeClr w14:val="tx1"/>
                        </w14:solidFill>
                      </w14:textFill>
                    </w:rPr>
                    <w:t>个钻孔，单孔用量约1.0t</w:t>
                  </w:r>
                </w:p>
              </w:tc>
            </w:tr>
            <w:tr w14:paraId="6A358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14:paraId="0F76E829">
                  <w:pPr>
                    <w:keepNext/>
                    <w:keepLines/>
                    <w:pageBreakBefore w:val="0"/>
                    <w:widowControl w:val="0"/>
                    <w:kinsoku/>
                    <w:wordWrap/>
                    <w:overflowPunct/>
                    <w:topLinePunct w:val="0"/>
                    <w:autoSpaceDE/>
                    <w:autoSpaceDN/>
                    <w:bidi w:val="0"/>
                    <w:adjustRightInd/>
                    <w:snapToGrid/>
                    <w:spacing w:beforeLines="0" w:beforeAutospacing="0" w:afterLines="0" w:afterAutospacing="0" w:line="240" w:lineRule="auto"/>
                    <w:ind w:firstLine="0" w:firstLineChars="0"/>
                    <w:jc w:val="center"/>
                    <w:textAlignment w:val="auto"/>
                    <w:outlineLvl w:val="3"/>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燃料</w:t>
                  </w:r>
                </w:p>
              </w:tc>
              <w:tc>
                <w:tcPr>
                  <w:tcW w:w="1080" w:type="dxa"/>
                  <w:vAlign w:val="center"/>
                </w:tcPr>
                <w:p w14:paraId="6E7D5280">
                  <w:pPr>
                    <w:keepNext/>
                    <w:keepLines/>
                    <w:pageBreakBefore w:val="0"/>
                    <w:widowControl w:val="0"/>
                    <w:kinsoku/>
                    <w:wordWrap/>
                    <w:overflowPunct/>
                    <w:topLinePunct w:val="0"/>
                    <w:autoSpaceDE/>
                    <w:autoSpaceDN/>
                    <w:bidi w:val="0"/>
                    <w:adjustRightInd/>
                    <w:snapToGrid/>
                    <w:spacing w:beforeLines="0" w:beforeAutospacing="0" w:afterLines="0" w:afterAutospacing="0" w:line="240" w:lineRule="auto"/>
                    <w:ind w:firstLine="0" w:firstLineChars="0"/>
                    <w:jc w:val="center"/>
                    <w:textAlignment w:val="auto"/>
                    <w:outlineLvl w:val="3"/>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柴油</w:t>
                  </w:r>
                </w:p>
              </w:tc>
              <w:tc>
                <w:tcPr>
                  <w:tcW w:w="855" w:type="dxa"/>
                  <w:vAlign w:val="center"/>
                </w:tcPr>
                <w:p w14:paraId="429E44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120t</w:t>
                  </w:r>
                </w:p>
              </w:tc>
              <w:tc>
                <w:tcPr>
                  <w:tcW w:w="2865" w:type="dxa"/>
                  <w:vAlign w:val="center"/>
                </w:tcPr>
                <w:p w14:paraId="613CCB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200L专用防泄漏塑料桶密封储存，现场最大存量3桶（约0.5t）</w:t>
                  </w:r>
                </w:p>
              </w:tc>
              <w:tc>
                <w:tcPr>
                  <w:tcW w:w="2305" w:type="dxa"/>
                  <w:vAlign w:val="center"/>
                </w:tcPr>
                <w:p w14:paraId="2D0039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为钻机、发电机、车辆提供动力。</w:t>
                  </w:r>
                </w:p>
              </w:tc>
            </w:tr>
            <w:tr w14:paraId="48E2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8" w:type="dxa"/>
                  <w:gridSpan w:val="2"/>
                  <w:vAlign w:val="center"/>
                </w:tcPr>
                <w:p w14:paraId="7E2F0A2C">
                  <w:pPr>
                    <w:keepNext/>
                    <w:keepLines/>
                    <w:pageBreakBefore w:val="0"/>
                    <w:widowControl w:val="0"/>
                    <w:kinsoku/>
                    <w:wordWrap/>
                    <w:overflowPunct/>
                    <w:topLinePunct w:val="0"/>
                    <w:autoSpaceDE/>
                    <w:autoSpaceDN/>
                    <w:bidi w:val="0"/>
                    <w:adjustRightInd/>
                    <w:snapToGrid/>
                    <w:spacing w:beforeLines="0" w:beforeAutospacing="0" w:afterLines="0" w:afterAutospacing="0" w:line="240" w:lineRule="auto"/>
                    <w:ind w:firstLine="0" w:firstLineChars="0"/>
                    <w:jc w:val="center"/>
                    <w:textAlignment w:val="auto"/>
                    <w:outlineLvl w:val="3"/>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vertAlign w:val="baseline"/>
                      <w:lang w:val="en-US" w:eastAsia="zh-CN" w:bidi="ar-SA"/>
                      <w14:textFill>
                        <w14:solidFill>
                          <w14:schemeClr w14:val="tx1"/>
                        </w14:solidFill>
                      </w14:textFill>
                    </w:rPr>
                    <w:t>新鲜水</w:t>
                  </w:r>
                </w:p>
              </w:tc>
              <w:tc>
                <w:tcPr>
                  <w:tcW w:w="855" w:type="dxa"/>
                  <w:vAlign w:val="center"/>
                </w:tcPr>
                <w:p w14:paraId="3DBE5507">
                  <w:pPr>
                    <w:keepNext/>
                    <w:keepLines/>
                    <w:pageBreakBefore w:val="0"/>
                    <w:widowControl w:val="0"/>
                    <w:kinsoku/>
                    <w:wordWrap/>
                    <w:overflowPunct/>
                    <w:topLinePunct w:val="0"/>
                    <w:autoSpaceDE/>
                    <w:autoSpaceDN/>
                    <w:bidi w:val="0"/>
                    <w:adjustRightInd/>
                    <w:snapToGrid/>
                    <w:spacing w:beforeLines="0" w:beforeAutospacing="0" w:afterLines="0" w:afterAutospacing="0" w:line="240" w:lineRule="auto"/>
                    <w:ind w:firstLine="0" w:firstLineChars="0"/>
                    <w:jc w:val="center"/>
                    <w:textAlignment w:val="auto"/>
                    <w:outlineLvl w:val="3"/>
                    <w:rPr>
                      <w:rFonts w:hint="default" w:ascii="Times New Roman" w:hAnsi="Times New Roman" w:eastAsia="宋体" w:cs="Times New Roman"/>
                      <w:b/>
                      <w:color w:val="000000" w:themeColor="text1"/>
                      <w:kern w:val="2"/>
                      <w:sz w:val="21"/>
                      <w:szCs w:val="24"/>
                      <w:vertAlign w:val="baseli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1"/>
                      <w:szCs w:val="24"/>
                      <w:vertAlign w:val="baseline"/>
                      <w:lang w:val="en-US" w:eastAsia="zh-CN" w:bidi="ar-SA"/>
                      <w14:textFill>
                        <w14:solidFill>
                          <w14:schemeClr w14:val="tx1"/>
                        </w14:solidFill>
                      </w14:textFill>
                    </w:rPr>
                    <w:t>549</w:t>
                  </w:r>
                  <w:r>
                    <w:rPr>
                      <w:rFonts w:hint="default" w:ascii="Times New Roman" w:hAnsi="Times New Roman" w:eastAsia="宋体" w:cs="Times New Roman"/>
                      <w:b w:val="0"/>
                      <w:bCs/>
                      <w:color w:val="000000" w:themeColor="text1"/>
                      <w:kern w:val="2"/>
                      <w:sz w:val="21"/>
                      <w:szCs w:val="24"/>
                      <w:vertAlign w:val="baseline"/>
                      <w:lang w:val="en-US" w:eastAsia="zh-CN" w:bidi="ar-SA"/>
                      <w14:textFill>
                        <w14:solidFill>
                          <w14:schemeClr w14:val="tx1"/>
                        </w14:solidFill>
                      </w14:textFill>
                    </w:rPr>
                    <w:t>m</w:t>
                  </w:r>
                  <w:r>
                    <w:rPr>
                      <w:rFonts w:hint="default" w:ascii="Times New Roman" w:hAnsi="Times New Roman" w:eastAsia="宋体" w:cs="Times New Roman"/>
                      <w:b w:val="0"/>
                      <w:bCs/>
                      <w:color w:val="000000" w:themeColor="text1"/>
                      <w:kern w:val="2"/>
                      <w:sz w:val="21"/>
                      <w:szCs w:val="24"/>
                      <w:vertAlign w:val="superscript"/>
                      <w:lang w:val="en-US" w:eastAsia="zh-CN" w:bidi="ar-SA"/>
                      <w14:textFill>
                        <w14:solidFill>
                          <w14:schemeClr w14:val="tx1"/>
                        </w14:solidFill>
                      </w14:textFill>
                    </w:rPr>
                    <w:t>3</w:t>
                  </w:r>
                </w:p>
              </w:tc>
              <w:tc>
                <w:tcPr>
                  <w:tcW w:w="2865" w:type="dxa"/>
                  <w:shd w:val="clear" w:color="auto" w:fill="FFFFFF"/>
                  <w:vAlign w:val="center"/>
                </w:tcPr>
                <w:p w14:paraId="1F7F72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10m³水罐车从</w:t>
                  </w:r>
                  <w:r>
                    <w:rPr>
                      <w:rFonts w:hint="default" w:ascii="Times New Roman" w:hAnsi="Times New Roman" w:cs="Times New Roman"/>
                      <w:color w:val="000000" w:themeColor="text1"/>
                      <w:sz w:val="21"/>
                      <w:szCs w:val="21"/>
                      <w:lang w:val="en-US" w:eastAsia="zh-CN"/>
                      <w14:textFill>
                        <w14:solidFill>
                          <w14:schemeClr w14:val="tx1"/>
                        </w14:solidFill>
                      </w14:textFill>
                    </w:rPr>
                    <w:t>木垒哈萨克自治县</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城拉运，钻探区设5m³防渗储水箱</w:t>
                  </w:r>
                </w:p>
              </w:tc>
              <w:tc>
                <w:tcPr>
                  <w:tcW w:w="2305" w:type="dxa"/>
                  <w:shd w:val="clear" w:color="auto" w:fill="FFFFFF"/>
                  <w:vAlign w:val="center"/>
                </w:tcPr>
                <w:p w14:paraId="68E3D9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用于泥浆配制、洒水抑尘、生活饮用</w:t>
                  </w:r>
                </w:p>
              </w:tc>
            </w:tr>
          </w:tbl>
          <w:p w14:paraId="19C7A239">
            <w:pPr>
              <w:keepNext/>
              <w:keepLines/>
              <w:widowControl w:val="0"/>
              <w:bidi w:val="0"/>
              <w:spacing w:beforeLines="0" w:beforeAutospacing="0" w:afterLines="0" w:afterAutospacing="0" w:line="240" w:lineRule="auto"/>
              <w:ind w:firstLine="0" w:firstLineChars="0"/>
              <w:jc w:val="center"/>
              <w:outlineLvl w:val="3"/>
              <w:rPr>
                <w:rFonts w:hint="default" w:ascii="Times New Roman" w:hAnsi="Times New Roman" w:eastAsia="黑体" w:cs="Times New Roman"/>
                <w:b/>
                <w:color w:val="000000" w:themeColor="text1"/>
                <w:kern w:val="2"/>
                <w:sz w:val="21"/>
                <w:szCs w:val="24"/>
                <w:lang w:val="en-US" w:eastAsia="zh-CN" w:bidi="ar-SA"/>
                <w14:textFill>
                  <w14:solidFill>
                    <w14:schemeClr w14:val="tx1"/>
                  </w14:solidFill>
                </w14:textFill>
              </w:rPr>
            </w:pPr>
          </w:p>
          <w:p w14:paraId="582748F6">
            <w:pPr>
              <w:bidi w:val="0"/>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（2）理化性质</w:t>
            </w:r>
          </w:p>
          <w:p w14:paraId="618CD3E9">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采用钻探工艺进行勘探，使用水基钻井液体系，以确保钻探过程中的孔壁稳定、防塌、携带岩屑，并最大限度降低对生态环境的影响。钻井液体系选用环保型、可生物降解的材料，符合《绿色勘查规范》和《矿山生态环境保护与恢复治理技术规范》（HJ651-2013）的相关要求。钻探助剂主要理化性质见表2-5。</w:t>
            </w:r>
          </w:p>
          <w:p w14:paraId="5ADCA64E">
            <w:pPr>
              <w:keepNext/>
              <w:keepLines/>
              <w:widowControl w:val="0"/>
              <w:bidi w:val="0"/>
              <w:spacing w:beforeLines="0" w:beforeAutospacing="0" w:afterLines="0" w:afterAutospacing="0" w:line="240" w:lineRule="auto"/>
              <w:ind w:firstLine="0" w:firstLineChars="0"/>
              <w:jc w:val="center"/>
              <w:outlineLvl w:val="3"/>
              <w:rPr>
                <w:rFonts w:hint="default" w:ascii="Times New Roman" w:hAnsi="Times New Roman" w:eastAsia="黑体" w:cs="Times New Roman"/>
                <w:b/>
                <w:color w:val="000000" w:themeColor="text1"/>
                <w:kern w:val="2"/>
                <w:sz w:val="21"/>
                <w:szCs w:val="24"/>
                <w:lang w:val="en-US" w:eastAsia="zh-CN" w:bidi="ar-SA"/>
                <w14:textFill>
                  <w14:solidFill>
                    <w14:schemeClr w14:val="tx1"/>
                  </w14:solidFill>
                </w14:textFill>
              </w:rPr>
            </w:pPr>
            <w:r>
              <w:rPr>
                <w:rFonts w:hint="default" w:ascii="Times New Roman" w:hAnsi="Times New Roman" w:eastAsia="黑体" w:cs="Times New Roman"/>
                <w:b/>
                <w:color w:val="000000" w:themeColor="text1"/>
                <w:kern w:val="2"/>
                <w:sz w:val="21"/>
                <w:szCs w:val="24"/>
                <w:lang w:val="en-US" w:eastAsia="zh-CN" w:bidi="ar-SA"/>
                <w14:textFill>
                  <w14:solidFill>
                    <w14:schemeClr w14:val="tx1"/>
                  </w14:solidFill>
                </w14:textFill>
              </w:rPr>
              <w:t>表2-5    主要原辅材料理化性质表</w:t>
            </w:r>
          </w:p>
          <w:tbl>
            <w:tblPr>
              <w:tblStyle w:val="1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
              <w:gridCol w:w="2377"/>
              <w:gridCol w:w="2439"/>
              <w:gridCol w:w="1421"/>
              <w:gridCol w:w="1113"/>
            </w:tblGrid>
            <w:tr w14:paraId="77AEC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9" w:type="pct"/>
                  <w:vAlign w:val="center"/>
                </w:tcPr>
                <w:p w14:paraId="19EEDCF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kern w:val="0"/>
                      <w:sz w:val="21"/>
                      <w:szCs w:val="21"/>
                      <w:vertAlign w:val="baseline"/>
                      <w:lang w:val="en-US" w:eastAsia="zh-CN"/>
                      <w14:textFill>
                        <w14:solidFill>
                          <w14:schemeClr w14:val="tx1"/>
                        </w14:solidFill>
                      </w14:textFill>
                    </w:rPr>
                    <w:t>原辅料名称</w:t>
                  </w:r>
                </w:p>
              </w:tc>
              <w:tc>
                <w:tcPr>
                  <w:tcW w:w="1429" w:type="pct"/>
                  <w:vAlign w:val="center"/>
                </w:tcPr>
                <w:p w14:paraId="627B5F9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kern w:val="0"/>
                      <w:sz w:val="21"/>
                      <w:szCs w:val="21"/>
                      <w:vertAlign w:val="baseline"/>
                      <w:lang w:val="en-US" w:eastAsia="zh-CN"/>
                      <w14:textFill>
                        <w14:solidFill>
                          <w14:schemeClr w14:val="tx1"/>
                        </w14:solidFill>
                      </w14:textFill>
                    </w:rPr>
                    <w:t>理性性质</w:t>
                  </w:r>
                </w:p>
              </w:tc>
              <w:tc>
                <w:tcPr>
                  <w:tcW w:w="1466" w:type="pct"/>
                  <w:vAlign w:val="center"/>
                </w:tcPr>
                <w:p w14:paraId="45F0208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kern w:val="0"/>
                      <w:sz w:val="21"/>
                      <w:szCs w:val="21"/>
                      <w:vertAlign w:val="baseline"/>
                      <w:lang w:val="en-US" w:eastAsia="zh-CN"/>
                      <w14:textFill>
                        <w14:solidFill>
                          <w14:schemeClr w14:val="tx1"/>
                        </w14:solidFill>
                      </w14:textFill>
                    </w:rPr>
                    <w:t>有毒有害性</w:t>
                  </w:r>
                </w:p>
              </w:tc>
              <w:tc>
                <w:tcPr>
                  <w:tcW w:w="854" w:type="pct"/>
                  <w:vAlign w:val="center"/>
                </w:tcPr>
                <w:p w14:paraId="56DE621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kern w:val="0"/>
                      <w:sz w:val="21"/>
                      <w:szCs w:val="21"/>
                      <w:vertAlign w:val="baseline"/>
                      <w:lang w:val="en-US" w:eastAsia="zh-CN"/>
                      <w14:textFill>
                        <w14:solidFill>
                          <w14:schemeClr w14:val="tx1"/>
                        </w14:solidFill>
                      </w14:textFill>
                    </w:rPr>
                    <w:t>包装规格</w:t>
                  </w:r>
                </w:p>
              </w:tc>
              <w:tc>
                <w:tcPr>
                  <w:tcW w:w="669" w:type="pct"/>
                  <w:vAlign w:val="center"/>
                </w:tcPr>
                <w:p w14:paraId="3479429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bCs/>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kern w:val="0"/>
                      <w:sz w:val="21"/>
                      <w:szCs w:val="21"/>
                      <w:vertAlign w:val="baseline"/>
                      <w:lang w:val="en-US" w:eastAsia="zh-CN"/>
                      <w14:textFill>
                        <w14:solidFill>
                          <w14:schemeClr w14:val="tx1"/>
                        </w14:solidFill>
                      </w14:textFill>
                    </w:rPr>
                    <w:t>最大储存量</w:t>
                  </w:r>
                </w:p>
              </w:tc>
            </w:tr>
            <w:tr w14:paraId="219CC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9" w:type="pct"/>
                  <w:vAlign w:val="center"/>
                </w:tcPr>
                <w:p w14:paraId="00BE0F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bidi="ar-SA"/>
                      <w14:textFill>
                        <w14:solidFill>
                          <w14:schemeClr w14:val="tx1"/>
                        </w14:solidFill>
                      </w14:textFill>
                    </w:rPr>
                    <w:t>速氪散</w:t>
                  </w:r>
                </w:p>
              </w:tc>
              <w:tc>
                <w:tcPr>
                  <w:tcW w:w="1429" w:type="pct"/>
                  <w:vAlign w:val="center"/>
                </w:tcPr>
                <w:p w14:paraId="6799498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外观通常为白色或淡黄色粉末；易溶于水；水溶液可能呈碱性或中性。主要功能为降低钻井液滤失量、控制</w:t>
                  </w: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黏度</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1466" w:type="pct"/>
                  <w:vAlign w:val="center"/>
                </w:tcPr>
                <w:p w14:paraId="75CC149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对眼睛和皮肤可能有一定刺激性。</w:t>
                  </w:r>
                </w:p>
              </w:tc>
              <w:tc>
                <w:tcPr>
                  <w:tcW w:w="854" w:type="pct"/>
                  <w:vAlign w:val="center"/>
                </w:tcPr>
                <w:p w14:paraId="3120051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袋装，25kg/袋</w:t>
                  </w:r>
                </w:p>
              </w:tc>
              <w:tc>
                <w:tcPr>
                  <w:tcW w:w="669" w:type="pct"/>
                  <w:vAlign w:val="center"/>
                </w:tcPr>
                <w:p w14:paraId="74338B9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单个钻孔一次最多存放20袋</w:t>
                  </w:r>
                </w:p>
              </w:tc>
            </w:tr>
            <w:tr w14:paraId="4758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9" w:type="pct"/>
                  <w:vAlign w:val="center"/>
                </w:tcPr>
                <w:p w14:paraId="4C7950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bidi="ar-SA"/>
                      <w14:textFill>
                        <w14:solidFill>
                          <w14:schemeClr w14:val="tx1"/>
                        </w14:solidFill>
                      </w14:textFill>
                    </w:rPr>
                    <w:t>闭氪散</w:t>
                  </w:r>
                </w:p>
              </w:tc>
              <w:tc>
                <w:tcPr>
                  <w:tcW w:w="1429" w:type="pct"/>
                  <w:vAlign w:val="center"/>
                </w:tcPr>
                <w:p w14:paraId="659E747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外观为灰色或褐色粉末；与水混合后发生水化反应，形成</w:t>
                  </w: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黏稠</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浆体并逐渐凝固。主要功能为封堵裂隙、快速护壁。</w:t>
                  </w:r>
                </w:p>
              </w:tc>
              <w:tc>
                <w:tcPr>
                  <w:tcW w:w="1466" w:type="pct"/>
                  <w:vAlign w:val="center"/>
                </w:tcPr>
                <w:p w14:paraId="48D17D8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原料粉尘对呼吸道有刺激性。固化后产物化学性质稳定，基本无毒。未固化浆液应避免直接接触皮肤。</w:t>
                  </w:r>
                </w:p>
              </w:tc>
              <w:tc>
                <w:tcPr>
                  <w:tcW w:w="854" w:type="pct"/>
                  <w:vAlign w:val="center"/>
                </w:tcPr>
                <w:p w14:paraId="487303B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袋装，25kg/袋</w:t>
                  </w:r>
                </w:p>
              </w:tc>
              <w:tc>
                <w:tcPr>
                  <w:tcW w:w="669" w:type="pct"/>
                  <w:vAlign w:val="center"/>
                </w:tcPr>
                <w:p w14:paraId="5B7265E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单个钻孔一次最多存放20袋</w:t>
                  </w:r>
                </w:p>
              </w:tc>
            </w:tr>
            <w:tr w14:paraId="65CF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9" w:type="pct"/>
                  <w:vAlign w:val="center"/>
                </w:tcPr>
                <w:p w14:paraId="45E0A3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bidi="ar-SA"/>
                      <w14:textFill>
                        <w14:solidFill>
                          <w14:schemeClr w14:val="tx1"/>
                        </w14:solidFill>
                      </w14:textFill>
                    </w:rPr>
                    <w:t>膨润土</w:t>
                  </w:r>
                </w:p>
              </w:tc>
              <w:tc>
                <w:tcPr>
                  <w:tcW w:w="1429" w:type="pct"/>
                  <w:vAlign w:val="center"/>
                </w:tcPr>
                <w:p w14:paraId="6880E7E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外观为灰白色或浅褐色细粉末；主要成分为蒙脱石；具有极强的吸水性，遇水膨胀，能形成胶体悬浮液，赋予钻井液良好</w:t>
                  </w: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的黏度</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和造壁性。</w:t>
                  </w:r>
                </w:p>
              </w:tc>
              <w:tc>
                <w:tcPr>
                  <w:tcW w:w="1466" w:type="pct"/>
                  <w:vAlign w:val="center"/>
                </w:tcPr>
                <w:p w14:paraId="48A5396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本身无毒。但大量</w:t>
                  </w: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吸入</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粉尘可能对呼吸道造成机械性刺激，长期接触可能引发尘肺病。</w:t>
                  </w:r>
                </w:p>
              </w:tc>
              <w:tc>
                <w:tcPr>
                  <w:tcW w:w="854" w:type="pct"/>
                  <w:vAlign w:val="center"/>
                </w:tcPr>
                <w:p w14:paraId="448C45B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袋装，25kg/袋</w:t>
                  </w:r>
                </w:p>
              </w:tc>
              <w:tc>
                <w:tcPr>
                  <w:tcW w:w="669" w:type="pct"/>
                  <w:vAlign w:val="center"/>
                </w:tcPr>
                <w:p w14:paraId="0489F35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单个钻孔一次最多存放20袋</w:t>
                  </w:r>
                </w:p>
              </w:tc>
            </w:tr>
            <w:tr w14:paraId="3A5FF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 w:type="dxa"/>
                  <w:vAlign w:val="center"/>
                </w:tcPr>
                <w:p w14:paraId="7D672D91">
                  <w:pPr>
                    <w:spacing w:line="240" w:lineRule="auto"/>
                    <w:ind w:firstLine="0" w:firstLineChars="0"/>
                    <w:jc w:val="center"/>
                    <w:textAlignment w:val="baseline"/>
                    <w:rPr>
                      <w:rFonts w:hint="default" w:ascii="Times New Roman" w:hAnsi="Times New Roman" w:cs="Times New Roman"/>
                      <w:b w:val="0"/>
                      <w:bCs w:val="0"/>
                      <w:color w:val="000000" w:themeColor="text1"/>
                      <w:kern w:val="0"/>
                      <w:sz w:val="21"/>
                      <w:szCs w:val="21"/>
                      <w:lang w:val="en-US" w:eastAsia="zh-CN" w:bidi="ar-SA"/>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普通硅酸盐水泥</w:t>
                  </w:r>
                </w:p>
              </w:tc>
              <w:tc>
                <w:tcPr>
                  <w:tcW w:w="2377" w:type="dxa"/>
                  <w:vAlign w:val="center"/>
                </w:tcPr>
                <w:p w14:paraId="63EACD05">
                  <w:pPr>
                    <w:autoSpaceDE w:val="0"/>
                    <w:autoSpaceDN w:val="0"/>
                    <w:spacing w:line="240" w:lineRule="auto"/>
                    <w:ind w:firstLine="0" w:firstLineChars="0"/>
                    <w:jc w:val="cente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灰色细粉末，主要成分为硅酸三钙、硅酸二钙、铝酸三钙等，与水混合后发生水化反应，逐渐凝结硬化，最终形成具有一定强度的水泥石。水化反应为放热反应，浆体呈强碱性。</w:t>
                  </w:r>
                </w:p>
              </w:tc>
              <w:tc>
                <w:tcPr>
                  <w:tcW w:w="2439" w:type="dxa"/>
                  <w:vAlign w:val="center"/>
                </w:tcPr>
                <w:p w14:paraId="39FF09B4">
                  <w:pPr>
                    <w:autoSpaceDE w:val="0"/>
                    <w:autoSpaceDN w:val="0"/>
                    <w:spacing w:line="240" w:lineRule="auto"/>
                    <w:ind w:firstLine="0" w:firstLineChars="0"/>
                    <w:jc w:val="cente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粉尘对眼睛和呼吸道有刺激性，长期吸入可能引发肺病，皮肤长时间接触潮湿水泥浆可能导致碱烧伤或过敏性皮炎，硬化后产物化学性质稳定，基本无毒。</w:t>
                  </w:r>
                </w:p>
              </w:tc>
              <w:tc>
                <w:tcPr>
                  <w:tcW w:w="1421" w:type="dxa"/>
                  <w:vAlign w:val="center"/>
                </w:tcPr>
                <w:p w14:paraId="63AF28BA">
                  <w:pPr>
                    <w:autoSpaceDE w:val="0"/>
                    <w:autoSpaceDN w:val="0"/>
                    <w:spacing w:line="240" w:lineRule="auto"/>
                    <w:ind w:firstLine="0" w:firstLineChars="0"/>
                    <w:jc w:val="cente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袋装，25kg/袋</w:t>
                  </w:r>
                </w:p>
              </w:tc>
              <w:tc>
                <w:tcPr>
                  <w:tcW w:w="1113" w:type="dxa"/>
                  <w:vAlign w:val="center"/>
                </w:tcPr>
                <w:p w14:paraId="77D39B45">
                  <w:pPr>
                    <w:autoSpaceDE w:val="0"/>
                    <w:autoSpaceDN w:val="0"/>
                    <w:spacing w:line="240" w:lineRule="auto"/>
                    <w:ind w:firstLine="0" w:firstLineChars="0"/>
                    <w:jc w:val="cente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单个钻孔一次最多存放20袋，随用随拉，不设集中储库</w:t>
                  </w:r>
                </w:p>
              </w:tc>
            </w:tr>
            <w:tr w14:paraId="725B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9" w:type="pct"/>
                  <w:vAlign w:val="center"/>
                </w:tcPr>
                <w:p w14:paraId="2E6910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baseline"/>
                    <w:rPr>
                      <w:rFonts w:hint="default" w:ascii="Times New Roman" w:hAnsi="Times New Roman"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bidi="ar-SA"/>
                      <w14:textFill>
                        <w14:solidFill>
                          <w14:schemeClr w14:val="tx1"/>
                        </w14:solidFill>
                      </w14:textFill>
                    </w:rPr>
                    <w:t>柴油</w:t>
                  </w:r>
                </w:p>
              </w:tc>
              <w:tc>
                <w:tcPr>
                  <w:tcW w:w="1429" w:type="pct"/>
                  <w:vAlign w:val="center"/>
                </w:tcPr>
                <w:p w14:paraId="4524C71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易燃液体，类别3（高闪点），闪点≥55°C</w:t>
                  </w:r>
                </w:p>
              </w:tc>
              <w:tc>
                <w:tcPr>
                  <w:tcW w:w="1466" w:type="pct"/>
                  <w:vAlign w:val="center"/>
                </w:tcPr>
                <w:p w14:paraId="5DEAD45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遇明火、高热或强氧化剂有燃烧甚至爆炸危险</w:t>
                  </w: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蒸气具有刺激性，长时间吸入可能导致头晕、恶心等症状</w:t>
                  </w: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泄漏后可通过地表径流或下渗污染土壤及地下水，尤其在渗透性强的地层中迁移能力较强，且难以自然降解</w:t>
                  </w:r>
                </w:p>
              </w:tc>
              <w:tc>
                <w:tcPr>
                  <w:tcW w:w="854" w:type="pct"/>
                  <w:vAlign w:val="center"/>
                </w:tcPr>
                <w:p w14:paraId="2C6531C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外部采购成品油，采用标准200L专用防泄漏桶密封运输与储存</w:t>
                  </w:r>
                </w:p>
              </w:tc>
              <w:tc>
                <w:tcPr>
                  <w:tcW w:w="669" w:type="pct"/>
                  <w:vAlign w:val="center"/>
                </w:tcPr>
                <w:p w14:paraId="3C18B63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最大储存量为3桶，合计约0.5吨（单桶容积200L）</w:t>
                  </w:r>
                </w:p>
              </w:tc>
            </w:tr>
          </w:tbl>
          <w:p w14:paraId="260A5EF6">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pPr>
            <w:r>
              <w:rPr>
                <w:rFonts w:hint="default" w:ascii="Times New Roman" w:hAnsi="Times New Roman" w:cs="Times New Roman"/>
                <w:b/>
                <w:bCs/>
                <w:color w:val="000000" w:themeColor="text1"/>
                <w:kern w:val="0"/>
                <w:sz w:val="24"/>
                <w:szCs w:val="24"/>
                <w:lang w:val="en-US" w:eastAsia="zh-CN"/>
                <w14:textFill>
                  <w14:solidFill>
                    <w14:schemeClr w14:val="tx1"/>
                  </w14:solidFill>
                </w14:textFill>
              </w:rPr>
              <w:t>6.</w:t>
            </w:r>
            <w:r>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t>公用工程</w:t>
            </w:r>
          </w:p>
          <w:p w14:paraId="73798C7E">
            <w:pPr>
              <w:bidi w:val="0"/>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eastAsia="zh-CN"/>
                <w14:textFill>
                  <w14:solidFill>
                    <w14:schemeClr w14:val="tx1"/>
                  </w14:solidFill>
                </w14:textFill>
              </w:rPr>
              <w:t>（</w:t>
            </w:r>
            <w:r>
              <w:rPr>
                <w:rFonts w:hint="default" w:ascii="Times New Roman" w:hAnsi="Times New Roman" w:cs="Times New Roman"/>
                <w:b/>
                <w:bCs/>
                <w:color w:val="000000" w:themeColor="text1"/>
                <w:lang w:val="en-US" w:eastAsia="zh-CN"/>
                <w14:textFill>
                  <w14:solidFill>
                    <w14:schemeClr w14:val="tx1"/>
                  </w14:solidFill>
                </w14:textFill>
              </w:rPr>
              <w:t>1</w:t>
            </w:r>
            <w:r>
              <w:rPr>
                <w:rFonts w:hint="default" w:ascii="Times New Roman" w:hAnsi="Times New Roman" w:cs="Times New Roman"/>
                <w:b/>
                <w:bCs/>
                <w:color w:val="000000" w:themeColor="text1"/>
                <w:lang w:eastAsia="zh-CN"/>
                <w14:textFill>
                  <w14:solidFill>
                    <w14:schemeClr w14:val="tx1"/>
                  </w14:solidFill>
                </w14:textFill>
              </w:rPr>
              <w:t>）</w:t>
            </w:r>
            <w:r>
              <w:rPr>
                <w:rFonts w:hint="default" w:ascii="Times New Roman" w:hAnsi="Times New Roman" w:cs="Times New Roman"/>
                <w:b/>
                <w:bCs/>
                <w:color w:val="000000" w:themeColor="text1"/>
                <w:lang w:val="en-US" w:eastAsia="zh-CN"/>
                <w14:textFill>
                  <w14:solidFill>
                    <w14:schemeClr w14:val="tx1"/>
                  </w14:solidFill>
                </w14:textFill>
              </w:rPr>
              <w:t>交通</w:t>
            </w:r>
          </w:p>
          <w:p w14:paraId="222AA240">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工作区外部交通较为便利，S228省道从勘查区外围通过，可通过现有道路连接至勘查区入口。勘查区内临时便道优先利用区内既有自然便道、车辙痕迹及砾石覆盖区；确需新辟便道时避让植被良好地段，进行就地整平压实，施工结束后立即清除痕迹并恢复原始地貌。</w:t>
            </w:r>
          </w:p>
          <w:p w14:paraId="678D6A00">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t>2</w:t>
            </w:r>
            <w:r>
              <w:rPr>
                <w:rFonts w:hint="default" w:ascii="Times New Roman" w:hAnsi="Times New Roman" w:eastAsia="宋体" w:cs="Times New Roman"/>
                <w:b/>
                <w:bCs/>
                <w:color w:val="000000" w:themeColor="text1"/>
                <w:kern w:val="0"/>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t>供电</w:t>
            </w:r>
          </w:p>
          <w:p w14:paraId="7E18334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生活区采用太阳能光伏板供电，满足照明、通讯等日常用电；生产区配备柴油发电机，功率满足钻机运行及夜间照明需要；所有电气设备接地良好，电缆架空敷设，防范漏电事故。</w:t>
            </w:r>
          </w:p>
          <w:p w14:paraId="1028214E">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t>3</w:t>
            </w:r>
            <w:r>
              <w:rPr>
                <w:rFonts w:hint="default" w:ascii="Times New Roman" w:hAnsi="Times New Roman" w:eastAsia="宋体" w:cs="Times New Roman"/>
                <w:b/>
                <w:bCs/>
                <w:color w:val="000000" w:themeColor="text1"/>
                <w:kern w:val="0"/>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t>供水</w:t>
            </w:r>
          </w:p>
          <w:p w14:paraId="75EC8FAA">
            <w:pPr>
              <w:keepNext w:val="0"/>
              <w:keepLines w:val="0"/>
              <w:widowControl/>
              <w:suppressLineNumbers w:val="0"/>
              <w:jc w:val="left"/>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项目用水主要包括生产用水（泥浆制备、设备冲洗、洒水抑尘）和生活用水两部分。</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用水由水罐车从</w:t>
            </w:r>
            <w:r>
              <w:rPr>
                <w:rFonts w:hint="default" w:ascii="Times New Roman" w:hAnsi="Times New Roman" w:cs="Times New Roman"/>
                <w:color w:val="000000" w:themeColor="text1"/>
                <w:kern w:val="0"/>
                <w:sz w:val="24"/>
                <w:szCs w:val="24"/>
                <w:lang w:val="en-US" w:eastAsia="zh-CN"/>
                <w14:textFill>
                  <w14:solidFill>
                    <w14:schemeClr w14:val="tx1"/>
                  </w14:solidFill>
                </w14:textFill>
              </w:rPr>
              <w:t>木垒哈萨克自治县</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拉运至</w:t>
            </w:r>
            <w:r>
              <w:rPr>
                <w:rFonts w:hint="default" w:ascii="Times New Roman" w:hAnsi="Times New Roman" w:cs="Times New Roman"/>
                <w:color w:val="000000" w:themeColor="text1"/>
                <w:kern w:val="0"/>
                <w:sz w:val="24"/>
                <w:szCs w:val="24"/>
                <w:lang w:val="en-US" w:eastAsia="zh-CN"/>
                <w14:textFill>
                  <w14:solidFill>
                    <w14:schemeClr w14:val="tx1"/>
                  </w14:solidFill>
                </w14:textFill>
              </w:rPr>
              <w:t>勘探区，生活</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营地储水设施，储存于专用食品级塑料水桶中，</w:t>
            </w:r>
            <w:r>
              <w:rPr>
                <w:rFonts w:hint="default" w:ascii="Times New Roman" w:hAnsi="Times New Roman" w:cs="Times New Roman"/>
                <w:color w:val="000000" w:themeColor="text1"/>
                <w:kern w:val="0"/>
                <w:sz w:val="24"/>
                <w:szCs w:val="24"/>
                <w:lang w:val="en-US" w:eastAsia="zh-CN"/>
                <w14:textFill>
                  <w14:solidFill>
                    <w14:schemeClr w14:val="tx1"/>
                  </w14:solidFill>
                </w14:textFill>
              </w:rPr>
              <w:t>钻探区设置简易防渗水池暂存</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w:t>
            </w:r>
          </w:p>
          <w:p w14:paraId="1E79CD2A">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t>①钻探用水</w:t>
            </w:r>
          </w:p>
          <w:p w14:paraId="41FF6C4A">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本次地质勘查共设计钻孔24个，总进尺4565m。钻探过程平均耗水量约为4L/m（即0.004m³/m），理论总需水量为18.26m³。泥浆经管道引流至防渗沉淀池中进行沉淀处理后回用于钻机冷却及循环钻进，循环利用率≥90%。新鲜补水量按总用水量的10%估算，</w:t>
            </w:r>
            <w:r>
              <w:rPr>
                <w:rFonts w:hint="eastAsia"/>
                <w:color w:val="000000" w:themeColor="text1"/>
                <w:lang w:val="en-US" w:eastAsia="zh-CN"/>
                <w14:textFill>
                  <w14:solidFill>
                    <w14:schemeClr w14:val="tx1"/>
                  </w14:solidFill>
                </w14:textFill>
              </w:rPr>
              <w:t>即</w:t>
            </w:r>
            <w:r>
              <w:rPr>
                <w:rFonts w:hint="default"/>
                <w:color w:val="000000" w:themeColor="text1"/>
                <w:lang w:val="en-US" w:eastAsia="zh-CN"/>
                <w14:textFill>
                  <w14:solidFill>
                    <w14:schemeClr w14:val="tx1"/>
                  </w14:solidFill>
                </w14:textFill>
              </w:rPr>
              <w:t>1.83m³，合计钻探用水量为20.09m³。</w:t>
            </w:r>
          </w:p>
          <w:p w14:paraId="4E4E4869">
            <w:pPr>
              <w:keepNext w:val="0"/>
              <w:keepLines w:val="0"/>
              <w:widowControl/>
              <w:suppressLineNumbers w:val="0"/>
              <w:jc w:val="left"/>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②洒水抑尘用水</w:t>
            </w:r>
          </w:p>
          <w:p w14:paraId="4FA43B0B">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为有效控制施工期间粉尘污染，针对运输道路、勘探作业区、物料堆放区等易起尘区域实施定时洒水降尘措施。抑尘面积按集中控制区域考虑，日均洒水量取经验值100L/d（0.1m³/d）。本项目现场作业天数约780天（2026年6月至2029年12月，扣除每年11月至次年3月的冬季停工），总计洒水抑尘用水量78m</w:t>
            </w:r>
            <w:r>
              <w:rPr>
                <w:rFonts w:hint="default" w:ascii="Times New Roman" w:hAnsi="Times New Roman" w:cs="Times New Roman"/>
                <w:color w:val="000000" w:themeColor="text1"/>
                <w:vertAlign w:val="superscript"/>
                <w:lang w:val="en-US" w:eastAsia="zh-CN"/>
                <w14:textFill>
                  <w14:solidFill>
                    <w14:schemeClr w14:val="tx1"/>
                  </w14:solidFill>
                </w14:textFill>
              </w:rPr>
              <w:t>3</w:t>
            </w:r>
            <w:r>
              <w:rPr>
                <w:rFonts w:hint="default" w:ascii="Times New Roman" w:hAnsi="Times New Roman" w:cs="Times New Roman"/>
                <w:color w:val="000000" w:themeColor="text1"/>
                <w:lang w:val="en-US" w:eastAsia="zh-CN"/>
                <w14:textFill>
                  <w14:solidFill>
                    <w14:schemeClr w14:val="tx1"/>
                  </w14:solidFill>
                </w14:textFill>
              </w:rPr>
              <w:t>。</w:t>
            </w:r>
          </w:p>
          <w:p w14:paraId="0B32943D">
            <w:pPr>
              <w:keepNext w:val="0"/>
              <w:keepLines w:val="0"/>
              <w:widowControl/>
              <w:suppressLineNumbers w:val="0"/>
              <w:jc w:val="left"/>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③设备冲洗用水</w:t>
            </w:r>
          </w:p>
          <w:p w14:paraId="75123337">
            <w:pPr>
              <w:bidi w:val="0"/>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探设备在作业间隙、更换钻孔位或终孔后，需要对泥浆泵、钻杆、泥浆搅拌机及岩芯切割机等设备进行冲洗，冲洗方式采用高压水枪或人工刷洗，每台钻机每终孔一次冲洗用水量约1.0m³（含泥浆泵、钻杆、搅拌机等配套设备），辅助设备（岩芯切割机等）冲洗用水量总计约</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cs="Times New Roman"/>
                <w:color w:val="000000" w:themeColor="text1"/>
                <w14:textFill>
                  <w14:solidFill>
                    <w14:schemeClr w14:val="tx1"/>
                  </w14:solidFill>
                </w14:textFill>
              </w:rPr>
              <w:t>m³</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本项目共设计</w:t>
            </w:r>
            <w:r>
              <w:rPr>
                <w:rFonts w:hint="eastAsia" w:ascii="Times New Roman" w:hAnsi="Times New Roman" w:cs="Times New Roman"/>
                <w:color w:val="000000" w:themeColor="text1"/>
                <w:lang w:val="en-US" w:eastAsia="zh-CN"/>
                <w14:textFill>
                  <w14:solidFill>
                    <w14:schemeClr w14:val="tx1"/>
                  </w14:solidFill>
                </w14:textFill>
              </w:rPr>
              <w:t>24</w:t>
            </w:r>
            <w:r>
              <w:rPr>
                <w:rFonts w:hint="default" w:ascii="Times New Roman" w:hAnsi="Times New Roman" w:cs="Times New Roman"/>
                <w:color w:val="000000" w:themeColor="text1"/>
                <w14:textFill>
                  <w14:solidFill>
                    <w14:schemeClr w14:val="tx1"/>
                  </w14:solidFill>
                </w14:textFill>
              </w:rPr>
              <w:t>个钻孔，</w:t>
            </w:r>
            <w:r>
              <w:rPr>
                <w:rFonts w:hint="default" w:ascii="Times New Roman" w:hAnsi="Times New Roman" w:cs="Times New Roman"/>
                <w:color w:val="000000" w:themeColor="text1"/>
                <w:lang w:val="en-US" w:eastAsia="zh-CN"/>
                <w14:textFill>
                  <w14:solidFill>
                    <w14:schemeClr w14:val="tx1"/>
                  </w14:solidFill>
                </w14:textFill>
              </w:rPr>
              <w:t>则</w:t>
            </w:r>
            <w:r>
              <w:rPr>
                <w:rFonts w:hint="default" w:ascii="Times New Roman" w:hAnsi="Times New Roman" w:cs="Times New Roman"/>
                <w:color w:val="000000" w:themeColor="text1"/>
                <w14:textFill>
                  <w14:solidFill>
                    <w14:schemeClr w14:val="tx1"/>
                  </w14:solidFill>
                </w14:textFill>
              </w:rPr>
              <w:t>设备冲洗总用水量</w:t>
            </w:r>
            <w:r>
              <w:rPr>
                <w:rFonts w:hint="default" w:ascii="Times New Roman" w:hAnsi="Times New Roman" w:cs="Times New Roman"/>
                <w:color w:val="000000" w:themeColor="text1"/>
                <w:lang w:val="en-US" w:eastAsia="zh-CN"/>
                <w14:textFill>
                  <w14:solidFill>
                    <w14:schemeClr w14:val="tx1"/>
                  </w14:solidFill>
                </w14:textFill>
              </w:rPr>
              <w:t>为</w:t>
            </w:r>
            <w:r>
              <w:rPr>
                <w:rFonts w:hint="eastAsia" w:ascii="Times New Roman" w:hAnsi="Times New Roman" w:cs="Times New Roman"/>
                <w:color w:val="000000" w:themeColor="text1"/>
                <w:lang w:val="en-US" w:eastAsia="zh-CN"/>
                <w14:textFill>
                  <w14:solidFill>
                    <w14:schemeClr w14:val="tx1"/>
                  </w14:solidFill>
                </w14:textFill>
              </w:rPr>
              <w:t>30</w:t>
            </w:r>
            <w:r>
              <w:rPr>
                <w:rFonts w:hint="default" w:ascii="Times New Roman" w:hAnsi="Times New Roman" w:cs="Times New Roman"/>
                <w:color w:val="000000" w:themeColor="text1"/>
                <w14:textFill>
                  <w14:solidFill>
                    <w14:schemeClr w14:val="tx1"/>
                  </w14:solidFill>
                </w14:textFill>
              </w:rPr>
              <w:t>m³</w:t>
            </w:r>
            <w:r>
              <w:rPr>
                <w:rFonts w:hint="default" w:ascii="Times New Roman" w:hAnsi="Times New Roman" w:cs="Times New Roman"/>
                <w:color w:val="000000" w:themeColor="text1"/>
                <w:lang w:eastAsia="zh-CN"/>
                <w14:textFill>
                  <w14:solidFill>
                    <w14:schemeClr w14:val="tx1"/>
                  </w14:solidFill>
                </w14:textFill>
              </w:rPr>
              <w:t>。</w:t>
            </w:r>
          </w:p>
          <w:p w14:paraId="3AAEF367">
            <w:pPr>
              <w:keepNext w:val="0"/>
              <w:keepLines w:val="0"/>
              <w:widowControl/>
              <w:suppressLineNumbers w:val="0"/>
              <w:jc w:val="left"/>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④生活用水</w:t>
            </w:r>
          </w:p>
          <w:p w14:paraId="6B6F78FE">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现场作业人员共18人，实际勘探作业26个月（780天，不含冬季停工）。依据《新疆维吾尔自治区生活用水定额》，农村平房及简易楼房居民用水标准为20</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30L/（人</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d），本项目取上限值30L/（人</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d）进行保守估算。生活用水总量为：18人×0.03m³/（人</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d）×26×30d=421.2m³。</w:t>
            </w:r>
          </w:p>
          <w:p w14:paraId="0A303EE5">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综上，本项目总新鲜水用量约为</w:t>
            </w:r>
            <w:r>
              <w:rPr>
                <w:rFonts w:hint="eastAsia" w:ascii="Times New Roman" w:hAnsi="Times New Roman" w:cs="Times New Roman"/>
                <w:color w:val="000000" w:themeColor="text1"/>
                <w:lang w:val="en-US" w:eastAsia="zh-CN"/>
                <w14:textFill>
                  <w14:solidFill>
                    <w14:schemeClr w14:val="tx1"/>
                  </w14:solidFill>
                </w14:textFill>
              </w:rPr>
              <w:t>549</w:t>
            </w:r>
            <w:r>
              <w:rPr>
                <w:rFonts w:hint="default" w:ascii="Times New Roman" w:hAnsi="Times New Roman" w:cs="Times New Roman"/>
                <w:color w:val="000000" w:themeColor="text1"/>
                <w:lang w:val="en-US" w:eastAsia="zh-CN"/>
                <w14:textFill>
                  <w14:solidFill>
                    <w14:schemeClr w14:val="tx1"/>
                  </w14:solidFill>
                </w14:textFill>
              </w:rPr>
              <w:t>m³。</w:t>
            </w:r>
          </w:p>
          <w:p w14:paraId="6F75003C">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t>4</w:t>
            </w:r>
            <w:r>
              <w:rPr>
                <w:rFonts w:hint="default" w:ascii="Times New Roman" w:hAnsi="Times New Roman" w:eastAsia="宋体" w:cs="Times New Roman"/>
                <w:b/>
                <w:bCs/>
                <w:color w:val="000000" w:themeColor="text1"/>
                <w:kern w:val="0"/>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t>排水</w:t>
            </w:r>
          </w:p>
          <w:p w14:paraId="51791C14">
            <w:pPr>
              <w:bidi w:val="0"/>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pPr>
            <w:r>
              <w:rPr>
                <w:rFonts w:hint="default" w:ascii="Times New Roman" w:hAnsi="Times New Roman" w:cs="Times New Roman"/>
                <w:b/>
                <w:bCs/>
                <w:color w:val="000000" w:themeColor="text1"/>
                <w:kern w:val="0"/>
                <w:sz w:val="24"/>
                <w:szCs w:val="24"/>
                <w:lang w:val="en-US" w:eastAsia="zh-CN"/>
                <w14:textFill>
                  <w14:solidFill>
                    <w14:schemeClr w14:val="tx1"/>
                  </w14:solidFill>
                </w14:textFill>
              </w:rPr>
              <w:t>①生活污水</w:t>
            </w:r>
          </w:p>
          <w:p w14:paraId="4A112B51">
            <w:pPr>
              <w:ind w:firstLine="480"/>
              <w:rPr>
                <w:color w:val="000000" w:themeColor="text1"/>
                <w14:textFill>
                  <w14:solidFill>
                    <w14:schemeClr w14:val="tx1"/>
                  </w14:solidFill>
                </w14:textFill>
              </w:rPr>
            </w:pPr>
            <w:r>
              <w:rPr>
                <w:color w:val="000000" w:themeColor="text1"/>
                <w14:textFill>
                  <w14:solidFill>
                    <w14:schemeClr w14:val="tx1"/>
                  </w14:solidFill>
                </w14:textFill>
              </w:rPr>
              <w:t>生活污水排污系数按0.8计，则生活污水产生量为</w:t>
            </w:r>
            <w:r>
              <w:rPr>
                <w:rFonts w:hint="eastAsia"/>
                <w:color w:val="000000" w:themeColor="text1"/>
                <w14:textFill>
                  <w14:solidFill>
                    <w14:schemeClr w14:val="tx1"/>
                  </w14:solidFill>
                </w14:textFill>
              </w:rPr>
              <w:t>337</w:t>
            </w:r>
            <w:r>
              <w:rPr>
                <w:color w:val="000000" w:themeColor="text1"/>
                <w14:textFill>
                  <w14:solidFill>
                    <w14:schemeClr w14:val="tx1"/>
                  </w14:solidFill>
                </w14:textFill>
              </w:rPr>
              <w:t>m³。生活污水（含粪尿和盥洗水）集中收集于防渗储污罐中，由专用吸污车定期清运至</w:t>
            </w:r>
            <w:r>
              <w:rPr>
                <w:rFonts w:hint="eastAsia"/>
                <w:color w:val="000000" w:themeColor="text1"/>
                <w14:textFill>
                  <w14:solidFill>
                    <w14:schemeClr w14:val="tx1"/>
                  </w14:solidFill>
                </w14:textFill>
              </w:rPr>
              <w:t>木垒哈萨克自治县</w:t>
            </w:r>
            <w:r>
              <w:rPr>
                <w:color w:val="000000" w:themeColor="text1"/>
                <w14:textFill>
                  <w14:solidFill>
                    <w14:schemeClr w14:val="tx1"/>
                  </w14:solidFill>
                </w14:textFill>
              </w:rPr>
              <w:t>污水处理厂进行集中处理，不外排。</w:t>
            </w:r>
          </w:p>
          <w:p w14:paraId="709F1A43">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7.劳动定员</w:t>
            </w:r>
          </w:p>
          <w:p w14:paraId="0B09EE23">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本项目工程作业人员共计18人，项目组有技术人员3人，其它辅助性生产人员15人。</w:t>
            </w:r>
          </w:p>
          <w:p w14:paraId="7752283F">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8.工作进度安排</w:t>
            </w:r>
          </w:p>
          <w:p w14:paraId="0442A911">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w:t>
            </w:r>
            <w:r>
              <w:rPr>
                <w:rFonts w:hint="default" w:ascii="Times New Roman" w:hAnsi="Times New Roman" w:cs="Times New Roman"/>
                <w:color w:val="000000" w:themeColor="text1"/>
                <w:lang w:eastAsia="zh-CN"/>
                <w14:textFill>
                  <w14:solidFill>
                    <w14:schemeClr w14:val="tx1"/>
                  </w14:solidFill>
                </w14:textFill>
              </w:rPr>
              <w:t>勘查</w:t>
            </w:r>
            <w:r>
              <w:rPr>
                <w:rFonts w:hint="default" w:ascii="Times New Roman" w:hAnsi="Times New Roman" w:cs="Times New Roman"/>
                <w:color w:val="000000" w:themeColor="text1"/>
                <w14:textFill>
                  <w14:solidFill>
                    <w14:schemeClr w14:val="tx1"/>
                  </w14:solidFill>
                </w14:textFill>
              </w:rPr>
              <w:t>周期为2026年6月至2029年12月，扣除每年11月至次年3月冬季停工，实际野外作业约780天。分阶段安排如下：</w:t>
            </w:r>
          </w:p>
          <w:p w14:paraId="5870722B">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2026年6月</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10月：完成前期准备及场地搭建，开展地形测量、地质测量、化探、磁法、激电中梯等面积性工作。</w:t>
            </w:r>
          </w:p>
          <w:p w14:paraId="3BBA0E66">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2026年11月</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2027年3月：冬季停工，资料整理。</w:t>
            </w:r>
          </w:p>
          <w:p w14:paraId="0067F257">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2027年4月</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10月：开展激电测深，施工全部槽探，完成1</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2000地质测量。</w:t>
            </w:r>
          </w:p>
          <w:p w14:paraId="5FAB8990">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2027年11月</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2028年3月：冬季停工，确定第一批钻孔位置。</w:t>
            </w:r>
          </w:p>
          <w:p w14:paraId="3E60E572">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2028年4月</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10月：施工第一批钻探，采集样品。</w:t>
            </w:r>
          </w:p>
          <w:p w14:paraId="70FE757B">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2028年11月</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2029年3月：冬季停工，优化第二批钻孔部署。</w:t>
            </w:r>
          </w:p>
          <w:p w14:paraId="04E95345">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2029年4月</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10月：施工第二批及机动钻探，采集样品。</w:t>
            </w:r>
          </w:p>
          <w:p w14:paraId="786EAFCC">
            <w:pPr>
              <w:bidi w:val="0"/>
              <w:ind w:firstLine="480" w:firstLineChars="200"/>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2029年11月</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12月：完成样品测试，编制普查报告。</w:t>
            </w:r>
          </w:p>
        </w:tc>
      </w:tr>
      <w:tr w14:paraId="14A4C7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84" w:type="pct"/>
            <w:noWrap w:val="0"/>
            <w:vAlign w:val="center"/>
          </w:tcPr>
          <w:p w14:paraId="71DF38C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总平面及现场布置</w:t>
            </w:r>
          </w:p>
        </w:tc>
        <w:tc>
          <w:tcPr>
            <w:tcW w:w="4715" w:type="pct"/>
            <w:shd w:val="clear" w:color="auto" w:fill="auto"/>
            <w:noWrap w:val="0"/>
            <w:vAlign w:val="center"/>
          </w:tcPr>
          <w:p w14:paraId="1CCBCDB0">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1.工程占地</w:t>
            </w:r>
          </w:p>
          <w:p w14:paraId="65424626">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本项目探矿权总勘查面积为3.56km²。本次</w:t>
            </w:r>
            <w:r>
              <w:rPr>
                <w:rFonts w:hint="default" w:ascii="Times New Roman" w:hAnsi="Times New Roman" w:cs="Times New Roman"/>
                <w:color w:val="000000" w:themeColor="text1"/>
                <w:lang w:val="en-US" w:eastAsia="zh-CN"/>
                <w14:textFill>
                  <w14:solidFill>
                    <w14:schemeClr w14:val="tx1"/>
                  </w14:solidFill>
                </w14:textFill>
              </w:rPr>
              <w:t>勘查</w:t>
            </w:r>
            <w:r>
              <w:rPr>
                <w:rFonts w:hint="default" w:ascii="Times New Roman" w:hAnsi="Times New Roman" w:cs="Times New Roman"/>
                <w:color w:val="000000" w:themeColor="text1"/>
                <w14:textFill>
                  <w14:solidFill>
                    <w14:schemeClr w14:val="tx1"/>
                  </w14:solidFill>
                </w14:textFill>
              </w:rPr>
              <w:t>工作</w:t>
            </w:r>
            <w:r>
              <w:rPr>
                <w:rFonts w:hint="default" w:ascii="Times New Roman" w:hAnsi="Times New Roman" w:cs="Times New Roman"/>
                <w:color w:val="000000" w:themeColor="text1"/>
                <w:lang w:val="en-US" w:eastAsia="zh-CN"/>
                <w14:textFill>
                  <w14:solidFill>
                    <w14:schemeClr w14:val="tx1"/>
                  </w14:solidFill>
                </w14:textFill>
              </w:rPr>
              <w:t>涉及的</w:t>
            </w:r>
            <w:r>
              <w:rPr>
                <w:rFonts w:hint="default" w:ascii="Times New Roman" w:hAnsi="Times New Roman" w:cs="Times New Roman"/>
                <w:color w:val="000000" w:themeColor="text1"/>
                <w14:textFill>
                  <w14:solidFill>
                    <w14:schemeClr w14:val="tx1"/>
                  </w14:solidFill>
                </w14:textFill>
              </w:rPr>
              <w:t>槽探、</w:t>
            </w:r>
            <w:r>
              <w:rPr>
                <w:rFonts w:hint="default" w:ascii="Times New Roman" w:hAnsi="Times New Roman" w:cs="Times New Roman"/>
                <w:color w:val="000000" w:themeColor="text1"/>
                <w:lang w:eastAsia="zh-CN"/>
                <w14:textFill>
                  <w14:solidFill>
                    <w14:schemeClr w14:val="tx1"/>
                  </w14:solidFill>
                </w14:textFill>
              </w:rPr>
              <w:t>勘探作业区</w:t>
            </w: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eastAsia="zh-CN"/>
                <w14:textFill>
                  <w14:solidFill>
                    <w14:schemeClr w14:val="tx1"/>
                  </w14:solidFill>
                </w14:textFill>
              </w:rPr>
              <w:t>临时办公生活营地</w:t>
            </w:r>
            <w:r>
              <w:rPr>
                <w:rFonts w:hint="default" w:ascii="Times New Roman" w:hAnsi="Times New Roman" w:cs="Times New Roman"/>
                <w:color w:val="000000" w:themeColor="text1"/>
                <w14:textFill>
                  <w14:solidFill>
                    <w14:schemeClr w14:val="tx1"/>
                  </w14:solidFill>
                </w14:textFill>
              </w:rPr>
              <w:t>及施工便道等均属临时性占地。根据现场布置方案及施工组织设计，项目临时占地面积共计</w:t>
            </w:r>
            <w:r>
              <w:rPr>
                <w:rFonts w:hint="default" w:ascii="Times New Roman" w:hAnsi="Times New Roman" w:cs="Times New Roman"/>
                <w:color w:val="000000" w:themeColor="text1"/>
                <w:lang w:eastAsia="zh-CN"/>
                <w14:textFill>
                  <w14:solidFill>
                    <w14:schemeClr w14:val="tx1"/>
                  </w14:solidFill>
                </w14:textFill>
              </w:rPr>
              <w:t>15217</w:t>
            </w:r>
            <w:r>
              <w:rPr>
                <w:rFonts w:hint="default" w:ascii="Times New Roman" w:hAnsi="Times New Roman" w:cs="Times New Roman"/>
                <w:color w:val="000000" w:themeColor="text1"/>
                <w14:textFill>
                  <w14:solidFill>
                    <w14:schemeClr w14:val="tx1"/>
                  </w14:solidFill>
                </w14:textFill>
              </w:rPr>
              <w:t>m²，占地类型为天然牧草地。具体构成如下：</w:t>
            </w:r>
          </w:p>
          <w:p w14:paraId="12F8E2D6">
            <w:pPr>
              <w:pStyle w:val="5"/>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表2-8    工程临时占地估算表</w:t>
            </w:r>
          </w:p>
          <w:tbl>
            <w:tblPr>
              <w:tblStyle w:val="14"/>
              <w:tblW w:w="4999"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8"/>
              <w:gridCol w:w="2823"/>
              <w:gridCol w:w="2707"/>
            </w:tblGrid>
            <w:tr w14:paraId="1C3A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pct"/>
                  <w:vAlign w:val="center"/>
                </w:tcPr>
                <w:p w14:paraId="63A68EC8">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hint="eastAsia" w:eastAsiaTheme="minorEastAsia"/>
                      <w:b/>
                      <w:bCs/>
                      <w:color w:val="000000" w:themeColor="text1"/>
                      <w:sz w:val="21"/>
                      <w:szCs w:val="21"/>
                      <w14:textFill>
                        <w14:solidFill>
                          <w14:schemeClr w14:val="tx1"/>
                        </w14:solidFill>
                      </w14:textFill>
                    </w:rPr>
                    <w:t>工程类别</w:t>
                  </w:r>
                </w:p>
              </w:tc>
              <w:tc>
                <w:tcPr>
                  <w:tcW w:w="1696" w:type="pct"/>
                  <w:vAlign w:val="center"/>
                </w:tcPr>
                <w:p w14:paraId="07C08CB0">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hint="eastAsia" w:eastAsiaTheme="minorEastAsia"/>
                      <w:b/>
                      <w:bCs/>
                      <w:color w:val="000000" w:themeColor="text1"/>
                      <w:sz w:val="21"/>
                      <w:szCs w:val="21"/>
                      <w14:textFill>
                        <w14:solidFill>
                          <w14:schemeClr w14:val="tx1"/>
                        </w14:solidFill>
                      </w14:textFill>
                    </w:rPr>
                    <w:t>占地面积（m</w:t>
                  </w:r>
                  <w:r>
                    <w:rPr>
                      <w:rFonts w:hint="eastAsia" w:eastAsiaTheme="minorEastAsia"/>
                      <w:b/>
                      <w:bCs/>
                      <w:color w:val="000000" w:themeColor="text1"/>
                      <w:sz w:val="21"/>
                      <w:szCs w:val="21"/>
                      <w:vertAlign w:val="superscript"/>
                      <w14:textFill>
                        <w14:solidFill>
                          <w14:schemeClr w14:val="tx1"/>
                        </w14:solidFill>
                      </w14:textFill>
                    </w:rPr>
                    <w:t>2</w:t>
                  </w:r>
                  <w:r>
                    <w:rPr>
                      <w:rFonts w:hint="eastAsia" w:eastAsiaTheme="minorEastAsia"/>
                      <w:b/>
                      <w:bCs/>
                      <w:color w:val="000000" w:themeColor="text1"/>
                      <w:sz w:val="21"/>
                      <w:szCs w:val="21"/>
                      <w14:textFill>
                        <w14:solidFill>
                          <w14:schemeClr w14:val="tx1"/>
                        </w14:solidFill>
                      </w14:textFill>
                    </w:rPr>
                    <w:t>）</w:t>
                  </w:r>
                </w:p>
              </w:tc>
              <w:tc>
                <w:tcPr>
                  <w:tcW w:w="1627" w:type="pct"/>
                  <w:vAlign w:val="center"/>
                </w:tcPr>
                <w:p w14:paraId="00E20359">
                  <w:pPr>
                    <w:spacing w:line="240" w:lineRule="auto"/>
                    <w:ind w:firstLine="0" w:firstLineChars="0"/>
                    <w:jc w:val="center"/>
                    <w:rPr>
                      <w:rFonts w:eastAsiaTheme="minorEastAsia"/>
                      <w:b/>
                      <w:bCs/>
                      <w:color w:val="000000" w:themeColor="text1"/>
                      <w:sz w:val="21"/>
                      <w:szCs w:val="21"/>
                      <w14:textFill>
                        <w14:solidFill>
                          <w14:schemeClr w14:val="tx1"/>
                        </w14:solidFill>
                      </w14:textFill>
                    </w:rPr>
                  </w:pPr>
                  <w:r>
                    <w:rPr>
                      <w:rFonts w:hint="eastAsia" w:eastAsiaTheme="minorEastAsia"/>
                      <w:b/>
                      <w:bCs/>
                      <w:color w:val="000000" w:themeColor="text1"/>
                      <w:sz w:val="21"/>
                      <w:szCs w:val="21"/>
                      <w14:textFill>
                        <w14:solidFill>
                          <w14:schemeClr w14:val="tx1"/>
                        </w14:solidFill>
                      </w14:textFill>
                    </w:rPr>
                    <w:t>占地类型</w:t>
                  </w:r>
                </w:p>
              </w:tc>
            </w:tr>
            <w:tr w14:paraId="5606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pct"/>
                  <w:vAlign w:val="center"/>
                </w:tcPr>
                <w:p w14:paraId="174B1A39">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hint="eastAsia" w:eastAsiaTheme="minorEastAsia"/>
                      <w:color w:val="000000" w:themeColor="text1"/>
                      <w:sz w:val="21"/>
                      <w:szCs w:val="21"/>
                      <w:lang w:val="en-US" w:eastAsia="zh-CN"/>
                      <w14:textFill>
                        <w14:solidFill>
                          <w14:schemeClr w14:val="tx1"/>
                        </w14:solidFill>
                      </w14:textFill>
                    </w:rPr>
                    <w:t>临时办公生活营地</w:t>
                  </w:r>
                </w:p>
              </w:tc>
              <w:tc>
                <w:tcPr>
                  <w:tcW w:w="1696" w:type="pct"/>
                  <w:vAlign w:val="center"/>
                </w:tcPr>
                <w:p w14:paraId="3739BE58">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hint="eastAsia" w:eastAsiaTheme="minorEastAsia"/>
                      <w:color w:val="000000" w:themeColor="text1"/>
                      <w:sz w:val="21"/>
                      <w:szCs w:val="21"/>
                      <w:lang w:val="en-US" w:eastAsia="zh-CN"/>
                      <w14:textFill>
                        <w14:solidFill>
                          <w14:schemeClr w14:val="tx1"/>
                        </w14:solidFill>
                      </w14:textFill>
                    </w:rPr>
                    <w:t>200m</w:t>
                  </w:r>
                  <w:r>
                    <w:rPr>
                      <w:rFonts w:hint="eastAsia" w:eastAsiaTheme="minorEastAsia"/>
                      <w:color w:val="000000" w:themeColor="text1"/>
                      <w:sz w:val="21"/>
                      <w:szCs w:val="21"/>
                      <w:vertAlign w:val="superscript"/>
                      <w:lang w:val="en-US" w:eastAsia="zh-CN"/>
                      <w14:textFill>
                        <w14:solidFill>
                          <w14:schemeClr w14:val="tx1"/>
                        </w14:solidFill>
                      </w14:textFill>
                    </w:rPr>
                    <w:t>2</w:t>
                  </w:r>
                </w:p>
              </w:tc>
              <w:tc>
                <w:tcPr>
                  <w:tcW w:w="1627" w:type="pct"/>
                  <w:vAlign w:val="center"/>
                </w:tcPr>
                <w:p w14:paraId="3D48144E">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hint="eastAsia" w:eastAsiaTheme="minorEastAsia"/>
                      <w:color w:val="000000" w:themeColor="text1"/>
                      <w:sz w:val="21"/>
                      <w:szCs w:val="21"/>
                      <w14:textFill>
                        <w14:solidFill>
                          <w14:schemeClr w14:val="tx1"/>
                        </w14:solidFill>
                      </w14:textFill>
                    </w:rPr>
                    <w:t>天然牧草地</w:t>
                  </w:r>
                </w:p>
              </w:tc>
            </w:tr>
            <w:tr w14:paraId="43EC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1675" w:type="pct"/>
                  <w:vAlign w:val="center"/>
                </w:tcPr>
                <w:p w14:paraId="566F0ECF">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hint="eastAsia" w:eastAsiaTheme="minorEastAsia"/>
                      <w:color w:val="000000" w:themeColor="text1"/>
                      <w:sz w:val="21"/>
                      <w:szCs w:val="21"/>
                      <w:lang w:val="en-US" w:eastAsia="zh-CN"/>
                      <w14:textFill>
                        <w14:solidFill>
                          <w14:schemeClr w14:val="tx1"/>
                        </w14:solidFill>
                      </w14:textFill>
                    </w:rPr>
                    <w:t>槽探作业区</w:t>
                  </w:r>
                </w:p>
              </w:tc>
              <w:tc>
                <w:tcPr>
                  <w:tcW w:w="1696" w:type="pct"/>
                  <w:vAlign w:val="center"/>
                </w:tcPr>
                <w:p w14:paraId="7D97F9D5">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hint="eastAsia" w:eastAsiaTheme="minorEastAsia"/>
                      <w:color w:val="000000" w:themeColor="text1"/>
                      <w:sz w:val="21"/>
                      <w:szCs w:val="21"/>
                      <w:lang w:val="en-US" w:eastAsia="zh-CN"/>
                      <w14:textFill>
                        <w14:solidFill>
                          <w14:schemeClr w14:val="tx1"/>
                        </w14:solidFill>
                      </w14:textFill>
                    </w:rPr>
                    <w:t>5550m</w:t>
                  </w:r>
                  <w:r>
                    <w:rPr>
                      <w:rFonts w:hint="eastAsia" w:eastAsiaTheme="minorEastAsia"/>
                      <w:color w:val="000000" w:themeColor="text1"/>
                      <w:sz w:val="21"/>
                      <w:szCs w:val="21"/>
                      <w:vertAlign w:val="superscript"/>
                      <w:lang w:val="en-US" w:eastAsia="zh-CN"/>
                      <w14:textFill>
                        <w14:solidFill>
                          <w14:schemeClr w14:val="tx1"/>
                        </w14:solidFill>
                      </w14:textFill>
                    </w:rPr>
                    <w:t>2</w:t>
                  </w:r>
                </w:p>
              </w:tc>
              <w:tc>
                <w:tcPr>
                  <w:tcW w:w="1627" w:type="pct"/>
                  <w:vAlign w:val="center"/>
                </w:tcPr>
                <w:p w14:paraId="4A584A07">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hint="eastAsia" w:eastAsiaTheme="minorEastAsia"/>
                      <w:color w:val="000000" w:themeColor="text1"/>
                      <w:sz w:val="21"/>
                      <w:szCs w:val="21"/>
                      <w14:textFill>
                        <w14:solidFill>
                          <w14:schemeClr w14:val="tx1"/>
                        </w14:solidFill>
                      </w14:textFill>
                    </w:rPr>
                    <w:t>天然牧草地</w:t>
                  </w:r>
                </w:p>
              </w:tc>
            </w:tr>
            <w:tr w14:paraId="153C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pct"/>
                  <w:vAlign w:val="center"/>
                </w:tcPr>
                <w:p w14:paraId="67FD0D42">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hint="eastAsia" w:eastAsiaTheme="minorEastAsia"/>
                      <w:color w:val="000000" w:themeColor="text1"/>
                      <w:sz w:val="21"/>
                      <w:szCs w:val="21"/>
                      <w:lang w:val="en-US" w:eastAsia="zh-CN"/>
                      <w14:textFill>
                        <w14:solidFill>
                          <w14:schemeClr w14:val="tx1"/>
                        </w14:solidFill>
                      </w14:textFill>
                    </w:rPr>
                    <w:t>钻探作业区</w:t>
                  </w:r>
                </w:p>
              </w:tc>
              <w:tc>
                <w:tcPr>
                  <w:tcW w:w="1696" w:type="pct"/>
                  <w:vAlign w:val="center"/>
                </w:tcPr>
                <w:p w14:paraId="71F281AD">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hint="eastAsia" w:eastAsiaTheme="minorEastAsia"/>
                      <w:color w:val="000000" w:themeColor="text1"/>
                      <w:sz w:val="21"/>
                      <w:szCs w:val="21"/>
                      <w:lang w:val="en-US" w:eastAsia="zh-CN"/>
                      <w14:textFill>
                        <w14:solidFill>
                          <w14:schemeClr w14:val="tx1"/>
                        </w14:solidFill>
                      </w14:textFill>
                    </w:rPr>
                    <w:t>2800m</w:t>
                  </w:r>
                  <w:r>
                    <w:rPr>
                      <w:rFonts w:hint="eastAsia" w:eastAsiaTheme="minorEastAsia"/>
                      <w:color w:val="000000" w:themeColor="text1"/>
                      <w:sz w:val="21"/>
                      <w:szCs w:val="21"/>
                      <w:vertAlign w:val="superscript"/>
                      <w:lang w:val="en-US" w:eastAsia="zh-CN"/>
                      <w14:textFill>
                        <w14:solidFill>
                          <w14:schemeClr w14:val="tx1"/>
                        </w14:solidFill>
                      </w14:textFill>
                    </w:rPr>
                    <w:t>2</w:t>
                  </w:r>
                </w:p>
              </w:tc>
              <w:tc>
                <w:tcPr>
                  <w:tcW w:w="1627" w:type="pct"/>
                  <w:vAlign w:val="center"/>
                </w:tcPr>
                <w:p w14:paraId="7F65CED8">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hint="eastAsia" w:eastAsiaTheme="minorEastAsia"/>
                      <w:color w:val="000000" w:themeColor="text1"/>
                      <w:sz w:val="21"/>
                      <w:szCs w:val="21"/>
                      <w14:textFill>
                        <w14:solidFill>
                          <w14:schemeClr w14:val="tx1"/>
                        </w14:solidFill>
                      </w14:textFill>
                    </w:rPr>
                    <w:t>天然牧草地</w:t>
                  </w:r>
                </w:p>
              </w:tc>
            </w:tr>
            <w:tr w14:paraId="602A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pct"/>
                  <w:vAlign w:val="center"/>
                </w:tcPr>
                <w:p w14:paraId="3F18ACAB">
                  <w:pPr>
                    <w:spacing w:line="240" w:lineRule="auto"/>
                    <w:ind w:firstLine="0" w:firstLineChars="0"/>
                    <w:jc w:val="center"/>
                    <w:rPr>
                      <w:rFonts w:hint="default" w:eastAsiaTheme="minorEastAsia"/>
                      <w:color w:val="000000" w:themeColor="text1"/>
                      <w:sz w:val="21"/>
                      <w:szCs w:val="21"/>
                      <w:lang w:val="en-US" w:eastAsia="zh-CN"/>
                      <w14:textFill>
                        <w14:solidFill>
                          <w14:schemeClr w14:val="tx1"/>
                        </w14:solidFill>
                      </w14:textFill>
                    </w:rPr>
                  </w:pPr>
                  <w:r>
                    <w:rPr>
                      <w:rFonts w:hint="eastAsia" w:eastAsiaTheme="minorEastAsia"/>
                      <w:color w:val="000000" w:themeColor="text1"/>
                      <w:sz w:val="21"/>
                      <w:szCs w:val="21"/>
                      <w:lang w:val="en-US" w:eastAsia="zh-CN"/>
                      <w14:textFill>
                        <w14:solidFill>
                          <w14:schemeClr w14:val="tx1"/>
                        </w14:solidFill>
                      </w14:textFill>
                    </w:rPr>
                    <w:t>临时道路</w:t>
                  </w:r>
                </w:p>
              </w:tc>
              <w:tc>
                <w:tcPr>
                  <w:tcW w:w="1696" w:type="pct"/>
                  <w:vAlign w:val="center"/>
                </w:tcPr>
                <w:p w14:paraId="30A4EFE4">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hint="eastAsia" w:eastAsiaTheme="minorEastAsia"/>
                      <w:color w:val="000000" w:themeColor="text1"/>
                      <w:sz w:val="21"/>
                      <w:szCs w:val="21"/>
                      <w:lang w:val="en-US" w:eastAsia="zh-CN"/>
                      <w14:textFill>
                        <w14:solidFill>
                          <w14:schemeClr w14:val="tx1"/>
                        </w14:solidFill>
                      </w14:textFill>
                    </w:rPr>
                    <w:t>6667</w:t>
                  </w:r>
                  <w:r>
                    <w:rPr>
                      <w:rFonts w:hint="eastAsia" w:eastAsiaTheme="minorEastAsia"/>
                      <w:color w:val="000000" w:themeColor="text1"/>
                      <w:sz w:val="21"/>
                      <w:szCs w:val="21"/>
                      <w14:textFill>
                        <w14:solidFill>
                          <w14:schemeClr w14:val="tx1"/>
                        </w14:solidFill>
                      </w14:textFill>
                    </w:rPr>
                    <w:t>m</w:t>
                  </w:r>
                  <w:r>
                    <w:rPr>
                      <w:rFonts w:hint="eastAsia" w:eastAsiaTheme="minorEastAsia"/>
                      <w:color w:val="000000" w:themeColor="text1"/>
                      <w:sz w:val="21"/>
                      <w:szCs w:val="21"/>
                      <w:vertAlign w:val="superscript"/>
                      <w14:textFill>
                        <w14:solidFill>
                          <w14:schemeClr w14:val="tx1"/>
                        </w14:solidFill>
                      </w14:textFill>
                    </w:rPr>
                    <w:t>2</w:t>
                  </w:r>
                </w:p>
              </w:tc>
              <w:tc>
                <w:tcPr>
                  <w:tcW w:w="1627" w:type="pct"/>
                  <w:vAlign w:val="center"/>
                </w:tcPr>
                <w:p w14:paraId="4293DA84">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hint="eastAsia" w:eastAsiaTheme="minorEastAsia"/>
                      <w:color w:val="000000" w:themeColor="text1"/>
                      <w:sz w:val="21"/>
                      <w:szCs w:val="21"/>
                      <w14:textFill>
                        <w14:solidFill>
                          <w14:schemeClr w14:val="tx1"/>
                        </w14:solidFill>
                      </w14:textFill>
                    </w:rPr>
                    <w:t>天然牧草地</w:t>
                  </w:r>
                </w:p>
              </w:tc>
            </w:tr>
            <w:tr w14:paraId="67D7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pct"/>
                  <w:vAlign w:val="center"/>
                </w:tcPr>
                <w:p w14:paraId="583ACB49">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hint="eastAsia" w:eastAsiaTheme="minorEastAsia"/>
                      <w:color w:val="000000" w:themeColor="text1"/>
                      <w:sz w:val="21"/>
                      <w:szCs w:val="21"/>
                      <w14:textFill>
                        <w14:solidFill>
                          <w14:schemeClr w14:val="tx1"/>
                        </w14:solidFill>
                      </w14:textFill>
                    </w:rPr>
                    <w:t>合计</w:t>
                  </w:r>
                </w:p>
              </w:tc>
              <w:tc>
                <w:tcPr>
                  <w:tcW w:w="1696" w:type="pct"/>
                  <w:vAlign w:val="center"/>
                </w:tcPr>
                <w:p w14:paraId="6295853C">
                  <w:pPr>
                    <w:spacing w:line="240" w:lineRule="auto"/>
                    <w:ind w:firstLine="0" w:firstLineChars="0"/>
                    <w:jc w:val="center"/>
                    <w:rPr>
                      <w:rFonts w:eastAsiaTheme="minorEastAsia"/>
                      <w:color w:val="000000" w:themeColor="text1"/>
                      <w:sz w:val="21"/>
                      <w:szCs w:val="21"/>
                      <w14:textFill>
                        <w14:solidFill>
                          <w14:schemeClr w14:val="tx1"/>
                        </w14:solidFill>
                      </w14:textFill>
                    </w:rPr>
                  </w:pPr>
                  <w:r>
                    <w:rPr>
                      <w:rFonts w:hint="eastAsia" w:eastAsiaTheme="minorEastAsia"/>
                      <w:color w:val="000000" w:themeColor="text1"/>
                      <w:sz w:val="21"/>
                      <w:szCs w:val="21"/>
                      <w:lang w:val="en-US" w:eastAsia="zh-CN"/>
                      <w14:textFill>
                        <w14:solidFill>
                          <w14:schemeClr w14:val="tx1"/>
                        </w14:solidFill>
                      </w14:textFill>
                    </w:rPr>
                    <w:t>15217</w:t>
                  </w:r>
                  <w:r>
                    <w:rPr>
                      <w:rFonts w:hint="eastAsia" w:eastAsiaTheme="minorEastAsia"/>
                      <w:color w:val="000000" w:themeColor="text1"/>
                      <w:sz w:val="21"/>
                      <w:szCs w:val="21"/>
                      <w14:textFill>
                        <w14:solidFill>
                          <w14:schemeClr w14:val="tx1"/>
                        </w14:solidFill>
                      </w14:textFill>
                    </w:rPr>
                    <w:t>m</w:t>
                  </w:r>
                  <w:r>
                    <w:rPr>
                      <w:rFonts w:hint="eastAsia" w:eastAsiaTheme="minorEastAsia"/>
                      <w:color w:val="000000" w:themeColor="text1"/>
                      <w:sz w:val="21"/>
                      <w:szCs w:val="21"/>
                      <w:vertAlign w:val="superscript"/>
                      <w14:textFill>
                        <w14:solidFill>
                          <w14:schemeClr w14:val="tx1"/>
                        </w14:solidFill>
                      </w14:textFill>
                    </w:rPr>
                    <w:t>2</w:t>
                  </w:r>
                </w:p>
              </w:tc>
              <w:tc>
                <w:tcPr>
                  <w:tcW w:w="1627" w:type="pct"/>
                  <w:vAlign w:val="center"/>
                </w:tcPr>
                <w:p w14:paraId="1D254736">
                  <w:pPr>
                    <w:spacing w:line="240" w:lineRule="auto"/>
                    <w:ind w:firstLine="0" w:firstLineChars="0"/>
                    <w:jc w:val="center"/>
                    <w:rPr>
                      <w:rFonts w:hint="eastAsia" w:eastAsiaTheme="minorEastAsia"/>
                      <w:color w:val="000000" w:themeColor="text1"/>
                      <w:sz w:val="21"/>
                      <w:szCs w:val="21"/>
                      <w:lang w:val="en-US" w:eastAsia="zh-CN"/>
                      <w14:textFill>
                        <w14:solidFill>
                          <w14:schemeClr w14:val="tx1"/>
                        </w14:solidFill>
                      </w14:textFill>
                    </w:rPr>
                  </w:pPr>
                  <w:r>
                    <w:rPr>
                      <w:rFonts w:hint="eastAsia" w:eastAsiaTheme="minorEastAsia"/>
                      <w:color w:val="000000" w:themeColor="text1"/>
                      <w:sz w:val="21"/>
                      <w:szCs w:val="21"/>
                      <w14:textFill>
                        <w14:solidFill>
                          <w14:schemeClr w14:val="tx1"/>
                        </w14:solidFill>
                      </w14:textFill>
                    </w:rPr>
                    <w:t>天然牧草</w:t>
                  </w:r>
                  <w:r>
                    <w:rPr>
                      <w:rFonts w:hint="eastAsia" w:eastAsiaTheme="minorEastAsia"/>
                      <w:color w:val="000000" w:themeColor="text1"/>
                      <w:sz w:val="21"/>
                      <w:szCs w:val="21"/>
                      <w:lang w:val="en-US" w:eastAsia="zh-CN"/>
                      <w14:textFill>
                        <w14:solidFill>
                          <w14:schemeClr w14:val="tx1"/>
                        </w14:solidFill>
                      </w14:textFill>
                    </w:rPr>
                    <w:t>地</w:t>
                  </w:r>
                </w:p>
              </w:tc>
            </w:tr>
          </w:tbl>
          <w:p w14:paraId="091636BB">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2.总平面布置</w:t>
            </w:r>
          </w:p>
          <w:p w14:paraId="2885E163">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本项目勘查工作呈</w:t>
            </w:r>
            <w:r>
              <w:rPr>
                <w:rFonts w:hint="eastAsia"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点-线-面</w:t>
            </w:r>
            <w:r>
              <w:rPr>
                <w:rFonts w:hint="eastAsia"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结合的方式展开，总平面布置遵循</w:t>
            </w:r>
            <w:r>
              <w:rPr>
                <w:rFonts w:hint="eastAsia"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全面控制、重点加密、绿色优先、减少扰动</w:t>
            </w:r>
            <w:r>
              <w:rPr>
                <w:rFonts w:hint="eastAsia"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的原则。</w:t>
            </w:r>
          </w:p>
          <w:p w14:paraId="6E298B1E">
            <w:pPr>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（1）测量、物探、化探工作布置</w:t>
            </w:r>
          </w:p>
          <w:p w14:paraId="370C0970">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该部分工作覆盖整个3.56km</w:t>
            </w:r>
            <w:r>
              <w:rPr>
                <w:rFonts w:hint="default" w:ascii="Times New Roman" w:hAnsi="Times New Roman" w:cs="Times New Roman"/>
                <w:color w:val="000000" w:themeColor="text1"/>
                <w:vertAlign w:val="superscript"/>
                <w:lang w:val="en-US" w:eastAsia="zh-CN"/>
                <w14:textFill>
                  <w14:solidFill>
                    <w14:schemeClr w14:val="tx1"/>
                  </w14:solidFill>
                </w14:textFill>
              </w:rPr>
              <w:t>2</w:t>
            </w:r>
            <w:r>
              <w:rPr>
                <w:rFonts w:hint="default" w:ascii="Times New Roman" w:hAnsi="Times New Roman" w:cs="Times New Roman"/>
                <w:color w:val="000000" w:themeColor="text1"/>
                <w:lang w:val="en-US" w:eastAsia="zh-CN"/>
                <w14:textFill>
                  <w14:solidFill>
                    <w14:schemeClr w14:val="tx1"/>
                  </w14:solidFill>
                </w14:textFill>
              </w:rPr>
              <w:t>勘查区，属于</w:t>
            </w:r>
            <w:r>
              <w:rPr>
                <w:rFonts w:hint="eastAsia"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面</w:t>
            </w:r>
            <w:r>
              <w:rPr>
                <w:rFonts w:hint="eastAsia"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上工作。不设置固定场地，作业人员采用手持设备和车辆进行网格化作业，其扰动表现为人员行走和车辆碾压，具有短暂、分散特点。</w:t>
            </w:r>
          </w:p>
          <w:p w14:paraId="69FC16AF">
            <w:pPr>
              <w:bidi w:val="0"/>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（2）</w:t>
            </w:r>
            <w:r>
              <w:rPr>
                <w:rFonts w:hint="default" w:ascii="Times New Roman" w:hAnsi="Times New Roman" w:cs="Times New Roman"/>
                <w:b/>
                <w:bCs/>
                <w:color w:val="000000" w:themeColor="text1"/>
                <w14:textFill>
                  <w14:solidFill>
                    <w14:schemeClr w14:val="tx1"/>
                  </w14:solidFill>
                </w14:textFill>
              </w:rPr>
              <w:t>槽探工程布置</w:t>
            </w:r>
          </w:p>
          <w:p w14:paraId="278FB6C6">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根据勘查设计，共布设槽探工程1850m。各探槽呈线状分布，开挖土石临时堆存于探槽两侧，施工结束后立即分层回填、平整。槽探作业点分散、规模较小，工程所需材料利用已有便道运送，再由人工搬运至作业场地，随用随卸，不单设固定的大中型作业场地。</w:t>
            </w:r>
          </w:p>
          <w:p w14:paraId="023FE76F">
            <w:pPr>
              <w:bidi w:val="0"/>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（3）钻探工程布置</w:t>
            </w:r>
          </w:p>
          <w:p w14:paraId="77B7D72B">
            <w:pPr>
              <w:bidi w:val="0"/>
              <w:rPr>
                <w:rFonts w:hint="default" w:ascii="Times New Roman" w:hAnsi="Times New Roman"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共设计24个钻孔，总进尺4565m，钻孔倾角均为70°，方位角分别为28°、125°、25°。各勘探作业区（单个约50</w:t>
            </w:r>
            <w:r>
              <w:rPr>
                <w:rFonts w:hint="eastAsia" w:ascii="Times New Roman" w:hAnsi="Times New Roman" w:cs="Times New Roman"/>
                <w:b w:val="0"/>
                <w:bCs w:val="0"/>
                <w:color w:val="000000" w:themeColor="text1"/>
                <w:lang w:val="en-US" w:eastAsia="zh-CN"/>
                <w14:textFill>
                  <w14:solidFill>
                    <w14:schemeClr w14:val="tx1"/>
                  </w14:solidFill>
                </w14:textFill>
              </w:rPr>
              <w:t>～</w:t>
            </w:r>
            <w:r>
              <w:rPr>
                <w:rFonts w:hint="default" w:ascii="Times New Roman" w:hAnsi="Times New Roman" w:cs="Times New Roman"/>
                <w:b w:val="0"/>
                <w:bCs w:val="0"/>
                <w:color w:val="000000" w:themeColor="text1"/>
                <w:lang w:val="en-US" w:eastAsia="zh-CN"/>
                <w14:textFill>
                  <w14:solidFill>
                    <w14:schemeClr w14:val="tx1"/>
                  </w14:solidFill>
                </w14:textFill>
              </w:rPr>
              <w:t>100m²）的平面布置高度集成，遵循以下原则：在单个平台内，钻机、泥浆泵、岩</w:t>
            </w:r>
            <w:r>
              <w:rPr>
                <w:rFonts w:hint="eastAsia" w:ascii="Times New Roman" w:hAnsi="Times New Roman" w:cs="Times New Roman"/>
                <w:b w:val="0"/>
                <w:bCs w:val="0"/>
                <w:color w:val="000000" w:themeColor="text1"/>
                <w:lang w:val="en-US" w:eastAsia="zh-CN"/>
                <w14:textFill>
                  <w14:solidFill>
                    <w14:schemeClr w14:val="tx1"/>
                  </w14:solidFill>
                </w14:textFill>
              </w:rPr>
              <w:t>芯</w:t>
            </w:r>
            <w:r>
              <w:rPr>
                <w:rFonts w:hint="default" w:ascii="Times New Roman" w:hAnsi="Times New Roman" w:cs="Times New Roman"/>
                <w:b w:val="0"/>
                <w:bCs w:val="0"/>
                <w:color w:val="000000" w:themeColor="text1"/>
                <w:lang w:val="en-US" w:eastAsia="zh-CN"/>
                <w14:textFill>
                  <w14:solidFill>
                    <w14:schemeClr w14:val="tx1"/>
                  </w14:solidFill>
                </w14:textFill>
              </w:rPr>
              <w:t>摆放区紧凑布置，减少占地面积；平台依地形进行简易平整，最大限度减少挖填方量；钻机周围布置导流槽，连接下游的防渗沉淀池；沉淀池旁的防渗沉渣暂存区用于临时存放干化后的泥浆岩屑；平台附近设置临时堆土场，用于保存平台平整及钻孔施工时剥离的表层土。</w:t>
            </w:r>
          </w:p>
          <w:p w14:paraId="51D5289F">
            <w:pPr>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（4）临时</w:t>
            </w:r>
            <w:r>
              <w:rPr>
                <w:rFonts w:hint="eastAsia" w:ascii="Times New Roman" w:hAnsi="Times New Roman" w:cs="Times New Roman"/>
                <w:b/>
                <w:bCs/>
                <w:color w:val="000000" w:themeColor="text1"/>
                <w:lang w:val="en-US" w:eastAsia="zh-CN"/>
                <w14:textFill>
                  <w14:solidFill>
                    <w14:schemeClr w14:val="tx1"/>
                  </w14:solidFill>
                </w14:textFill>
              </w:rPr>
              <w:t>办公</w:t>
            </w:r>
            <w:r>
              <w:rPr>
                <w:rFonts w:hint="default" w:ascii="Times New Roman" w:hAnsi="Times New Roman" w:cs="Times New Roman"/>
                <w:b/>
                <w:bCs/>
                <w:color w:val="000000" w:themeColor="text1"/>
                <w:lang w:val="en-US" w:eastAsia="zh-CN"/>
                <w14:textFill>
                  <w14:solidFill>
                    <w14:schemeClr w14:val="tx1"/>
                  </w14:solidFill>
                </w14:textFill>
              </w:rPr>
              <w:t>生活营地</w:t>
            </w:r>
          </w:p>
          <w:p w14:paraId="2121206D">
            <w:pPr>
              <w:bidi w:val="0"/>
              <w:rPr>
                <w:rFonts w:hint="default"/>
                <w:lang w:val="en-US" w:eastAsia="zh-CN"/>
              </w:rPr>
            </w:pPr>
            <w:r>
              <w:rPr>
                <w:rFonts w:hint="default"/>
                <w:lang w:val="en-US" w:eastAsia="zh-CN"/>
              </w:rPr>
              <w:t>本项目在勘查区内设置1处固定的临时办公生活营地，位于交通相对便利、地势平缓的区域，总占地面积200m²。</w:t>
            </w:r>
            <w:r>
              <w:rPr>
                <w:rFonts w:hint="eastAsia"/>
                <w:lang w:val="en-US" w:eastAsia="zh-CN"/>
              </w:rPr>
              <w:t>临时办公生活营地</w:t>
            </w:r>
            <w:r>
              <w:rPr>
                <w:rFonts w:hint="default"/>
                <w:lang w:val="en-US" w:eastAsia="zh-CN"/>
              </w:rPr>
              <w:t>内合理布设办公住宿区、卫生设施、物资堆放区及供电供水设施。其中，卫生设施采用移动式防渗环保厕所，定期由吸污车清运生活污水至木垒哈萨克自治县污水处理厂处理；生活及办公用电采用太阳能光伏板+蓄电池供电，必要时辅以小型柴油发电机；</w:t>
            </w:r>
            <w:r>
              <w:rPr>
                <w:rFonts w:hint="eastAsia"/>
                <w:lang w:val="en-US" w:eastAsia="zh-CN"/>
              </w:rPr>
              <w:t>临时办公生活营地</w:t>
            </w:r>
            <w:r>
              <w:rPr>
                <w:rFonts w:hint="default"/>
                <w:lang w:val="en-US" w:eastAsia="zh-CN"/>
              </w:rPr>
              <w:t>地面采取简易硬化或铺设防渗布，防止油品及污水渗漏。探矿作业结束后，拆除所有临时设施，进行场地清理、平整及植被恢复。</w:t>
            </w:r>
          </w:p>
          <w:p w14:paraId="0D5A22FE">
            <w:pPr>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（5）探矿区道路</w:t>
            </w:r>
          </w:p>
          <w:p w14:paraId="227DAF31">
            <w:pPr>
              <w:bidi w:val="0"/>
              <w:rPr>
                <w:rFonts w:hint="default"/>
                <w:lang w:val="en-US" w:eastAsia="zh-CN"/>
              </w:rPr>
            </w:pPr>
            <w:r>
              <w:rPr>
                <w:rFonts w:hint="default"/>
                <w:lang w:val="en-US" w:eastAsia="zh-CN"/>
              </w:rPr>
              <w:t>探矿区道路统筹规划，在满足项目勘查各工区、工程点基本需求及各阶段作业需要的前提下，充分利用S228省道及勘查区内既有自然通道，以人工运输为主，原则上不新修永久性车辆运输道路。临时道路总占地约6667m²，宽度控制在4米以内，优先利用现有车辙印迹或天然砾石覆盖区，新辟便道须选在植被稀疏的裸露区域，严格避让植被良好区。所有临时便道仅供勘探设备短期通行使用，施工结束后及时清除痕迹、恢复原始地貌，最大限度降低对地表植被和原生地形的扰动。</w:t>
            </w:r>
          </w:p>
          <w:p w14:paraId="7D7D6459">
            <w:pPr>
              <w:bidi w:val="0"/>
              <w:rPr>
                <w:rFonts w:hint="default" w:ascii="Times New Roman" w:hAnsi="Times New Roman" w:eastAsia="宋体" w:cs="Times New Roman"/>
                <w:b/>
                <w:color w:val="000000" w:themeColor="text1"/>
                <w:kern w:val="2"/>
                <w:szCs w:val="24"/>
                <w:lang w:val="en-US" w:eastAsia="zh-CN" w:bidi="ar-SA"/>
                <w14:textFill>
                  <w14:solidFill>
                    <w14:schemeClr w14:val="tx1"/>
                  </w14:solidFill>
                </w14:textFill>
              </w:rPr>
            </w:pPr>
            <w:r>
              <w:rPr>
                <w:rFonts w:hint="default"/>
                <w:lang w:val="en-US" w:eastAsia="zh-CN"/>
              </w:rPr>
              <w:t>勘探区总平面布置图见附图3。</w:t>
            </w:r>
          </w:p>
        </w:tc>
      </w:tr>
      <w:tr w14:paraId="3946FE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284" w:type="pct"/>
            <w:noWrap w:val="0"/>
            <w:vAlign w:val="center"/>
          </w:tcPr>
          <w:p w14:paraId="24FDAB2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施工方案</w:t>
            </w:r>
          </w:p>
        </w:tc>
        <w:tc>
          <w:tcPr>
            <w:tcW w:w="4715" w:type="pct"/>
            <w:noWrap w:val="0"/>
            <w:vAlign w:val="center"/>
          </w:tcPr>
          <w:p w14:paraId="4CC5D460">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环境影响时段主要为探矿野外勘探期。探矿工作主要包括地质测量、槽探和钻探。工程实施过程中，主要的污染来自槽探和钻探作业产生的扬尘、机械噪声、工程弃渣，以及工作人员日常生活中产生的生活污水和生活垃圾。</w:t>
            </w:r>
          </w:p>
          <w:p w14:paraId="3EE4E508">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探矿期间对环境的影响集中在槽探、钻探工序。工艺流程及产污环节分述如下：</w:t>
            </w:r>
          </w:p>
          <w:p w14:paraId="28EB2555">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1.槽探工艺流程</w:t>
            </w:r>
          </w:p>
          <w:p w14:paraId="197E262E">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（1）表土剥离与开挖：在探槽布设位置，人工或机械剥离表土，暂存于探槽两侧。随后进行人工或机械开挖。此工序产生剥离表土、扬尘、噪声，并对自然景观和地表植被造成扰动。</w:t>
            </w:r>
          </w:p>
          <w:p w14:paraId="3E563CB4">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（2）取样：在槽底和槽壁采用地质锤等工具，人工采集岩石样品，样品运送至山下装车，部分样品由地质人员送交检测机构进行成分分析。</w:t>
            </w:r>
          </w:p>
          <w:p w14:paraId="74ECE8D0">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（3）回填恢复：探槽工作完成后，及时将暂存的剥离表土回填至探槽内，平整场地。此工序产生扬尘和噪声。</w:t>
            </w:r>
          </w:p>
          <w:p w14:paraId="38356D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4876165" cy="2080260"/>
                  <wp:effectExtent l="0" t="0" r="635" b="1524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1"/>
                          <a:stretch>
                            <a:fillRect/>
                          </a:stretch>
                        </pic:blipFill>
                        <pic:spPr>
                          <a:xfrm>
                            <a:off x="0" y="0"/>
                            <a:ext cx="4876165" cy="2080260"/>
                          </a:xfrm>
                          <a:prstGeom prst="rect">
                            <a:avLst/>
                          </a:prstGeom>
                          <a:noFill/>
                          <a:ln>
                            <a:noFill/>
                          </a:ln>
                        </pic:spPr>
                      </pic:pic>
                    </a:graphicData>
                  </a:graphic>
                </wp:inline>
              </w:drawing>
            </w:r>
          </w:p>
          <w:p w14:paraId="22A32A1A">
            <w:pPr>
              <w:pStyle w:val="5"/>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图2-1    槽探工作流程及产污环节示意图</w:t>
            </w:r>
          </w:p>
          <w:p w14:paraId="272329C1">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2.钻探工艺流程</w:t>
            </w:r>
          </w:p>
          <w:p w14:paraId="08DA67BD">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（1）平台准备：钻探口一般布置在槽探揭露的矿化有利部位或地质剖面坡面上，无需大规模表土剥离。对勘探作业区进行简易平整，设置泥浆循环系统（含防渗沉淀池）。</w:t>
            </w:r>
          </w:p>
          <w:p w14:paraId="4EE08F53">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钻孔施工：采用全液压岩心钻机，按设计角度和方向进行钻探，通过钻孔采取岩心（或矿心）、岩屑，以探查深部岩层及矿体分布、产状、品位等。钻探过程采用水基泥浆循环冷却和护壁。此工序产生扬尘、噪声、钻井泥浆及岩屑。</w:t>
            </w:r>
          </w:p>
          <w:p w14:paraId="4966A722">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（3）封孔与恢复：钻探工作完成后，采用水泥对钻孔进行全孔封堵，并设置永久性点位标记。拆除临时设施，对勘探作业区进行场地清理、平整及植被恢复。此工序产生少量扬尘和噪声。</w:t>
            </w:r>
          </w:p>
          <w:p w14:paraId="103CBE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4672330" cy="2340610"/>
                  <wp:effectExtent l="0" t="0" r="13970" b="254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2"/>
                          <a:stretch>
                            <a:fillRect/>
                          </a:stretch>
                        </pic:blipFill>
                        <pic:spPr>
                          <a:xfrm>
                            <a:off x="0" y="0"/>
                            <a:ext cx="4672330" cy="2340610"/>
                          </a:xfrm>
                          <a:prstGeom prst="rect">
                            <a:avLst/>
                          </a:prstGeom>
                          <a:noFill/>
                          <a:ln>
                            <a:noFill/>
                          </a:ln>
                        </pic:spPr>
                      </pic:pic>
                    </a:graphicData>
                  </a:graphic>
                </wp:inline>
              </w:drawing>
            </w:r>
          </w:p>
          <w:p w14:paraId="74FEE09A">
            <w:pPr>
              <w:pStyle w:val="5"/>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图2-2    钻探工作流程及产污环节示意图</w:t>
            </w:r>
          </w:p>
          <w:p w14:paraId="79180DF2">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3.产排污节点汇总表</w:t>
            </w:r>
          </w:p>
          <w:p w14:paraId="6F0918BA">
            <w:pPr>
              <w:pStyle w:val="5"/>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表2-9    本项目主要产污节点及治理措施一览表</w:t>
            </w:r>
          </w:p>
          <w:tbl>
            <w:tblPr>
              <w:tblStyle w:val="14"/>
              <w:tblW w:w="8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1463"/>
              <w:gridCol w:w="1401"/>
              <w:gridCol w:w="3136"/>
              <w:gridCol w:w="1173"/>
            </w:tblGrid>
            <w:tr w14:paraId="7D90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vAlign w:val="center"/>
                </w:tcPr>
                <w:p w14:paraId="3C32F4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类别</w:t>
                  </w:r>
                </w:p>
              </w:tc>
              <w:tc>
                <w:tcPr>
                  <w:tcW w:w="1463" w:type="dxa"/>
                  <w:vAlign w:val="center"/>
                </w:tcPr>
                <w:p w14:paraId="6E3635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产污节点</w:t>
                  </w:r>
                </w:p>
              </w:tc>
              <w:tc>
                <w:tcPr>
                  <w:tcW w:w="1401" w:type="dxa"/>
                  <w:vAlign w:val="center"/>
                </w:tcPr>
                <w:p w14:paraId="6E5B60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主要污染物</w:t>
                  </w:r>
                </w:p>
              </w:tc>
              <w:tc>
                <w:tcPr>
                  <w:tcW w:w="3136" w:type="dxa"/>
                  <w:vAlign w:val="center"/>
                </w:tcPr>
                <w:p w14:paraId="7F8DF2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治理措施</w:t>
                  </w:r>
                </w:p>
              </w:tc>
              <w:tc>
                <w:tcPr>
                  <w:tcW w:w="1173" w:type="dxa"/>
                  <w:vAlign w:val="center"/>
                </w:tcPr>
                <w:p w14:paraId="424C69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排放去向</w:t>
                  </w:r>
                </w:p>
              </w:tc>
            </w:tr>
            <w:tr w14:paraId="0201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vMerge w:val="restart"/>
                  <w:vAlign w:val="center"/>
                </w:tcPr>
                <w:p w14:paraId="0D11A0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废气</w:t>
                  </w:r>
                </w:p>
              </w:tc>
              <w:tc>
                <w:tcPr>
                  <w:tcW w:w="1463" w:type="dxa"/>
                  <w:vAlign w:val="center"/>
                </w:tcPr>
                <w:p w14:paraId="0B2895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槽探开挖、勘探作业区平整、物料堆放、运输道路</w:t>
                  </w:r>
                </w:p>
              </w:tc>
              <w:tc>
                <w:tcPr>
                  <w:tcW w:w="1401" w:type="dxa"/>
                  <w:vAlign w:val="center"/>
                </w:tcPr>
                <w:p w14:paraId="419866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扬尘</w:t>
                  </w:r>
                </w:p>
              </w:tc>
              <w:tc>
                <w:tcPr>
                  <w:tcW w:w="3136" w:type="dxa"/>
                  <w:vAlign w:val="center"/>
                </w:tcPr>
                <w:p w14:paraId="62AE38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①洒水抑尘；②临时堆土覆盖防尘网；③限制车速</w:t>
                  </w:r>
                </w:p>
              </w:tc>
              <w:tc>
                <w:tcPr>
                  <w:tcW w:w="1173" w:type="dxa"/>
                  <w:vAlign w:val="center"/>
                </w:tcPr>
                <w:p w14:paraId="4AE5BF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无组织排放</w:t>
                  </w:r>
                </w:p>
              </w:tc>
            </w:tr>
            <w:tr w14:paraId="6EBA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vMerge w:val="continue"/>
                  <w:vAlign w:val="center"/>
                </w:tcPr>
                <w:p w14:paraId="7EFC8E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463" w:type="dxa"/>
                  <w:vAlign w:val="center"/>
                </w:tcPr>
                <w:p w14:paraId="6E9AB1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柴油发电机、钻机、车辆</w:t>
                  </w:r>
                </w:p>
              </w:tc>
              <w:tc>
                <w:tcPr>
                  <w:tcW w:w="1401" w:type="dxa"/>
                  <w:vAlign w:val="center"/>
                </w:tcPr>
                <w:p w14:paraId="3A521C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燃油废气</w:t>
                  </w:r>
                </w:p>
              </w:tc>
              <w:tc>
                <w:tcPr>
                  <w:tcW w:w="3136" w:type="dxa"/>
                  <w:vAlign w:val="center"/>
                </w:tcPr>
                <w:p w14:paraId="17C5AF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使用合格燃油，加强设备维护保养</w:t>
                  </w:r>
                </w:p>
              </w:tc>
              <w:tc>
                <w:tcPr>
                  <w:tcW w:w="1173" w:type="dxa"/>
                  <w:vAlign w:val="center"/>
                </w:tcPr>
                <w:p w14:paraId="376FC2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无组织排放</w:t>
                  </w:r>
                </w:p>
              </w:tc>
            </w:tr>
            <w:tr w14:paraId="70FE3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vMerge w:val="restart"/>
                  <w:vAlign w:val="center"/>
                </w:tcPr>
                <w:p w14:paraId="76195D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废水</w:t>
                  </w:r>
                </w:p>
              </w:tc>
              <w:tc>
                <w:tcPr>
                  <w:tcW w:w="1463" w:type="dxa"/>
                  <w:vAlign w:val="center"/>
                </w:tcPr>
                <w:p w14:paraId="28D613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钻探施工</w:t>
                  </w:r>
                </w:p>
              </w:tc>
              <w:tc>
                <w:tcPr>
                  <w:tcW w:w="1401" w:type="dxa"/>
                  <w:vAlign w:val="center"/>
                </w:tcPr>
                <w:p w14:paraId="596C61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泥浆废水</w:t>
                  </w:r>
                </w:p>
              </w:tc>
              <w:tc>
                <w:tcPr>
                  <w:tcW w:w="3136" w:type="dxa"/>
                  <w:vAlign w:val="center"/>
                </w:tcPr>
                <w:p w14:paraId="1E55FB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①设防渗沉淀池；②泥浆循环回用；③施工结束后自然蒸发</w:t>
                  </w:r>
                </w:p>
              </w:tc>
              <w:tc>
                <w:tcPr>
                  <w:tcW w:w="1173" w:type="dxa"/>
                  <w:vAlign w:val="center"/>
                </w:tcPr>
                <w:p w14:paraId="6CADBA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不外排</w:t>
                  </w:r>
                </w:p>
              </w:tc>
            </w:tr>
            <w:tr w14:paraId="1E7D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vMerge w:val="continue"/>
                  <w:vAlign w:val="center"/>
                </w:tcPr>
                <w:p w14:paraId="09C131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463" w:type="dxa"/>
                  <w:vAlign w:val="center"/>
                </w:tcPr>
                <w:p w14:paraId="4B7D1D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设备冲洗</w:t>
                  </w:r>
                </w:p>
              </w:tc>
              <w:tc>
                <w:tcPr>
                  <w:tcW w:w="1401" w:type="dxa"/>
                  <w:vAlign w:val="center"/>
                </w:tcPr>
                <w:p w14:paraId="5D32B0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设备冲洗废水</w:t>
                  </w:r>
                </w:p>
              </w:tc>
              <w:tc>
                <w:tcPr>
                  <w:tcW w:w="3136" w:type="dxa"/>
                  <w:vAlign w:val="center"/>
                </w:tcPr>
                <w:p w14:paraId="54C508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排入防渗沉淀池，沉淀后上清液用于洒水降尘</w:t>
                  </w:r>
                </w:p>
              </w:tc>
              <w:tc>
                <w:tcPr>
                  <w:tcW w:w="1173" w:type="dxa"/>
                  <w:vAlign w:val="center"/>
                </w:tcPr>
                <w:p w14:paraId="3AE640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不外排</w:t>
                  </w:r>
                </w:p>
              </w:tc>
            </w:tr>
            <w:tr w14:paraId="55B9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vMerge w:val="continue"/>
                  <w:vAlign w:val="center"/>
                </w:tcPr>
                <w:p w14:paraId="495FF1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463" w:type="dxa"/>
                  <w:vAlign w:val="center"/>
                </w:tcPr>
                <w:p w14:paraId="0E6176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生活营地</w:t>
                  </w:r>
                </w:p>
              </w:tc>
              <w:tc>
                <w:tcPr>
                  <w:tcW w:w="1401" w:type="dxa"/>
                  <w:vAlign w:val="center"/>
                </w:tcPr>
                <w:p w14:paraId="1A940E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生活污水</w:t>
                  </w:r>
                </w:p>
              </w:tc>
              <w:tc>
                <w:tcPr>
                  <w:tcW w:w="3136" w:type="dxa"/>
                  <w:vAlign w:val="center"/>
                </w:tcPr>
                <w:p w14:paraId="045591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移动式防渗环保厕所，定期由吸污车清运至污水处理厂</w:t>
                  </w:r>
                </w:p>
              </w:tc>
              <w:tc>
                <w:tcPr>
                  <w:tcW w:w="1173" w:type="dxa"/>
                  <w:vAlign w:val="center"/>
                </w:tcPr>
                <w:p w14:paraId="37F301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不外排</w:t>
                  </w:r>
                </w:p>
              </w:tc>
            </w:tr>
            <w:tr w14:paraId="7B10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vAlign w:val="center"/>
                </w:tcPr>
                <w:p w14:paraId="70EA4A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噪声</w:t>
                  </w:r>
                </w:p>
              </w:tc>
              <w:tc>
                <w:tcPr>
                  <w:tcW w:w="1463" w:type="dxa"/>
                  <w:vAlign w:val="center"/>
                </w:tcPr>
                <w:p w14:paraId="2EB7BC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钻机、挖掘机、柴油发电机</w:t>
                  </w:r>
                </w:p>
              </w:tc>
              <w:tc>
                <w:tcPr>
                  <w:tcW w:w="1401" w:type="dxa"/>
                  <w:vAlign w:val="center"/>
                </w:tcPr>
                <w:p w14:paraId="6062B3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等效A声级</w:t>
                  </w:r>
                </w:p>
              </w:tc>
              <w:tc>
                <w:tcPr>
                  <w:tcW w:w="3136" w:type="dxa"/>
                  <w:vAlign w:val="center"/>
                </w:tcPr>
                <w:p w14:paraId="68605B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①选用低噪声设备；②安装减振垫；③合理安排作业时间（昼间施工）；④加强维护保养</w:t>
                  </w:r>
                </w:p>
              </w:tc>
              <w:tc>
                <w:tcPr>
                  <w:tcW w:w="1173" w:type="dxa"/>
                  <w:vAlign w:val="center"/>
                </w:tcPr>
                <w:p w14:paraId="720F1C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达标排放</w:t>
                  </w:r>
                </w:p>
              </w:tc>
            </w:tr>
            <w:tr w14:paraId="6A99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vMerge w:val="restart"/>
                  <w:vAlign w:val="center"/>
                </w:tcPr>
                <w:p w14:paraId="666B93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固体废物</w:t>
                  </w:r>
                </w:p>
              </w:tc>
              <w:tc>
                <w:tcPr>
                  <w:tcW w:w="1463" w:type="dxa"/>
                  <w:vAlign w:val="center"/>
                </w:tcPr>
                <w:p w14:paraId="4F14CA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槽探、钻探、生活营地</w:t>
                  </w:r>
                </w:p>
              </w:tc>
              <w:tc>
                <w:tcPr>
                  <w:tcW w:w="1401" w:type="dxa"/>
                  <w:vAlign w:val="center"/>
                </w:tcPr>
                <w:p w14:paraId="6F743C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剥离表土、碎石</w:t>
                  </w:r>
                </w:p>
              </w:tc>
              <w:tc>
                <w:tcPr>
                  <w:tcW w:w="3136" w:type="dxa"/>
                  <w:vAlign w:val="center"/>
                </w:tcPr>
                <w:p w14:paraId="5F577C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①表土与碎石分开堆放于探槽两侧；②施工结束后分层回填、平整</w:t>
                  </w:r>
                </w:p>
              </w:tc>
              <w:tc>
                <w:tcPr>
                  <w:tcW w:w="1173" w:type="dxa"/>
                  <w:vAlign w:val="center"/>
                </w:tcPr>
                <w:p w14:paraId="4B5A0D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就地回填</w:t>
                  </w:r>
                </w:p>
              </w:tc>
            </w:tr>
            <w:tr w14:paraId="0245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vMerge w:val="continue"/>
                  <w:vAlign w:val="center"/>
                </w:tcPr>
                <w:p w14:paraId="37217D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463" w:type="dxa"/>
                  <w:vAlign w:val="center"/>
                </w:tcPr>
                <w:p w14:paraId="7A536C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钻探</w:t>
                  </w:r>
                </w:p>
              </w:tc>
              <w:tc>
                <w:tcPr>
                  <w:tcW w:w="1401" w:type="dxa"/>
                  <w:vAlign w:val="center"/>
                </w:tcPr>
                <w:p w14:paraId="63637A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钻井泥浆及岩屑</w:t>
                  </w:r>
                </w:p>
              </w:tc>
              <w:tc>
                <w:tcPr>
                  <w:tcW w:w="3136" w:type="dxa"/>
                  <w:vAlign w:val="center"/>
                </w:tcPr>
                <w:p w14:paraId="4889A0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排入防渗沉淀池，经沉淀干化后就地填埋于勘探作业区</w:t>
                  </w:r>
                </w:p>
              </w:tc>
              <w:tc>
                <w:tcPr>
                  <w:tcW w:w="1173" w:type="dxa"/>
                  <w:vAlign w:val="center"/>
                </w:tcPr>
                <w:p w14:paraId="54FC5B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不外排</w:t>
                  </w:r>
                </w:p>
              </w:tc>
            </w:tr>
            <w:tr w14:paraId="74BE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vMerge w:val="continue"/>
                  <w:vAlign w:val="center"/>
                </w:tcPr>
                <w:p w14:paraId="177C37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463" w:type="dxa"/>
                  <w:vAlign w:val="center"/>
                </w:tcPr>
                <w:p w14:paraId="26D1A5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钻探</w:t>
                  </w:r>
                </w:p>
              </w:tc>
              <w:tc>
                <w:tcPr>
                  <w:tcW w:w="1401" w:type="dxa"/>
                  <w:vAlign w:val="center"/>
                </w:tcPr>
                <w:p w14:paraId="2A8068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废包装袋</w:t>
                  </w:r>
                </w:p>
              </w:tc>
              <w:tc>
                <w:tcPr>
                  <w:tcW w:w="3136" w:type="dxa"/>
                  <w:vAlign w:val="center"/>
                </w:tcPr>
                <w:p w14:paraId="3A7033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集中收集，定期清运至生活垃圾填埋场</w:t>
                  </w:r>
                </w:p>
              </w:tc>
              <w:tc>
                <w:tcPr>
                  <w:tcW w:w="1173" w:type="dxa"/>
                  <w:vAlign w:val="center"/>
                </w:tcPr>
                <w:p w14:paraId="1F47FF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卫生填埋</w:t>
                  </w:r>
                </w:p>
              </w:tc>
            </w:tr>
            <w:tr w14:paraId="6357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vMerge w:val="continue"/>
                  <w:vAlign w:val="center"/>
                </w:tcPr>
                <w:p w14:paraId="19496D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463" w:type="dxa"/>
                  <w:vAlign w:val="center"/>
                </w:tcPr>
                <w:p w14:paraId="2326F3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生活营地</w:t>
                  </w:r>
                </w:p>
              </w:tc>
              <w:tc>
                <w:tcPr>
                  <w:tcW w:w="1401" w:type="dxa"/>
                  <w:vAlign w:val="center"/>
                </w:tcPr>
                <w:p w14:paraId="2DA081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生活垃圾</w:t>
                  </w:r>
                </w:p>
              </w:tc>
              <w:tc>
                <w:tcPr>
                  <w:tcW w:w="3136" w:type="dxa"/>
                  <w:vAlign w:val="center"/>
                </w:tcPr>
                <w:p w14:paraId="272918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垃圾桶分类收集，定期清运至木垒哈萨克自治县生活垃圾填埋场</w:t>
                  </w:r>
                </w:p>
              </w:tc>
              <w:tc>
                <w:tcPr>
                  <w:tcW w:w="1173" w:type="dxa"/>
                  <w:vAlign w:val="center"/>
                </w:tcPr>
                <w:p w14:paraId="437A86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卫生填埋</w:t>
                  </w:r>
                </w:p>
              </w:tc>
            </w:tr>
            <w:tr w14:paraId="52AA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vAlign w:val="center"/>
                </w:tcPr>
                <w:p w14:paraId="132093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生态影响</w:t>
                  </w:r>
                </w:p>
              </w:tc>
              <w:tc>
                <w:tcPr>
                  <w:tcW w:w="1463" w:type="dxa"/>
                  <w:vAlign w:val="center"/>
                </w:tcPr>
                <w:p w14:paraId="72763E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槽探、勘探作业区、临时便道、生活营地</w:t>
                  </w:r>
                </w:p>
              </w:tc>
              <w:tc>
                <w:tcPr>
                  <w:tcW w:w="1401" w:type="dxa"/>
                  <w:vAlign w:val="center"/>
                </w:tcPr>
                <w:p w14:paraId="546415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植被破坏、土地扰动、水土流失</w:t>
                  </w:r>
                </w:p>
              </w:tc>
              <w:tc>
                <w:tcPr>
                  <w:tcW w:w="3136" w:type="dxa"/>
                  <w:vAlign w:val="center"/>
                </w:tcPr>
                <w:p w14:paraId="7750FD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①严格控制临时占地面积；②表土剥离单独保存；③施工结束后清理场地、平整、表土回覆、播撒草籽</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恢复植被</w:t>
                  </w:r>
                </w:p>
              </w:tc>
              <w:tc>
                <w:tcPr>
                  <w:tcW w:w="1173" w:type="dxa"/>
                  <w:vAlign w:val="center"/>
                </w:tcPr>
                <w:p w14:paraId="265EF2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恢复原有地貌及生态功能</w:t>
                  </w:r>
                </w:p>
              </w:tc>
            </w:tr>
          </w:tbl>
          <w:p w14:paraId="74D61269">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4.土石方平衡分析</w:t>
            </w:r>
          </w:p>
          <w:p w14:paraId="651FA251">
            <w:pPr>
              <w:bidi w:val="0"/>
            </w:pPr>
            <w:r>
              <w:rPr>
                <w:rFonts w:hint="eastAsia"/>
              </w:rPr>
              <w:t>本项目土石方工程主要来自槽探开挖、钻探岩屑取出以及各类临时场地的表土剥离与平整。根据勘查方案及工程占地核算，总挖方量约为583</w:t>
            </w:r>
            <w:r>
              <w:rPr>
                <w:rFonts w:hint="eastAsia"/>
                <w:lang w:val="en-US" w:eastAsia="zh-CN"/>
              </w:rPr>
              <w:t>9</w:t>
            </w:r>
            <w:r>
              <w:rPr>
                <w:rFonts w:hint="eastAsia"/>
              </w:rPr>
              <w:t>m</w:t>
            </w:r>
            <w:r>
              <w:rPr>
                <w:rFonts w:hint="eastAsia"/>
                <w:vertAlign w:val="superscript"/>
                <w:lang w:val="en-US" w:eastAsia="zh-CN"/>
              </w:rPr>
              <w:t>3</w:t>
            </w:r>
            <w:r>
              <w:rPr>
                <w:rFonts w:hint="eastAsia"/>
              </w:rPr>
              <w:t>。其中，槽探工程总长度1850m，按平均断面1.5m²估算挖方量约2775m</w:t>
            </w:r>
            <w:r>
              <w:rPr>
                <w:rFonts w:hint="eastAsia"/>
                <w:vertAlign w:val="superscript"/>
                <w:lang w:val="en-US" w:eastAsia="zh-CN"/>
              </w:rPr>
              <w:t>3</w:t>
            </w:r>
            <w:r>
              <w:rPr>
                <w:rFonts w:hint="eastAsia"/>
              </w:rPr>
              <w:t>，开挖土石临时堆存于探槽两侧，施工结束后分层回填；钻探工程共24个钻孔</w:t>
            </w:r>
            <w:r>
              <w:rPr>
                <w:rFonts w:hint="eastAsia"/>
                <w:lang w:eastAsia="zh-CN"/>
              </w:rPr>
              <w:t>，</w:t>
            </w:r>
            <w:r>
              <w:rPr>
                <w:rFonts w:hint="eastAsia"/>
              </w:rPr>
              <w:t>总进尺4565m，钻孔直径75mm，</w:t>
            </w:r>
            <w:r>
              <w:rPr>
                <w:rFonts w:hint="eastAsia"/>
                <w:lang w:val="en-US" w:eastAsia="zh-CN"/>
              </w:rPr>
              <w:t>产生</w:t>
            </w:r>
            <w:r>
              <w:rPr>
                <w:rFonts w:hint="eastAsia"/>
              </w:rPr>
              <w:t>岩屑</w:t>
            </w:r>
            <w:r>
              <w:rPr>
                <w:rFonts w:hint="eastAsia"/>
                <w:lang w:val="en-US" w:eastAsia="zh-CN"/>
              </w:rPr>
              <w:t>约21</w:t>
            </w:r>
            <w:r>
              <w:rPr>
                <w:rFonts w:hint="eastAsia"/>
              </w:rPr>
              <w:t>m</w:t>
            </w:r>
            <w:r>
              <w:rPr>
                <w:rFonts w:hint="eastAsia"/>
                <w:vertAlign w:val="superscript"/>
                <w:lang w:val="en-US" w:eastAsia="zh-CN"/>
              </w:rPr>
              <w:t>3</w:t>
            </w:r>
            <w:r>
              <w:rPr>
                <w:rFonts w:hint="eastAsia"/>
              </w:rPr>
              <w:t>就地填埋于勘探作业区下方；</w:t>
            </w:r>
            <w:r>
              <w:rPr>
                <w:rFonts w:hint="eastAsia"/>
                <w:lang w:val="en-US" w:eastAsia="zh-CN"/>
              </w:rPr>
              <w:t>槽探、钻探作业区等</w:t>
            </w:r>
            <w:r>
              <w:rPr>
                <w:rFonts w:hint="eastAsia"/>
              </w:rPr>
              <w:t>临时占地总面积15217m²，按表土剥离平均厚度0.2m计算，剥离量约3043m</w:t>
            </w:r>
            <w:r>
              <w:rPr>
                <w:rFonts w:hint="eastAsia"/>
                <w:vertAlign w:val="superscript"/>
                <w:lang w:val="en-US" w:eastAsia="zh-CN"/>
              </w:rPr>
              <w:t>3</w:t>
            </w:r>
            <w:r>
              <w:rPr>
                <w:rFonts w:hint="eastAsia"/>
              </w:rPr>
              <w:t>，单独堆存于各作业区临时堆土场，用于后期生态恢复。总填方量约583</w:t>
            </w:r>
            <w:r>
              <w:rPr>
                <w:rFonts w:hint="eastAsia"/>
                <w:lang w:val="en-US" w:eastAsia="zh-CN"/>
              </w:rPr>
              <w:t>9</w:t>
            </w:r>
            <w:r>
              <w:rPr>
                <w:rFonts w:hint="eastAsia"/>
              </w:rPr>
              <w:t>m</w:t>
            </w:r>
            <w:r>
              <w:rPr>
                <w:rFonts w:hint="eastAsia"/>
                <w:vertAlign w:val="superscript"/>
                <w:lang w:val="en-US" w:eastAsia="zh-CN"/>
              </w:rPr>
              <w:t>3</w:t>
            </w:r>
            <w:r>
              <w:rPr>
                <w:rFonts w:hint="eastAsia"/>
              </w:rPr>
              <w:t>，实现挖填平衡：槽探回填2775m</w:t>
            </w:r>
            <w:r>
              <w:rPr>
                <w:rFonts w:hint="eastAsia"/>
                <w:vertAlign w:val="superscript"/>
                <w:lang w:val="en-US" w:eastAsia="zh-CN"/>
              </w:rPr>
              <w:t>3</w:t>
            </w:r>
            <w:r>
              <w:rPr>
                <w:rFonts w:hint="eastAsia"/>
              </w:rPr>
              <w:t>，钻探岩屑回填</w:t>
            </w:r>
            <w:r>
              <w:rPr>
                <w:rFonts w:hint="eastAsia"/>
                <w:lang w:val="en-US" w:eastAsia="zh-CN"/>
              </w:rPr>
              <w:t>21</w:t>
            </w:r>
            <w:r>
              <w:rPr>
                <w:rFonts w:hint="eastAsia"/>
              </w:rPr>
              <w:t>m</w:t>
            </w:r>
            <w:r>
              <w:rPr>
                <w:rFonts w:hint="eastAsia"/>
                <w:vertAlign w:val="superscript"/>
                <w:lang w:val="en-US" w:eastAsia="zh-CN"/>
              </w:rPr>
              <w:t>3</w:t>
            </w:r>
            <w:r>
              <w:rPr>
                <w:rFonts w:hint="eastAsia"/>
              </w:rPr>
              <w:t>，施工结束后将3043m</w:t>
            </w:r>
            <w:r>
              <w:rPr>
                <w:rFonts w:hint="eastAsia"/>
                <w:vertAlign w:val="superscript"/>
                <w:lang w:val="en-US" w:eastAsia="zh-CN"/>
              </w:rPr>
              <w:t>3</w:t>
            </w:r>
            <w:r>
              <w:rPr>
                <w:rFonts w:hint="eastAsia"/>
              </w:rPr>
              <w:t>表土全部回覆至临时占地范围，恢复原有地形地貌。项目无外运弃方。</w:t>
            </w:r>
          </w:p>
          <w:p w14:paraId="36C930B4">
            <w:pPr>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本项目的土石方平衡表见表2-10。</w:t>
            </w:r>
          </w:p>
          <w:p w14:paraId="03CF3148">
            <w:pPr>
              <w:pStyle w:val="5"/>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表2-10    土石方平衡表</w:t>
            </w:r>
          </w:p>
          <w:tbl>
            <w:tblPr>
              <w:tblStyle w:val="13"/>
              <w:tblW w:w="493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7"/>
              <w:gridCol w:w="1255"/>
              <w:gridCol w:w="1322"/>
              <w:gridCol w:w="927"/>
              <w:gridCol w:w="1104"/>
              <w:gridCol w:w="2410"/>
            </w:tblGrid>
            <w:tr w14:paraId="37F9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8" w:type="pct"/>
                  <w:noWrap/>
                  <w:vAlign w:val="center"/>
                </w:tcPr>
                <w:p w14:paraId="70475D22">
                  <w:pPr>
                    <w:spacing w:line="240" w:lineRule="auto"/>
                    <w:ind w:firstLine="0" w:firstLineChars="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工程类别</w:t>
                  </w:r>
                </w:p>
              </w:tc>
              <w:tc>
                <w:tcPr>
                  <w:tcW w:w="763" w:type="pct"/>
                  <w:noWrap/>
                  <w:vAlign w:val="center"/>
                </w:tcPr>
                <w:p w14:paraId="7CCCD975">
                  <w:pPr>
                    <w:spacing w:line="240" w:lineRule="auto"/>
                    <w:ind w:firstLine="0" w:firstLineChars="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挖方（m</w:t>
                  </w:r>
                  <w:r>
                    <w:rPr>
                      <w:rFonts w:hint="eastAsia"/>
                      <w:b/>
                      <w:bCs/>
                      <w:color w:val="000000" w:themeColor="text1"/>
                      <w:sz w:val="21"/>
                      <w:szCs w:val="21"/>
                      <w:vertAlign w:val="superscript"/>
                      <w14:textFill>
                        <w14:solidFill>
                          <w14:schemeClr w14:val="tx1"/>
                        </w14:solidFill>
                      </w14:textFill>
                    </w:rPr>
                    <w:t>3</w:t>
                  </w:r>
                  <w:r>
                    <w:rPr>
                      <w:rFonts w:hint="eastAsia"/>
                      <w:b/>
                      <w:bCs/>
                      <w:color w:val="000000" w:themeColor="text1"/>
                      <w:sz w:val="21"/>
                      <w:szCs w:val="21"/>
                      <w14:textFill>
                        <w14:solidFill>
                          <w14:schemeClr w14:val="tx1"/>
                        </w14:solidFill>
                      </w14:textFill>
                    </w:rPr>
                    <w:t>）</w:t>
                  </w:r>
                </w:p>
              </w:tc>
              <w:tc>
                <w:tcPr>
                  <w:tcW w:w="805" w:type="pct"/>
                  <w:noWrap/>
                  <w:vAlign w:val="center"/>
                </w:tcPr>
                <w:p w14:paraId="59BF644C">
                  <w:pPr>
                    <w:spacing w:line="240" w:lineRule="auto"/>
                    <w:ind w:firstLine="0" w:firstLineChars="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填方（m</w:t>
                  </w:r>
                  <w:r>
                    <w:rPr>
                      <w:rFonts w:hint="eastAsia"/>
                      <w:b/>
                      <w:bCs/>
                      <w:color w:val="000000" w:themeColor="text1"/>
                      <w:sz w:val="21"/>
                      <w:szCs w:val="21"/>
                      <w:vertAlign w:val="superscript"/>
                      <w14:textFill>
                        <w14:solidFill>
                          <w14:schemeClr w14:val="tx1"/>
                        </w14:solidFill>
                      </w14:textFill>
                    </w:rPr>
                    <w:t>3</w:t>
                  </w:r>
                  <w:r>
                    <w:rPr>
                      <w:rFonts w:hint="eastAsia"/>
                      <w:b/>
                      <w:bCs/>
                      <w:color w:val="000000" w:themeColor="text1"/>
                      <w:sz w:val="21"/>
                      <w:szCs w:val="21"/>
                      <w14:textFill>
                        <w14:solidFill>
                          <w14:schemeClr w14:val="tx1"/>
                        </w14:solidFill>
                      </w14:textFill>
                    </w:rPr>
                    <w:t>）</w:t>
                  </w:r>
                </w:p>
              </w:tc>
              <w:tc>
                <w:tcPr>
                  <w:tcW w:w="564" w:type="pct"/>
                  <w:noWrap/>
                  <w:vAlign w:val="center"/>
                </w:tcPr>
                <w:p w14:paraId="1E77AF1F">
                  <w:pPr>
                    <w:spacing w:line="240" w:lineRule="auto"/>
                    <w:ind w:firstLine="0" w:firstLineChars="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借方m</w:t>
                  </w:r>
                  <w:r>
                    <w:rPr>
                      <w:rFonts w:hint="eastAsia"/>
                      <w:b/>
                      <w:bCs/>
                      <w:color w:val="000000" w:themeColor="text1"/>
                      <w:sz w:val="21"/>
                      <w:szCs w:val="21"/>
                      <w:vertAlign w:val="superscript"/>
                      <w14:textFill>
                        <w14:solidFill>
                          <w14:schemeClr w14:val="tx1"/>
                        </w14:solidFill>
                      </w14:textFill>
                    </w:rPr>
                    <w:t>3</w:t>
                  </w:r>
                </w:p>
              </w:tc>
              <w:tc>
                <w:tcPr>
                  <w:tcW w:w="672" w:type="pct"/>
                  <w:noWrap/>
                  <w:vAlign w:val="center"/>
                </w:tcPr>
                <w:p w14:paraId="7086073C">
                  <w:pPr>
                    <w:spacing w:line="240" w:lineRule="auto"/>
                    <w:ind w:firstLine="0" w:firstLineChars="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弃方m</w:t>
                  </w:r>
                  <w:r>
                    <w:rPr>
                      <w:rFonts w:hint="eastAsia"/>
                      <w:b/>
                      <w:bCs/>
                      <w:color w:val="000000" w:themeColor="text1"/>
                      <w:sz w:val="21"/>
                      <w:szCs w:val="21"/>
                      <w:vertAlign w:val="superscript"/>
                      <w14:textFill>
                        <w14:solidFill>
                          <w14:schemeClr w14:val="tx1"/>
                        </w14:solidFill>
                      </w14:textFill>
                    </w:rPr>
                    <w:t>3</w:t>
                  </w:r>
                </w:p>
              </w:tc>
              <w:tc>
                <w:tcPr>
                  <w:tcW w:w="1466" w:type="pct"/>
                  <w:noWrap/>
                  <w:vAlign w:val="center"/>
                </w:tcPr>
                <w:p w14:paraId="60D073DE">
                  <w:pPr>
                    <w:spacing w:line="240" w:lineRule="auto"/>
                    <w:ind w:firstLine="0" w:firstLineChars="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备注</w:t>
                  </w:r>
                </w:p>
              </w:tc>
            </w:tr>
            <w:tr w14:paraId="5A83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8" w:type="pct"/>
                  <w:noWrap/>
                  <w:vAlign w:val="center"/>
                </w:tcPr>
                <w:p w14:paraId="0C275895">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槽探工程</w:t>
                  </w:r>
                </w:p>
              </w:tc>
              <w:tc>
                <w:tcPr>
                  <w:tcW w:w="763" w:type="pct"/>
                  <w:noWrap/>
                  <w:vAlign w:val="center"/>
                </w:tcPr>
                <w:p w14:paraId="5C7DF94F">
                  <w:pPr>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2775</w:t>
                  </w:r>
                </w:p>
              </w:tc>
              <w:tc>
                <w:tcPr>
                  <w:tcW w:w="805" w:type="pct"/>
                  <w:noWrap/>
                  <w:vAlign w:val="center"/>
                </w:tcPr>
                <w:p w14:paraId="67D239D7">
                  <w:pPr>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2775</w:t>
                  </w:r>
                </w:p>
              </w:tc>
              <w:tc>
                <w:tcPr>
                  <w:tcW w:w="564" w:type="pct"/>
                  <w:noWrap/>
                  <w:vAlign w:val="center"/>
                </w:tcPr>
                <w:p w14:paraId="0701EDC3">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0</w:t>
                  </w:r>
                </w:p>
              </w:tc>
              <w:tc>
                <w:tcPr>
                  <w:tcW w:w="672" w:type="pct"/>
                  <w:noWrap/>
                  <w:vAlign w:val="center"/>
                </w:tcPr>
                <w:p w14:paraId="700B0098">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0</w:t>
                  </w:r>
                </w:p>
              </w:tc>
              <w:tc>
                <w:tcPr>
                  <w:tcW w:w="1466" w:type="pct"/>
                  <w:noWrap/>
                  <w:vAlign w:val="center"/>
                </w:tcPr>
                <w:p w14:paraId="7122AE3E">
                  <w:pPr>
                    <w:spacing w:line="240" w:lineRule="auto"/>
                    <w:ind w:firstLine="0" w:firstLineChars="0"/>
                    <w:jc w:val="center"/>
                    <w:rPr>
                      <w:color w:val="000000" w:themeColor="text1"/>
                      <w:sz w:val="21"/>
                      <w:szCs w:val="21"/>
                      <w14:textFill>
                        <w14:solidFill>
                          <w14:schemeClr w14:val="tx1"/>
                        </w14:solidFill>
                      </w14:textFill>
                    </w:rPr>
                  </w:pPr>
                  <w:r>
                    <w:rPr>
                      <w:rFonts w:ascii="Times New Roman" w:hAnsi="Times New Roman" w:eastAsia="Segoe UI" w:cs="Times New Roman"/>
                      <w:color w:val="000000" w:themeColor="text1"/>
                      <w:sz w:val="21"/>
                      <w:szCs w:val="21"/>
                      <w:shd w:val="clear" w:color="auto" w:fill="FFFFFF"/>
                      <w14:textFill>
                        <w14:solidFill>
                          <w14:schemeClr w14:val="tx1"/>
                        </w14:solidFill>
                      </w14:textFill>
                    </w:rPr>
                    <w:t>就地分层回填</w:t>
                  </w:r>
                </w:p>
              </w:tc>
            </w:tr>
            <w:tr w14:paraId="08D2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8" w:type="pct"/>
                  <w:noWrap/>
                  <w:vAlign w:val="center"/>
                </w:tcPr>
                <w:p w14:paraId="0089C15C">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钻探工程</w:t>
                  </w:r>
                </w:p>
              </w:tc>
              <w:tc>
                <w:tcPr>
                  <w:tcW w:w="763" w:type="pct"/>
                  <w:noWrap/>
                  <w:vAlign w:val="center"/>
                </w:tcPr>
                <w:p w14:paraId="3FCB8657">
                  <w:pPr>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21</w:t>
                  </w:r>
                </w:p>
              </w:tc>
              <w:tc>
                <w:tcPr>
                  <w:tcW w:w="805" w:type="pct"/>
                  <w:noWrap/>
                  <w:vAlign w:val="center"/>
                </w:tcPr>
                <w:p w14:paraId="7DED9FFA">
                  <w:pPr>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21</w:t>
                  </w:r>
                </w:p>
              </w:tc>
              <w:tc>
                <w:tcPr>
                  <w:tcW w:w="564" w:type="pct"/>
                  <w:noWrap/>
                  <w:vAlign w:val="center"/>
                </w:tcPr>
                <w:p w14:paraId="201F4677">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0</w:t>
                  </w:r>
                </w:p>
              </w:tc>
              <w:tc>
                <w:tcPr>
                  <w:tcW w:w="672" w:type="pct"/>
                  <w:noWrap/>
                  <w:vAlign w:val="center"/>
                </w:tcPr>
                <w:p w14:paraId="6ADEF475">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0</w:t>
                  </w:r>
                </w:p>
              </w:tc>
              <w:tc>
                <w:tcPr>
                  <w:tcW w:w="1466" w:type="pct"/>
                  <w:noWrap/>
                  <w:vAlign w:val="center"/>
                </w:tcPr>
                <w:p w14:paraId="0655134F">
                  <w:pPr>
                    <w:spacing w:line="240" w:lineRule="auto"/>
                    <w:ind w:firstLine="0" w:firstLineChars="0"/>
                    <w:jc w:val="center"/>
                    <w:rPr>
                      <w:color w:val="000000" w:themeColor="text1"/>
                      <w:sz w:val="21"/>
                      <w:szCs w:val="21"/>
                      <w14:textFill>
                        <w14:solidFill>
                          <w14:schemeClr w14:val="tx1"/>
                        </w14:solidFill>
                      </w14:textFill>
                    </w:rPr>
                  </w:pPr>
                  <w:r>
                    <w:rPr>
                      <w:rFonts w:ascii="Times New Roman" w:hAnsi="Times New Roman" w:eastAsia="Segoe UI" w:cs="Times New Roman"/>
                      <w:color w:val="000000" w:themeColor="text1"/>
                      <w:sz w:val="21"/>
                      <w:szCs w:val="21"/>
                      <w:shd w:val="clear" w:color="auto" w:fill="FFFFFF"/>
                      <w14:textFill>
                        <w14:solidFill>
                          <w14:schemeClr w14:val="tx1"/>
                        </w14:solidFill>
                      </w14:textFill>
                    </w:rPr>
                    <w:t>岩屑泥浆就地填埋</w:t>
                  </w:r>
                </w:p>
              </w:tc>
            </w:tr>
            <w:tr w14:paraId="7A3D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8" w:type="pct"/>
                  <w:noWrap/>
                  <w:vAlign w:val="center"/>
                </w:tcPr>
                <w:p w14:paraId="0D830F0E">
                  <w:pPr>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临时占地表土剥离</w:t>
                  </w:r>
                </w:p>
              </w:tc>
              <w:tc>
                <w:tcPr>
                  <w:tcW w:w="763" w:type="pct"/>
                  <w:noWrap/>
                  <w:vAlign w:val="center"/>
                </w:tcPr>
                <w:p w14:paraId="77E54E65">
                  <w:pPr>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3043</w:t>
                  </w:r>
                </w:p>
              </w:tc>
              <w:tc>
                <w:tcPr>
                  <w:tcW w:w="805" w:type="pct"/>
                  <w:noWrap/>
                  <w:vAlign w:val="center"/>
                </w:tcPr>
                <w:p w14:paraId="32FD6F61">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3043</w:t>
                  </w:r>
                </w:p>
              </w:tc>
              <w:tc>
                <w:tcPr>
                  <w:tcW w:w="564" w:type="pct"/>
                  <w:noWrap/>
                  <w:vAlign w:val="center"/>
                </w:tcPr>
                <w:p w14:paraId="3FA6AB4A">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0</w:t>
                  </w:r>
                </w:p>
              </w:tc>
              <w:tc>
                <w:tcPr>
                  <w:tcW w:w="672" w:type="pct"/>
                  <w:noWrap/>
                  <w:vAlign w:val="center"/>
                </w:tcPr>
                <w:p w14:paraId="7806018F">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0</w:t>
                  </w:r>
                </w:p>
              </w:tc>
              <w:tc>
                <w:tcPr>
                  <w:tcW w:w="1466" w:type="pct"/>
                  <w:noWrap/>
                  <w:vAlign w:val="center"/>
                </w:tcPr>
                <w:p w14:paraId="1976B653">
                  <w:pPr>
                    <w:spacing w:line="240" w:lineRule="auto"/>
                    <w:ind w:firstLine="0" w:firstLineChars="0"/>
                    <w:jc w:val="center"/>
                    <w:rPr>
                      <w:color w:val="000000" w:themeColor="text1"/>
                      <w:sz w:val="21"/>
                      <w:szCs w:val="21"/>
                      <w14:textFill>
                        <w14:solidFill>
                          <w14:schemeClr w14:val="tx1"/>
                        </w14:solidFill>
                      </w14:textFill>
                    </w:rPr>
                  </w:pPr>
                  <w:r>
                    <w:rPr>
                      <w:rFonts w:ascii="Segoe UI" w:hAnsi="Segoe UI" w:eastAsia="Segoe UI" w:cs="Segoe UI"/>
                      <w:i w:val="0"/>
                      <w:iCs w:val="0"/>
                      <w:caps w:val="0"/>
                      <w:color w:val="000000" w:themeColor="text1"/>
                      <w:spacing w:val="0"/>
                      <w:sz w:val="22"/>
                      <w:szCs w:val="22"/>
                      <w:shd w:val="clear" w:fill="FFFFFF"/>
                      <w14:textFill>
                        <w14:solidFill>
                          <w14:schemeClr w14:val="tx1"/>
                        </w14:solidFill>
                      </w14:textFill>
                    </w:rPr>
                    <w:t>施工结束后回覆用于植被恢复</w:t>
                  </w:r>
                </w:p>
              </w:tc>
            </w:tr>
            <w:tr w14:paraId="5CE6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8" w:type="pct"/>
                  <w:noWrap/>
                  <w:vAlign w:val="center"/>
                </w:tcPr>
                <w:p w14:paraId="1CBABBC4">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合计</w:t>
                  </w:r>
                </w:p>
              </w:tc>
              <w:tc>
                <w:tcPr>
                  <w:tcW w:w="763" w:type="pct"/>
                  <w:noWrap/>
                  <w:vAlign w:val="center"/>
                </w:tcPr>
                <w:p w14:paraId="42C1FCE2">
                  <w:pPr>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5839</w:t>
                  </w:r>
                </w:p>
              </w:tc>
              <w:tc>
                <w:tcPr>
                  <w:tcW w:w="805" w:type="pct"/>
                  <w:noWrap/>
                  <w:vAlign w:val="center"/>
                </w:tcPr>
                <w:p w14:paraId="270F4A29">
                  <w:pPr>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5839</w:t>
                  </w:r>
                </w:p>
              </w:tc>
              <w:tc>
                <w:tcPr>
                  <w:tcW w:w="564" w:type="pct"/>
                  <w:noWrap/>
                  <w:vAlign w:val="center"/>
                </w:tcPr>
                <w:p w14:paraId="109CDB7E">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0</w:t>
                  </w:r>
                </w:p>
              </w:tc>
              <w:tc>
                <w:tcPr>
                  <w:tcW w:w="672" w:type="pct"/>
                  <w:noWrap/>
                  <w:vAlign w:val="center"/>
                </w:tcPr>
                <w:p w14:paraId="6C9D2705">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0</w:t>
                  </w:r>
                </w:p>
              </w:tc>
              <w:tc>
                <w:tcPr>
                  <w:tcW w:w="1466" w:type="pct"/>
                  <w:noWrap/>
                  <w:vAlign w:val="center"/>
                </w:tcPr>
                <w:p w14:paraId="63EED823">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挖填平衡，无外运弃渣</w:t>
                  </w:r>
                </w:p>
              </w:tc>
            </w:tr>
          </w:tbl>
          <w:p w14:paraId="64D7E93B">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4"/>
                <w:szCs w:val="24"/>
                <w:shd w:val="clear" w:fill="FFFFFF"/>
                <w14:textFill>
                  <w14:solidFill>
                    <w14:schemeClr w14:val="tx1"/>
                  </w14:solidFill>
                </w14:textFill>
              </w:rPr>
              <w:t>综上所述，本项目通过合理调配土石方，实现了挖填平衡，剥离表土全部资源化利用，无永久弃渣产生，符合绿色勘查要求。</w:t>
            </w:r>
          </w:p>
        </w:tc>
      </w:tr>
      <w:tr w14:paraId="258E47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284" w:type="pct"/>
            <w:noWrap w:val="0"/>
            <w:vAlign w:val="center"/>
          </w:tcPr>
          <w:p w14:paraId="56D5626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其他</w:t>
            </w:r>
          </w:p>
        </w:tc>
        <w:tc>
          <w:tcPr>
            <w:tcW w:w="4715" w:type="pct"/>
            <w:noWrap w:val="0"/>
            <w:vAlign w:val="center"/>
          </w:tcPr>
          <w:p w14:paraId="09C4A1E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无。</w:t>
            </w:r>
          </w:p>
        </w:tc>
      </w:tr>
    </w:tbl>
    <w:p w14:paraId="316EAF8B">
      <w:pPr>
        <w:bidi w:val="0"/>
        <w:rPr>
          <w:rFonts w:hint="eastAsia" w:ascii="Times New Roman" w:hAnsi="Times New Roman" w:cs="Times New Roman"/>
          <w:color w:val="000000" w:themeColor="text1"/>
          <w:sz w:val="24"/>
          <w:szCs w:val="24"/>
          <w14:textFill>
            <w14:solidFill>
              <w14:schemeClr w14:val="tx1"/>
            </w14:solidFill>
          </w14:textFill>
        </w:rPr>
      </w:pPr>
    </w:p>
    <w:p w14:paraId="637BF21E">
      <w:pPr>
        <w:bidi w:val="0"/>
        <w:rPr>
          <w:rFonts w:hint="eastAsia"/>
          <w:color w:val="000000" w:themeColor="text1"/>
          <w14:textFill>
            <w14:solidFill>
              <w14:schemeClr w14:val="tx1"/>
            </w14:solidFill>
          </w14:textFill>
        </w:rPr>
        <w:sectPr>
          <w:footerReference r:id="rId7" w:type="default"/>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7A8C323F">
      <w:pPr>
        <w:widowControl/>
        <w:spacing w:before="100" w:beforeAutospacing="1" w:after="100" w:afterAutospacing="1" w:line="360" w:lineRule="auto"/>
        <w:ind w:firstLine="600" w:firstLineChars="200"/>
        <w:jc w:val="center"/>
        <w:outlineLvl w:val="0"/>
        <w:rPr>
          <w:rFonts w:ascii="黑体" w:hAnsi="黑体" w:eastAsia="黑体" w:cs="Times New Roman"/>
          <w:snapToGrid w:val="0"/>
          <w:color w:val="000000" w:themeColor="text1"/>
          <w:kern w:val="0"/>
          <w:sz w:val="30"/>
          <w:szCs w:val="30"/>
          <w:lang w:val="en-US" w:eastAsia="zh-CN" w:bidi="ar-SA"/>
          <w14:textFill>
            <w14:solidFill>
              <w14:schemeClr w14:val="tx1"/>
            </w14:solidFill>
          </w14:textFill>
        </w:rPr>
      </w:pPr>
      <w:r>
        <w:rPr>
          <w:rFonts w:hint="eastAsia" w:ascii="黑体" w:hAnsi="黑体" w:eastAsia="黑体" w:cs="Times New Roman"/>
          <w:snapToGrid w:val="0"/>
          <w:color w:val="000000" w:themeColor="text1"/>
          <w:kern w:val="0"/>
          <w:sz w:val="30"/>
          <w:szCs w:val="30"/>
          <w:lang w:val="en-US" w:eastAsia="zh-CN" w:bidi="ar-SA"/>
          <w14:textFill>
            <w14:solidFill>
              <w14:schemeClr w14:val="tx1"/>
            </w14:solidFill>
          </w14:textFill>
        </w:rPr>
        <w:t>三、生态环境现状、保护目标及评价标准</w:t>
      </w:r>
    </w:p>
    <w:tbl>
      <w:tblPr>
        <w:tblStyle w:val="1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84"/>
        <w:gridCol w:w="8077"/>
      </w:tblGrid>
      <w:tr w14:paraId="21F3AE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4" w:type="dxa"/>
            <w:noWrap w:val="0"/>
            <w:vAlign w:val="center"/>
          </w:tcPr>
          <w:p w14:paraId="15A0792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区域</w:t>
            </w:r>
          </w:p>
          <w:p w14:paraId="5E0C791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环境</w:t>
            </w:r>
          </w:p>
          <w:p w14:paraId="37E19E4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质量</w:t>
            </w:r>
          </w:p>
          <w:p w14:paraId="3595D06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现状</w:t>
            </w:r>
          </w:p>
        </w:tc>
        <w:tc>
          <w:tcPr>
            <w:tcW w:w="8077" w:type="dxa"/>
            <w:shd w:val="clear" w:color="auto" w:fill="auto"/>
            <w:noWrap w:val="0"/>
            <w:vAlign w:val="center"/>
          </w:tcPr>
          <w:p w14:paraId="0F3284E3">
            <w:pPr>
              <w:pStyle w:val="2"/>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1.新疆维吾尔自治区主体功能区规划</w:t>
            </w:r>
          </w:p>
          <w:p w14:paraId="25DA7FC8">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本项目所在地昌吉回族自治州木垒哈萨克自治县位于《新疆维吾尔自治区主体功能区规划》中国家层面重点开发区域——天山北坡地区。</w:t>
            </w:r>
          </w:p>
          <w:p w14:paraId="1A29D496">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该区域位于全国</w:t>
            </w:r>
            <w:r>
              <w:rPr>
                <w:rFonts w:hint="eastAsia"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两横三纵</w:t>
            </w:r>
            <w:r>
              <w:rPr>
                <w:rFonts w:hint="eastAsia"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城市化战略格局中陆桥通道的西端，涉及23个县市，是我国面向中亚、西亚地区对外开放的陆路交通枢纽和重要门户，全国重要的能源基地，我国进口资源的国际大通道，西北地区重要的国际商贸中心、物流中心和对外合作加工基地，石油天然气化工、煤电、煤化工、机电工业及纺织工业基地。本项目为陆地矿产资源勘查项目，为金矿前期的勘查活动，</w:t>
            </w:r>
            <w:r>
              <w:rPr>
                <w:rFonts w:hint="eastAsia" w:ascii="Times New Roman" w:hAnsi="Times New Roman" w:cs="Times New Roman"/>
                <w:color w:val="000000" w:themeColor="text1"/>
                <w:lang w:val="en-US" w:eastAsia="zh-CN"/>
                <w14:textFill>
                  <w14:solidFill>
                    <w14:schemeClr w14:val="tx1"/>
                  </w14:solidFill>
                </w14:textFill>
              </w:rPr>
              <w:t>这些工程均</w:t>
            </w:r>
            <w:r>
              <w:rPr>
                <w:rFonts w:hint="default" w:ascii="Times New Roman" w:hAnsi="Times New Roman" w:cs="Times New Roman"/>
                <w:color w:val="000000" w:themeColor="text1"/>
                <w:lang w:val="en-US" w:eastAsia="zh-CN"/>
                <w14:textFill>
                  <w14:solidFill>
                    <w14:schemeClr w14:val="tx1"/>
                  </w14:solidFill>
                </w14:textFill>
              </w:rPr>
              <w:t>为临时工程，符合主体功能区的功能定位。</w:t>
            </w:r>
          </w:p>
          <w:p w14:paraId="278DA90C">
            <w:pPr>
              <w:pStyle w:val="2"/>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2.生态功能区划</w:t>
            </w:r>
          </w:p>
          <w:p w14:paraId="55FBAD31">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根据《新疆生态功能区划简表》，项目区所属生态功能区的主要生态服务功能、主要生态环境问题、主要保护目标和主要发展方向等内容详见表3-1，区划图见附图4。</w:t>
            </w:r>
          </w:p>
          <w:p w14:paraId="54F90A30">
            <w:pPr>
              <w:pStyle w:val="5"/>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 3-1 生态功能区划简表</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4"/>
              <w:gridCol w:w="1554"/>
              <w:gridCol w:w="5441"/>
            </w:tblGrid>
            <w:tr w14:paraId="52AF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44" w:type="pct"/>
                  <w:vMerge w:val="restart"/>
                  <w:shd w:val="clear" w:color="auto" w:fill="auto"/>
                  <w:vAlign w:val="center"/>
                </w:tcPr>
                <w:p w14:paraId="0679D9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生态功能分区单元</w:t>
                  </w:r>
                </w:p>
              </w:tc>
              <w:tc>
                <w:tcPr>
                  <w:tcW w:w="989" w:type="pct"/>
                  <w:shd w:val="clear" w:color="auto" w:fill="auto"/>
                  <w:vAlign w:val="center"/>
                </w:tcPr>
                <w:p w14:paraId="5EE006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生态区</w:t>
                  </w:r>
                </w:p>
              </w:tc>
              <w:tc>
                <w:tcPr>
                  <w:tcW w:w="3465" w:type="pct"/>
                  <w:shd w:val="clear" w:color="auto" w:fill="auto"/>
                  <w:vAlign w:val="center"/>
                </w:tcPr>
                <w:p w14:paraId="4A1D9D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Ⅲ天山山地干旱草原—针叶林生态区</w:t>
                  </w:r>
                </w:p>
              </w:tc>
            </w:tr>
            <w:tr w14:paraId="4994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44" w:type="pct"/>
                  <w:vMerge w:val="continue"/>
                  <w:shd w:val="clear" w:color="auto" w:fill="auto"/>
                  <w:vAlign w:val="center"/>
                </w:tcPr>
                <w:p w14:paraId="7A4648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89" w:type="pct"/>
                  <w:shd w:val="clear" w:color="auto" w:fill="auto"/>
                  <w:vAlign w:val="center"/>
                </w:tcPr>
                <w:p w14:paraId="05A16C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生态亚区</w:t>
                  </w:r>
                </w:p>
              </w:tc>
              <w:tc>
                <w:tcPr>
                  <w:tcW w:w="3465" w:type="pct"/>
                  <w:shd w:val="clear" w:color="auto" w:fill="auto"/>
                  <w:vAlign w:val="center"/>
                </w:tcPr>
                <w:p w14:paraId="72967F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Ⅲ₁天山北坡森林、草原水源涵养生态亚区</w:t>
                  </w:r>
                </w:p>
              </w:tc>
            </w:tr>
            <w:tr w14:paraId="4C93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44" w:type="pct"/>
                  <w:vMerge w:val="continue"/>
                  <w:shd w:val="clear" w:color="auto" w:fill="auto"/>
                  <w:vAlign w:val="center"/>
                </w:tcPr>
                <w:p w14:paraId="2BB47E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89" w:type="pct"/>
                  <w:shd w:val="clear" w:color="auto" w:fill="auto"/>
                  <w:vAlign w:val="center"/>
                </w:tcPr>
                <w:p w14:paraId="05DF6B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生态功能区</w:t>
                  </w:r>
                </w:p>
              </w:tc>
              <w:tc>
                <w:tcPr>
                  <w:tcW w:w="3465" w:type="pct"/>
                  <w:shd w:val="clear" w:color="auto" w:fill="auto"/>
                  <w:vAlign w:val="center"/>
                </w:tcPr>
                <w:p w14:paraId="2A5937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32.天山北坡东段博格达峰及天池自然景观保护生态功能区</w:t>
                  </w:r>
                </w:p>
              </w:tc>
            </w:tr>
            <w:tr w14:paraId="1631A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1534" w:type="pct"/>
                  <w:gridSpan w:val="2"/>
                  <w:shd w:val="clear" w:color="auto" w:fill="auto"/>
                  <w:vAlign w:val="center"/>
                </w:tcPr>
                <w:p w14:paraId="6E1A9E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主要生态服务功能</w:t>
                  </w:r>
                </w:p>
              </w:tc>
              <w:tc>
                <w:tcPr>
                  <w:tcW w:w="3465" w:type="pct"/>
                  <w:shd w:val="clear" w:color="auto" w:fill="auto"/>
                  <w:vAlign w:val="center"/>
                </w:tcPr>
                <w:p w14:paraId="645CDE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水源涵养、水文调蓄、景观多样性与生物多样性维护、旅游</w:t>
                  </w:r>
                </w:p>
              </w:tc>
            </w:tr>
            <w:tr w14:paraId="2489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4" w:type="pct"/>
                  <w:gridSpan w:val="2"/>
                  <w:shd w:val="clear" w:color="auto" w:fill="auto"/>
                  <w:vAlign w:val="center"/>
                </w:tcPr>
                <w:p w14:paraId="0E55C6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主要生态环境问题</w:t>
                  </w:r>
                </w:p>
              </w:tc>
              <w:tc>
                <w:tcPr>
                  <w:tcW w:w="3465" w:type="pct"/>
                  <w:shd w:val="clear" w:color="auto" w:fill="auto"/>
                  <w:vAlign w:val="center"/>
                </w:tcPr>
                <w:p w14:paraId="4B5959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旅游建设引起景观及水质破坏与污染、森林过伐、草场退化、水土流失</w:t>
                  </w:r>
                </w:p>
              </w:tc>
            </w:tr>
            <w:tr w14:paraId="0C7B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1534" w:type="pct"/>
                  <w:gridSpan w:val="2"/>
                  <w:shd w:val="clear" w:color="auto" w:fill="auto"/>
                  <w:vAlign w:val="center"/>
                </w:tcPr>
                <w:p w14:paraId="04575C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生态敏感因子敏感程度</w:t>
                  </w:r>
                </w:p>
              </w:tc>
              <w:tc>
                <w:tcPr>
                  <w:tcW w:w="3465" w:type="pct"/>
                  <w:shd w:val="clear" w:color="auto" w:fill="auto"/>
                  <w:vAlign w:val="center"/>
                </w:tcPr>
                <w:p w14:paraId="0EB87F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生物多样性和生境极度敏感，土壤侵蚀、土地沙漠化、土壤盐渍化不敏感。</w:t>
                  </w:r>
                </w:p>
              </w:tc>
            </w:tr>
            <w:tr w14:paraId="0C74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4" w:type="pct"/>
                  <w:gridSpan w:val="2"/>
                  <w:shd w:val="clear" w:color="auto" w:fill="auto"/>
                  <w:vAlign w:val="center"/>
                </w:tcPr>
                <w:p w14:paraId="4C108B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主要保护目标</w:t>
                  </w:r>
                </w:p>
              </w:tc>
              <w:tc>
                <w:tcPr>
                  <w:tcW w:w="3465" w:type="pct"/>
                  <w:shd w:val="clear" w:color="auto" w:fill="auto"/>
                  <w:vAlign w:val="center"/>
                </w:tcPr>
                <w:p w14:paraId="09B416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保护高山冰川和湖泊、保护山地森林和草原、保护高山雪莲</w:t>
                  </w:r>
                </w:p>
              </w:tc>
            </w:tr>
            <w:tr w14:paraId="57FA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4" w:type="pct"/>
                  <w:gridSpan w:val="2"/>
                  <w:shd w:val="clear" w:color="auto" w:fill="auto"/>
                  <w:vAlign w:val="center"/>
                </w:tcPr>
                <w:p w14:paraId="09180D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主要保护措施</w:t>
                  </w:r>
                </w:p>
              </w:tc>
              <w:tc>
                <w:tcPr>
                  <w:tcW w:w="3465" w:type="pct"/>
                  <w:shd w:val="clear" w:color="auto" w:fill="auto"/>
                  <w:vAlign w:val="center"/>
                </w:tcPr>
                <w:p w14:paraId="3A954D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合理规划旅游景点建设与规范旅游、风景区禁牧、综合治理三工河</w:t>
                  </w:r>
                </w:p>
              </w:tc>
            </w:tr>
            <w:tr w14:paraId="08AC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4" w:type="pct"/>
                  <w:gridSpan w:val="2"/>
                  <w:shd w:val="clear" w:color="auto" w:fill="auto"/>
                  <w:vAlign w:val="center"/>
                </w:tcPr>
                <w:p w14:paraId="220D41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适宜发展方向</w:t>
                  </w:r>
                </w:p>
              </w:tc>
              <w:tc>
                <w:tcPr>
                  <w:tcW w:w="3465" w:type="pct"/>
                  <w:shd w:val="clear" w:color="auto" w:fill="auto"/>
                  <w:vAlign w:val="center"/>
                </w:tcPr>
                <w:p w14:paraId="650A0B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加强保护与管理，建好国际人与生物圈保护示范区。</w:t>
                  </w:r>
                </w:p>
              </w:tc>
            </w:tr>
          </w:tbl>
          <w:p w14:paraId="6F1E27CF">
            <w:pPr>
              <w:pStyle w:val="2"/>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3.生态环境现状</w:t>
            </w:r>
          </w:p>
          <w:p w14:paraId="44C47024">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（1）植被现状</w:t>
            </w:r>
          </w:p>
          <w:p w14:paraId="75E9FC6C">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根据《中国植被分布图》在线查询系统、《新疆植被图》及现场踏勘结果综合分析，项目区植被类型为温带半灌木、矮半灌木荒漠，属于典型的砾质荒漠，土壤为强砾质的石膏灰棕荒漠土。现场踏勘表明，项目占地范围内（含临时占地）野生植被优势种为木本猪毛菜（</w:t>
            </w:r>
            <w:r>
              <w:rPr>
                <w:rFonts w:hint="default" w:ascii="Times New Roman" w:hAnsi="Times New Roman" w:cs="Times New Roman"/>
                <w:i/>
                <w:iCs/>
                <w:color w:val="000000" w:themeColor="text1"/>
                <w:lang w:val="en-US" w:eastAsia="zh-CN"/>
                <w14:textFill>
                  <w14:solidFill>
                    <w14:schemeClr w14:val="tx1"/>
                  </w14:solidFill>
                </w14:textFill>
              </w:rPr>
              <w:t>Salsola arbuscula</w:t>
            </w:r>
            <w:r>
              <w:rPr>
                <w:rFonts w:hint="default" w:ascii="Times New Roman" w:hAnsi="Times New Roman" w:cs="Times New Roman"/>
                <w:color w:val="000000" w:themeColor="text1"/>
                <w:lang w:val="en-US" w:eastAsia="zh-CN"/>
                <w14:textFill>
                  <w14:solidFill>
                    <w14:schemeClr w14:val="tx1"/>
                  </w14:solidFill>
                </w14:textFill>
              </w:rPr>
              <w:t>）和假木贼（</w:t>
            </w:r>
            <w:r>
              <w:rPr>
                <w:rFonts w:hint="default" w:ascii="Times New Roman" w:hAnsi="Times New Roman" w:cs="Times New Roman"/>
                <w:i/>
                <w:iCs/>
                <w:color w:val="000000" w:themeColor="text1"/>
                <w:lang w:val="en-US" w:eastAsia="zh-CN"/>
                <w14:textFill>
                  <w14:solidFill>
                    <w14:schemeClr w14:val="tx1"/>
                  </w14:solidFill>
                </w14:textFill>
              </w:rPr>
              <w:t>Anabasis cretacea</w:t>
            </w:r>
            <w:r>
              <w:rPr>
                <w:rFonts w:hint="default" w:ascii="Times New Roman" w:hAnsi="Times New Roman" w:cs="Times New Roman"/>
                <w:color w:val="000000" w:themeColor="text1"/>
                <w:lang w:val="en-US" w:eastAsia="zh-CN"/>
                <w14:textFill>
                  <w14:solidFill>
                    <w14:schemeClr w14:val="tx1"/>
                  </w14:solidFill>
                </w14:textFill>
              </w:rPr>
              <w:t xml:space="preserve"> ），植被盖度约为30%，局部优于区域平均水平。依据《新疆国家重点保护野生植物名录》（2022年）及《新疆维吾尔自治区重点保护野生植物名录》（2024年修订），评价范围内未发现国家及自治区级重点保护野生植物分布。</w:t>
            </w:r>
          </w:p>
          <w:p w14:paraId="770914CD">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（2）野生动物现状</w:t>
            </w:r>
          </w:p>
          <w:p w14:paraId="59EDB69C">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所在区域气候干旱，在此区域分布的野生动物相对数量较少，再加上保护对象自身的因素即生态系统和物种种群的脆弱性、人类活动的威胁和干扰，使得此区域的野生动物数量越来越少。野生动物主要为鼠类、野兔及麻雀等常见动物。根据《国家重点保护野生动物名录》（2021年）及《新疆国家重点保护野生动物名录》（2021年），现场踏勘期间项目区未发现国家重点保护野生动物及其生境。</w:t>
            </w:r>
          </w:p>
          <w:p w14:paraId="58550C0C">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（3）土地利用类型</w:t>
            </w:r>
          </w:p>
          <w:p w14:paraId="79889158">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本项目临时占地范围内的土地利用类型为天然牧草地。</w:t>
            </w:r>
          </w:p>
          <w:p w14:paraId="1B47C87A">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（4）土地沙化现状</w:t>
            </w:r>
          </w:p>
          <w:p w14:paraId="2EAABCC1">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根据《新疆维吾尔自治区第六次沙化监测报告》（2021年）可知，项目临时占地范围内属于非沙化土地。详见附图5。</w:t>
            </w:r>
          </w:p>
          <w:p w14:paraId="5667934B">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（5）水土流失现状</w:t>
            </w:r>
          </w:p>
          <w:p w14:paraId="6FF62F23">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根据《新疆维吾尔自治区昌吉回族自治州水土保持规划（2021-2030年）》，昌吉州自治区级水土流失重点治理区面积10292km</w:t>
            </w:r>
            <w:r>
              <w:rPr>
                <w:rFonts w:hint="default" w:ascii="Times New Roman" w:hAnsi="Times New Roman" w:cs="Times New Roman"/>
                <w:color w:val="000000" w:themeColor="text1"/>
                <w:vertAlign w:val="superscript"/>
                <w:lang w:val="en-US" w:eastAsia="zh-CN"/>
                <w14:textFill>
                  <w14:solidFill>
                    <w14:schemeClr w14:val="tx1"/>
                  </w14:solidFill>
                </w14:textFill>
              </w:rPr>
              <w:t>2</w:t>
            </w:r>
            <w:r>
              <w:rPr>
                <w:rFonts w:hint="default" w:ascii="Times New Roman" w:hAnsi="Times New Roman" w:cs="Times New Roman"/>
                <w:color w:val="000000" w:themeColor="text1"/>
                <w:lang w:val="en-US" w:eastAsia="zh-CN"/>
                <w14:textFill>
                  <w14:solidFill>
                    <w14:schemeClr w14:val="tx1"/>
                  </w14:solidFill>
                </w14:textFill>
              </w:rPr>
              <w:t>，项目区不属于水土流失重点预防区和重点治理区，区域主要水土流失类型为风力侵蚀，侵蚀强度为微度。</w:t>
            </w:r>
          </w:p>
          <w:p w14:paraId="7FBE3953">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环境空气质量现状调查与评价</w:t>
            </w:r>
          </w:p>
          <w:p w14:paraId="1F62B36F">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《环境空气质量标准》（GB 3095-2026）于2026年2月12日批准发布，自2026年3月1日起实施。根据该标准，2026年3月1日至2030年12月31日为过渡阶段，执行过渡阶段浓度限值。</w:t>
            </w:r>
          </w:p>
          <w:p w14:paraId="288A608C">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w:t>
            </w:r>
            <w:r>
              <w:rPr>
                <w:rFonts w:hint="default" w:ascii="Times New Roman" w:hAnsi="Times New Roman" w:cs="Times New Roman"/>
                <w:color w:val="000000" w:themeColor="text1"/>
                <w:lang w:val="en-US" w:eastAsia="zh-CN"/>
                <w14:textFill>
                  <w14:solidFill>
                    <w14:schemeClr w14:val="tx1"/>
                  </w14:solidFill>
                </w14:textFill>
              </w:rPr>
              <w:t>所在行政区属于昌吉回族自治州</w:t>
            </w:r>
            <w:r>
              <w:rPr>
                <w:rFonts w:hint="default" w:ascii="Times New Roman" w:hAnsi="Times New Roman" w:cs="Times New Roman"/>
                <w:color w:val="000000" w:themeColor="text1"/>
                <w14:textFill>
                  <w14:solidFill>
                    <w14:schemeClr w14:val="tx1"/>
                  </w14:solidFill>
                </w14:textFill>
              </w:rPr>
              <w:t>。根据《环境影响评价技术导则 大气环境》（HJ 2.2-2018），本次评价引用</w:t>
            </w:r>
            <w:r>
              <w:rPr>
                <w:rFonts w:hint="default" w:ascii="Times New Roman" w:hAnsi="Times New Roman" w:cs="Times New Roman"/>
                <w:color w:val="000000" w:themeColor="text1"/>
                <w:lang w:val="en-US" w:eastAsia="zh-CN"/>
                <w14:textFill>
                  <w14:solidFill>
                    <w14:schemeClr w14:val="tx1"/>
                  </w14:solidFill>
                </w14:textFill>
              </w:rPr>
              <w:t>昌吉回族自治州</w:t>
            </w:r>
            <w:r>
              <w:rPr>
                <w:rFonts w:hint="default" w:ascii="Times New Roman" w:hAnsi="Times New Roman" w:cs="Times New Roman"/>
                <w:color w:val="000000" w:themeColor="text1"/>
                <w14:textFill>
                  <w14:solidFill>
                    <w14:schemeClr w14:val="tx1"/>
                  </w14:solidFill>
                </w14:textFill>
              </w:rPr>
              <w:t>2024年环境空气质量数据，对照《环境空气质量标准》（GB 3095-2026）中的过渡阶段浓度限值进行达标区判定，具体情况见表3-</w:t>
            </w:r>
            <w:r>
              <w:rPr>
                <w:rFonts w:hint="default"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w:t>
            </w:r>
          </w:p>
          <w:p w14:paraId="5FA6AFAD">
            <w:pPr>
              <w:pStyle w:val="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表3-</w:t>
            </w:r>
            <w:r>
              <w:rPr>
                <w:rFonts w:hint="default"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lang w:val="en-US" w:eastAsia="zh-CN"/>
                <w14:textFill>
                  <w14:solidFill>
                    <w14:schemeClr w14:val="tx1"/>
                  </w14:solidFill>
                </w14:textFill>
              </w:rPr>
              <w:t>昌吉回族自治州</w:t>
            </w:r>
            <w:r>
              <w:rPr>
                <w:rFonts w:hint="default" w:ascii="Times New Roman" w:hAnsi="Times New Roman" w:cs="Times New Roman"/>
                <w:color w:val="000000" w:themeColor="text1"/>
                <w14:textFill>
                  <w14:solidFill>
                    <w14:schemeClr w14:val="tx1"/>
                  </w14:solidFill>
                </w14:textFill>
              </w:rPr>
              <w:t>2024年基本污染物环境质量现状</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5"/>
              <w:gridCol w:w="1847"/>
              <w:gridCol w:w="1197"/>
              <w:gridCol w:w="1466"/>
              <w:gridCol w:w="1243"/>
              <w:gridCol w:w="1100"/>
            </w:tblGrid>
            <w:tr w14:paraId="0712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634" w:type="pct"/>
                  <w:tcBorders>
                    <w:tl2br w:val="nil"/>
                    <w:tr2bl w:val="nil"/>
                  </w:tcBorders>
                  <w:tcMar>
                    <w:top w:w="0" w:type="dxa"/>
                    <w:left w:w="0" w:type="dxa"/>
                    <w:bottom w:w="0" w:type="dxa"/>
                    <w:right w:w="0" w:type="dxa"/>
                  </w:tcMar>
                  <w:vAlign w:val="center"/>
                </w:tcPr>
                <w:p w14:paraId="18AE715E">
                  <w:pPr>
                    <w:spacing w:line="240" w:lineRule="auto"/>
                    <w:ind w:firstLine="0" w:firstLineChars="0"/>
                    <w:jc w:val="center"/>
                    <w:textAlignment w:val="baseline"/>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污染物</w:t>
                  </w:r>
                </w:p>
              </w:tc>
              <w:tc>
                <w:tcPr>
                  <w:tcW w:w="1176" w:type="pct"/>
                  <w:tcBorders>
                    <w:tl2br w:val="nil"/>
                    <w:tr2bl w:val="nil"/>
                  </w:tcBorders>
                  <w:tcMar>
                    <w:top w:w="0" w:type="dxa"/>
                    <w:left w:w="0" w:type="dxa"/>
                    <w:bottom w:w="0" w:type="dxa"/>
                    <w:right w:w="0" w:type="dxa"/>
                  </w:tcMar>
                  <w:vAlign w:val="center"/>
                </w:tcPr>
                <w:p w14:paraId="773FDDBD">
                  <w:pPr>
                    <w:spacing w:line="240" w:lineRule="auto"/>
                    <w:ind w:firstLine="0" w:firstLineChars="0"/>
                    <w:jc w:val="center"/>
                    <w:textAlignment w:val="baseline"/>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年评价指标</w:t>
                  </w:r>
                </w:p>
              </w:tc>
              <w:tc>
                <w:tcPr>
                  <w:tcW w:w="762" w:type="pct"/>
                  <w:tcBorders>
                    <w:tl2br w:val="nil"/>
                    <w:tr2bl w:val="nil"/>
                  </w:tcBorders>
                  <w:tcMar>
                    <w:top w:w="0" w:type="dxa"/>
                    <w:left w:w="0" w:type="dxa"/>
                    <w:bottom w:w="0" w:type="dxa"/>
                    <w:right w:w="0" w:type="dxa"/>
                  </w:tcMar>
                  <w:vAlign w:val="center"/>
                </w:tcPr>
                <w:p w14:paraId="682A9D82">
                  <w:pPr>
                    <w:spacing w:line="240" w:lineRule="auto"/>
                    <w:ind w:firstLine="0" w:firstLineChars="0"/>
                    <w:jc w:val="center"/>
                    <w:textAlignment w:val="baseline"/>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评价标准（过渡阶段浓度限值）</w:t>
                  </w:r>
                </w:p>
              </w:tc>
              <w:tc>
                <w:tcPr>
                  <w:tcW w:w="933" w:type="pct"/>
                  <w:tcBorders>
                    <w:tl2br w:val="nil"/>
                    <w:tr2bl w:val="nil"/>
                  </w:tcBorders>
                  <w:tcMar>
                    <w:top w:w="0" w:type="dxa"/>
                    <w:left w:w="0" w:type="dxa"/>
                    <w:bottom w:w="0" w:type="dxa"/>
                    <w:right w:w="0" w:type="dxa"/>
                  </w:tcMar>
                  <w:vAlign w:val="center"/>
                </w:tcPr>
                <w:p w14:paraId="45E97C30">
                  <w:pPr>
                    <w:spacing w:line="240" w:lineRule="auto"/>
                    <w:ind w:firstLine="0" w:firstLineChars="0"/>
                    <w:jc w:val="center"/>
                    <w:textAlignment w:val="baseline"/>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现状浓度</w:t>
                  </w:r>
                </w:p>
              </w:tc>
              <w:tc>
                <w:tcPr>
                  <w:tcW w:w="791" w:type="pct"/>
                  <w:tcBorders>
                    <w:tl2br w:val="nil"/>
                    <w:tr2bl w:val="nil"/>
                  </w:tcBorders>
                  <w:tcMar>
                    <w:top w:w="0" w:type="dxa"/>
                    <w:left w:w="0" w:type="dxa"/>
                    <w:bottom w:w="0" w:type="dxa"/>
                    <w:right w:w="0" w:type="dxa"/>
                  </w:tcMar>
                  <w:vAlign w:val="center"/>
                </w:tcPr>
                <w:p w14:paraId="294E0FDC">
                  <w:pPr>
                    <w:spacing w:line="240" w:lineRule="auto"/>
                    <w:ind w:firstLine="0" w:firstLineChars="0"/>
                    <w:jc w:val="center"/>
                    <w:textAlignment w:val="baseline"/>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占标率（%）</w:t>
                  </w:r>
                </w:p>
              </w:tc>
              <w:tc>
                <w:tcPr>
                  <w:tcW w:w="700" w:type="pct"/>
                  <w:tcBorders>
                    <w:tl2br w:val="nil"/>
                    <w:tr2bl w:val="nil"/>
                  </w:tcBorders>
                  <w:tcMar>
                    <w:top w:w="0" w:type="dxa"/>
                    <w:left w:w="0" w:type="dxa"/>
                    <w:bottom w:w="0" w:type="dxa"/>
                    <w:right w:w="0" w:type="dxa"/>
                  </w:tcMar>
                  <w:vAlign w:val="center"/>
                </w:tcPr>
                <w:p w14:paraId="32C33D45">
                  <w:pPr>
                    <w:spacing w:line="240" w:lineRule="auto"/>
                    <w:ind w:firstLine="0" w:firstLineChars="0"/>
                    <w:jc w:val="center"/>
                    <w:textAlignment w:val="baseline"/>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达标情况</w:t>
                  </w:r>
                </w:p>
              </w:tc>
            </w:tr>
            <w:tr w14:paraId="1D5E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1010" w:type="dxa"/>
                  <w:tcBorders>
                    <w:tl2br w:val="nil"/>
                    <w:tr2bl w:val="nil"/>
                  </w:tcBorders>
                  <w:tcMar>
                    <w:top w:w="0" w:type="dxa"/>
                    <w:left w:w="0" w:type="dxa"/>
                    <w:bottom w:w="0" w:type="dxa"/>
                    <w:right w:w="0" w:type="dxa"/>
                  </w:tcMar>
                  <w:vAlign w:val="center"/>
                </w:tcPr>
                <w:p w14:paraId="63E523E9">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SO</w:t>
                  </w:r>
                  <w:r>
                    <w:rPr>
                      <w:rFonts w:hint="default" w:ascii="Times New Roman" w:hAnsi="Times New Roman" w:cs="Times New Roman"/>
                      <w:color w:val="000000" w:themeColor="text1"/>
                      <w:sz w:val="21"/>
                      <w:szCs w:val="21"/>
                      <w:vertAlign w:val="subscript"/>
                      <w14:textFill>
                        <w14:solidFill>
                          <w14:schemeClr w14:val="tx1"/>
                        </w14:solidFill>
                      </w14:textFill>
                    </w:rPr>
                    <w:t>2</w:t>
                  </w:r>
                </w:p>
              </w:tc>
              <w:tc>
                <w:tcPr>
                  <w:tcW w:w="1874" w:type="dxa"/>
                  <w:tcBorders>
                    <w:tl2br w:val="nil"/>
                    <w:tr2bl w:val="nil"/>
                  </w:tcBorders>
                  <w:tcMar>
                    <w:top w:w="0" w:type="dxa"/>
                    <w:left w:w="0" w:type="dxa"/>
                    <w:bottom w:w="0" w:type="dxa"/>
                    <w:right w:w="0" w:type="dxa"/>
                  </w:tcMar>
                  <w:vAlign w:val="center"/>
                </w:tcPr>
                <w:p w14:paraId="689F9721">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年平均浓度</w:t>
                  </w:r>
                </w:p>
              </w:tc>
              <w:tc>
                <w:tcPr>
                  <w:tcW w:w="1214" w:type="dxa"/>
                  <w:tcBorders>
                    <w:tl2br w:val="nil"/>
                    <w:tr2bl w:val="nil"/>
                  </w:tcBorders>
                  <w:tcMar>
                    <w:top w:w="0" w:type="dxa"/>
                    <w:left w:w="0" w:type="dxa"/>
                    <w:bottom w:w="0" w:type="dxa"/>
                    <w:right w:w="0" w:type="dxa"/>
                  </w:tcMar>
                  <w:vAlign w:val="center"/>
                </w:tcPr>
                <w:p w14:paraId="4D75C5FF">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60µg/m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1487" w:type="dxa"/>
                  <w:tcBorders>
                    <w:tl2br w:val="nil"/>
                    <w:tr2bl w:val="nil"/>
                  </w:tcBorders>
                  <w:tcMar>
                    <w:top w:w="0" w:type="dxa"/>
                    <w:left w:w="0" w:type="dxa"/>
                    <w:bottom w:w="0" w:type="dxa"/>
                    <w:right w:w="0" w:type="dxa"/>
                  </w:tcMar>
                  <w:vAlign w:val="center"/>
                </w:tcPr>
                <w:p w14:paraId="3A39AEE3">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7µg/m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1260" w:type="dxa"/>
                  <w:tcBorders>
                    <w:tl2br w:val="nil"/>
                    <w:tr2bl w:val="nil"/>
                  </w:tcBorders>
                  <w:tcMar>
                    <w:top w:w="0" w:type="dxa"/>
                    <w:left w:w="0" w:type="dxa"/>
                    <w:bottom w:w="0" w:type="dxa"/>
                    <w:right w:w="0" w:type="dxa"/>
                  </w:tcMar>
                  <w:vAlign w:val="center"/>
                </w:tcPr>
                <w:p w14:paraId="51F71FD8">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11.67%</w:t>
                  </w:r>
                </w:p>
              </w:tc>
              <w:tc>
                <w:tcPr>
                  <w:tcW w:w="1116" w:type="dxa"/>
                  <w:tcBorders>
                    <w:tl2br w:val="nil"/>
                    <w:tr2bl w:val="nil"/>
                  </w:tcBorders>
                  <w:tcMar>
                    <w:top w:w="0" w:type="dxa"/>
                    <w:left w:w="0" w:type="dxa"/>
                    <w:bottom w:w="0" w:type="dxa"/>
                    <w:right w:w="0" w:type="dxa"/>
                  </w:tcMar>
                  <w:vAlign w:val="center"/>
                </w:tcPr>
                <w:p w14:paraId="108D7218">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71E4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1010" w:type="dxa"/>
                  <w:tcBorders>
                    <w:tl2br w:val="nil"/>
                    <w:tr2bl w:val="nil"/>
                  </w:tcBorders>
                  <w:tcMar>
                    <w:top w:w="0" w:type="dxa"/>
                    <w:left w:w="0" w:type="dxa"/>
                    <w:bottom w:w="0" w:type="dxa"/>
                    <w:right w:w="0" w:type="dxa"/>
                  </w:tcMar>
                  <w:vAlign w:val="center"/>
                </w:tcPr>
                <w:p w14:paraId="580FD059">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NO</w:t>
                  </w:r>
                  <w:r>
                    <w:rPr>
                      <w:rFonts w:hint="default" w:ascii="Times New Roman" w:hAnsi="Times New Roman" w:cs="Times New Roman"/>
                      <w:color w:val="000000" w:themeColor="text1"/>
                      <w:sz w:val="21"/>
                      <w:szCs w:val="21"/>
                      <w:vertAlign w:val="subscript"/>
                      <w14:textFill>
                        <w14:solidFill>
                          <w14:schemeClr w14:val="tx1"/>
                        </w14:solidFill>
                      </w14:textFill>
                    </w:rPr>
                    <w:t>2</w:t>
                  </w:r>
                </w:p>
              </w:tc>
              <w:tc>
                <w:tcPr>
                  <w:tcW w:w="1874" w:type="dxa"/>
                  <w:tcBorders>
                    <w:tl2br w:val="nil"/>
                    <w:tr2bl w:val="nil"/>
                  </w:tcBorders>
                  <w:tcMar>
                    <w:top w:w="0" w:type="dxa"/>
                    <w:left w:w="0" w:type="dxa"/>
                    <w:bottom w:w="0" w:type="dxa"/>
                    <w:right w:w="0" w:type="dxa"/>
                  </w:tcMar>
                  <w:vAlign w:val="center"/>
                </w:tcPr>
                <w:p w14:paraId="71B8D333">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年平均浓度</w:t>
                  </w:r>
                </w:p>
              </w:tc>
              <w:tc>
                <w:tcPr>
                  <w:tcW w:w="1214" w:type="dxa"/>
                  <w:tcBorders>
                    <w:tl2br w:val="nil"/>
                    <w:tr2bl w:val="nil"/>
                  </w:tcBorders>
                  <w:tcMar>
                    <w:top w:w="0" w:type="dxa"/>
                    <w:left w:w="0" w:type="dxa"/>
                    <w:bottom w:w="0" w:type="dxa"/>
                    <w:right w:w="0" w:type="dxa"/>
                  </w:tcMar>
                  <w:vAlign w:val="center"/>
                </w:tcPr>
                <w:p w14:paraId="5A8B48CE">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40µg/m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1487" w:type="dxa"/>
                  <w:tcBorders>
                    <w:tl2br w:val="nil"/>
                    <w:tr2bl w:val="nil"/>
                  </w:tcBorders>
                  <w:tcMar>
                    <w:top w:w="0" w:type="dxa"/>
                    <w:left w:w="0" w:type="dxa"/>
                    <w:bottom w:w="0" w:type="dxa"/>
                    <w:right w:w="0" w:type="dxa"/>
                  </w:tcMar>
                  <w:vAlign w:val="center"/>
                </w:tcPr>
                <w:p w14:paraId="2C74FBA7">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30</w:t>
                  </w:r>
                  <w:r>
                    <w:rPr>
                      <w:rFonts w:hint="default" w:ascii="Times New Roman" w:hAnsi="Times New Roman" w:cs="Times New Roman"/>
                      <w:color w:val="000000" w:themeColor="text1"/>
                      <w:sz w:val="21"/>
                      <w:szCs w:val="21"/>
                      <w14:textFill>
                        <w14:solidFill>
                          <w14:schemeClr w14:val="tx1"/>
                        </w14:solidFill>
                      </w14:textFill>
                    </w:rPr>
                    <w:t>µg/m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1260" w:type="dxa"/>
                  <w:tcBorders>
                    <w:tl2br w:val="nil"/>
                    <w:tr2bl w:val="nil"/>
                  </w:tcBorders>
                  <w:tcMar>
                    <w:top w:w="0" w:type="dxa"/>
                    <w:left w:w="0" w:type="dxa"/>
                    <w:bottom w:w="0" w:type="dxa"/>
                    <w:right w:w="0" w:type="dxa"/>
                  </w:tcMar>
                  <w:vAlign w:val="center"/>
                </w:tcPr>
                <w:p w14:paraId="1EE6EFF7">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75</w:t>
                  </w:r>
                  <w:r>
                    <w:rPr>
                      <w:rFonts w:hint="default" w:ascii="Times New Roman" w:hAnsi="Times New Roman" w:cs="Times New Roman"/>
                      <w:color w:val="000000" w:themeColor="text1"/>
                      <w:sz w:val="21"/>
                      <w:szCs w:val="21"/>
                      <w14:textFill>
                        <w14:solidFill>
                          <w14:schemeClr w14:val="tx1"/>
                        </w14:solidFill>
                      </w14:textFill>
                    </w:rPr>
                    <w:t>%</w:t>
                  </w:r>
                </w:p>
              </w:tc>
              <w:tc>
                <w:tcPr>
                  <w:tcW w:w="1116" w:type="dxa"/>
                  <w:tcBorders>
                    <w:tl2br w:val="nil"/>
                    <w:tr2bl w:val="nil"/>
                  </w:tcBorders>
                  <w:tcMar>
                    <w:top w:w="0" w:type="dxa"/>
                    <w:left w:w="0" w:type="dxa"/>
                    <w:bottom w:w="0" w:type="dxa"/>
                    <w:right w:w="0" w:type="dxa"/>
                  </w:tcMar>
                  <w:vAlign w:val="center"/>
                </w:tcPr>
                <w:p w14:paraId="1C909659">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042B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1010" w:type="dxa"/>
                  <w:tcBorders>
                    <w:tl2br w:val="nil"/>
                    <w:tr2bl w:val="nil"/>
                  </w:tcBorders>
                  <w:tcMar>
                    <w:top w:w="0" w:type="dxa"/>
                    <w:left w:w="0" w:type="dxa"/>
                    <w:bottom w:w="0" w:type="dxa"/>
                    <w:right w:w="0" w:type="dxa"/>
                  </w:tcMar>
                  <w:vAlign w:val="center"/>
                </w:tcPr>
                <w:p w14:paraId="687433C6">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CO</w:t>
                  </w:r>
                </w:p>
              </w:tc>
              <w:tc>
                <w:tcPr>
                  <w:tcW w:w="1874" w:type="dxa"/>
                  <w:tcBorders>
                    <w:tl2br w:val="nil"/>
                    <w:tr2bl w:val="nil"/>
                  </w:tcBorders>
                  <w:tcMar>
                    <w:top w:w="0" w:type="dxa"/>
                    <w:left w:w="0" w:type="dxa"/>
                    <w:bottom w:w="0" w:type="dxa"/>
                    <w:right w:w="0" w:type="dxa"/>
                  </w:tcMar>
                  <w:vAlign w:val="center"/>
                </w:tcPr>
                <w:p w14:paraId="4CF3178F">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24小时平均第95百分位数</w:t>
                  </w:r>
                </w:p>
              </w:tc>
              <w:tc>
                <w:tcPr>
                  <w:tcW w:w="1214" w:type="dxa"/>
                  <w:tcBorders>
                    <w:tl2br w:val="nil"/>
                    <w:tr2bl w:val="nil"/>
                  </w:tcBorders>
                  <w:tcMar>
                    <w:top w:w="0" w:type="dxa"/>
                    <w:left w:w="0" w:type="dxa"/>
                    <w:bottom w:w="0" w:type="dxa"/>
                    <w:right w:w="0" w:type="dxa"/>
                  </w:tcMar>
                  <w:vAlign w:val="center"/>
                </w:tcPr>
                <w:p w14:paraId="24DBA09E">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4mg/m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1487" w:type="dxa"/>
                  <w:tcBorders>
                    <w:tl2br w:val="nil"/>
                    <w:tr2bl w:val="nil"/>
                  </w:tcBorders>
                  <w:tcMar>
                    <w:top w:w="0" w:type="dxa"/>
                    <w:left w:w="0" w:type="dxa"/>
                    <w:bottom w:w="0" w:type="dxa"/>
                    <w:right w:w="0" w:type="dxa"/>
                  </w:tcMar>
                  <w:vAlign w:val="center"/>
                </w:tcPr>
                <w:p w14:paraId="18AD94CF">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1.8</w:t>
                  </w:r>
                  <w:r>
                    <w:rPr>
                      <w:rFonts w:hint="default" w:ascii="Times New Roman" w:hAnsi="Times New Roman" w:cs="Times New Roman"/>
                      <w:color w:val="000000" w:themeColor="text1"/>
                      <w:sz w:val="21"/>
                      <w:szCs w:val="21"/>
                      <w14:textFill>
                        <w14:solidFill>
                          <w14:schemeClr w14:val="tx1"/>
                        </w14:solidFill>
                      </w14:textFill>
                    </w:rPr>
                    <w:t>mg/m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1260" w:type="dxa"/>
                  <w:tcBorders>
                    <w:tl2br w:val="nil"/>
                    <w:tr2bl w:val="nil"/>
                  </w:tcBorders>
                  <w:tcMar>
                    <w:top w:w="0" w:type="dxa"/>
                    <w:left w:w="0" w:type="dxa"/>
                    <w:bottom w:w="0" w:type="dxa"/>
                    <w:right w:w="0" w:type="dxa"/>
                  </w:tcMar>
                  <w:vAlign w:val="center"/>
                </w:tcPr>
                <w:p w14:paraId="563280A5">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45</w:t>
                  </w:r>
                  <w:r>
                    <w:rPr>
                      <w:rFonts w:hint="default" w:ascii="Times New Roman" w:hAnsi="Times New Roman" w:cs="Times New Roman"/>
                      <w:color w:val="000000" w:themeColor="text1"/>
                      <w:sz w:val="21"/>
                      <w:szCs w:val="21"/>
                      <w14:textFill>
                        <w14:solidFill>
                          <w14:schemeClr w14:val="tx1"/>
                        </w14:solidFill>
                      </w14:textFill>
                    </w:rPr>
                    <w:t>%</w:t>
                  </w:r>
                </w:p>
              </w:tc>
              <w:tc>
                <w:tcPr>
                  <w:tcW w:w="1116" w:type="dxa"/>
                  <w:tcBorders>
                    <w:tl2br w:val="nil"/>
                    <w:tr2bl w:val="nil"/>
                  </w:tcBorders>
                  <w:tcMar>
                    <w:top w:w="0" w:type="dxa"/>
                    <w:left w:w="0" w:type="dxa"/>
                    <w:bottom w:w="0" w:type="dxa"/>
                    <w:right w:w="0" w:type="dxa"/>
                  </w:tcMar>
                  <w:vAlign w:val="center"/>
                </w:tcPr>
                <w:p w14:paraId="6A7E23AA">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0D7C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1010" w:type="dxa"/>
                  <w:tcBorders>
                    <w:tl2br w:val="nil"/>
                    <w:tr2bl w:val="nil"/>
                  </w:tcBorders>
                  <w:tcMar>
                    <w:top w:w="0" w:type="dxa"/>
                    <w:left w:w="0" w:type="dxa"/>
                    <w:bottom w:w="0" w:type="dxa"/>
                    <w:right w:w="0" w:type="dxa"/>
                  </w:tcMar>
                  <w:vAlign w:val="center"/>
                </w:tcPr>
                <w:p w14:paraId="03F46DBB">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O</w:t>
                  </w:r>
                  <w:r>
                    <w:rPr>
                      <w:rFonts w:hint="default" w:ascii="Times New Roman" w:hAnsi="Times New Roman" w:cs="Times New Roman"/>
                      <w:color w:val="000000" w:themeColor="text1"/>
                      <w:sz w:val="21"/>
                      <w:szCs w:val="21"/>
                      <w:vertAlign w:val="subscript"/>
                      <w14:textFill>
                        <w14:solidFill>
                          <w14:schemeClr w14:val="tx1"/>
                        </w14:solidFill>
                      </w14:textFill>
                    </w:rPr>
                    <w:t>3</w:t>
                  </w:r>
                </w:p>
              </w:tc>
              <w:tc>
                <w:tcPr>
                  <w:tcW w:w="1874" w:type="dxa"/>
                  <w:tcBorders>
                    <w:tl2br w:val="nil"/>
                    <w:tr2bl w:val="nil"/>
                  </w:tcBorders>
                  <w:tcMar>
                    <w:top w:w="0" w:type="dxa"/>
                    <w:left w:w="0" w:type="dxa"/>
                    <w:bottom w:w="0" w:type="dxa"/>
                    <w:right w:w="0" w:type="dxa"/>
                  </w:tcMar>
                  <w:vAlign w:val="center"/>
                </w:tcPr>
                <w:p w14:paraId="5322497E">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日最大8小时平均第90百分位数</w:t>
                  </w:r>
                </w:p>
              </w:tc>
              <w:tc>
                <w:tcPr>
                  <w:tcW w:w="1214" w:type="dxa"/>
                  <w:tcBorders>
                    <w:tl2br w:val="nil"/>
                    <w:tr2bl w:val="nil"/>
                  </w:tcBorders>
                  <w:tcMar>
                    <w:top w:w="0" w:type="dxa"/>
                    <w:left w:w="0" w:type="dxa"/>
                    <w:bottom w:w="0" w:type="dxa"/>
                    <w:right w:w="0" w:type="dxa"/>
                  </w:tcMar>
                  <w:vAlign w:val="center"/>
                </w:tcPr>
                <w:p w14:paraId="656A4734">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160µg/m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1487" w:type="dxa"/>
                  <w:tcBorders>
                    <w:tl2br w:val="nil"/>
                    <w:tr2bl w:val="nil"/>
                  </w:tcBorders>
                  <w:tcMar>
                    <w:top w:w="0" w:type="dxa"/>
                    <w:left w:w="0" w:type="dxa"/>
                    <w:bottom w:w="0" w:type="dxa"/>
                    <w:right w:w="0" w:type="dxa"/>
                  </w:tcMar>
                  <w:vAlign w:val="center"/>
                </w:tcPr>
                <w:p w14:paraId="393A8D54">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134</w:t>
                  </w:r>
                  <w:r>
                    <w:rPr>
                      <w:rFonts w:hint="default" w:ascii="Times New Roman" w:hAnsi="Times New Roman" w:cs="Times New Roman"/>
                      <w:color w:val="000000" w:themeColor="text1"/>
                      <w:sz w:val="21"/>
                      <w:szCs w:val="21"/>
                      <w14:textFill>
                        <w14:solidFill>
                          <w14:schemeClr w14:val="tx1"/>
                        </w14:solidFill>
                      </w14:textFill>
                    </w:rPr>
                    <w:t>µg/m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1260" w:type="dxa"/>
                  <w:tcBorders>
                    <w:tl2br w:val="nil"/>
                    <w:tr2bl w:val="nil"/>
                  </w:tcBorders>
                  <w:tcMar>
                    <w:top w:w="0" w:type="dxa"/>
                    <w:left w:w="0" w:type="dxa"/>
                    <w:bottom w:w="0" w:type="dxa"/>
                    <w:right w:w="0" w:type="dxa"/>
                  </w:tcMar>
                  <w:vAlign w:val="center"/>
                </w:tcPr>
                <w:p w14:paraId="164C9786">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83.75</w:t>
                  </w:r>
                  <w:r>
                    <w:rPr>
                      <w:rFonts w:hint="default" w:ascii="Times New Roman" w:hAnsi="Times New Roman" w:cs="Times New Roman"/>
                      <w:color w:val="000000" w:themeColor="text1"/>
                      <w:sz w:val="21"/>
                      <w:szCs w:val="21"/>
                      <w14:textFill>
                        <w14:solidFill>
                          <w14:schemeClr w14:val="tx1"/>
                        </w14:solidFill>
                      </w14:textFill>
                    </w:rPr>
                    <w:t>%</w:t>
                  </w:r>
                </w:p>
              </w:tc>
              <w:tc>
                <w:tcPr>
                  <w:tcW w:w="1116" w:type="dxa"/>
                  <w:tcBorders>
                    <w:tl2br w:val="nil"/>
                    <w:tr2bl w:val="nil"/>
                  </w:tcBorders>
                  <w:tcMar>
                    <w:top w:w="0" w:type="dxa"/>
                    <w:left w:w="0" w:type="dxa"/>
                    <w:bottom w:w="0" w:type="dxa"/>
                    <w:right w:w="0" w:type="dxa"/>
                  </w:tcMar>
                  <w:vAlign w:val="center"/>
                </w:tcPr>
                <w:p w14:paraId="135DB883">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548C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10" w:type="dxa"/>
                  <w:tcBorders>
                    <w:tl2br w:val="nil"/>
                    <w:tr2bl w:val="nil"/>
                  </w:tcBorders>
                  <w:tcMar>
                    <w:top w:w="0" w:type="dxa"/>
                    <w:left w:w="0" w:type="dxa"/>
                    <w:bottom w:w="0" w:type="dxa"/>
                    <w:right w:w="0" w:type="dxa"/>
                  </w:tcMar>
                  <w:vAlign w:val="center"/>
                </w:tcPr>
                <w:p w14:paraId="730A121E">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PM</w:t>
                  </w:r>
                  <w:r>
                    <w:rPr>
                      <w:rFonts w:hint="default" w:ascii="Times New Roman" w:hAnsi="Times New Roman" w:cs="Times New Roman"/>
                      <w:color w:val="000000" w:themeColor="text1"/>
                      <w:sz w:val="21"/>
                      <w:szCs w:val="21"/>
                      <w:vertAlign w:val="subscript"/>
                      <w14:textFill>
                        <w14:solidFill>
                          <w14:schemeClr w14:val="tx1"/>
                        </w14:solidFill>
                      </w14:textFill>
                    </w:rPr>
                    <w:t>2.5</w:t>
                  </w:r>
                </w:p>
              </w:tc>
              <w:tc>
                <w:tcPr>
                  <w:tcW w:w="1874" w:type="dxa"/>
                  <w:tcBorders>
                    <w:tl2br w:val="nil"/>
                    <w:tr2bl w:val="nil"/>
                  </w:tcBorders>
                  <w:tcMar>
                    <w:top w:w="0" w:type="dxa"/>
                    <w:left w:w="0" w:type="dxa"/>
                    <w:bottom w:w="0" w:type="dxa"/>
                    <w:right w:w="0" w:type="dxa"/>
                  </w:tcMar>
                  <w:vAlign w:val="center"/>
                </w:tcPr>
                <w:p w14:paraId="6465F52B">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年平均浓度</w:t>
                  </w:r>
                </w:p>
              </w:tc>
              <w:tc>
                <w:tcPr>
                  <w:tcW w:w="1214" w:type="dxa"/>
                  <w:tcBorders>
                    <w:tl2br w:val="nil"/>
                    <w:tr2bl w:val="nil"/>
                  </w:tcBorders>
                  <w:tcMar>
                    <w:top w:w="0" w:type="dxa"/>
                    <w:left w:w="0" w:type="dxa"/>
                    <w:bottom w:w="0" w:type="dxa"/>
                    <w:right w:w="0" w:type="dxa"/>
                  </w:tcMar>
                  <w:vAlign w:val="center"/>
                </w:tcPr>
                <w:p w14:paraId="367B5E98">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30µg/m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1487" w:type="dxa"/>
                  <w:tcBorders>
                    <w:tl2br w:val="nil"/>
                    <w:tr2bl w:val="nil"/>
                  </w:tcBorders>
                  <w:tcMar>
                    <w:top w:w="0" w:type="dxa"/>
                    <w:left w:w="0" w:type="dxa"/>
                    <w:bottom w:w="0" w:type="dxa"/>
                    <w:right w:w="0" w:type="dxa"/>
                  </w:tcMar>
                  <w:vAlign w:val="center"/>
                </w:tcPr>
                <w:p w14:paraId="35E8BD3E">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40</w:t>
                  </w:r>
                  <w:r>
                    <w:rPr>
                      <w:rFonts w:hint="default" w:ascii="Times New Roman" w:hAnsi="Times New Roman" w:cs="Times New Roman"/>
                      <w:color w:val="000000" w:themeColor="text1"/>
                      <w:sz w:val="21"/>
                      <w:szCs w:val="21"/>
                      <w14:textFill>
                        <w14:solidFill>
                          <w14:schemeClr w14:val="tx1"/>
                        </w14:solidFill>
                      </w14:textFill>
                    </w:rPr>
                    <w:t>µg/m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1260" w:type="dxa"/>
                  <w:tcBorders>
                    <w:tl2br w:val="nil"/>
                    <w:tr2bl w:val="nil"/>
                  </w:tcBorders>
                  <w:tcMar>
                    <w:top w:w="0" w:type="dxa"/>
                    <w:left w:w="0" w:type="dxa"/>
                    <w:bottom w:w="0" w:type="dxa"/>
                    <w:right w:w="0" w:type="dxa"/>
                  </w:tcMar>
                  <w:vAlign w:val="center"/>
                </w:tcPr>
                <w:p w14:paraId="3CB0CD10">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133</w:t>
                  </w:r>
                  <w:r>
                    <w:rPr>
                      <w:rFonts w:hint="default" w:ascii="Times New Roman" w:hAnsi="Times New Roman" w:cs="Times New Roman"/>
                      <w:color w:val="000000" w:themeColor="text1"/>
                      <w:sz w:val="21"/>
                      <w:szCs w:val="21"/>
                      <w14:textFill>
                        <w14:solidFill>
                          <w14:schemeClr w14:val="tx1"/>
                        </w14:solidFill>
                      </w14:textFill>
                    </w:rPr>
                    <w:t>%</w:t>
                  </w:r>
                </w:p>
              </w:tc>
              <w:tc>
                <w:tcPr>
                  <w:tcW w:w="1116" w:type="dxa"/>
                  <w:tcBorders>
                    <w:tl2br w:val="nil"/>
                    <w:tr2bl w:val="nil"/>
                  </w:tcBorders>
                  <w:tcMar>
                    <w:top w:w="0" w:type="dxa"/>
                    <w:left w:w="0" w:type="dxa"/>
                    <w:bottom w:w="0" w:type="dxa"/>
                    <w:right w:w="0" w:type="dxa"/>
                  </w:tcMar>
                  <w:vAlign w:val="center"/>
                </w:tcPr>
                <w:p w14:paraId="65B7BAF9">
                  <w:pPr>
                    <w:spacing w:line="240" w:lineRule="auto"/>
                    <w:ind w:firstLine="0" w:firstLineChars="0"/>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超标</w:t>
                  </w:r>
                </w:p>
              </w:tc>
            </w:tr>
            <w:tr w14:paraId="36F8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1010" w:type="dxa"/>
                  <w:tcBorders>
                    <w:tl2br w:val="nil"/>
                    <w:tr2bl w:val="nil"/>
                  </w:tcBorders>
                  <w:tcMar>
                    <w:top w:w="0" w:type="dxa"/>
                    <w:left w:w="0" w:type="dxa"/>
                    <w:bottom w:w="0" w:type="dxa"/>
                    <w:right w:w="0" w:type="dxa"/>
                  </w:tcMar>
                  <w:vAlign w:val="center"/>
                </w:tcPr>
                <w:p w14:paraId="3887A59B">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PM</w:t>
                  </w:r>
                  <w:r>
                    <w:rPr>
                      <w:rFonts w:hint="default" w:ascii="Times New Roman" w:hAnsi="Times New Roman" w:cs="Times New Roman"/>
                      <w:color w:val="000000" w:themeColor="text1"/>
                      <w:sz w:val="21"/>
                      <w:szCs w:val="21"/>
                      <w:vertAlign w:val="subscript"/>
                      <w14:textFill>
                        <w14:solidFill>
                          <w14:schemeClr w14:val="tx1"/>
                        </w14:solidFill>
                      </w14:textFill>
                    </w:rPr>
                    <w:t>10</w:t>
                  </w:r>
                </w:p>
              </w:tc>
              <w:tc>
                <w:tcPr>
                  <w:tcW w:w="1874" w:type="dxa"/>
                  <w:tcBorders>
                    <w:tl2br w:val="nil"/>
                    <w:tr2bl w:val="nil"/>
                  </w:tcBorders>
                  <w:tcMar>
                    <w:top w:w="0" w:type="dxa"/>
                    <w:left w:w="0" w:type="dxa"/>
                    <w:bottom w:w="0" w:type="dxa"/>
                    <w:right w:w="0" w:type="dxa"/>
                  </w:tcMar>
                  <w:vAlign w:val="center"/>
                </w:tcPr>
                <w:p w14:paraId="46E90526">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年平均浓度</w:t>
                  </w:r>
                </w:p>
              </w:tc>
              <w:tc>
                <w:tcPr>
                  <w:tcW w:w="1214" w:type="dxa"/>
                  <w:tcBorders>
                    <w:tl2br w:val="nil"/>
                    <w:tr2bl w:val="nil"/>
                  </w:tcBorders>
                  <w:tcMar>
                    <w:top w:w="0" w:type="dxa"/>
                    <w:left w:w="0" w:type="dxa"/>
                    <w:bottom w:w="0" w:type="dxa"/>
                    <w:right w:w="0" w:type="dxa"/>
                  </w:tcMar>
                  <w:vAlign w:val="center"/>
                </w:tcPr>
                <w:p w14:paraId="74775479">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60µg/m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1487" w:type="dxa"/>
                  <w:tcBorders>
                    <w:tl2br w:val="nil"/>
                    <w:tr2bl w:val="nil"/>
                  </w:tcBorders>
                  <w:tcMar>
                    <w:top w:w="0" w:type="dxa"/>
                    <w:left w:w="0" w:type="dxa"/>
                    <w:bottom w:w="0" w:type="dxa"/>
                    <w:right w:w="0" w:type="dxa"/>
                  </w:tcMar>
                  <w:vAlign w:val="center"/>
                </w:tcPr>
                <w:p w14:paraId="20F0A5B6">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70</w:t>
                  </w:r>
                  <w:r>
                    <w:rPr>
                      <w:rFonts w:hint="default" w:ascii="Times New Roman" w:hAnsi="Times New Roman" w:cs="Times New Roman"/>
                      <w:color w:val="000000" w:themeColor="text1"/>
                      <w:sz w:val="21"/>
                      <w:szCs w:val="21"/>
                      <w14:textFill>
                        <w14:solidFill>
                          <w14:schemeClr w14:val="tx1"/>
                        </w14:solidFill>
                      </w14:textFill>
                    </w:rPr>
                    <w:t>µg/m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1260" w:type="dxa"/>
                  <w:tcBorders>
                    <w:tl2br w:val="nil"/>
                    <w:tr2bl w:val="nil"/>
                  </w:tcBorders>
                  <w:tcMar>
                    <w:top w:w="0" w:type="dxa"/>
                    <w:left w:w="0" w:type="dxa"/>
                    <w:bottom w:w="0" w:type="dxa"/>
                    <w:right w:w="0" w:type="dxa"/>
                  </w:tcMar>
                  <w:vAlign w:val="center"/>
                </w:tcPr>
                <w:p w14:paraId="4B12056B">
                  <w:pPr>
                    <w:autoSpaceDE w:val="0"/>
                    <w:autoSpaceDN w:val="0"/>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117</w:t>
                  </w:r>
                  <w:r>
                    <w:rPr>
                      <w:rFonts w:hint="default" w:ascii="Times New Roman" w:hAnsi="Times New Roman" w:cs="Times New Roman"/>
                      <w:color w:val="000000" w:themeColor="text1"/>
                      <w:sz w:val="21"/>
                      <w:szCs w:val="21"/>
                      <w14:textFill>
                        <w14:solidFill>
                          <w14:schemeClr w14:val="tx1"/>
                        </w14:solidFill>
                      </w14:textFill>
                    </w:rPr>
                    <w:t>%</w:t>
                  </w:r>
                </w:p>
              </w:tc>
              <w:tc>
                <w:tcPr>
                  <w:tcW w:w="1116" w:type="dxa"/>
                  <w:tcBorders>
                    <w:tl2br w:val="nil"/>
                    <w:tr2bl w:val="nil"/>
                  </w:tcBorders>
                  <w:tcMar>
                    <w:top w:w="0" w:type="dxa"/>
                    <w:left w:w="0" w:type="dxa"/>
                    <w:bottom w:w="0" w:type="dxa"/>
                    <w:right w:w="0" w:type="dxa"/>
                  </w:tcMar>
                  <w:vAlign w:val="center"/>
                </w:tcPr>
                <w:p w14:paraId="0D66AC98">
                  <w:pPr>
                    <w:spacing w:line="240" w:lineRule="auto"/>
                    <w:ind w:firstLine="0" w:firstLineChars="0"/>
                    <w:jc w:val="center"/>
                    <w:rPr>
                      <w:rFonts w:hint="default" w:ascii="Times New Roman" w:hAnsi="Times New Roman" w:cs="Times New Roman"/>
                      <w:color w:val="000000" w:themeColor="text1"/>
                      <w:sz w:val="21"/>
                      <w:szCs w:val="21"/>
                      <w:highlight w:val="yellow"/>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超标</w:t>
                  </w:r>
                </w:p>
              </w:tc>
            </w:tr>
          </w:tbl>
          <w:p w14:paraId="64CDB928">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从上表的分析结果可知，PM</w:t>
            </w:r>
            <w:r>
              <w:rPr>
                <w:rFonts w:hint="default" w:ascii="Times New Roman" w:hAnsi="Times New Roman" w:cs="Times New Roman"/>
                <w:color w:val="000000" w:themeColor="text1"/>
                <w:vertAlign w:val="subscript"/>
                <w14:textFill>
                  <w14:solidFill>
                    <w14:schemeClr w14:val="tx1"/>
                  </w14:solidFill>
                </w14:textFill>
              </w:rPr>
              <w:t>10</w:t>
            </w:r>
            <w:r>
              <w:rPr>
                <w:rFonts w:hint="default" w:ascii="Times New Roman" w:hAnsi="Times New Roman" w:cs="Times New Roman"/>
                <w:color w:val="000000" w:themeColor="text1"/>
                <w14:textFill>
                  <w14:solidFill>
                    <w14:schemeClr w14:val="tx1"/>
                  </w14:solidFill>
                </w14:textFill>
              </w:rPr>
              <w:t>、PM</w:t>
            </w:r>
            <w:r>
              <w:rPr>
                <w:rFonts w:hint="default" w:ascii="Times New Roman" w:hAnsi="Times New Roman" w:cs="Times New Roman"/>
                <w:color w:val="000000" w:themeColor="text1"/>
                <w:vertAlign w:val="subscript"/>
                <w14:textFill>
                  <w14:solidFill>
                    <w14:schemeClr w14:val="tx1"/>
                  </w14:solidFill>
                </w14:textFill>
              </w:rPr>
              <w:t>2.5</w:t>
            </w:r>
            <w:r>
              <w:rPr>
                <w:rFonts w:hint="default" w:ascii="Times New Roman" w:hAnsi="Times New Roman" w:cs="Times New Roman"/>
                <w:color w:val="000000" w:themeColor="text1"/>
                <w14:textFill>
                  <w14:solidFill>
                    <w14:schemeClr w14:val="tx1"/>
                  </w14:solidFill>
                </w14:textFill>
              </w:rPr>
              <w:t>年均值浓度超过《环境空气质量标准》（</w:t>
            </w:r>
            <w:r>
              <w:rPr>
                <w:rFonts w:hint="eastAsia" w:ascii="Times New Roman" w:hAnsi="Times New Roman" w:cs="Times New Roman"/>
                <w:color w:val="000000" w:themeColor="text1"/>
                <w:lang w:eastAsia="zh-CN"/>
                <w14:textFill>
                  <w14:solidFill>
                    <w14:schemeClr w14:val="tx1"/>
                  </w14:solidFill>
                </w14:textFill>
              </w:rPr>
              <w:t>GB 3095</w:t>
            </w:r>
            <w:r>
              <w:rPr>
                <w:rFonts w:hint="default" w:ascii="Times New Roman" w:hAnsi="Times New Roman" w:cs="Times New Roman"/>
                <w:color w:val="000000" w:themeColor="text1"/>
                <w14:textFill>
                  <w14:solidFill>
                    <w14:schemeClr w14:val="tx1"/>
                  </w14:solidFill>
                </w14:textFill>
              </w:rPr>
              <w:t>-2026）过渡阶段二级标准要求，SO</w:t>
            </w:r>
            <w:r>
              <w:rPr>
                <w:rFonts w:hint="default" w:ascii="Times New Roman" w:hAnsi="Times New Roman" w:cs="Times New Roman"/>
                <w:color w:val="000000" w:themeColor="text1"/>
                <w:vertAlign w:val="sub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、NO</w:t>
            </w:r>
            <w:r>
              <w:rPr>
                <w:rFonts w:hint="default" w:ascii="Times New Roman" w:hAnsi="Times New Roman" w:cs="Times New Roman"/>
                <w:color w:val="000000" w:themeColor="text1"/>
                <w:vertAlign w:val="sub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、CO、O</w:t>
            </w:r>
            <w:r>
              <w:rPr>
                <w:rFonts w:hint="default" w:ascii="Times New Roman" w:hAnsi="Times New Roman" w:cs="Times New Roman"/>
                <w:color w:val="000000" w:themeColor="text1"/>
                <w:vertAlign w:val="sub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等其他监测指标均满足二级标准，因此判断本项目所在区域为不达标区域。</w:t>
            </w:r>
          </w:p>
          <w:p w14:paraId="6BD7A3E0">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5.地表水环境质量现状调查</w:t>
            </w:r>
          </w:p>
          <w:p w14:paraId="78A9B2ED">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勘探过程中产生的废水无直接排放，而且与最近地表水体无水力联系。根据《环境影响评价技术导则地表水环境》（HJ2.3-2018），本项目地表水评价等级为三级B，可不开展区域污染源调查，无需开展地表水水环境质量现状调查。</w:t>
            </w:r>
          </w:p>
          <w:p w14:paraId="3526D267">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6.地下水和</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土壤环境质量现状</w:t>
            </w:r>
          </w:p>
          <w:p w14:paraId="5A325795">
            <w:pPr>
              <w:bidi w:val="0"/>
              <w:rPr>
                <w:rFonts w:hint="default" w:ascii="Times New Roman" w:hAnsi="Times New Roman" w:cs="Times New Roman"/>
                <w:lang w:val="en-US" w:eastAsia="zh-CN"/>
              </w:rPr>
            </w:pPr>
            <w:r>
              <w:rPr>
                <w:rFonts w:hint="default" w:ascii="Times New Roman" w:hAnsi="Times New Roman" w:cs="Times New Roman"/>
                <w:lang w:val="en-US" w:eastAsia="zh-CN"/>
              </w:rPr>
              <w:t>本项目为陆地矿产资源地质勘查项目，属于《环境影响评价技术导则地下水环境》附录A及《环境影响评价技术导则土壤环境（试行）》附录A所列Ⅳ类项目，采取分区防渗措施后，无地下水、土壤污染途径，因此本次仅进行影响分析，不开展现状监测。</w:t>
            </w:r>
          </w:p>
          <w:p w14:paraId="2932DE85">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7.</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声环境质量现状</w:t>
            </w:r>
          </w:p>
          <w:p w14:paraId="6C929467">
            <w:pPr>
              <w:bidi w:val="0"/>
              <w:rPr>
                <w:rFonts w:hint="default" w:ascii="Times New Roman" w:hAnsi="Times New Roman" w:eastAsia="宋体" w:cs="Times New Roman"/>
                <w:color w:val="000000" w:themeColor="text1"/>
                <w:kern w:val="0"/>
                <w:szCs w:val="24"/>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根据现场踏勘，本项目工程周边50米范围内没有居民，不需要进行声环境现状监测。</w:t>
            </w:r>
          </w:p>
        </w:tc>
      </w:tr>
      <w:tr w14:paraId="2205F5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984" w:type="dxa"/>
            <w:noWrap w:val="0"/>
            <w:vAlign w:val="center"/>
          </w:tcPr>
          <w:p w14:paraId="4F91822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cs="Times New Roman"/>
                <w:color w:val="000000" w:themeColor="text1"/>
                <w:kern w:val="0"/>
                <w:sz w:val="24"/>
                <w:szCs w:val="24"/>
                <w:lang w:val="en-US" w:eastAsia="zh-CN"/>
                <w14:textFill>
                  <w14:solidFill>
                    <w14:schemeClr w14:val="tx1"/>
                  </w14:solidFill>
                </w14:textFill>
              </w:rPr>
              <w:t>与项目有关的原有环境污染和生态破坏问题</w:t>
            </w:r>
          </w:p>
        </w:tc>
        <w:tc>
          <w:tcPr>
            <w:tcW w:w="8077" w:type="dxa"/>
            <w:noWrap w:val="0"/>
            <w:vAlign w:val="center"/>
          </w:tcPr>
          <w:p w14:paraId="467A963F">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本项目为新建项目，无与本项目有关的原有环境污染和生态破坏问题。</w:t>
            </w:r>
          </w:p>
          <w:p w14:paraId="6072890F">
            <w:pPr>
              <w:keepNext/>
              <w:keepLines/>
              <w:widowControl w:val="0"/>
              <w:bidi w:val="0"/>
              <w:spacing w:beforeLines="0" w:beforeAutospacing="0" w:afterLines="0" w:afterAutospacing="0" w:line="240" w:lineRule="auto"/>
              <w:ind w:firstLine="0" w:firstLineChars="0"/>
              <w:jc w:val="center"/>
              <w:outlineLvl w:val="3"/>
              <w:rPr>
                <w:rFonts w:hint="default" w:ascii="Times New Roman" w:hAnsi="Times New Roman" w:eastAsia="宋体" w:cs="Times New Roman"/>
                <w:b/>
                <w:color w:val="000000" w:themeColor="text1"/>
                <w:kern w:val="0"/>
                <w:sz w:val="21"/>
                <w:szCs w:val="24"/>
                <w:lang w:val="en-US" w:eastAsia="zh-CN" w:bidi="ar-SA"/>
                <w14:textFill>
                  <w14:solidFill>
                    <w14:schemeClr w14:val="tx1"/>
                  </w14:solidFill>
                </w14:textFill>
              </w:rPr>
            </w:pPr>
          </w:p>
        </w:tc>
      </w:tr>
      <w:tr w14:paraId="109140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84" w:type="dxa"/>
            <w:noWrap w:val="0"/>
            <w:tcMar>
              <w:left w:w="28" w:type="dxa"/>
              <w:right w:w="28" w:type="dxa"/>
            </w:tcMar>
            <w:vAlign w:val="center"/>
          </w:tcPr>
          <w:p w14:paraId="2277299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生态环境保护目标</w:t>
            </w:r>
          </w:p>
        </w:tc>
        <w:tc>
          <w:tcPr>
            <w:tcW w:w="8077" w:type="dxa"/>
            <w:shd w:val="clear" w:color="auto" w:fill="auto"/>
            <w:noWrap w:val="0"/>
            <w:vAlign w:val="center"/>
          </w:tcPr>
          <w:p w14:paraId="75691E1F">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参照《环境影响评价技术导则大气环境》（HJ2.2-2018）、《环境影响评价技术导则 声环境》（HJ2.4-2021）、《环境影响评价技术导则土壤环境（试行）》（HJ964-2018）、《环境影响评价技术导则 生态影响》（HJ19-2022）、《环境影响评价技术导则地表水环境》（HJ2.3-2018）、《环境影响评价技术导则地下水环境》（HJ610-2016）、《建设项目环境风险评价技术导则》（HJ169-2018）等相关导则要求，本项目大气环境、地表水环境、地下水环境、土壤环境、环境风险均不设评价范围，生态评价范围为探矿区和生活营地周围50m范围；声环境评价范围为探矿区外延200m的范围，参照各环境要素及行业环境影响评价相关技术导则要求确定项目区占地范围内生态环境保护目标为生态环境评价范围内的野生动植物，保护级别为禁止随意踩踏碾压、砍伐，保护野生动植物生境不被破坏。</w:t>
            </w:r>
          </w:p>
          <w:p w14:paraId="263A4DC2">
            <w:pPr>
              <w:pStyle w:val="5"/>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表3-3    本项目环境保护目标一览表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1185"/>
              <w:gridCol w:w="1185"/>
              <w:gridCol w:w="690"/>
              <w:gridCol w:w="1035"/>
              <w:gridCol w:w="2774"/>
            </w:tblGrid>
            <w:tr w14:paraId="1DD9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1A5AFB7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cs="Times New Roman"/>
                      <w:b/>
                      <w:bCs/>
                      <w:color w:val="000000" w:themeColor="text1"/>
                      <w:kern w:val="0"/>
                      <w:sz w:val="21"/>
                      <w:szCs w:val="21"/>
                      <w:vertAlign w:val="baseline"/>
                      <w:lang w:val="en-US" w:eastAsia="zh-CN" w:bidi="ar-SA"/>
                      <w14:textFill>
                        <w14:solidFill>
                          <w14:schemeClr w14:val="tx1"/>
                        </w14:solidFill>
                      </w14:textFill>
                    </w:rPr>
                    <w:t>保护要素</w:t>
                  </w:r>
                </w:p>
              </w:tc>
              <w:tc>
                <w:tcPr>
                  <w:tcW w:w="1185" w:type="dxa"/>
                  <w:vAlign w:val="center"/>
                </w:tcPr>
                <w:p w14:paraId="5E77DE7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cs="Times New Roman"/>
                      <w:b/>
                      <w:bCs/>
                      <w:color w:val="000000" w:themeColor="text1"/>
                      <w:kern w:val="0"/>
                      <w:sz w:val="21"/>
                      <w:szCs w:val="21"/>
                      <w:vertAlign w:val="baseline"/>
                      <w:lang w:val="en-US" w:eastAsia="zh-CN" w:bidi="ar-SA"/>
                      <w14:textFill>
                        <w14:solidFill>
                          <w14:schemeClr w14:val="tx1"/>
                        </w14:solidFill>
                      </w14:textFill>
                    </w:rPr>
                    <w:t>保护对象</w:t>
                  </w:r>
                </w:p>
              </w:tc>
              <w:tc>
                <w:tcPr>
                  <w:tcW w:w="1185" w:type="dxa"/>
                  <w:vAlign w:val="center"/>
                </w:tcPr>
                <w:p w14:paraId="35F5BA9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cs="Times New Roman"/>
                      <w:b/>
                      <w:bCs/>
                      <w:color w:val="000000" w:themeColor="text1"/>
                      <w:kern w:val="0"/>
                      <w:sz w:val="21"/>
                      <w:szCs w:val="21"/>
                      <w:vertAlign w:val="baseline"/>
                      <w:lang w:val="en-US" w:eastAsia="zh-CN" w:bidi="ar-SA"/>
                      <w14:textFill>
                        <w14:solidFill>
                          <w14:schemeClr w14:val="tx1"/>
                        </w14:solidFill>
                      </w14:textFill>
                    </w:rPr>
                    <w:t>数量规模</w:t>
                  </w:r>
                </w:p>
              </w:tc>
              <w:tc>
                <w:tcPr>
                  <w:tcW w:w="690" w:type="dxa"/>
                  <w:vAlign w:val="center"/>
                </w:tcPr>
                <w:p w14:paraId="2A28045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cs="Times New Roman"/>
                      <w:b/>
                      <w:bCs/>
                      <w:color w:val="000000" w:themeColor="text1"/>
                      <w:kern w:val="0"/>
                      <w:sz w:val="21"/>
                      <w:szCs w:val="21"/>
                      <w:vertAlign w:val="baseline"/>
                      <w:lang w:val="en-US" w:eastAsia="zh-CN" w:bidi="ar-SA"/>
                      <w14:textFill>
                        <w14:solidFill>
                          <w14:schemeClr w14:val="tx1"/>
                        </w14:solidFill>
                      </w14:textFill>
                    </w:rPr>
                    <w:t>距离</w:t>
                  </w:r>
                </w:p>
              </w:tc>
              <w:tc>
                <w:tcPr>
                  <w:tcW w:w="1035" w:type="dxa"/>
                  <w:vAlign w:val="center"/>
                </w:tcPr>
                <w:p w14:paraId="7A96906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cs="Times New Roman"/>
                      <w:b/>
                      <w:bCs/>
                      <w:color w:val="000000" w:themeColor="text1"/>
                      <w:kern w:val="0"/>
                      <w:sz w:val="21"/>
                      <w:szCs w:val="21"/>
                      <w:vertAlign w:val="baseline"/>
                      <w:lang w:val="en-US" w:eastAsia="zh-CN" w:bidi="ar-SA"/>
                      <w14:textFill>
                        <w14:solidFill>
                          <w14:schemeClr w14:val="tx1"/>
                        </w14:solidFill>
                      </w14:textFill>
                    </w:rPr>
                    <w:t>方位</w:t>
                  </w:r>
                </w:p>
              </w:tc>
              <w:tc>
                <w:tcPr>
                  <w:tcW w:w="2774" w:type="dxa"/>
                  <w:vAlign w:val="center"/>
                </w:tcPr>
                <w:p w14:paraId="1B2B301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cs="Times New Roman"/>
                      <w:b/>
                      <w:bCs/>
                      <w:color w:val="000000" w:themeColor="text1"/>
                      <w:kern w:val="0"/>
                      <w:sz w:val="21"/>
                      <w:szCs w:val="21"/>
                      <w:vertAlign w:val="baseline"/>
                      <w:lang w:val="en-US" w:eastAsia="zh-CN" w:bidi="ar-SA"/>
                      <w14:textFill>
                        <w14:solidFill>
                          <w14:schemeClr w14:val="tx1"/>
                        </w14:solidFill>
                      </w14:textFill>
                    </w:rPr>
                    <w:t>保护级别/保护要求</w:t>
                  </w:r>
                </w:p>
              </w:tc>
            </w:tr>
            <w:tr w14:paraId="0B9F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Merge w:val="restart"/>
                  <w:vAlign w:val="center"/>
                </w:tcPr>
                <w:p w14:paraId="28B4D5E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vertAlign w:val="baseline"/>
                      <w:lang w:val="en-US" w:eastAsia="zh-CN" w:bidi="ar-SA"/>
                      <w14:textFill>
                        <w14:solidFill>
                          <w14:schemeClr w14:val="tx1"/>
                        </w14:solidFill>
                      </w14:textFill>
                    </w:rPr>
                    <w:t>生态环境</w:t>
                  </w:r>
                </w:p>
              </w:tc>
              <w:tc>
                <w:tcPr>
                  <w:tcW w:w="1185" w:type="dxa"/>
                  <w:vAlign w:val="center"/>
                </w:tcPr>
                <w:p w14:paraId="45B31CD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vertAlign w:val="baseline"/>
                      <w:lang w:val="en-US" w:eastAsia="zh-CN" w:bidi="ar-SA"/>
                      <w14:textFill>
                        <w14:solidFill>
                          <w14:schemeClr w14:val="tx1"/>
                        </w14:solidFill>
                      </w14:textFill>
                    </w:rPr>
                    <w:t>野生植物</w:t>
                  </w:r>
                </w:p>
              </w:tc>
              <w:tc>
                <w:tcPr>
                  <w:tcW w:w="1185" w:type="dxa"/>
                  <w:vAlign w:val="center"/>
                </w:tcPr>
                <w:p w14:paraId="1901F3F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vertAlign w:val="baseline"/>
                      <w:lang w:val="en-US" w:eastAsia="zh-CN" w:bidi="ar-SA"/>
                      <w14:textFill>
                        <w14:solidFill>
                          <w14:schemeClr w14:val="tx1"/>
                        </w14:solidFill>
                      </w14:textFill>
                    </w:rPr>
                    <w:t>植被覆盖度30%</w:t>
                  </w:r>
                </w:p>
              </w:tc>
              <w:tc>
                <w:tcPr>
                  <w:tcW w:w="1725" w:type="dxa"/>
                  <w:gridSpan w:val="2"/>
                  <w:vAlign w:val="center"/>
                </w:tcPr>
                <w:p w14:paraId="4B84ED7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bidi="ar-SA"/>
                      <w14:textFill>
                        <w14:solidFill>
                          <w14:schemeClr w14:val="tx1"/>
                        </w14:solidFill>
                      </w14:textFill>
                    </w:rPr>
                    <w:t>临时占地范围内</w:t>
                  </w:r>
                </w:p>
              </w:tc>
              <w:tc>
                <w:tcPr>
                  <w:tcW w:w="2774" w:type="dxa"/>
                  <w:vAlign w:val="center"/>
                </w:tcPr>
                <w:p w14:paraId="3182947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bidi="ar-SA"/>
                      <w14:textFill>
                        <w14:solidFill>
                          <w14:schemeClr w14:val="tx1"/>
                        </w14:solidFill>
                      </w14:textFill>
                    </w:rPr>
                    <w:t>禁止随意踩踏、碾压、砍伐</w:t>
                  </w:r>
                </w:p>
              </w:tc>
            </w:tr>
            <w:tr w14:paraId="7A6E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Merge w:val="continue"/>
                  <w:vAlign w:val="center"/>
                </w:tcPr>
                <w:p w14:paraId="40852E7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SA"/>
                      <w14:textFill>
                        <w14:solidFill>
                          <w14:schemeClr w14:val="tx1"/>
                        </w14:solidFill>
                      </w14:textFill>
                    </w:rPr>
                  </w:pPr>
                </w:p>
              </w:tc>
              <w:tc>
                <w:tcPr>
                  <w:tcW w:w="1185" w:type="dxa"/>
                  <w:vAlign w:val="center"/>
                </w:tcPr>
                <w:p w14:paraId="2438501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vertAlign w:val="baseline"/>
                      <w:lang w:val="en-US" w:eastAsia="zh-CN" w:bidi="ar-SA"/>
                      <w14:textFill>
                        <w14:solidFill>
                          <w14:schemeClr w14:val="tx1"/>
                        </w14:solidFill>
                      </w14:textFill>
                    </w:rPr>
                    <w:t>野生动物</w:t>
                  </w:r>
                </w:p>
              </w:tc>
              <w:tc>
                <w:tcPr>
                  <w:tcW w:w="1185" w:type="dxa"/>
                  <w:vAlign w:val="center"/>
                </w:tcPr>
                <w:p w14:paraId="0EE9991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vertAlign w:val="baseline"/>
                      <w:lang w:val="en-US" w:eastAsia="zh-CN" w:bidi="ar-SA"/>
                      <w14:textFill>
                        <w14:solidFill>
                          <w14:schemeClr w14:val="tx1"/>
                        </w14:solidFill>
                      </w14:textFill>
                    </w:rPr>
                    <w:t>/</w:t>
                  </w:r>
                </w:p>
              </w:tc>
              <w:tc>
                <w:tcPr>
                  <w:tcW w:w="1725" w:type="dxa"/>
                  <w:gridSpan w:val="2"/>
                  <w:vAlign w:val="center"/>
                </w:tcPr>
                <w:p w14:paraId="39B7CCB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bidi="ar-SA"/>
                      <w14:textFill>
                        <w14:solidFill>
                          <w14:schemeClr w14:val="tx1"/>
                        </w14:solidFill>
                      </w14:textFill>
                    </w:rPr>
                    <w:t>临时占地范围内</w:t>
                  </w:r>
                </w:p>
              </w:tc>
              <w:tc>
                <w:tcPr>
                  <w:tcW w:w="2774" w:type="dxa"/>
                  <w:vAlign w:val="center"/>
                </w:tcPr>
                <w:p w14:paraId="6373F8E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bidi="ar-SA"/>
                      <w14:textFill>
                        <w14:solidFill>
                          <w14:schemeClr w14:val="tx1"/>
                        </w14:solidFill>
                      </w14:textFill>
                    </w:rPr>
                    <w:t>禁止破坏野生动物生境，禁止捕猎野生动物</w:t>
                  </w:r>
                </w:p>
              </w:tc>
            </w:tr>
          </w:tbl>
          <w:p w14:paraId="04525A4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pPr>
          </w:p>
        </w:tc>
      </w:tr>
      <w:tr w14:paraId="522BE4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2" w:hRule="atLeast"/>
          <w:jc w:val="center"/>
        </w:trPr>
        <w:tc>
          <w:tcPr>
            <w:tcW w:w="984" w:type="dxa"/>
            <w:noWrap w:val="0"/>
            <w:vAlign w:val="center"/>
          </w:tcPr>
          <w:p w14:paraId="768E13E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评价</w:t>
            </w:r>
          </w:p>
          <w:p w14:paraId="29A88C9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标准</w:t>
            </w:r>
          </w:p>
        </w:tc>
        <w:tc>
          <w:tcPr>
            <w:tcW w:w="8077" w:type="dxa"/>
            <w:noWrap w:val="0"/>
            <w:vAlign w:val="center"/>
          </w:tcPr>
          <w:p w14:paraId="33E767B8">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1.环境质量标准</w:t>
            </w:r>
          </w:p>
          <w:p w14:paraId="2E7E327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b w:val="0"/>
                <w:bCs w:val="0"/>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lang w:eastAsia="zh-CN"/>
                <w14:textFill>
                  <w14:solidFill>
                    <w14:schemeClr w14:val="tx1"/>
                  </w14:solidFill>
                </w14:textFill>
              </w:rPr>
              <w:t>（1）</w:t>
            </w:r>
            <w:r>
              <w:rPr>
                <w:rFonts w:hint="default" w:ascii="Times New Roman" w:hAnsi="Times New Roman" w:eastAsia="宋体" w:cs="Times New Roman"/>
                <w:b w:val="0"/>
                <w:bCs w:val="0"/>
                <w:color w:val="000000" w:themeColor="text1"/>
                <w:kern w:val="0"/>
                <w:sz w:val="24"/>
                <w:szCs w:val="24"/>
                <w:lang w:val="en-US" w:eastAsia="zh-CN"/>
                <w14:textFill>
                  <w14:solidFill>
                    <w14:schemeClr w14:val="tx1"/>
                  </w14:solidFill>
                </w14:textFill>
              </w:rPr>
              <w:t>环境空气质量标准</w:t>
            </w:r>
          </w:p>
          <w:p w14:paraId="7A981FF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b w:val="0"/>
                <w:bCs w:val="0"/>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14:textFill>
                  <w14:solidFill>
                    <w14:schemeClr w14:val="tx1"/>
                  </w14:solidFill>
                </w14:textFill>
              </w:rPr>
              <w:t>项目所在地环境空气质量评价标准执行</w:t>
            </w:r>
            <w:r>
              <w:rPr>
                <w:rFonts w:hint="default" w:ascii="Times New Roman" w:hAnsi="Times New Roman" w:eastAsia="宋体" w:cs="Times New Roman"/>
                <w:b w:val="0"/>
                <w:bCs w:val="0"/>
                <w:color w:val="000000" w:themeColor="text1"/>
                <w:kern w:val="0"/>
                <w:sz w:val="24"/>
                <w:szCs w:val="24"/>
                <w:lang w:eastAsia="zh-CN"/>
                <w14:textFill>
                  <w14:solidFill>
                    <w14:schemeClr w14:val="tx1"/>
                  </w14:solidFill>
                </w14:textFill>
              </w:rPr>
              <w:t>《环境空气质量标准》（GB3095-20</w:t>
            </w:r>
            <w:r>
              <w:rPr>
                <w:rFonts w:hint="default" w:ascii="Times New Roman" w:hAnsi="Times New Roman" w:cs="Times New Roman"/>
                <w:b w:val="0"/>
                <w:bCs w:val="0"/>
                <w:color w:val="000000" w:themeColor="text1"/>
                <w:kern w:val="0"/>
                <w:sz w:val="24"/>
                <w:szCs w:val="24"/>
                <w:lang w:val="en-US" w:eastAsia="zh-CN"/>
                <w14:textFill>
                  <w14:solidFill>
                    <w14:schemeClr w14:val="tx1"/>
                  </w14:solidFill>
                </w14:textFill>
              </w:rPr>
              <w:t>26</w:t>
            </w:r>
            <w:r>
              <w:rPr>
                <w:rFonts w:hint="default" w:ascii="Times New Roman" w:hAnsi="Times New Roman" w:eastAsia="宋体" w:cs="Times New Roman"/>
                <w:b w:val="0"/>
                <w:bCs w:val="0"/>
                <w:color w:val="000000" w:themeColor="text1"/>
                <w:kern w:val="0"/>
                <w:sz w:val="24"/>
                <w:szCs w:val="24"/>
                <w:lang w:eastAsia="zh-CN"/>
                <w14:textFill>
                  <w14:solidFill>
                    <w14:schemeClr w14:val="tx1"/>
                  </w14:solidFill>
                </w14:textFill>
              </w:rPr>
              <w:t>）</w:t>
            </w:r>
            <w:r>
              <w:rPr>
                <w:rFonts w:hint="default" w:ascii="Times New Roman" w:hAnsi="Times New Roman" w:cs="Times New Roman"/>
                <w:bCs/>
                <w:color w:val="000000" w:themeColor="text1"/>
                <w14:textFill>
                  <w14:solidFill>
                    <w14:schemeClr w14:val="tx1"/>
                  </w14:solidFill>
                </w14:textFill>
              </w:rPr>
              <w:t>过渡阶段浓度限值</w:t>
            </w:r>
            <w:r>
              <w:rPr>
                <w:rFonts w:hint="default" w:ascii="Times New Roman" w:hAnsi="Times New Roman" w:eastAsia="宋体" w:cs="Times New Roman"/>
                <w:b w:val="0"/>
                <w:bCs w:val="0"/>
                <w:color w:val="000000" w:themeColor="text1"/>
                <w:kern w:val="0"/>
                <w:sz w:val="24"/>
                <w:szCs w:val="24"/>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lang w:val="en-US" w:eastAsia="zh-CN"/>
                <w14:textFill>
                  <w14:solidFill>
                    <w14:schemeClr w14:val="tx1"/>
                  </w14:solidFill>
                </w14:textFill>
              </w:rPr>
              <w:t>具体见表</w:t>
            </w:r>
            <w:r>
              <w:rPr>
                <w:rFonts w:hint="default" w:ascii="Times New Roman" w:hAnsi="Times New Roman" w:cs="Times New Roman"/>
                <w:b w:val="0"/>
                <w:bCs w:val="0"/>
                <w:color w:val="000000" w:themeColor="text1"/>
                <w:kern w:val="0"/>
                <w:sz w:val="24"/>
                <w:szCs w:val="24"/>
                <w:lang w:val="en-US" w:eastAsia="zh-CN"/>
                <w14:textFill>
                  <w14:solidFill>
                    <w14:schemeClr w14:val="tx1"/>
                  </w14:solidFill>
                </w14:textFill>
              </w:rPr>
              <w:t>3-</w:t>
            </w:r>
            <w:r>
              <w:rPr>
                <w:rFonts w:hint="eastAsia" w:ascii="Times New Roman" w:hAnsi="Times New Roman" w:cs="Times New Roman"/>
                <w:b w:val="0"/>
                <w:bCs w:val="0"/>
                <w:color w:val="000000" w:themeColor="text1"/>
                <w:kern w:val="0"/>
                <w:sz w:val="24"/>
                <w:szCs w:val="24"/>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kern w:val="0"/>
                <w:sz w:val="24"/>
                <w:szCs w:val="24"/>
                <w:lang w:val="en-US" w:eastAsia="zh-CN"/>
                <w14:textFill>
                  <w14:solidFill>
                    <w14:schemeClr w14:val="tx1"/>
                  </w14:solidFill>
                </w14:textFill>
              </w:rPr>
              <w:t>。</w:t>
            </w:r>
          </w:p>
          <w:p w14:paraId="25F9300E">
            <w:pPr>
              <w:pStyle w:val="5"/>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表3-4    环境空气质量标准</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90"/>
              <w:gridCol w:w="1405"/>
              <w:gridCol w:w="1796"/>
              <w:gridCol w:w="1174"/>
              <w:gridCol w:w="1106"/>
              <w:gridCol w:w="1680"/>
            </w:tblGrid>
            <w:tr w14:paraId="17A4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tblHeader/>
                <w:jc w:val="center"/>
              </w:trPr>
              <w:tc>
                <w:tcPr>
                  <w:tcW w:w="439" w:type="pct"/>
                  <w:tcBorders>
                    <w:tl2br w:val="nil"/>
                    <w:tr2bl w:val="nil"/>
                  </w:tcBorders>
                  <w:noWrap w:val="0"/>
                  <w:vAlign w:val="center"/>
                </w:tcPr>
                <w:p w14:paraId="45858215">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序号</w:t>
                  </w:r>
                </w:p>
              </w:tc>
              <w:tc>
                <w:tcPr>
                  <w:tcW w:w="894" w:type="pct"/>
                  <w:tcBorders>
                    <w:tl2br w:val="nil"/>
                    <w:tr2bl w:val="nil"/>
                  </w:tcBorders>
                  <w:noWrap w:val="0"/>
                  <w:vAlign w:val="center"/>
                </w:tcPr>
                <w:p w14:paraId="45EF0B6B">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污染物名称</w:t>
                  </w:r>
                </w:p>
              </w:tc>
              <w:tc>
                <w:tcPr>
                  <w:tcW w:w="1143" w:type="pct"/>
                  <w:tcBorders>
                    <w:tl2br w:val="nil"/>
                    <w:tr2bl w:val="nil"/>
                  </w:tcBorders>
                  <w:noWrap w:val="0"/>
                  <w:vAlign w:val="center"/>
                </w:tcPr>
                <w:p w14:paraId="2CCAA04B">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取值时间</w:t>
                  </w:r>
                </w:p>
              </w:tc>
              <w:tc>
                <w:tcPr>
                  <w:tcW w:w="747" w:type="pct"/>
                  <w:tcBorders>
                    <w:tl2br w:val="nil"/>
                    <w:tr2bl w:val="nil"/>
                  </w:tcBorders>
                  <w:noWrap w:val="0"/>
                  <w:vAlign w:val="center"/>
                </w:tcPr>
                <w:p w14:paraId="0B323EC2">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单位</w:t>
                  </w:r>
                </w:p>
              </w:tc>
              <w:tc>
                <w:tcPr>
                  <w:tcW w:w="704" w:type="pct"/>
                  <w:tcBorders>
                    <w:tl2br w:val="nil"/>
                    <w:tr2bl w:val="nil"/>
                  </w:tcBorders>
                  <w:noWrap w:val="0"/>
                  <w:vAlign w:val="center"/>
                </w:tcPr>
                <w:p w14:paraId="1F9371A9">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标准限值</w:t>
                  </w:r>
                </w:p>
              </w:tc>
              <w:tc>
                <w:tcPr>
                  <w:tcW w:w="1069" w:type="pct"/>
                  <w:tcBorders>
                    <w:tl2br w:val="nil"/>
                    <w:tr2bl w:val="nil"/>
                  </w:tcBorders>
                  <w:noWrap w:val="0"/>
                  <w:vAlign w:val="center"/>
                </w:tcPr>
                <w:p w14:paraId="1D128101">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来源</w:t>
                  </w:r>
                </w:p>
              </w:tc>
            </w:tr>
            <w:tr w14:paraId="6214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439" w:type="pct"/>
                  <w:vMerge w:val="restart"/>
                  <w:tcBorders>
                    <w:tl2br w:val="nil"/>
                    <w:tr2bl w:val="nil"/>
                  </w:tcBorders>
                  <w:noWrap w:val="0"/>
                  <w:vAlign w:val="center"/>
                </w:tcPr>
                <w:p w14:paraId="63E3EF34">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894" w:type="pct"/>
                  <w:vMerge w:val="restart"/>
                  <w:tcBorders>
                    <w:tl2br w:val="nil"/>
                    <w:tr2bl w:val="nil"/>
                  </w:tcBorders>
                  <w:noWrap w:val="0"/>
                  <w:vAlign w:val="center"/>
                </w:tcPr>
                <w:p w14:paraId="3B25E56F">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二氧化硫SO</w:t>
                  </w:r>
                  <w:r>
                    <w:rPr>
                      <w:rFonts w:hint="default" w:ascii="Times New Roman" w:hAnsi="Times New Roman" w:cs="Times New Roman"/>
                      <w:color w:val="000000" w:themeColor="text1"/>
                      <w:sz w:val="21"/>
                      <w:szCs w:val="21"/>
                      <w:vertAlign w:val="subscript"/>
                      <w14:textFill>
                        <w14:solidFill>
                          <w14:schemeClr w14:val="tx1"/>
                        </w14:solidFill>
                      </w14:textFill>
                    </w:rPr>
                    <w:t>2</w:t>
                  </w:r>
                </w:p>
              </w:tc>
              <w:tc>
                <w:tcPr>
                  <w:tcW w:w="1143" w:type="pct"/>
                  <w:tcBorders>
                    <w:tl2br w:val="nil"/>
                    <w:tr2bl w:val="nil"/>
                  </w:tcBorders>
                  <w:noWrap w:val="0"/>
                  <w:vAlign w:val="center"/>
                </w:tcPr>
                <w:p w14:paraId="3D285076">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年平均</w:t>
                  </w:r>
                </w:p>
              </w:tc>
              <w:tc>
                <w:tcPr>
                  <w:tcW w:w="747" w:type="pct"/>
                  <w:tcBorders>
                    <w:tl2br w:val="nil"/>
                    <w:tr2bl w:val="nil"/>
                  </w:tcBorders>
                  <w:noWrap w:val="0"/>
                  <w:vAlign w:val="center"/>
                </w:tcPr>
                <w:p w14:paraId="51385E20">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μg/m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704" w:type="pct"/>
                  <w:tcBorders>
                    <w:tl2br w:val="nil"/>
                    <w:tr2bl w:val="nil"/>
                  </w:tcBorders>
                  <w:noWrap w:val="0"/>
                  <w:vAlign w:val="center"/>
                </w:tcPr>
                <w:p w14:paraId="7EDCC64B">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60</w:t>
                  </w:r>
                </w:p>
              </w:tc>
              <w:tc>
                <w:tcPr>
                  <w:tcW w:w="1069" w:type="pct"/>
                  <w:vMerge w:val="restart"/>
                  <w:tcBorders>
                    <w:tl2br w:val="nil"/>
                    <w:tr2bl w:val="nil"/>
                  </w:tcBorders>
                  <w:noWrap w:val="0"/>
                  <w:vAlign w:val="center"/>
                </w:tcPr>
                <w:p w14:paraId="74DF6C65">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《环境空气质量标准》（GB3095-</w:t>
                  </w:r>
                  <w:r>
                    <w:rPr>
                      <w:rFonts w:hint="default" w:ascii="Times New Roman" w:hAnsi="Times New Roman" w:cs="Times New Roman"/>
                      <w:color w:val="000000" w:themeColor="text1"/>
                      <w:sz w:val="21"/>
                      <w:szCs w:val="21"/>
                      <w:lang w:val="en-US" w:eastAsia="zh-CN"/>
                      <w14:textFill>
                        <w14:solidFill>
                          <w14:schemeClr w14:val="tx1"/>
                        </w14:solidFill>
                      </w14:textFill>
                    </w:rPr>
                    <w:t>2026</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过渡阶段浓度限值（二级）</w:t>
                  </w:r>
                </w:p>
              </w:tc>
            </w:tr>
            <w:tr w14:paraId="77E6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439" w:type="pct"/>
                  <w:vMerge w:val="continue"/>
                  <w:tcBorders>
                    <w:tl2br w:val="nil"/>
                    <w:tr2bl w:val="nil"/>
                  </w:tcBorders>
                  <w:noWrap w:val="0"/>
                  <w:vAlign w:val="center"/>
                </w:tcPr>
                <w:p w14:paraId="1081A517">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c>
                <w:tcPr>
                  <w:tcW w:w="894" w:type="pct"/>
                  <w:vMerge w:val="continue"/>
                  <w:tcBorders>
                    <w:tl2br w:val="nil"/>
                    <w:tr2bl w:val="nil"/>
                  </w:tcBorders>
                  <w:noWrap w:val="0"/>
                  <w:vAlign w:val="center"/>
                </w:tcPr>
                <w:p w14:paraId="3710CC93">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c>
                <w:tcPr>
                  <w:tcW w:w="1143" w:type="pct"/>
                  <w:tcBorders>
                    <w:tl2br w:val="nil"/>
                    <w:tr2bl w:val="nil"/>
                  </w:tcBorders>
                  <w:noWrap w:val="0"/>
                  <w:vAlign w:val="center"/>
                </w:tcPr>
                <w:p w14:paraId="3684855A">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24小时平均</w:t>
                  </w:r>
                </w:p>
              </w:tc>
              <w:tc>
                <w:tcPr>
                  <w:tcW w:w="747" w:type="pct"/>
                  <w:tcBorders>
                    <w:tl2br w:val="nil"/>
                    <w:tr2bl w:val="nil"/>
                  </w:tcBorders>
                  <w:noWrap w:val="0"/>
                  <w:vAlign w:val="center"/>
                </w:tcPr>
                <w:p w14:paraId="613E2080">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μg/m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704" w:type="pct"/>
                  <w:tcBorders>
                    <w:tl2br w:val="nil"/>
                    <w:tr2bl w:val="nil"/>
                  </w:tcBorders>
                  <w:noWrap w:val="0"/>
                  <w:vAlign w:val="center"/>
                </w:tcPr>
                <w:p w14:paraId="5F21C6A7">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150</w:t>
                  </w:r>
                </w:p>
              </w:tc>
              <w:tc>
                <w:tcPr>
                  <w:tcW w:w="1069" w:type="pct"/>
                  <w:vMerge w:val="continue"/>
                  <w:tcBorders>
                    <w:tl2br w:val="nil"/>
                    <w:tr2bl w:val="nil"/>
                  </w:tcBorders>
                  <w:noWrap w:val="0"/>
                  <w:vAlign w:val="center"/>
                </w:tcPr>
                <w:p w14:paraId="19DD3623">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r>
            <w:tr w14:paraId="43F9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439" w:type="pct"/>
                  <w:vMerge w:val="continue"/>
                  <w:tcBorders>
                    <w:tl2br w:val="nil"/>
                    <w:tr2bl w:val="nil"/>
                  </w:tcBorders>
                  <w:noWrap w:val="0"/>
                  <w:vAlign w:val="center"/>
                </w:tcPr>
                <w:p w14:paraId="5BB7AF49">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c>
                <w:tcPr>
                  <w:tcW w:w="894" w:type="pct"/>
                  <w:vMerge w:val="continue"/>
                  <w:tcBorders>
                    <w:tl2br w:val="nil"/>
                    <w:tr2bl w:val="nil"/>
                  </w:tcBorders>
                  <w:noWrap w:val="0"/>
                  <w:vAlign w:val="center"/>
                </w:tcPr>
                <w:p w14:paraId="3FC3FA8E">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c>
                <w:tcPr>
                  <w:tcW w:w="1143" w:type="pct"/>
                  <w:tcBorders>
                    <w:tl2br w:val="nil"/>
                    <w:tr2bl w:val="nil"/>
                  </w:tcBorders>
                  <w:noWrap w:val="0"/>
                  <w:vAlign w:val="center"/>
                </w:tcPr>
                <w:p w14:paraId="5B164FF7">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1小时平均</w:t>
                  </w:r>
                </w:p>
              </w:tc>
              <w:tc>
                <w:tcPr>
                  <w:tcW w:w="747" w:type="pct"/>
                  <w:tcBorders>
                    <w:tl2br w:val="nil"/>
                    <w:tr2bl w:val="nil"/>
                  </w:tcBorders>
                  <w:noWrap w:val="0"/>
                  <w:vAlign w:val="center"/>
                </w:tcPr>
                <w:p w14:paraId="52BFD3F4">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μg/m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704" w:type="pct"/>
                  <w:tcBorders>
                    <w:tl2br w:val="nil"/>
                    <w:tr2bl w:val="nil"/>
                  </w:tcBorders>
                  <w:noWrap w:val="0"/>
                  <w:vAlign w:val="center"/>
                </w:tcPr>
                <w:p w14:paraId="09597A60">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500</w:t>
                  </w:r>
                </w:p>
              </w:tc>
              <w:tc>
                <w:tcPr>
                  <w:tcW w:w="1069" w:type="pct"/>
                  <w:vMerge w:val="continue"/>
                  <w:tcBorders>
                    <w:tl2br w:val="nil"/>
                    <w:tr2bl w:val="nil"/>
                  </w:tcBorders>
                  <w:noWrap w:val="0"/>
                  <w:vAlign w:val="center"/>
                </w:tcPr>
                <w:p w14:paraId="5AEE2B35">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r>
            <w:tr w14:paraId="0261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439" w:type="pct"/>
                  <w:vMerge w:val="restart"/>
                  <w:tcBorders>
                    <w:tl2br w:val="nil"/>
                    <w:tr2bl w:val="nil"/>
                  </w:tcBorders>
                  <w:noWrap w:val="0"/>
                  <w:vAlign w:val="center"/>
                </w:tcPr>
                <w:p w14:paraId="01B488D5">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w:t>
                  </w:r>
                </w:p>
              </w:tc>
              <w:tc>
                <w:tcPr>
                  <w:tcW w:w="894" w:type="pct"/>
                  <w:vMerge w:val="restart"/>
                  <w:tcBorders>
                    <w:tl2br w:val="nil"/>
                    <w:tr2bl w:val="nil"/>
                  </w:tcBorders>
                  <w:noWrap w:val="0"/>
                  <w:vAlign w:val="center"/>
                </w:tcPr>
                <w:p w14:paraId="104C1044">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二氧化氮NO</w:t>
                  </w:r>
                  <w:r>
                    <w:rPr>
                      <w:rFonts w:hint="default" w:ascii="Times New Roman" w:hAnsi="Times New Roman" w:cs="Times New Roman"/>
                      <w:color w:val="000000" w:themeColor="text1"/>
                      <w:sz w:val="21"/>
                      <w:szCs w:val="21"/>
                      <w:vertAlign w:val="subscript"/>
                      <w14:textFill>
                        <w14:solidFill>
                          <w14:schemeClr w14:val="tx1"/>
                        </w14:solidFill>
                      </w14:textFill>
                    </w:rPr>
                    <w:t>2</w:t>
                  </w:r>
                </w:p>
              </w:tc>
              <w:tc>
                <w:tcPr>
                  <w:tcW w:w="1143" w:type="pct"/>
                  <w:tcBorders>
                    <w:tl2br w:val="nil"/>
                    <w:tr2bl w:val="nil"/>
                  </w:tcBorders>
                  <w:noWrap w:val="0"/>
                  <w:vAlign w:val="center"/>
                </w:tcPr>
                <w:p w14:paraId="2D0EE046">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年平均</w:t>
                  </w:r>
                </w:p>
              </w:tc>
              <w:tc>
                <w:tcPr>
                  <w:tcW w:w="747" w:type="pct"/>
                  <w:tcBorders>
                    <w:tl2br w:val="nil"/>
                    <w:tr2bl w:val="nil"/>
                  </w:tcBorders>
                  <w:noWrap w:val="0"/>
                  <w:vAlign w:val="center"/>
                </w:tcPr>
                <w:p w14:paraId="53CBBAB9">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μg/m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704" w:type="pct"/>
                  <w:tcBorders>
                    <w:tl2br w:val="nil"/>
                    <w:tr2bl w:val="nil"/>
                  </w:tcBorders>
                  <w:noWrap w:val="0"/>
                  <w:vAlign w:val="center"/>
                </w:tcPr>
                <w:p w14:paraId="420FFA16">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40</w:t>
                  </w:r>
                </w:p>
              </w:tc>
              <w:tc>
                <w:tcPr>
                  <w:tcW w:w="1069" w:type="pct"/>
                  <w:vMerge w:val="continue"/>
                  <w:tcBorders>
                    <w:tl2br w:val="nil"/>
                    <w:tr2bl w:val="nil"/>
                  </w:tcBorders>
                  <w:noWrap w:val="0"/>
                  <w:vAlign w:val="center"/>
                </w:tcPr>
                <w:p w14:paraId="700347DA">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r>
            <w:tr w14:paraId="4434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439" w:type="pct"/>
                  <w:vMerge w:val="continue"/>
                  <w:tcBorders>
                    <w:tl2br w:val="nil"/>
                    <w:tr2bl w:val="nil"/>
                  </w:tcBorders>
                  <w:noWrap w:val="0"/>
                  <w:vAlign w:val="center"/>
                </w:tcPr>
                <w:p w14:paraId="25E4A36E">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c>
                <w:tcPr>
                  <w:tcW w:w="894" w:type="pct"/>
                  <w:vMerge w:val="continue"/>
                  <w:tcBorders>
                    <w:tl2br w:val="nil"/>
                    <w:tr2bl w:val="nil"/>
                  </w:tcBorders>
                  <w:noWrap w:val="0"/>
                  <w:vAlign w:val="center"/>
                </w:tcPr>
                <w:p w14:paraId="3E3A7F9E">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c>
                <w:tcPr>
                  <w:tcW w:w="1143" w:type="pct"/>
                  <w:tcBorders>
                    <w:tl2br w:val="nil"/>
                    <w:tr2bl w:val="nil"/>
                  </w:tcBorders>
                  <w:noWrap w:val="0"/>
                  <w:vAlign w:val="center"/>
                </w:tcPr>
                <w:p w14:paraId="315235DC">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24小时平均</w:t>
                  </w:r>
                </w:p>
              </w:tc>
              <w:tc>
                <w:tcPr>
                  <w:tcW w:w="747" w:type="pct"/>
                  <w:tcBorders>
                    <w:tl2br w:val="nil"/>
                    <w:tr2bl w:val="nil"/>
                  </w:tcBorders>
                  <w:noWrap w:val="0"/>
                  <w:vAlign w:val="center"/>
                </w:tcPr>
                <w:p w14:paraId="36A25173">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μg/m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704" w:type="pct"/>
                  <w:tcBorders>
                    <w:tl2br w:val="nil"/>
                    <w:tr2bl w:val="nil"/>
                  </w:tcBorders>
                  <w:noWrap w:val="0"/>
                  <w:vAlign w:val="center"/>
                </w:tcPr>
                <w:p w14:paraId="28932454">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80</w:t>
                  </w:r>
                </w:p>
              </w:tc>
              <w:tc>
                <w:tcPr>
                  <w:tcW w:w="1069" w:type="pct"/>
                  <w:vMerge w:val="continue"/>
                  <w:tcBorders>
                    <w:tl2br w:val="nil"/>
                    <w:tr2bl w:val="nil"/>
                  </w:tcBorders>
                  <w:noWrap w:val="0"/>
                  <w:vAlign w:val="center"/>
                </w:tcPr>
                <w:p w14:paraId="2E23A3F6">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r>
            <w:tr w14:paraId="0271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439" w:type="pct"/>
                  <w:vMerge w:val="continue"/>
                  <w:tcBorders>
                    <w:tl2br w:val="nil"/>
                    <w:tr2bl w:val="nil"/>
                  </w:tcBorders>
                  <w:noWrap w:val="0"/>
                  <w:vAlign w:val="center"/>
                </w:tcPr>
                <w:p w14:paraId="7D06E297">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c>
                <w:tcPr>
                  <w:tcW w:w="894" w:type="pct"/>
                  <w:vMerge w:val="continue"/>
                  <w:tcBorders>
                    <w:tl2br w:val="nil"/>
                    <w:tr2bl w:val="nil"/>
                  </w:tcBorders>
                  <w:noWrap w:val="0"/>
                  <w:vAlign w:val="center"/>
                </w:tcPr>
                <w:p w14:paraId="54395208">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c>
                <w:tcPr>
                  <w:tcW w:w="1143" w:type="pct"/>
                  <w:tcBorders>
                    <w:tl2br w:val="nil"/>
                    <w:tr2bl w:val="nil"/>
                  </w:tcBorders>
                  <w:noWrap w:val="0"/>
                  <w:vAlign w:val="center"/>
                </w:tcPr>
                <w:p w14:paraId="5669A2B9">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1小时平均</w:t>
                  </w:r>
                </w:p>
              </w:tc>
              <w:tc>
                <w:tcPr>
                  <w:tcW w:w="747" w:type="pct"/>
                  <w:tcBorders>
                    <w:tl2br w:val="nil"/>
                    <w:tr2bl w:val="nil"/>
                  </w:tcBorders>
                  <w:noWrap w:val="0"/>
                  <w:vAlign w:val="center"/>
                </w:tcPr>
                <w:p w14:paraId="6B2CBAF0">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μg/m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704" w:type="pct"/>
                  <w:tcBorders>
                    <w:tl2br w:val="nil"/>
                    <w:tr2bl w:val="nil"/>
                  </w:tcBorders>
                  <w:noWrap w:val="0"/>
                  <w:vAlign w:val="center"/>
                </w:tcPr>
                <w:p w14:paraId="30C910A0">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200</w:t>
                  </w:r>
                </w:p>
              </w:tc>
              <w:tc>
                <w:tcPr>
                  <w:tcW w:w="1069" w:type="pct"/>
                  <w:vMerge w:val="continue"/>
                  <w:tcBorders>
                    <w:tl2br w:val="nil"/>
                    <w:tr2bl w:val="nil"/>
                  </w:tcBorders>
                  <w:noWrap w:val="0"/>
                  <w:vAlign w:val="center"/>
                </w:tcPr>
                <w:p w14:paraId="3C9597F1">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r>
            <w:tr w14:paraId="63730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439" w:type="pct"/>
                  <w:vMerge w:val="restart"/>
                  <w:tcBorders>
                    <w:tl2br w:val="nil"/>
                    <w:tr2bl w:val="nil"/>
                  </w:tcBorders>
                  <w:noWrap w:val="0"/>
                  <w:vAlign w:val="center"/>
                </w:tcPr>
                <w:p w14:paraId="59512355">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w:t>
                  </w:r>
                </w:p>
              </w:tc>
              <w:tc>
                <w:tcPr>
                  <w:tcW w:w="894" w:type="pct"/>
                  <w:vMerge w:val="restart"/>
                  <w:tcBorders>
                    <w:tl2br w:val="nil"/>
                    <w:tr2bl w:val="nil"/>
                  </w:tcBorders>
                  <w:noWrap w:val="0"/>
                  <w:vAlign w:val="center"/>
                </w:tcPr>
                <w:p w14:paraId="64D06E77">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PM</w:t>
                  </w:r>
                  <w:r>
                    <w:rPr>
                      <w:rFonts w:hint="default" w:ascii="Times New Roman" w:hAnsi="Times New Roman" w:cs="Times New Roman"/>
                      <w:color w:val="000000" w:themeColor="text1"/>
                      <w:sz w:val="21"/>
                      <w:szCs w:val="21"/>
                      <w:vertAlign w:val="subscript"/>
                      <w14:textFill>
                        <w14:solidFill>
                          <w14:schemeClr w14:val="tx1"/>
                        </w14:solidFill>
                      </w14:textFill>
                    </w:rPr>
                    <w:t>10</w:t>
                  </w:r>
                </w:p>
              </w:tc>
              <w:tc>
                <w:tcPr>
                  <w:tcW w:w="1143" w:type="pct"/>
                  <w:tcBorders>
                    <w:tl2br w:val="nil"/>
                    <w:tr2bl w:val="nil"/>
                  </w:tcBorders>
                  <w:noWrap w:val="0"/>
                  <w:vAlign w:val="center"/>
                </w:tcPr>
                <w:p w14:paraId="4454D72C">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年平均</w:t>
                  </w:r>
                </w:p>
              </w:tc>
              <w:tc>
                <w:tcPr>
                  <w:tcW w:w="747" w:type="pct"/>
                  <w:tcBorders>
                    <w:tl2br w:val="nil"/>
                    <w:tr2bl w:val="nil"/>
                  </w:tcBorders>
                  <w:noWrap w:val="0"/>
                  <w:vAlign w:val="center"/>
                </w:tcPr>
                <w:p w14:paraId="41415225">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μg/m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704" w:type="pct"/>
                  <w:tcBorders>
                    <w:tl2br w:val="nil"/>
                    <w:tr2bl w:val="nil"/>
                  </w:tcBorders>
                  <w:noWrap w:val="0"/>
                  <w:vAlign w:val="center"/>
                </w:tcPr>
                <w:p w14:paraId="3D7C3A20">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60</w:t>
                  </w:r>
                </w:p>
              </w:tc>
              <w:tc>
                <w:tcPr>
                  <w:tcW w:w="1069" w:type="pct"/>
                  <w:vMerge w:val="continue"/>
                  <w:tcBorders>
                    <w:tl2br w:val="nil"/>
                    <w:tr2bl w:val="nil"/>
                  </w:tcBorders>
                  <w:noWrap w:val="0"/>
                  <w:vAlign w:val="center"/>
                </w:tcPr>
                <w:p w14:paraId="4EDEAB98">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r>
            <w:tr w14:paraId="590C7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439" w:type="pct"/>
                  <w:vMerge w:val="continue"/>
                  <w:tcBorders>
                    <w:tl2br w:val="nil"/>
                    <w:tr2bl w:val="nil"/>
                  </w:tcBorders>
                  <w:noWrap w:val="0"/>
                  <w:vAlign w:val="center"/>
                </w:tcPr>
                <w:p w14:paraId="04C8DA05">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c>
                <w:tcPr>
                  <w:tcW w:w="894" w:type="pct"/>
                  <w:vMerge w:val="continue"/>
                  <w:tcBorders>
                    <w:tl2br w:val="nil"/>
                    <w:tr2bl w:val="nil"/>
                  </w:tcBorders>
                  <w:noWrap w:val="0"/>
                  <w:vAlign w:val="center"/>
                </w:tcPr>
                <w:p w14:paraId="30129F32">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c>
                <w:tcPr>
                  <w:tcW w:w="1143" w:type="pct"/>
                  <w:tcBorders>
                    <w:tl2br w:val="nil"/>
                    <w:tr2bl w:val="nil"/>
                  </w:tcBorders>
                  <w:noWrap w:val="0"/>
                  <w:vAlign w:val="center"/>
                </w:tcPr>
                <w:p w14:paraId="0C044FAE">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24小时平均</w:t>
                  </w:r>
                </w:p>
              </w:tc>
              <w:tc>
                <w:tcPr>
                  <w:tcW w:w="747" w:type="pct"/>
                  <w:tcBorders>
                    <w:tl2br w:val="nil"/>
                    <w:tr2bl w:val="nil"/>
                  </w:tcBorders>
                  <w:noWrap w:val="0"/>
                  <w:vAlign w:val="center"/>
                </w:tcPr>
                <w:p w14:paraId="6B7B2987">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μg/m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704" w:type="pct"/>
                  <w:tcBorders>
                    <w:tl2br w:val="nil"/>
                    <w:tr2bl w:val="nil"/>
                  </w:tcBorders>
                  <w:noWrap w:val="0"/>
                  <w:vAlign w:val="center"/>
                </w:tcPr>
                <w:p w14:paraId="76CB57E2">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120</w:t>
                  </w:r>
                </w:p>
              </w:tc>
              <w:tc>
                <w:tcPr>
                  <w:tcW w:w="1069" w:type="pct"/>
                  <w:vMerge w:val="continue"/>
                  <w:tcBorders>
                    <w:tl2br w:val="nil"/>
                    <w:tr2bl w:val="nil"/>
                  </w:tcBorders>
                  <w:noWrap w:val="0"/>
                  <w:vAlign w:val="center"/>
                </w:tcPr>
                <w:p w14:paraId="79F7D6B9">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r>
            <w:tr w14:paraId="5B25F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439" w:type="pct"/>
                  <w:vMerge w:val="restart"/>
                  <w:tcBorders>
                    <w:tl2br w:val="nil"/>
                    <w:tr2bl w:val="nil"/>
                  </w:tcBorders>
                  <w:noWrap w:val="0"/>
                  <w:vAlign w:val="center"/>
                </w:tcPr>
                <w:p w14:paraId="14A4D310">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4</w:t>
                  </w:r>
                </w:p>
              </w:tc>
              <w:tc>
                <w:tcPr>
                  <w:tcW w:w="894" w:type="pct"/>
                  <w:vMerge w:val="restart"/>
                  <w:tcBorders>
                    <w:tl2br w:val="nil"/>
                    <w:tr2bl w:val="nil"/>
                  </w:tcBorders>
                  <w:noWrap w:val="0"/>
                  <w:vAlign w:val="center"/>
                </w:tcPr>
                <w:p w14:paraId="4F7F7657">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PM</w:t>
                  </w:r>
                  <w:r>
                    <w:rPr>
                      <w:rFonts w:hint="default" w:ascii="Times New Roman" w:hAnsi="Times New Roman" w:cs="Times New Roman"/>
                      <w:color w:val="000000" w:themeColor="text1"/>
                      <w:sz w:val="21"/>
                      <w:szCs w:val="21"/>
                      <w:vertAlign w:val="subscript"/>
                      <w14:textFill>
                        <w14:solidFill>
                          <w14:schemeClr w14:val="tx1"/>
                        </w14:solidFill>
                      </w14:textFill>
                    </w:rPr>
                    <w:t>2.5</w:t>
                  </w:r>
                </w:p>
              </w:tc>
              <w:tc>
                <w:tcPr>
                  <w:tcW w:w="1143" w:type="pct"/>
                  <w:tcBorders>
                    <w:tl2br w:val="nil"/>
                    <w:tr2bl w:val="nil"/>
                  </w:tcBorders>
                  <w:noWrap w:val="0"/>
                  <w:vAlign w:val="center"/>
                </w:tcPr>
                <w:p w14:paraId="7F829FE9">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年平均</w:t>
                  </w:r>
                </w:p>
              </w:tc>
              <w:tc>
                <w:tcPr>
                  <w:tcW w:w="747" w:type="pct"/>
                  <w:tcBorders>
                    <w:tl2br w:val="nil"/>
                    <w:tr2bl w:val="nil"/>
                  </w:tcBorders>
                  <w:noWrap w:val="0"/>
                  <w:vAlign w:val="center"/>
                </w:tcPr>
                <w:p w14:paraId="7347F4DB">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μg/m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704" w:type="pct"/>
                  <w:tcBorders>
                    <w:tl2br w:val="nil"/>
                    <w:tr2bl w:val="nil"/>
                  </w:tcBorders>
                  <w:noWrap w:val="0"/>
                  <w:vAlign w:val="center"/>
                </w:tcPr>
                <w:p w14:paraId="328C7DC0">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30</w:t>
                  </w:r>
                </w:p>
              </w:tc>
              <w:tc>
                <w:tcPr>
                  <w:tcW w:w="1069" w:type="pct"/>
                  <w:vMerge w:val="continue"/>
                  <w:tcBorders>
                    <w:tl2br w:val="nil"/>
                    <w:tr2bl w:val="nil"/>
                  </w:tcBorders>
                  <w:noWrap w:val="0"/>
                  <w:vAlign w:val="center"/>
                </w:tcPr>
                <w:p w14:paraId="3E9A244F">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r>
            <w:tr w14:paraId="22F7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7" w:hRule="atLeast"/>
                <w:jc w:val="center"/>
              </w:trPr>
              <w:tc>
                <w:tcPr>
                  <w:tcW w:w="439" w:type="pct"/>
                  <w:vMerge w:val="continue"/>
                  <w:tcBorders>
                    <w:tl2br w:val="nil"/>
                    <w:tr2bl w:val="nil"/>
                  </w:tcBorders>
                  <w:noWrap w:val="0"/>
                  <w:vAlign w:val="center"/>
                </w:tcPr>
                <w:p w14:paraId="01775C12">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c>
                <w:tcPr>
                  <w:tcW w:w="894" w:type="pct"/>
                  <w:vMerge w:val="continue"/>
                  <w:tcBorders>
                    <w:tl2br w:val="nil"/>
                    <w:tr2bl w:val="nil"/>
                  </w:tcBorders>
                  <w:noWrap w:val="0"/>
                  <w:vAlign w:val="center"/>
                </w:tcPr>
                <w:p w14:paraId="00341651">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c>
                <w:tcPr>
                  <w:tcW w:w="1143" w:type="pct"/>
                  <w:tcBorders>
                    <w:tl2br w:val="nil"/>
                    <w:tr2bl w:val="nil"/>
                  </w:tcBorders>
                  <w:noWrap w:val="0"/>
                  <w:vAlign w:val="center"/>
                </w:tcPr>
                <w:p w14:paraId="5472FF76">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24小时平均</w:t>
                  </w:r>
                </w:p>
              </w:tc>
              <w:tc>
                <w:tcPr>
                  <w:tcW w:w="747" w:type="pct"/>
                  <w:tcBorders>
                    <w:tl2br w:val="nil"/>
                    <w:tr2bl w:val="nil"/>
                  </w:tcBorders>
                  <w:noWrap w:val="0"/>
                  <w:vAlign w:val="center"/>
                </w:tcPr>
                <w:p w14:paraId="2B51E649">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μg/m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704" w:type="pct"/>
                  <w:tcBorders>
                    <w:tl2br w:val="nil"/>
                    <w:tr2bl w:val="nil"/>
                  </w:tcBorders>
                  <w:noWrap w:val="0"/>
                  <w:vAlign w:val="center"/>
                </w:tcPr>
                <w:p w14:paraId="40D3F7AB">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60</w:t>
                  </w:r>
                </w:p>
              </w:tc>
              <w:tc>
                <w:tcPr>
                  <w:tcW w:w="1069" w:type="pct"/>
                  <w:vMerge w:val="continue"/>
                  <w:tcBorders>
                    <w:tl2br w:val="nil"/>
                    <w:tr2bl w:val="nil"/>
                  </w:tcBorders>
                  <w:noWrap w:val="0"/>
                  <w:vAlign w:val="center"/>
                </w:tcPr>
                <w:p w14:paraId="4B003B81">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r>
            <w:tr w14:paraId="390B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439" w:type="pct"/>
                  <w:vMerge w:val="restart"/>
                  <w:tcBorders>
                    <w:tl2br w:val="nil"/>
                    <w:tr2bl w:val="nil"/>
                  </w:tcBorders>
                  <w:noWrap w:val="0"/>
                  <w:vAlign w:val="center"/>
                </w:tcPr>
                <w:p w14:paraId="30802672">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894" w:type="pct"/>
                  <w:vMerge w:val="restart"/>
                  <w:tcBorders>
                    <w:tl2br w:val="nil"/>
                    <w:tr2bl w:val="nil"/>
                  </w:tcBorders>
                  <w:noWrap w:val="0"/>
                  <w:vAlign w:val="center"/>
                </w:tcPr>
                <w:p w14:paraId="6AE8F0EB">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CO</w:t>
                  </w:r>
                </w:p>
              </w:tc>
              <w:tc>
                <w:tcPr>
                  <w:tcW w:w="1143" w:type="pct"/>
                  <w:tcBorders>
                    <w:tl2br w:val="nil"/>
                    <w:tr2bl w:val="nil"/>
                  </w:tcBorders>
                  <w:noWrap w:val="0"/>
                  <w:vAlign w:val="center"/>
                </w:tcPr>
                <w:p w14:paraId="48BB38AF">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24小时平均</w:t>
                  </w:r>
                </w:p>
              </w:tc>
              <w:tc>
                <w:tcPr>
                  <w:tcW w:w="747" w:type="pct"/>
                  <w:tcBorders>
                    <w:tl2br w:val="nil"/>
                    <w:tr2bl w:val="nil"/>
                  </w:tcBorders>
                  <w:noWrap w:val="0"/>
                  <w:vAlign w:val="center"/>
                </w:tcPr>
                <w:p w14:paraId="4DE12B22">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704" w:type="pct"/>
                  <w:tcBorders>
                    <w:tl2br w:val="nil"/>
                    <w:tr2bl w:val="nil"/>
                  </w:tcBorders>
                  <w:noWrap w:val="0"/>
                  <w:vAlign w:val="center"/>
                </w:tcPr>
                <w:p w14:paraId="2FB5E159">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1069" w:type="pct"/>
                  <w:vMerge w:val="continue"/>
                  <w:tcBorders>
                    <w:tl2br w:val="nil"/>
                    <w:tr2bl w:val="nil"/>
                  </w:tcBorders>
                  <w:noWrap w:val="0"/>
                  <w:vAlign w:val="center"/>
                </w:tcPr>
                <w:p w14:paraId="005311A7">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r>
            <w:tr w14:paraId="6D3D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439" w:type="pct"/>
                  <w:vMerge w:val="continue"/>
                  <w:tcBorders>
                    <w:tl2br w:val="nil"/>
                    <w:tr2bl w:val="nil"/>
                  </w:tcBorders>
                  <w:noWrap w:val="0"/>
                  <w:vAlign w:val="center"/>
                </w:tcPr>
                <w:p w14:paraId="0CADABF0">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c>
                <w:tcPr>
                  <w:tcW w:w="894" w:type="pct"/>
                  <w:vMerge w:val="continue"/>
                  <w:tcBorders>
                    <w:tl2br w:val="nil"/>
                    <w:tr2bl w:val="nil"/>
                  </w:tcBorders>
                  <w:noWrap w:val="0"/>
                  <w:vAlign w:val="center"/>
                </w:tcPr>
                <w:p w14:paraId="2E16DE91">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c>
                <w:tcPr>
                  <w:tcW w:w="1143" w:type="pct"/>
                  <w:tcBorders>
                    <w:tl2br w:val="nil"/>
                    <w:tr2bl w:val="nil"/>
                  </w:tcBorders>
                  <w:noWrap w:val="0"/>
                  <w:vAlign w:val="center"/>
                </w:tcPr>
                <w:p w14:paraId="2E826C9A">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1小时平均</w:t>
                  </w:r>
                </w:p>
              </w:tc>
              <w:tc>
                <w:tcPr>
                  <w:tcW w:w="747" w:type="pct"/>
                  <w:tcBorders>
                    <w:tl2br w:val="nil"/>
                    <w:tr2bl w:val="nil"/>
                  </w:tcBorders>
                  <w:noWrap w:val="0"/>
                  <w:vAlign w:val="center"/>
                </w:tcPr>
                <w:p w14:paraId="4EB02086">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704" w:type="pct"/>
                  <w:tcBorders>
                    <w:tl2br w:val="nil"/>
                    <w:tr2bl w:val="nil"/>
                  </w:tcBorders>
                  <w:noWrap w:val="0"/>
                  <w:vAlign w:val="center"/>
                </w:tcPr>
                <w:p w14:paraId="6E62C595">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w:t>
                  </w:r>
                </w:p>
              </w:tc>
              <w:tc>
                <w:tcPr>
                  <w:tcW w:w="1069" w:type="pct"/>
                  <w:vMerge w:val="continue"/>
                  <w:tcBorders>
                    <w:tl2br w:val="nil"/>
                    <w:tr2bl w:val="nil"/>
                  </w:tcBorders>
                  <w:noWrap w:val="0"/>
                  <w:vAlign w:val="center"/>
                </w:tcPr>
                <w:p w14:paraId="35F94440">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r>
            <w:tr w14:paraId="18D3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439" w:type="pct"/>
                  <w:vMerge w:val="restart"/>
                  <w:tcBorders>
                    <w:tl2br w:val="nil"/>
                    <w:tr2bl w:val="nil"/>
                  </w:tcBorders>
                  <w:noWrap w:val="0"/>
                  <w:vAlign w:val="center"/>
                </w:tcPr>
                <w:p w14:paraId="7E06E8BF">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w:t>
                  </w:r>
                </w:p>
              </w:tc>
              <w:tc>
                <w:tcPr>
                  <w:tcW w:w="894" w:type="pct"/>
                  <w:vMerge w:val="restart"/>
                  <w:tcBorders>
                    <w:tl2br w:val="nil"/>
                    <w:tr2bl w:val="nil"/>
                  </w:tcBorders>
                  <w:noWrap w:val="0"/>
                  <w:vAlign w:val="center"/>
                </w:tcPr>
                <w:p w14:paraId="18DF210A">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O</w:t>
                  </w:r>
                  <w:r>
                    <w:rPr>
                      <w:rFonts w:hint="default" w:ascii="Times New Roman" w:hAnsi="Times New Roman" w:cs="Times New Roman"/>
                      <w:color w:val="000000" w:themeColor="text1"/>
                      <w:sz w:val="21"/>
                      <w:szCs w:val="21"/>
                      <w:vertAlign w:val="subscript"/>
                      <w14:textFill>
                        <w14:solidFill>
                          <w14:schemeClr w14:val="tx1"/>
                        </w14:solidFill>
                      </w14:textFill>
                    </w:rPr>
                    <w:t>3</w:t>
                  </w:r>
                </w:p>
              </w:tc>
              <w:tc>
                <w:tcPr>
                  <w:tcW w:w="1143" w:type="pct"/>
                  <w:tcBorders>
                    <w:tl2br w:val="nil"/>
                    <w:tr2bl w:val="nil"/>
                  </w:tcBorders>
                  <w:noWrap w:val="0"/>
                  <w:vAlign w:val="center"/>
                </w:tcPr>
                <w:p w14:paraId="6E47AFE4">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1小时平均</w:t>
                  </w:r>
                </w:p>
              </w:tc>
              <w:tc>
                <w:tcPr>
                  <w:tcW w:w="747" w:type="pct"/>
                  <w:tcBorders>
                    <w:tl2br w:val="nil"/>
                    <w:tr2bl w:val="nil"/>
                  </w:tcBorders>
                  <w:noWrap w:val="0"/>
                  <w:vAlign w:val="center"/>
                </w:tcPr>
                <w:p w14:paraId="36046F26">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μg/m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704" w:type="pct"/>
                  <w:tcBorders>
                    <w:tl2br w:val="nil"/>
                    <w:tr2bl w:val="nil"/>
                  </w:tcBorders>
                  <w:noWrap w:val="0"/>
                  <w:vAlign w:val="center"/>
                </w:tcPr>
                <w:p w14:paraId="0F4BC5D1">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200</w:t>
                  </w:r>
                </w:p>
              </w:tc>
              <w:tc>
                <w:tcPr>
                  <w:tcW w:w="1069" w:type="pct"/>
                  <w:vMerge w:val="continue"/>
                  <w:tcBorders>
                    <w:tl2br w:val="nil"/>
                    <w:tr2bl w:val="nil"/>
                  </w:tcBorders>
                  <w:noWrap w:val="0"/>
                  <w:vAlign w:val="center"/>
                </w:tcPr>
                <w:p w14:paraId="2F5C64C7">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r>
            <w:tr w14:paraId="0144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439" w:type="pct"/>
                  <w:vMerge w:val="continue"/>
                  <w:tcBorders>
                    <w:tl2br w:val="nil"/>
                    <w:tr2bl w:val="nil"/>
                  </w:tcBorders>
                  <w:noWrap w:val="0"/>
                  <w:vAlign w:val="center"/>
                </w:tcPr>
                <w:p w14:paraId="4AD92AA7">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c>
                <w:tcPr>
                  <w:tcW w:w="894" w:type="pct"/>
                  <w:vMerge w:val="continue"/>
                  <w:tcBorders>
                    <w:tl2br w:val="nil"/>
                    <w:tr2bl w:val="nil"/>
                  </w:tcBorders>
                  <w:noWrap w:val="0"/>
                  <w:vAlign w:val="center"/>
                </w:tcPr>
                <w:p w14:paraId="46A61BD3">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c>
                <w:tcPr>
                  <w:tcW w:w="1143" w:type="pct"/>
                  <w:tcBorders>
                    <w:tl2br w:val="nil"/>
                    <w:tr2bl w:val="nil"/>
                  </w:tcBorders>
                  <w:noWrap w:val="0"/>
                  <w:vAlign w:val="center"/>
                </w:tcPr>
                <w:p w14:paraId="2477C03C">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日最大8h平均</w:t>
                  </w:r>
                </w:p>
              </w:tc>
              <w:tc>
                <w:tcPr>
                  <w:tcW w:w="747" w:type="pct"/>
                  <w:tcBorders>
                    <w:tl2br w:val="nil"/>
                    <w:tr2bl w:val="nil"/>
                  </w:tcBorders>
                  <w:noWrap w:val="0"/>
                  <w:vAlign w:val="center"/>
                </w:tcPr>
                <w:p w14:paraId="30D9C9E6">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μg/m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704" w:type="pct"/>
                  <w:tcBorders>
                    <w:tl2br w:val="nil"/>
                    <w:tr2bl w:val="nil"/>
                  </w:tcBorders>
                  <w:noWrap w:val="0"/>
                  <w:vAlign w:val="center"/>
                </w:tcPr>
                <w:p w14:paraId="07044943">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160</w:t>
                  </w:r>
                </w:p>
              </w:tc>
              <w:tc>
                <w:tcPr>
                  <w:tcW w:w="1069" w:type="pct"/>
                  <w:vMerge w:val="continue"/>
                  <w:tcBorders>
                    <w:tl2br w:val="nil"/>
                    <w:tr2bl w:val="nil"/>
                  </w:tcBorders>
                  <w:noWrap w:val="0"/>
                  <w:vAlign w:val="center"/>
                </w:tcPr>
                <w:p w14:paraId="460A3828">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r>
            <w:tr w14:paraId="0A1A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439" w:type="pct"/>
                  <w:vMerge w:val="restart"/>
                  <w:tcBorders>
                    <w:tl2br w:val="nil"/>
                    <w:tr2bl w:val="nil"/>
                  </w:tcBorders>
                  <w:noWrap w:val="0"/>
                  <w:vAlign w:val="center"/>
                </w:tcPr>
                <w:p w14:paraId="5F7C064C">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6</w:t>
                  </w:r>
                </w:p>
              </w:tc>
              <w:tc>
                <w:tcPr>
                  <w:tcW w:w="894" w:type="pct"/>
                  <w:vMerge w:val="restart"/>
                  <w:tcBorders>
                    <w:tl2br w:val="nil"/>
                    <w:tr2bl w:val="nil"/>
                  </w:tcBorders>
                  <w:noWrap w:val="0"/>
                  <w:vAlign w:val="center"/>
                </w:tcPr>
                <w:p w14:paraId="5B794EBC">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TSP</w:t>
                  </w:r>
                </w:p>
              </w:tc>
              <w:tc>
                <w:tcPr>
                  <w:tcW w:w="1143" w:type="pct"/>
                  <w:tcBorders>
                    <w:tl2br w:val="nil"/>
                    <w:tr2bl w:val="nil"/>
                  </w:tcBorders>
                  <w:noWrap w:val="0"/>
                  <w:vAlign w:val="center"/>
                </w:tcPr>
                <w:p w14:paraId="16947D39">
                  <w:pPr>
                    <w:pStyle w:val="18"/>
                    <w:keepNext w:val="0"/>
                    <w:keepLines w:val="0"/>
                    <w:pageBreakBefore w:val="0"/>
                    <w:widowControl w:val="0"/>
                    <w:kinsoku/>
                    <w:wordWrap/>
                    <w:overflowPunct/>
                    <w:topLinePunct w:val="0"/>
                    <w:autoSpaceDE/>
                    <w:autoSpaceDN/>
                    <w:bidi w:val="0"/>
                    <w:adjustRightInd w:val="0"/>
                    <w:snapToGrid/>
                    <w:ind w:firstLine="0" w:firstLineChars="0"/>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年平均</w:t>
                  </w:r>
                </w:p>
              </w:tc>
              <w:tc>
                <w:tcPr>
                  <w:tcW w:w="747" w:type="pct"/>
                  <w:tcBorders>
                    <w:tl2br w:val="nil"/>
                    <w:tr2bl w:val="nil"/>
                  </w:tcBorders>
                  <w:noWrap w:val="0"/>
                  <w:vAlign w:val="center"/>
                </w:tcPr>
                <w:p w14:paraId="17F15C91">
                  <w:pPr>
                    <w:pStyle w:val="18"/>
                    <w:keepNext w:val="0"/>
                    <w:keepLines w:val="0"/>
                    <w:pageBreakBefore w:val="0"/>
                    <w:widowControl w:val="0"/>
                    <w:kinsoku/>
                    <w:wordWrap/>
                    <w:overflowPunct/>
                    <w:topLinePunct w:val="0"/>
                    <w:autoSpaceDE/>
                    <w:autoSpaceDN/>
                    <w:bidi w:val="0"/>
                    <w:adjustRightInd w:val="0"/>
                    <w:snapToGrid/>
                    <w:ind w:firstLine="0" w:firstLineChars="0"/>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μg/m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704" w:type="pct"/>
                  <w:tcBorders>
                    <w:tl2br w:val="nil"/>
                    <w:tr2bl w:val="nil"/>
                  </w:tcBorders>
                  <w:noWrap w:val="0"/>
                  <w:vAlign w:val="center"/>
                </w:tcPr>
                <w:p w14:paraId="289362A8">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200</w:t>
                  </w:r>
                </w:p>
              </w:tc>
              <w:tc>
                <w:tcPr>
                  <w:tcW w:w="1069" w:type="pct"/>
                  <w:vMerge w:val="continue"/>
                  <w:tcBorders>
                    <w:tl2br w:val="nil"/>
                    <w:tr2bl w:val="nil"/>
                  </w:tcBorders>
                  <w:noWrap w:val="0"/>
                  <w:vAlign w:val="center"/>
                </w:tcPr>
                <w:p w14:paraId="480910A2">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r>
            <w:tr w14:paraId="3D93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439" w:type="pct"/>
                  <w:vMerge w:val="continue"/>
                  <w:tcBorders>
                    <w:tl2br w:val="nil"/>
                    <w:tr2bl w:val="nil"/>
                  </w:tcBorders>
                  <w:noWrap w:val="0"/>
                  <w:vAlign w:val="center"/>
                </w:tcPr>
                <w:p w14:paraId="03234C0E">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894" w:type="pct"/>
                  <w:vMerge w:val="continue"/>
                  <w:tcBorders>
                    <w:tl2br w:val="nil"/>
                    <w:tr2bl w:val="nil"/>
                  </w:tcBorders>
                  <w:noWrap w:val="0"/>
                  <w:vAlign w:val="center"/>
                </w:tcPr>
                <w:p w14:paraId="00B6CFC1">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1143" w:type="pct"/>
                  <w:tcBorders>
                    <w:tl2br w:val="nil"/>
                    <w:tr2bl w:val="nil"/>
                  </w:tcBorders>
                  <w:noWrap w:val="0"/>
                  <w:vAlign w:val="center"/>
                </w:tcPr>
                <w:p w14:paraId="1BC2816D">
                  <w:pPr>
                    <w:pStyle w:val="18"/>
                    <w:keepNext w:val="0"/>
                    <w:keepLines w:val="0"/>
                    <w:pageBreakBefore w:val="0"/>
                    <w:widowControl w:val="0"/>
                    <w:kinsoku/>
                    <w:wordWrap/>
                    <w:overflowPunct/>
                    <w:topLinePunct w:val="0"/>
                    <w:autoSpaceDE/>
                    <w:autoSpaceDN/>
                    <w:bidi w:val="0"/>
                    <w:adjustRightInd w:val="0"/>
                    <w:snapToGrid/>
                    <w:ind w:firstLine="0" w:firstLineChars="0"/>
                    <w:textAlignment w:val="baseline"/>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日</w:t>
                  </w:r>
                  <w:r>
                    <w:rPr>
                      <w:rFonts w:hint="default" w:ascii="Times New Roman" w:hAnsi="Times New Roman" w:cs="Times New Roman"/>
                      <w:color w:val="000000" w:themeColor="text1"/>
                      <w:sz w:val="21"/>
                      <w:szCs w:val="21"/>
                      <w14:textFill>
                        <w14:solidFill>
                          <w14:schemeClr w14:val="tx1"/>
                        </w14:solidFill>
                      </w14:textFill>
                    </w:rPr>
                    <w:t>平均</w:t>
                  </w:r>
                </w:p>
              </w:tc>
              <w:tc>
                <w:tcPr>
                  <w:tcW w:w="747" w:type="pct"/>
                  <w:tcBorders>
                    <w:tl2br w:val="nil"/>
                    <w:tr2bl w:val="nil"/>
                  </w:tcBorders>
                  <w:noWrap w:val="0"/>
                  <w:vAlign w:val="center"/>
                </w:tcPr>
                <w:p w14:paraId="2C9EA1CC">
                  <w:pPr>
                    <w:pStyle w:val="18"/>
                    <w:keepNext w:val="0"/>
                    <w:keepLines w:val="0"/>
                    <w:pageBreakBefore w:val="0"/>
                    <w:widowControl w:val="0"/>
                    <w:kinsoku/>
                    <w:wordWrap/>
                    <w:overflowPunct/>
                    <w:topLinePunct w:val="0"/>
                    <w:autoSpaceDE/>
                    <w:autoSpaceDN/>
                    <w:bidi w:val="0"/>
                    <w:adjustRightInd w:val="0"/>
                    <w:snapToGrid/>
                    <w:ind w:firstLine="0" w:firstLineChars="0"/>
                    <w:textAlignment w:val="baseline"/>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μg/m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704" w:type="pct"/>
                  <w:tcBorders>
                    <w:tl2br w:val="nil"/>
                    <w:tr2bl w:val="nil"/>
                  </w:tcBorders>
                  <w:noWrap w:val="0"/>
                  <w:vAlign w:val="center"/>
                </w:tcPr>
                <w:p w14:paraId="216DEB68">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300</w:t>
                  </w:r>
                </w:p>
              </w:tc>
              <w:tc>
                <w:tcPr>
                  <w:tcW w:w="1069" w:type="pct"/>
                  <w:vMerge w:val="continue"/>
                  <w:tcBorders>
                    <w:tl2br w:val="nil"/>
                    <w:tr2bl w:val="nil"/>
                  </w:tcBorders>
                  <w:noWrap w:val="0"/>
                  <w:vAlign w:val="center"/>
                </w:tcPr>
                <w:p w14:paraId="661E76D7">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cs="Times New Roman"/>
                      <w:color w:val="000000" w:themeColor="text1"/>
                      <w:sz w:val="21"/>
                      <w:szCs w:val="21"/>
                      <w14:textFill>
                        <w14:solidFill>
                          <w14:schemeClr w14:val="tx1"/>
                        </w14:solidFill>
                      </w14:textFill>
                    </w:rPr>
                  </w:pPr>
                </w:p>
              </w:tc>
            </w:tr>
          </w:tbl>
          <w:p w14:paraId="764F973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b w:val="0"/>
                <w:bCs w:val="0"/>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lang w:eastAsia="zh-CN"/>
                <w14:textFill>
                  <w14:solidFill>
                    <w14:schemeClr w14:val="tx1"/>
                  </w14:solidFill>
                </w14:textFill>
              </w:rPr>
              <w:t>（2）</w:t>
            </w:r>
            <w:r>
              <w:rPr>
                <w:rFonts w:hint="default" w:ascii="Times New Roman" w:hAnsi="Times New Roman" w:eastAsia="宋体" w:cs="Times New Roman"/>
                <w:b w:val="0"/>
                <w:bCs w:val="0"/>
                <w:color w:val="000000" w:themeColor="text1"/>
                <w:kern w:val="0"/>
                <w:sz w:val="24"/>
                <w:szCs w:val="24"/>
                <w:lang w:val="en-US" w:eastAsia="zh-CN"/>
                <w14:textFill>
                  <w14:solidFill>
                    <w14:schemeClr w14:val="tx1"/>
                  </w14:solidFill>
                </w14:textFill>
              </w:rPr>
              <w:t>声环境质量标准</w:t>
            </w:r>
          </w:p>
          <w:p w14:paraId="0C60176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lang w:eastAsia="zh-CN"/>
                <w14:textFill>
                  <w14:solidFill>
                    <w14:schemeClr w14:val="tx1"/>
                  </w14:solidFill>
                </w14:textFill>
              </w:rPr>
              <w:t>项目所在地声环境质量标准执行《声环境质量标准》（GB3096-2008）中的</w:t>
            </w:r>
            <w:r>
              <w:rPr>
                <w:rFonts w:hint="default" w:ascii="Times New Roman" w:hAnsi="Times New Roman" w:eastAsia="宋体" w:cs="Times New Roman"/>
                <w:b w:val="0"/>
                <w:bCs w:val="0"/>
                <w:color w:val="000000" w:themeColor="text1"/>
                <w:kern w:val="0"/>
                <w:sz w:val="24"/>
                <w:szCs w:val="24"/>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kern w:val="0"/>
                <w:sz w:val="24"/>
                <w:szCs w:val="24"/>
                <w:lang w:eastAsia="zh-CN"/>
                <w14:textFill>
                  <w14:solidFill>
                    <w14:schemeClr w14:val="tx1"/>
                  </w14:solidFill>
                </w14:textFill>
              </w:rPr>
              <w:t>类标准，具体标准见表</w:t>
            </w:r>
            <w:r>
              <w:rPr>
                <w:rFonts w:hint="default" w:ascii="Times New Roman" w:hAnsi="Times New Roman" w:cs="Times New Roman"/>
                <w:b w:val="0"/>
                <w:bCs w:val="0"/>
                <w:color w:val="000000" w:themeColor="text1"/>
                <w:kern w:val="0"/>
                <w:sz w:val="24"/>
                <w:szCs w:val="24"/>
                <w:lang w:val="en-US" w:eastAsia="zh-CN"/>
                <w14:textFill>
                  <w14:solidFill>
                    <w14:schemeClr w14:val="tx1"/>
                  </w14:solidFill>
                </w14:textFill>
              </w:rPr>
              <w:t>3-5</w:t>
            </w:r>
            <w:r>
              <w:rPr>
                <w:rFonts w:hint="default" w:ascii="Times New Roman" w:hAnsi="Times New Roman" w:eastAsia="宋体" w:cs="Times New Roman"/>
                <w:b w:val="0"/>
                <w:bCs w:val="0"/>
                <w:color w:val="000000" w:themeColor="text1"/>
                <w:kern w:val="0"/>
                <w:sz w:val="24"/>
                <w:szCs w:val="24"/>
                <w:lang w:eastAsia="zh-CN"/>
                <w14:textFill>
                  <w14:solidFill>
                    <w14:schemeClr w14:val="tx1"/>
                  </w14:solidFill>
                </w14:textFill>
              </w:rPr>
              <w:t>。</w:t>
            </w:r>
          </w:p>
          <w:p w14:paraId="780CAF89">
            <w:pPr>
              <w:pStyle w:val="5"/>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表3-5    声</w:t>
            </w:r>
            <w:r>
              <w:rPr>
                <w:rFonts w:hint="eastAsia" w:ascii="Times New Roman" w:hAnsi="Times New Roman" w:cs="Times New Roman"/>
                <w:color w:val="000000" w:themeColor="text1"/>
                <w:lang w:val="en-US" w:eastAsia="zh-CN"/>
                <w14:textFill>
                  <w14:solidFill>
                    <w14:schemeClr w14:val="tx1"/>
                  </w14:solidFill>
                </w14:textFill>
              </w:rPr>
              <w:t>环境质量标准</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859"/>
              <w:gridCol w:w="2994"/>
              <w:gridCol w:w="2995"/>
            </w:tblGrid>
            <w:tr w14:paraId="6CCD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exact"/>
                <w:jc w:val="center"/>
              </w:trPr>
              <w:tc>
                <w:tcPr>
                  <w:tcW w:w="1184" w:type="pct"/>
                  <w:tcBorders>
                    <w:tl2br w:val="nil"/>
                    <w:tr2bl w:val="nil"/>
                  </w:tcBorders>
                  <w:shd w:val="clear" w:color="auto" w:fill="FFFFFF"/>
                  <w:noWrap w:val="0"/>
                  <w:vAlign w:val="center"/>
                </w:tcPr>
                <w:p w14:paraId="5CCBDC5B">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项目</w:t>
                  </w:r>
                </w:p>
              </w:tc>
              <w:tc>
                <w:tcPr>
                  <w:tcW w:w="1907" w:type="pct"/>
                  <w:tcBorders>
                    <w:tl2br w:val="nil"/>
                    <w:tr2bl w:val="nil"/>
                  </w:tcBorders>
                  <w:shd w:val="clear" w:color="auto" w:fill="FFFFFF"/>
                  <w:noWrap w:val="0"/>
                  <w:vAlign w:val="center"/>
                </w:tcPr>
                <w:p w14:paraId="7EACA1AA">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昼间</w:t>
                  </w:r>
                </w:p>
              </w:tc>
              <w:tc>
                <w:tcPr>
                  <w:tcW w:w="1907" w:type="pct"/>
                  <w:tcBorders>
                    <w:tl2br w:val="nil"/>
                    <w:tr2bl w:val="nil"/>
                  </w:tcBorders>
                  <w:shd w:val="clear" w:color="auto" w:fill="FFFFFF"/>
                  <w:noWrap w:val="0"/>
                  <w:vAlign w:val="center"/>
                </w:tcPr>
                <w:p w14:paraId="159EA5BF">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夜间</w:t>
                  </w:r>
                </w:p>
              </w:tc>
            </w:tr>
            <w:tr w14:paraId="55D8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exact"/>
                <w:jc w:val="center"/>
              </w:trPr>
              <w:tc>
                <w:tcPr>
                  <w:tcW w:w="1184" w:type="pct"/>
                  <w:tcBorders>
                    <w:tl2br w:val="nil"/>
                    <w:tr2bl w:val="nil"/>
                  </w:tcBorders>
                  <w:shd w:val="clear" w:color="auto" w:fill="FFFFFF"/>
                  <w:noWrap w:val="0"/>
                  <w:vAlign w:val="center"/>
                </w:tcPr>
                <w:p w14:paraId="2F417F43">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标准值</w:t>
                  </w:r>
                </w:p>
              </w:tc>
              <w:tc>
                <w:tcPr>
                  <w:tcW w:w="1907" w:type="pct"/>
                  <w:tcBorders>
                    <w:tl2br w:val="nil"/>
                    <w:tr2bl w:val="nil"/>
                  </w:tcBorders>
                  <w:shd w:val="clear" w:color="auto" w:fill="FFFFFF"/>
                  <w:noWrap w:val="0"/>
                  <w:vAlign w:val="center"/>
                </w:tcPr>
                <w:p w14:paraId="11681983">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60</w:t>
                  </w:r>
                  <w:r>
                    <w:rPr>
                      <w:rFonts w:hint="default" w:ascii="Times New Roman" w:hAnsi="Times New Roman" w:eastAsia="宋体" w:cs="Times New Roman"/>
                      <w:b w:val="0"/>
                      <w:bCs w:val="0"/>
                      <w:color w:val="000000" w:themeColor="text1"/>
                      <w:sz w:val="21"/>
                      <w:szCs w:val="21"/>
                      <w:lang w:val="en-US" w:eastAsia="en-US"/>
                      <w14:textFill>
                        <w14:solidFill>
                          <w14:schemeClr w14:val="tx1"/>
                        </w14:solidFill>
                      </w14:textFill>
                    </w:rPr>
                    <w:t>B</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en-US"/>
                      <w14:textFill>
                        <w14:solidFill>
                          <w14:schemeClr w14:val="tx1"/>
                        </w14:solidFill>
                      </w14:textFill>
                    </w:rPr>
                    <w:t>A</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p>
              </w:tc>
              <w:tc>
                <w:tcPr>
                  <w:tcW w:w="1907" w:type="pct"/>
                  <w:tcBorders>
                    <w:tl2br w:val="nil"/>
                    <w:tr2bl w:val="nil"/>
                  </w:tcBorders>
                  <w:shd w:val="clear" w:color="auto" w:fill="FFFFFF"/>
                  <w:noWrap w:val="0"/>
                  <w:vAlign w:val="center"/>
                </w:tcPr>
                <w:p w14:paraId="0FBF3AF0">
                  <w:pPr>
                    <w:pStyle w:val="18"/>
                    <w:keepNext w:val="0"/>
                    <w:keepLines w:val="0"/>
                    <w:pageBreakBefore w:val="0"/>
                    <w:widowControl w:val="0"/>
                    <w:kinsoku/>
                    <w:wordWrap/>
                    <w:overflowPunct/>
                    <w:topLinePunct w:val="0"/>
                    <w:autoSpaceDE/>
                    <w:autoSpaceDN/>
                    <w:bidi w:val="0"/>
                    <w:adjustRightInd w:val="0"/>
                    <w:snapToGrid/>
                    <w:textAlignment w:val="baseline"/>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50</w:t>
                  </w:r>
                  <w:r>
                    <w:rPr>
                      <w:rFonts w:hint="default" w:ascii="Times New Roman" w:hAnsi="Times New Roman" w:eastAsia="宋体" w:cs="Times New Roman"/>
                      <w:b w:val="0"/>
                      <w:bCs w:val="0"/>
                      <w:color w:val="000000" w:themeColor="text1"/>
                      <w:sz w:val="21"/>
                      <w:szCs w:val="21"/>
                      <w:lang w:val="en-US" w:eastAsia="en-US"/>
                      <w14:textFill>
                        <w14:solidFill>
                          <w14:schemeClr w14:val="tx1"/>
                        </w14:solidFill>
                      </w14:textFill>
                    </w:rPr>
                    <w:t>dB</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en-US"/>
                      <w14:textFill>
                        <w14:solidFill>
                          <w14:schemeClr w14:val="tx1"/>
                        </w14:solidFill>
                      </w14:textFill>
                    </w:rPr>
                    <w:t>A</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p>
              </w:tc>
            </w:tr>
          </w:tbl>
          <w:p w14:paraId="0ECE1232">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2.污染物排放标准</w:t>
            </w:r>
          </w:p>
          <w:p w14:paraId="6D46195F">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（1）废气</w:t>
            </w:r>
          </w:p>
          <w:p w14:paraId="05D3F991">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施工扬尘（颗粒物）无组织排放监控点浓度限值执行《大气污染物综合排放标准》（GB16297-1996）表2中的无组织排放监控浓度限值要求，即：周界外浓度最高点≤1.0mg/m³。</w:t>
            </w:r>
          </w:p>
          <w:p w14:paraId="551C810A">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（2）废水</w:t>
            </w:r>
          </w:p>
          <w:p w14:paraId="45AD9B17">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本项目生活污水通过移动式防渗厕所收集后，定期拉运污水处理厂不外排；钻探泥浆废水经沉淀处理后全部回用，实现零排放。因此，本项目无废水外排，不设废水排放标准。</w:t>
            </w:r>
          </w:p>
          <w:p w14:paraId="355D24EF">
            <w:pPr>
              <w:bidi w:val="0"/>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（3）噪声排放标准</w:t>
            </w:r>
          </w:p>
          <w:p w14:paraId="1F5C930E">
            <w:pPr>
              <w:bidi w:val="0"/>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施工期噪声执行</w:t>
            </w:r>
            <w:r>
              <w:rPr>
                <w:rFonts w:hint="default" w:ascii="Times New Roman" w:hAnsi="Times New Roman" w:cs="Times New Roman"/>
                <w:color w:val="000000" w:themeColor="text1"/>
                <w:lang w:val="en-US" w:eastAsia="zh-CN"/>
                <w14:textFill>
                  <w14:solidFill>
                    <w14:schemeClr w14:val="tx1"/>
                  </w14:solidFill>
                </w14:textFill>
              </w:rPr>
              <w:t>《建筑施工噪声排放标准》（GB12523-2025）</w:t>
            </w:r>
            <w:r>
              <w:rPr>
                <w:rFonts w:hint="default" w:ascii="Times New Roman" w:hAnsi="Times New Roman" w:cs="Times New Roman"/>
                <w:color w:val="000000" w:themeColor="text1"/>
                <w:lang w:eastAsia="zh-CN"/>
                <w14:textFill>
                  <w14:solidFill>
                    <w14:schemeClr w14:val="tx1"/>
                  </w14:solidFill>
                </w14:textFill>
              </w:rPr>
              <w:t>中的排放限值，即：昼间≤70dB（A），夜间≤55dB（A）。</w:t>
            </w:r>
          </w:p>
          <w:p w14:paraId="4E8909F4">
            <w:pPr>
              <w:bidi w:val="0"/>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（4）固体废物排放标准</w:t>
            </w:r>
          </w:p>
          <w:p w14:paraId="1ABA9435">
            <w:pPr>
              <w:bidi w:val="0"/>
              <w:rPr>
                <w:rFonts w:hint="default" w:ascii="Times New Roman" w:hAnsi="Times New Roman" w:eastAsia="宋体" w:cs="Times New Roman"/>
                <w:color w:val="000000" w:themeColor="text1"/>
                <w:szCs w:val="24"/>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一般工业固体废物：项目产生的生活垃圾、剥离表土、钻井泥浆沉淀物（含岩屑）、废包装袋等，均属于一般固体废物。其贮存、处置过程应满足《一般工业固体废物贮存和填埋污染控制标准》（GB18599-2020）中的相关管理要求。</w:t>
            </w:r>
            <w:r>
              <w:rPr>
                <w:rFonts w:hint="default" w:ascii="Times New Roman" w:hAnsi="Times New Roman" w:cs="Times New Roman"/>
                <w:color w:val="000000" w:themeColor="text1"/>
                <w:lang w:val="en-US" w:eastAsia="zh-CN"/>
                <w14:textFill>
                  <w14:solidFill>
                    <w14:schemeClr w14:val="tx1"/>
                  </w14:solidFill>
                </w14:textFill>
              </w:rPr>
              <w:t>勘探期间不在项目区进行</w:t>
            </w:r>
            <w:r>
              <w:rPr>
                <w:rFonts w:hint="default" w:ascii="Times New Roman" w:hAnsi="Times New Roman" w:cs="Times New Roman"/>
                <w:color w:val="000000" w:themeColor="text1"/>
                <w:lang w:eastAsia="zh-CN"/>
                <w14:textFill>
                  <w14:solidFill>
                    <w14:schemeClr w14:val="tx1"/>
                  </w14:solidFill>
                </w14:textFill>
              </w:rPr>
              <w:t>机械设备维修，</w:t>
            </w:r>
            <w:r>
              <w:rPr>
                <w:rFonts w:hint="default" w:ascii="Times New Roman" w:hAnsi="Times New Roman" w:cs="Times New Roman"/>
                <w:color w:val="000000" w:themeColor="text1"/>
                <w:lang w:val="en-US" w:eastAsia="zh-CN"/>
                <w14:textFill>
                  <w14:solidFill>
                    <w14:schemeClr w14:val="tx1"/>
                  </w14:solidFill>
                </w14:textFill>
              </w:rPr>
              <w:t>不产生</w:t>
            </w:r>
            <w:r>
              <w:rPr>
                <w:rFonts w:hint="default" w:ascii="Times New Roman" w:hAnsi="Times New Roman" w:cs="Times New Roman"/>
                <w:color w:val="000000" w:themeColor="text1"/>
                <w:lang w:eastAsia="zh-CN"/>
                <w14:textFill>
                  <w14:solidFill>
                    <w14:schemeClr w14:val="tx1"/>
                  </w14:solidFill>
                </w14:textFill>
              </w:rPr>
              <w:t>废矿物油等危险废物。</w:t>
            </w:r>
          </w:p>
        </w:tc>
      </w:tr>
      <w:tr w14:paraId="2C6C09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984" w:type="dxa"/>
            <w:noWrap w:val="0"/>
            <w:vAlign w:val="center"/>
          </w:tcPr>
          <w:p w14:paraId="5F6BE18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cs="Times New Roman"/>
                <w:color w:val="000000" w:themeColor="text1"/>
                <w:kern w:val="0"/>
                <w:sz w:val="24"/>
                <w:szCs w:val="24"/>
                <w:lang w:val="en-US" w:eastAsia="zh-CN"/>
                <w14:textFill>
                  <w14:solidFill>
                    <w14:schemeClr w14:val="tx1"/>
                  </w14:solidFill>
                </w14:textFill>
              </w:rPr>
              <w:t>其他</w:t>
            </w:r>
          </w:p>
        </w:tc>
        <w:tc>
          <w:tcPr>
            <w:tcW w:w="8077" w:type="dxa"/>
            <w:noWrap w:val="0"/>
            <w:vAlign w:val="center"/>
          </w:tcPr>
          <w:p w14:paraId="2374062F">
            <w:pPr>
              <w:keepNext w:val="0"/>
              <w:keepLines w:val="0"/>
              <w:widowControl/>
              <w:suppressLineNumbers w:val="0"/>
              <w:jc w:val="left"/>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总量控制指标：</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本项目属于</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矿产地质</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勘查</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，根据本项目的排污特征，结合国家污染物排放总量控制原则，本项目不设污染物排放总量控制指标。</w:t>
            </w:r>
          </w:p>
        </w:tc>
      </w:tr>
    </w:tbl>
    <w:p w14:paraId="7B9D0030">
      <w:pPr>
        <w:widowControl/>
        <w:spacing w:before="100" w:beforeAutospacing="1" w:after="100" w:afterAutospacing="1" w:line="360" w:lineRule="auto"/>
        <w:ind w:firstLine="720" w:firstLineChars="200"/>
        <w:jc w:val="center"/>
        <w:outlineLvl w:val="0"/>
        <w:rPr>
          <w:rFonts w:ascii="黑体" w:hAnsi="黑体" w:eastAsia="黑体" w:cs="Times New Roman"/>
          <w:snapToGrid w:val="0"/>
          <w:color w:val="000000" w:themeColor="text1"/>
          <w:kern w:val="0"/>
          <w:sz w:val="30"/>
          <w:szCs w:val="30"/>
          <w:lang w:val="en-US" w:eastAsia="zh-CN" w:bidi="ar-SA"/>
          <w14:textFill>
            <w14:solidFill>
              <w14:schemeClr w14:val="tx1"/>
            </w14:solidFill>
          </w14:textFill>
        </w:rPr>
      </w:pPr>
      <w:r>
        <w:rPr>
          <w:rFonts w:ascii="黑体" w:hAnsi="黑体" w:eastAsia="黑体" w:cs="Times New Roman"/>
          <w:snapToGrid w:val="0"/>
          <w:color w:val="000000" w:themeColor="text1"/>
          <w:kern w:val="0"/>
          <w:sz w:val="36"/>
          <w:szCs w:val="36"/>
          <w:lang w:val="en-US" w:eastAsia="zh-CN" w:bidi="ar-SA"/>
          <w14:textFill>
            <w14:solidFill>
              <w14:schemeClr w14:val="tx1"/>
            </w14:solidFill>
          </w14:textFill>
        </w:rPr>
        <w:br w:type="page"/>
      </w:r>
      <w:r>
        <w:rPr>
          <w:rFonts w:hint="eastAsia" w:ascii="黑体" w:hAnsi="黑体" w:eastAsia="黑体" w:cs="Times New Roman"/>
          <w:snapToGrid w:val="0"/>
          <w:color w:val="000000" w:themeColor="text1"/>
          <w:kern w:val="0"/>
          <w:sz w:val="30"/>
          <w:szCs w:val="30"/>
          <w:lang w:val="en-US" w:eastAsia="zh-CN" w:bidi="ar-SA"/>
          <w14:textFill>
            <w14:solidFill>
              <w14:schemeClr w14:val="tx1"/>
            </w14:solidFill>
          </w14:textFill>
        </w:rPr>
        <w:t>四、生态环境影响分析</w:t>
      </w:r>
    </w:p>
    <w:tbl>
      <w:tblPr>
        <w:tblStyle w:val="13"/>
        <w:tblW w:w="508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5"/>
        <w:gridCol w:w="8284"/>
      </w:tblGrid>
      <w:tr w14:paraId="344E9A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28" w:hRule="atLeast"/>
          <w:jc w:val="center"/>
        </w:trPr>
        <w:tc>
          <w:tcPr>
            <w:tcW w:w="468" w:type="pct"/>
            <w:noWrap w:val="0"/>
            <w:tcMar>
              <w:left w:w="28" w:type="dxa"/>
              <w:right w:w="28" w:type="dxa"/>
            </w:tcMar>
            <w:vAlign w:val="center"/>
          </w:tcPr>
          <w:p w14:paraId="2FB9AD3F">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rPr>
                <w:rFonts w:hint="default" w:ascii="Times New Roman" w:hAnsi="Times New Roman" w:eastAsia="宋体" w:cs="Times New Roman"/>
                <w:bCs/>
                <w:color w:val="000000" w:themeColor="text1"/>
                <w:kern w:val="2"/>
                <w:sz w:val="24"/>
                <w:szCs w:val="24"/>
                <w14:textFill>
                  <w14:solidFill>
                    <w14:schemeClr w14:val="tx1"/>
                  </w14:solidFill>
                </w14:textFill>
              </w:rPr>
            </w:pPr>
            <w:bookmarkStart w:id="1" w:name="_Hlk49796138"/>
            <w:r>
              <w:rPr>
                <w:rFonts w:hint="default" w:ascii="Times New Roman" w:hAnsi="Times New Roman" w:eastAsia="宋体" w:cs="Times New Roman"/>
                <w:bCs/>
                <w:color w:val="000000" w:themeColor="text1"/>
                <w:spacing w:val="10"/>
                <w:kern w:val="2"/>
                <w:sz w:val="24"/>
                <w:szCs w:val="24"/>
                <w14:textFill>
                  <w14:solidFill>
                    <w14:schemeClr w14:val="tx1"/>
                  </w14:solidFill>
                </w14:textFill>
              </w:rPr>
              <w:t>施工期生态环境影响分析</w:t>
            </w:r>
            <w:bookmarkEnd w:id="1"/>
          </w:p>
        </w:tc>
        <w:tc>
          <w:tcPr>
            <w:tcW w:w="4531" w:type="pct"/>
            <w:shd w:val="clear" w:color="auto" w:fill="auto"/>
            <w:noWrap w:val="0"/>
            <w:vAlign w:val="center"/>
          </w:tcPr>
          <w:p w14:paraId="3C51E018">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1.生态环境影响分析</w:t>
            </w:r>
          </w:p>
          <w:p w14:paraId="167B99F1">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位于木垒哈萨克自治县北部荒漠地带，生态系统类型为温带半灌木、矮半灌木荒漠。项目不属于天然林资源保护工程区，不涉及自然保护区、风景名胜区、森林公园、生态公益林及古树名木等敏感区域，亦不占用生态保护红线及永久基本农田。项目为金矿普查，采用地质测量、物探、化探、槽探和钻探等综合勘查方法，所有占地均为临时性质（临时占地面积约15217m²），施工周期约780天（分年度实施）。勘探活动对生态环境的影响主要表现为局部地表扰动、植被清除、野生动物惊扰及潜在的水土流失，但影响范围小、持续时间短，且可通过严格的生态保护与恢复措施予以减缓。具体分析如下：</w:t>
            </w:r>
          </w:p>
          <w:p w14:paraId="247BBF71">
            <w:pPr>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（1）对当地土地利用的影响</w:t>
            </w:r>
          </w:p>
          <w:p w14:paraId="05DCF244">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项目所有工程均为临时占地，不涉及永久征地。临时占地总面积约15217m²，占地类型为天然牧草地（荒漠草地），不占用林地、耕地、基本农田等敏感地类。各作业点分散布置于勘查区（3.56km²）内，占地占比仅约0.43%，规模小且分布零散，不会改变区域原有的土地利用格局。</w:t>
            </w:r>
          </w:p>
          <w:p w14:paraId="6B03798C">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施工过程中，场地平整和表土剥离会对表层土壤结构造成轻微扰动，可能导致短期土壤紧实度变化和有机质下降。但项目严格执行表土分层剥离与单独保存制度，勘探结束后及时进行场地清理、平整、表土回覆及植被恢复，可确保临时用地恢复原有生态功能与土地使用属性，不造成永久性土地退化或功能丧失。</w:t>
            </w:r>
          </w:p>
          <w:p w14:paraId="2403A4CF">
            <w:pPr>
              <w:bidi w:val="0"/>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（2）对植被的影响分析</w:t>
            </w:r>
          </w:p>
          <w:p w14:paraId="2331DADE">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勘查过程对植被的影响包括直接清除和间接干扰两个方面。直接影响表现为：</w:t>
            </w:r>
            <w:r>
              <w:rPr>
                <w:rFonts w:hint="default" w:ascii="Times New Roman" w:hAnsi="Times New Roman" w:eastAsia="Segoe UI" w:cs="Times New Roman"/>
                <w:i w:val="0"/>
                <w:iCs w:val="0"/>
                <w:caps w:val="0"/>
                <w:color w:val="0F1115"/>
                <w:spacing w:val="0"/>
                <w:sz w:val="24"/>
                <w:szCs w:val="24"/>
                <w:shd w:val="clear" w:fill="FFFFFF"/>
              </w:rPr>
              <w:t>槽探作业区、钻探作业区、</w:t>
            </w:r>
            <w:r>
              <w:rPr>
                <w:rFonts w:hint="eastAsia" w:ascii="Times New Roman" w:hAnsi="Times New Roman" w:eastAsia="宋体" w:cs="Times New Roman"/>
                <w:i w:val="0"/>
                <w:iCs w:val="0"/>
                <w:caps w:val="0"/>
                <w:color w:val="0F1115"/>
                <w:spacing w:val="0"/>
                <w:sz w:val="24"/>
                <w:szCs w:val="24"/>
                <w:shd w:val="clear" w:fill="FFFFFF"/>
                <w:lang w:val="en-US" w:eastAsia="zh-CN"/>
              </w:rPr>
              <w:t>临时办公生活营地</w:t>
            </w:r>
            <w:r>
              <w:rPr>
                <w:rFonts w:hint="default" w:ascii="Times New Roman" w:hAnsi="Times New Roman" w:eastAsia="Segoe UI" w:cs="Times New Roman"/>
                <w:i w:val="0"/>
                <w:iCs w:val="0"/>
                <w:caps w:val="0"/>
                <w:color w:val="0F1115"/>
                <w:spacing w:val="0"/>
                <w:sz w:val="24"/>
                <w:szCs w:val="24"/>
                <w:shd w:val="clear" w:fill="FFFFFF"/>
              </w:rPr>
              <w:t>及临时道路</w:t>
            </w:r>
            <w:r>
              <w:rPr>
                <w:rFonts w:hint="default" w:ascii="Times New Roman" w:hAnsi="Times New Roman" w:cs="Times New Roman"/>
                <w:color w:val="000000" w:themeColor="text1"/>
                <w:lang w:val="en-US" w:eastAsia="zh-CN"/>
                <w14:textFill>
                  <w14:solidFill>
                    <w14:schemeClr w14:val="tx1"/>
                  </w14:solidFill>
                </w14:textFill>
              </w:rPr>
              <w:t>等施工活动将直接清除占地范围内的原生植被。根据临时占地总面积15217m²及区域单位面积生物量（参考同类荒漠区约为0.25t/hm</w:t>
            </w:r>
            <w:r>
              <w:rPr>
                <w:rFonts w:hint="default" w:ascii="Times New Roman" w:hAnsi="Times New Roman" w:cs="Times New Roman"/>
                <w:color w:val="000000" w:themeColor="text1"/>
                <w:vertAlign w:val="superscript"/>
                <w:lang w:val="en-US" w:eastAsia="zh-CN"/>
                <w14:textFill>
                  <w14:solidFill>
                    <w14:schemeClr w14:val="tx1"/>
                  </w14:solidFill>
                </w14:textFill>
              </w:rPr>
              <w:t>2</w:t>
            </w:r>
            <w:r>
              <w:rPr>
                <w:rFonts w:hint="default" w:ascii="Times New Roman" w:hAnsi="Times New Roman" w:cs="Times New Roman"/>
                <w:color w:val="000000" w:themeColor="text1"/>
                <w:vertAlign w:val="baseline"/>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干重），估算植被生物量损失约0.38t干重。该损失仅占勘查区总生物量的极小比例（勘查区总面积3.56km²，按盖度30%估算总生物量约26t），属于轻微扰动水平。</w:t>
            </w:r>
          </w:p>
          <w:p w14:paraId="47FDB286">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间接影响主要表现为：施工扬尘附着植物叶面可能影响光合作用；车辆及人员碾压可能损伤周边植物根系；表土临时堆放若防护不当可能加剧局部风蚀，影响种子萌发。</w:t>
            </w:r>
          </w:p>
          <w:p w14:paraId="0C404BF1">
            <w:pPr>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（3）对动物资源的影响分析</w:t>
            </w:r>
          </w:p>
          <w:p w14:paraId="389E6069">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项目施工对野生动物的影响主要来自机械噪声、人员活动和夜间照明。钻机、挖掘机、柴油发电机等设备运行产生的噪声可能对附近活动的动物造成惊扰，引发暂时性回避行为。但项目施工集中在昼间（夜间不进行高噪声作业），且各作业点分散、施工周期短，不会形成持续的声光干扰。</w:t>
            </w:r>
            <w:r>
              <w:rPr>
                <w:rFonts w:hint="eastAsia" w:ascii="Times New Roman" w:hAnsi="Times New Roman" w:eastAsia="宋体" w:cs="Times New Roman"/>
                <w:i w:val="0"/>
                <w:iCs w:val="0"/>
                <w:caps w:val="0"/>
                <w:color w:val="0F1115"/>
                <w:spacing w:val="0"/>
                <w:sz w:val="24"/>
                <w:szCs w:val="24"/>
                <w:shd w:val="clear" w:fill="FFFFFF"/>
                <w:lang w:eastAsia="zh-CN"/>
              </w:rPr>
              <w:t>临时办公生活营地</w:t>
            </w:r>
            <w:r>
              <w:rPr>
                <w:rFonts w:hint="default" w:ascii="Times New Roman" w:hAnsi="Times New Roman" w:eastAsia="Segoe UI" w:cs="Times New Roman"/>
                <w:i w:val="0"/>
                <w:iCs w:val="0"/>
                <w:caps w:val="0"/>
                <w:color w:val="0F1115"/>
                <w:spacing w:val="0"/>
                <w:sz w:val="24"/>
                <w:szCs w:val="24"/>
                <w:shd w:val="clear" w:fill="FFFFFF"/>
              </w:rPr>
              <w:t>为固定临时营地，但占地面积仅200m²，且远离动物活动频繁区域，对动物生境的占用时间短、范围小。</w:t>
            </w:r>
            <w:r>
              <w:rPr>
                <w:rFonts w:hint="default" w:ascii="Times New Roman" w:hAnsi="Times New Roman" w:cs="Times New Roman"/>
                <w:color w:val="000000" w:themeColor="text1"/>
                <w:lang w:val="en-US" w:eastAsia="zh-CN"/>
                <w14:textFill>
                  <w14:solidFill>
                    <w14:schemeClr w14:val="tx1"/>
                  </w14:solidFill>
                </w14:textFill>
              </w:rPr>
              <w:t>施工结束后，干扰源消失，动物种群可迅速回迁并恢复原有活动范围。因此，项目对区域动物资源的影响属于短期、可逆的轻微干扰，不会导致种群数量下降或栖息地功能丧失。</w:t>
            </w:r>
          </w:p>
          <w:p w14:paraId="6043AEB7">
            <w:pPr>
              <w:bidi w:val="0"/>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（4）水土流失影响分析</w:t>
            </w:r>
          </w:p>
          <w:p w14:paraId="7D284EE2">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本项目扰动地表总面积约15217m²，且为分散点状扰动，无大规模开挖和集中裸露地表。</w:t>
            </w:r>
            <w:r>
              <w:rPr>
                <w:rFonts w:hint="default" w:ascii="Times New Roman" w:hAnsi="Times New Roman" w:cs="Times New Roman"/>
                <w:color w:val="000000" w:themeColor="text1"/>
                <w14:textFill>
                  <w14:solidFill>
                    <w14:schemeClr w14:val="tx1"/>
                  </w14:solidFill>
                </w14:textFill>
              </w:rPr>
              <w:t>槽探工程（</w:t>
            </w:r>
            <w:r>
              <w:rPr>
                <w:rFonts w:hint="default" w:ascii="Times New Roman" w:hAnsi="Times New Roman" w:cs="Times New Roman"/>
                <w:color w:val="000000" w:themeColor="text1"/>
                <w:lang w:val="en-US" w:eastAsia="zh-CN"/>
                <w14:textFill>
                  <w14:solidFill>
                    <w14:schemeClr w14:val="tx1"/>
                  </w14:solidFill>
                </w14:textFill>
              </w:rPr>
              <w:t>2775</w:t>
            </w:r>
            <w:r>
              <w:rPr>
                <w:rFonts w:hint="default" w:ascii="Times New Roman" w:hAnsi="Times New Roman" w:cs="Times New Roman"/>
                <w:color w:val="000000" w:themeColor="text1"/>
                <w14:textFill>
                  <w14:solidFill>
                    <w14:schemeClr w14:val="tx1"/>
                  </w14:solidFill>
                </w14:textFill>
              </w:rPr>
              <w:t>m³</w:t>
            </w:r>
            <w:r>
              <w:rPr>
                <w:rFonts w:hint="default" w:ascii="Times New Roman" w:hAnsi="Times New Roman" w:cs="Times New Roman"/>
                <w:color w:val="000000" w:themeColor="text1"/>
                <w:lang w:val="en-US" w:eastAsia="zh-CN"/>
                <w14:textFill>
                  <w14:solidFill>
                    <w14:schemeClr w14:val="tx1"/>
                  </w14:solidFill>
                </w14:textFill>
              </w:rPr>
              <w:t>开挖量</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施工结束后及时回填；勘探作业区仅进行简易平整；临时道路优先利用既有便道。施工过程中，临时堆土（含剥离表土）采取防尘网苫盖和临时挡护措施，有效抑制风蚀。施工结束后，立即对所有临时占地进行清理、平整并恢复植被，地表裸露时间短（单个作业点一般不超过60天）。综上，项目产生的水土流失量极小，不会对区域土壤资源造成累积性影响，在落实各项水土保持措施的前提下，水土流失影响可控。</w:t>
            </w:r>
          </w:p>
          <w:p w14:paraId="3116013A">
            <w:pPr>
              <w:bidi w:val="0"/>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（5）景观生态影响</w:t>
            </w:r>
          </w:p>
          <w:p w14:paraId="4A66F4D6">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项目建设内容为分散式钻探作业和少量槽探工程。</w:t>
            </w:r>
            <w:r>
              <w:rPr>
                <w:rFonts w:hint="default" w:ascii="Times New Roman" w:hAnsi="Times New Roman" w:cs="Times New Roman"/>
                <w:color w:val="000000" w:themeColor="text1"/>
                <w:lang w:eastAsia="zh-CN"/>
                <w14:textFill>
                  <w14:solidFill>
                    <w14:schemeClr w14:val="tx1"/>
                  </w14:solidFill>
                </w14:textFill>
              </w:rPr>
              <w:t>勘探作业区</w:t>
            </w:r>
            <w:r>
              <w:rPr>
                <w:rFonts w:hint="default" w:ascii="Times New Roman" w:hAnsi="Times New Roman" w:cs="Times New Roman"/>
                <w:color w:val="000000" w:themeColor="text1"/>
                <w14:textFill>
                  <w14:solidFill>
                    <w14:schemeClr w14:val="tx1"/>
                  </w14:solidFill>
                </w14:textFill>
              </w:rPr>
              <w:t>呈点状分布，单体占地小；槽探为线状浅表开挖，施工期短；临时道路基本沿自然便道布设，未新增大规模线性切割</w:t>
            </w:r>
            <w:r>
              <w:rPr>
                <w:rFonts w:hint="default"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eastAsia="zh-CN"/>
                <w14:textFill>
                  <w14:solidFill>
                    <w14:schemeClr w14:val="tx1"/>
                  </w14:solidFill>
                </w14:textFill>
              </w:rPr>
              <w:t>临时办公生活营地</w:t>
            </w:r>
            <w:r>
              <w:rPr>
                <w:rFonts w:hint="default" w:ascii="Times New Roman" w:hAnsi="Times New Roman" w:cs="Times New Roman"/>
                <w:color w:val="000000" w:themeColor="text1"/>
                <w:lang w:eastAsia="zh-CN"/>
                <w14:textFill>
                  <w14:solidFill>
                    <w14:schemeClr w14:val="tx1"/>
                  </w14:solidFill>
                </w14:textFill>
              </w:rPr>
              <w:t>面积仅200m²，为低矮临时建筑。</w:t>
            </w:r>
            <w:r>
              <w:rPr>
                <w:rFonts w:hint="default" w:ascii="Times New Roman" w:hAnsi="Times New Roman" w:cs="Times New Roman"/>
                <w:color w:val="000000" w:themeColor="text1"/>
                <w14:textFill>
                  <w14:solidFill>
                    <w14:schemeClr w14:val="tx1"/>
                  </w14:solidFill>
                </w14:textFill>
              </w:rPr>
              <w:t>上述设施对原有荒漠景观的连续性与完整性影响轻微，不会形成显著的视觉斑块或景观割裂。项目采用轻便、模块化设备，不建设永久性构筑物，施工结束后拆除所有临时设施，并进行迹地清理、平整和植被恢复。通过播撒本地草种，施工痕迹将在数月内随植被自然恢复而逐渐消融，景观视觉反差显著降低，最终融入周边荒漠背景。因此，项目对景观生态的影响属于局部、短期、可逆范畴，具备良好的景观协调性。</w:t>
            </w:r>
          </w:p>
          <w:p w14:paraId="65915EE8">
            <w:pPr>
              <w:keepNext w:val="0"/>
              <w:keepLines w:val="0"/>
              <w:widowControl/>
              <w:suppressLineNumbers w:val="0"/>
              <w:jc w:val="left"/>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（6）生态环境影响评价结论</w:t>
            </w:r>
          </w:p>
          <w:p w14:paraId="55CE8A91">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为非开采性质的金矿普查工程，采用绿色勘查技术，具有占地少、扰动轻、周期短、可恢复性强等显著特点。施工期间虽会对局部地形、土壤、植被及野生动物活动产生一定程度的临时性扰动，并存在极轻微的水土流失风险，但影响范围局限（占勘查区面积0.43%）、程度轻微，且可通过优化施工布局、控制作业时间、严格表土保护、及时植被恢复等综合措施予以有效控制。</w:t>
            </w:r>
          </w:p>
          <w:p w14:paraId="15AA8640">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项目选址避让了自然保护区、生态保护红线、风景名胜区、公益林、基本农田及珍稀动植物集中分布区，生态敏感性低。区域荒漠生态系统具有较强的抗干扰能力和自然恢复潜力。勘探工作结束后，将按照</w:t>
            </w:r>
            <w:r>
              <w:rPr>
                <w:rFonts w:hint="eastAsia"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边勘查、边恢复</w:t>
            </w:r>
            <w:r>
              <w:rPr>
                <w:rFonts w:hint="eastAsia"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的原则，全面拆除临时设施，实施场地清理、平整、表土回覆及草籽播撒，确保受扰动区域生态功能逐步恢复至基线水平。</w:t>
            </w:r>
          </w:p>
          <w:p w14:paraId="02343CB6">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综上所述，在全面落实本报告提出的各项生态环境保护与恢复措施的前提下，项目施工期对生态环境的影响属于短期、局部、可逆范畴，不会造成生态系统结构与功能的长期退化或不可逆损害。从生态环境角度论证，本项目建设是可行的。</w:t>
            </w:r>
          </w:p>
          <w:p w14:paraId="38703F60">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大气环境影响分析</w:t>
            </w:r>
          </w:p>
          <w:p w14:paraId="65C617AC">
            <w:pPr>
              <w:keepNext w:val="0"/>
              <w:keepLines w:val="0"/>
              <w:widowControl/>
              <w:suppressLineNumbers w:val="0"/>
              <w:jc w:val="left"/>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本项目为</w:t>
            </w:r>
            <w:r>
              <w:rPr>
                <w:rFonts w:hint="default" w:ascii="Times New Roman" w:hAnsi="Times New Roman" w:eastAsia="Segoe UI" w:cs="Times New Roman"/>
                <w:i w:val="0"/>
                <w:iCs w:val="0"/>
                <w:caps w:val="0"/>
                <w:color w:val="000000" w:themeColor="text1"/>
                <w:spacing w:val="0"/>
                <w:sz w:val="24"/>
                <w:szCs w:val="24"/>
                <w:shd w:val="clear" w:fill="FFFFFF"/>
                <w14:textFill>
                  <w14:solidFill>
                    <w14:schemeClr w14:val="tx1"/>
                  </w14:solidFill>
                </w14:textFill>
              </w:rPr>
              <w:t>金矿地质勘查工程</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，施工内容主要包括</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勘探作业区</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建设、设备运输、钻探作业等环节。施工过程中不涉及爆破、焊接或燃烧作业，无工业工艺废气排放。大气污染源主要为施工扬尘、运输车辆尾气及柴油发电机运行产生的燃油废气，均属于间歇性、低强度的无组织排放源，总体影响范围小、持续时间短。具体分析如下：</w:t>
            </w:r>
          </w:p>
          <w:p w14:paraId="01A1983F">
            <w:pPr>
              <w:keepNext w:val="0"/>
              <w:keepLines w:val="0"/>
              <w:widowControl/>
              <w:suppressLineNumbers w:val="0"/>
              <w:jc w:val="left"/>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（1）施工扬尘</w:t>
            </w:r>
          </w:p>
          <w:p w14:paraId="0B8C91E3">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施工扬尘主要产生于勘探作业区平整、临时营地搭建、临时道路修整、槽探开挖、物料装卸及车辆运输等环节。项目区地表植被覆盖度较低（约30%）、土壤干燥，在风力作用或机械扰动下易产生扬尘。扬尘产生强度受风速、地表裸露程度、作业强度等因素影响较大，尤其在大风天气或频繁车辆通行条件下，局部空气中颗粒物（TSP、PM₁₀）浓度可能出现短暂升高。由于各作业点分散布置、单个作业点占地规模小、施工周期短（单个作业点一般不超过60天），扬尘产生总量有限，影响范围主要集中在施工场地周边50m范围内，且随施工结束而迅速消失。</w:t>
            </w:r>
          </w:p>
          <w:p w14:paraId="4EB6D09C">
            <w:pPr>
              <w:keepNext w:val="0"/>
              <w:keepLines w:val="0"/>
              <w:widowControl/>
              <w:suppressLineNumbers w:val="0"/>
              <w:jc w:val="left"/>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（2）临时堆场扬尘</w:t>
            </w:r>
          </w:p>
          <w:p w14:paraId="1A3349AA">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槽探开挖及场地平整过程中产生的剥离表土和碎石需临时堆放于堆土场。在干燥大风天气下，若无防护措施，临时堆场表面松散物料易受风力侵蚀产生扬尘。本项目临时堆土场分散布置于各槽探和钻探点位旁，单个堆场规模小，堆存周期较短，扬尘产生量有限，影响范围主要集中在堆场周边区域。</w:t>
            </w:r>
          </w:p>
          <w:p w14:paraId="561B78D3">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（3）水泥储存与使用过程扬尘</w:t>
            </w:r>
          </w:p>
          <w:p w14:paraId="4A8F231A">
            <w:pPr>
              <w:bidi w:val="0"/>
              <w:rPr>
                <w:rFonts w:hint="default" w:ascii="Times New Roman" w:hAnsi="Times New Roman" w:cs="Times New Roman"/>
                <w:lang w:val="en-US" w:eastAsia="zh-CN"/>
              </w:rPr>
            </w:pPr>
            <w:r>
              <w:rPr>
                <w:rFonts w:hint="default" w:ascii="Times New Roman" w:hAnsi="Times New Roman" w:cs="Times New Roman"/>
                <w:lang w:val="en-US" w:eastAsia="zh-CN"/>
              </w:rPr>
              <w:t>水泥在装卸、堆存及搅拌过程中会产生少量粉尘。本项目水泥总用量约24t，采用袋装（50kg/袋），分区堆放于各钻探平台，单个平台一次最大存放量不超过20袋（约1t），不设集中储库。在卸车、码垛及拆袋搅拌等环节，若操作不当或遇大风天气，可能产生局部粉尘逸散。</w:t>
            </w:r>
          </w:p>
          <w:p w14:paraId="4857D9C7">
            <w:pPr>
              <w:keepNext w:val="0"/>
              <w:keepLines w:val="0"/>
              <w:widowControl/>
              <w:suppressLineNumbers w:val="0"/>
              <w:jc w:val="left"/>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w:t>
            </w:r>
            <w:r>
              <w:rPr>
                <w:rFonts w:hint="default" w:ascii="Times New Roman" w:hAnsi="Times New Roman" w:cs="Times New Roman"/>
                <w:b/>
                <w:bCs/>
                <w:color w:val="000000" w:themeColor="text1"/>
                <w:kern w:val="0"/>
                <w:sz w:val="24"/>
                <w:szCs w:val="24"/>
                <w:lang w:val="en-US" w:eastAsia="zh-CN" w:bidi="ar"/>
                <w14:textFill>
                  <w14:solidFill>
                    <w14:schemeClr w14:val="tx1"/>
                  </w14:solidFill>
                </w14:textFill>
              </w:rPr>
              <w:t>4</w:t>
            </w: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）燃油设备废气</w:t>
            </w:r>
          </w:p>
          <w:p w14:paraId="495297A3">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施工期间无市政电网接入，生活区采用太阳能光伏板供电（满足照明、通讯等日常用电），而钻机、泥浆泵、物探设备及夜间照明等生产用电则需配置柴油发电机组作为临时电源。此外，槽探开挖使用的小型挖掘机、手持式风镐以及物资运输车辆等施工机械和车辆运行时同样会产生燃油废气。上述燃油设备废气主要污染物包括二氧化硫（SO₂）、氮氧化物（NOₓ）、烟尘及总烃（THC）等。</w:t>
            </w:r>
          </w:p>
          <w:p w14:paraId="762EB7D1">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w:t>
            </w:r>
            <w:r>
              <w:rPr>
                <w:rFonts w:hint="default" w:ascii="Times New Roman" w:hAnsi="Times New Roman" w:cs="Times New Roman"/>
                <w:color w:val="000000" w:themeColor="text1"/>
                <w14:textFill>
                  <w14:solidFill>
                    <w14:schemeClr w14:val="tx1"/>
                  </w14:solidFill>
                </w14:textFill>
              </w:rPr>
              <w:t>所选用的柴油发电机、施工机械及运输车辆均符合国家现行排放标准，使用合格国标柴油，燃烧效率相对较高，污染物初始排放浓度较低。废气以无组织形式逸散，结合项目区空旷地形和良好的大气扩散条件，污染物落地浓度增量极低，不会突破《环境空气质量标准》（GB 3095-20</w:t>
            </w:r>
            <w:r>
              <w:rPr>
                <w:rFonts w:hint="default" w:ascii="Times New Roman" w:hAnsi="Times New Roman" w:cs="Times New Roman"/>
                <w:color w:val="000000" w:themeColor="text1"/>
                <w:lang w:val="en-US" w:eastAsia="zh-CN"/>
                <w14:textFill>
                  <w14:solidFill>
                    <w14:schemeClr w14:val="tx1"/>
                  </w14:solidFill>
                </w14:textFill>
              </w:rPr>
              <w:t>26</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中</w:t>
            </w:r>
            <w:r>
              <w:rPr>
                <w:rFonts w:hint="default" w:ascii="Times New Roman" w:hAnsi="Times New Roman" w:cs="Times New Roman"/>
                <w:bCs/>
                <w:color w:val="000000" w:themeColor="text1"/>
                <w14:textFill>
                  <w14:solidFill>
                    <w14:schemeClr w14:val="tx1"/>
                  </w14:solidFill>
                </w14:textFill>
              </w:rPr>
              <w:t>过渡阶段</w:t>
            </w:r>
            <w:r>
              <w:rPr>
                <w:rFonts w:hint="default" w:ascii="Times New Roman" w:hAnsi="Times New Roman" w:cs="Times New Roman"/>
                <w:color w:val="000000" w:themeColor="text1"/>
                <w14:textFill>
                  <w14:solidFill>
                    <w14:schemeClr w14:val="tx1"/>
                  </w14:solidFill>
                </w14:textFill>
              </w:rPr>
              <w:t>二级浓度限值。由于各作业点分散、施工机械使用频率较低且非连续运行，废气排放总量小，且随施工期结束而终止，对区域大气环境影响轻微。</w:t>
            </w:r>
          </w:p>
          <w:p w14:paraId="27898810">
            <w:pPr>
              <w:bidi w:val="0"/>
              <w:rPr>
                <w:rFonts w:hint="default" w:ascii="Times New Roman" w:hAnsi="Times New Roman" w:cs="Times New Roman"/>
                <w:b/>
                <w:bCs/>
                <w:lang w:val="en-US" w:eastAsia="zh-CN"/>
              </w:rPr>
            </w:pPr>
            <w:r>
              <w:rPr>
                <w:rFonts w:hint="default" w:ascii="Times New Roman" w:hAnsi="Times New Roman" w:cs="Times New Roman"/>
                <w:b/>
                <w:bCs/>
                <w:lang w:eastAsia="zh-CN"/>
              </w:rPr>
              <w:t>（</w:t>
            </w:r>
            <w:r>
              <w:rPr>
                <w:rFonts w:hint="default" w:ascii="Times New Roman" w:hAnsi="Times New Roman" w:cs="Times New Roman"/>
                <w:b/>
                <w:bCs/>
                <w:lang w:val="en-US" w:eastAsia="zh-CN"/>
              </w:rPr>
              <w:t>5</w:t>
            </w:r>
            <w:r>
              <w:rPr>
                <w:rFonts w:hint="default" w:ascii="Times New Roman" w:hAnsi="Times New Roman" w:cs="Times New Roman"/>
                <w:b/>
                <w:bCs/>
                <w:lang w:eastAsia="zh-CN"/>
              </w:rPr>
              <w:t>）</w:t>
            </w:r>
            <w:r>
              <w:rPr>
                <w:rFonts w:hint="default" w:ascii="Times New Roman" w:hAnsi="Times New Roman" w:cs="Times New Roman"/>
                <w:b/>
                <w:bCs/>
                <w:lang w:val="en-US" w:eastAsia="zh-CN"/>
              </w:rPr>
              <w:t>柴油桶储存废气</w:t>
            </w:r>
          </w:p>
          <w:p w14:paraId="40DDC8C3">
            <w:pPr>
              <w:bidi w:val="0"/>
              <w:rPr>
                <w:rFonts w:hint="default" w:ascii="Times New Roman" w:hAnsi="Times New Roman" w:cs="Times New Roman"/>
              </w:rPr>
            </w:pPr>
            <w:r>
              <w:rPr>
                <w:rFonts w:hint="default" w:ascii="Times New Roman" w:hAnsi="Times New Roman" w:cs="Times New Roman"/>
              </w:rPr>
              <w:t>本项目不设固定柴油储罐，</w:t>
            </w:r>
            <w:r>
              <w:rPr>
                <w:rFonts w:hint="default" w:ascii="Times New Roman" w:hAnsi="Times New Roman" w:cs="Times New Roman"/>
                <w:lang w:val="en-US" w:eastAsia="zh-CN"/>
              </w:rPr>
              <w:t>勘探</w:t>
            </w:r>
            <w:r>
              <w:rPr>
                <w:rFonts w:hint="default" w:ascii="Times New Roman" w:hAnsi="Times New Roman" w:cs="Times New Roman"/>
              </w:rPr>
              <w:t>用柴油由车辆从加油站一次性拉运至各</w:t>
            </w:r>
            <w:r>
              <w:rPr>
                <w:rFonts w:hint="default" w:ascii="Times New Roman" w:hAnsi="Times New Roman" w:cs="Times New Roman"/>
                <w:lang w:val="en-US" w:eastAsia="zh-CN"/>
              </w:rPr>
              <w:t>勘探作业区</w:t>
            </w:r>
            <w:r>
              <w:rPr>
                <w:rFonts w:hint="default" w:ascii="Times New Roman" w:hAnsi="Times New Roman" w:cs="Times New Roman"/>
              </w:rPr>
              <w:t>。一次拉运最多3桶，合计约0.5t，采用200L标准专用防泄漏塑料桶密封储存，桶盖配有密封胶圈，正常存放状态下密闭性良好。柴油属于高闪点、低挥发性燃料（闪点≥55℃），在常温常压、密封储存条件下，挥发性有机物（VOCs）逸散量极小。</w:t>
            </w:r>
          </w:p>
          <w:p w14:paraId="5C4AF112">
            <w:pPr>
              <w:bidi w:val="0"/>
              <w:rPr>
                <w:rFonts w:hint="default" w:ascii="Times New Roman" w:hAnsi="Times New Roman" w:cs="Times New Roman"/>
              </w:rPr>
            </w:pPr>
            <w:r>
              <w:rPr>
                <w:rFonts w:hint="default" w:ascii="Times New Roman" w:hAnsi="Times New Roman" w:cs="Times New Roman"/>
              </w:rPr>
              <w:t>柴油桶仅在加油操作时短暂开启，开启时间短，且操作过程快开快盖，加油后立即恢复密封状态，基本无持续性无组织排放。各</w:t>
            </w:r>
            <w:r>
              <w:rPr>
                <w:rFonts w:hint="eastAsia" w:ascii="Times New Roman" w:hAnsi="Times New Roman" w:cs="Times New Roman"/>
                <w:lang w:eastAsia="zh-CN"/>
              </w:rPr>
              <w:t>勘探</w:t>
            </w:r>
            <w:r>
              <w:rPr>
                <w:rFonts w:hint="default" w:ascii="Times New Roman" w:hAnsi="Times New Roman" w:cs="Times New Roman"/>
                <w:lang w:val="en-US" w:eastAsia="zh-CN"/>
              </w:rPr>
              <w:t>作业</w:t>
            </w:r>
            <w:r>
              <w:rPr>
                <w:rFonts w:hint="default" w:ascii="Times New Roman" w:hAnsi="Times New Roman" w:cs="Times New Roman"/>
              </w:rPr>
              <w:t>分散布置于3.56km²勘查区内，单点存量少、存放时间短（随用随清），结合项目区空旷地形和良好的大气扩散条件，柴油桶呼吸气对区域环境空气质量的影响可忽略不计。综上，柴油桶临时存放环节不构成大气污染源，对周边环境空气质量无影响。</w:t>
            </w:r>
          </w:p>
          <w:p w14:paraId="0E07607C">
            <w:pPr>
              <w:keepNext w:val="0"/>
              <w:keepLines w:val="0"/>
              <w:widowControl/>
              <w:suppressLineNumbers w:val="0"/>
              <w:jc w:val="left"/>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w:t>
            </w:r>
            <w:r>
              <w:rPr>
                <w:rFonts w:hint="default" w:ascii="Times New Roman" w:hAnsi="Times New Roman" w:cs="Times New Roman"/>
                <w:b/>
                <w:bCs/>
                <w:color w:val="000000" w:themeColor="text1"/>
                <w:kern w:val="0"/>
                <w:sz w:val="24"/>
                <w:szCs w:val="24"/>
                <w:lang w:val="en-US" w:eastAsia="zh-CN" w:bidi="ar"/>
                <w14:textFill>
                  <w14:solidFill>
                    <w14:schemeClr w14:val="tx1"/>
                  </w14:solidFill>
                </w14:textFill>
              </w:rPr>
              <w:t>6</w:t>
            </w: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）大气环境影响评价结论</w:t>
            </w:r>
          </w:p>
          <w:p w14:paraId="6AD3C38F">
            <w:pPr>
              <w:keepNext w:val="0"/>
              <w:keepLines w:val="0"/>
              <w:widowControl/>
              <w:suppressLineNumbers w:val="0"/>
              <w:jc w:val="left"/>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4"/>
                <w:szCs w:val="24"/>
                <w:shd w:val="clear" w:fill="FFFFFF"/>
                <w14:textFill>
                  <w14:solidFill>
                    <w14:schemeClr w14:val="tx1"/>
                  </w14:solidFill>
                </w14:textFill>
              </w:rPr>
              <w:t>综上，本项目施工期大气污染物来源明确，排放强度弱，持续时间短，且无长期稳定排放源。施工扬尘、临时堆场扬尘和燃油设备废气在自然扩散条件下可快速稀释，污染物浓度升高具有瞬时性、局部性特点，影响范围有限，不会改变区域环境空气质量功能类别。从大气环境影响角度论证，本项目建设是可行的。</w:t>
            </w:r>
          </w:p>
          <w:p w14:paraId="175113F2">
            <w:pPr>
              <w:autoSpaceDE w:val="0"/>
              <w:autoSpaceDN w:val="0"/>
              <w:ind w:firstLine="0" w:firstLineChars="0"/>
              <w:rPr>
                <w:rFonts w:hint="default" w:ascii="Times New Roman" w:hAnsi="Times New Roman" w:cs="Times New Roman"/>
                <w:b/>
                <w:bCs/>
                <w:color w:val="000000" w:themeColor="text1"/>
                <w:kern w:val="0"/>
                <w14:textFill>
                  <w14:solidFill>
                    <w14:schemeClr w14:val="tx1"/>
                  </w14:solidFill>
                </w14:textFill>
              </w:rPr>
            </w:pPr>
            <w:r>
              <w:rPr>
                <w:rFonts w:hint="default" w:ascii="Times New Roman" w:hAnsi="Times New Roman" w:cs="Times New Roman"/>
                <w:b/>
                <w:bCs/>
                <w:color w:val="000000" w:themeColor="text1"/>
                <w:kern w:val="0"/>
                <w:sz w:val="24"/>
                <w:szCs w:val="24"/>
                <w:lang w:val="en-US" w:eastAsia="zh-CN"/>
                <w14:textFill>
                  <w14:solidFill>
                    <w14:schemeClr w14:val="tx1"/>
                  </w14:solidFill>
                </w14:textFill>
              </w:rPr>
              <w:t>3.</w:t>
            </w:r>
            <w:r>
              <w:rPr>
                <w:rFonts w:hint="default" w:ascii="Times New Roman" w:hAnsi="Times New Roman" w:cs="Times New Roman"/>
                <w:b/>
                <w:bCs/>
                <w:color w:val="000000" w:themeColor="text1"/>
                <w:kern w:val="0"/>
                <w14:textFill>
                  <w14:solidFill>
                    <w14:schemeClr w14:val="tx1"/>
                  </w14:solidFill>
                </w14:textFill>
              </w:rPr>
              <w:t>水环境影响分析</w:t>
            </w:r>
          </w:p>
          <w:p w14:paraId="0B7151B5">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施工期产生的废水主要包括钻井泥浆循环废水、设备冲洗废水和施工人员生活污水。具体影响分析如下：</w:t>
            </w:r>
          </w:p>
          <w:p w14:paraId="1B167EF1">
            <w:pPr>
              <w:bidi w:val="0"/>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（1）钻井泥浆水</w:t>
            </w:r>
          </w:p>
          <w:p w14:paraId="606D1C9A">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钻探过程采用环保型水基泥浆体系，所含助剂（如膨润土、速</w:t>
            </w:r>
            <w:r>
              <w:rPr>
                <w:rFonts w:hint="eastAsia" w:ascii="Times New Roman" w:hAnsi="Times New Roman" w:cs="Times New Roman"/>
                <w:color w:val="000000" w:themeColor="text1"/>
                <w:lang w:val="en-US" w:eastAsia="zh-CN"/>
                <w14:textFill>
                  <w14:solidFill>
                    <w14:schemeClr w14:val="tx1"/>
                  </w14:solidFill>
                </w14:textFill>
              </w:rPr>
              <w:t>凝</w:t>
            </w:r>
            <w:r>
              <w:rPr>
                <w:rFonts w:hint="default" w:ascii="Times New Roman" w:hAnsi="Times New Roman" w:cs="Times New Roman"/>
                <w:color w:val="000000" w:themeColor="text1"/>
                <w:lang w:val="en-US" w:eastAsia="zh-CN"/>
                <w14:textFill>
                  <w14:solidFill>
                    <w14:schemeClr w14:val="tx1"/>
                  </w14:solidFill>
                </w14:textFill>
              </w:rPr>
              <w:t>散、闭</w:t>
            </w:r>
            <w:r>
              <w:rPr>
                <w:rFonts w:hint="eastAsia" w:ascii="Times New Roman" w:hAnsi="Times New Roman" w:cs="Times New Roman"/>
                <w:color w:val="000000" w:themeColor="text1"/>
                <w:lang w:val="en-US" w:eastAsia="zh-CN"/>
                <w14:textFill>
                  <w14:solidFill>
                    <w14:schemeClr w14:val="tx1"/>
                  </w14:solidFill>
                </w14:textFill>
              </w:rPr>
              <w:t>凝</w:t>
            </w:r>
            <w:r>
              <w:rPr>
                <w:rFonts w:hint="default" w:ascii="Times New Roman" w:hAnsi="Times New Roman" w:cs="Times New Roman"/>
                <w:color w:val="000000" w:themeColor="text1"/>
                <w:lang w:val="en-US" w:eastAsia="zh-CN"/>
                <w14:textFill>
                  <w14:solidFill>
                    <w14:schemeClr w14:val="tx1"/>
                  </w14:solidFill>
                </w14:textFill>
              </w:rPr>
              <w:t>散）均为非油基、可生物降解材料，不含重金属、苯系物及有毒有害有机物，符合《绿色勘查规范》和《矿山生态环境保护与恢复治理技术规范》（HJ651-2013）的相关要求。</w:t>
            </w:r>
          </w:p>
          <w:p w14:paraId="1657A5DF">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泥浆在循环使用过程中产生的少量返排废水，经专用管道或柔性导流槽引入勘探作业区附近设置的可拆卸式HDPE防渗双格沉淀池进行自然沉淀。上清液经沉淀后回用于钻机冷却、泥浆复配及循环钻进，水循环利用率≥90%；底部沉积物主要为岩屑、膨润土颗粒等无机物，勘探结束后全部用于钻孔回填或平台覆土，不外排。</w:t>
            </w:r>
          </w:p>
          <w:p w14:paraId="64E8432A">
            <w:pPr>
              <w:bidi w:val="0"/>
              <w:rPr>
                <w:rFonts w:hint="default" w:ascii="Times New Roman" w:hAnsi="Times New Roman" w:cs="Times New Roman"/>
                <w:color w:val="000000" w:themeColor="text1"/>
                <w:kern w:val="0"/>
                <w:szCs w:val="24"/>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施工结束后，所有沉淀池及配套设施将全部拆除并回收，场地恢复原状。该部分废水在闭路循环系统中处理利用，无外排风险，对周边水环境无影响。</w:t>
            </w:r>
          </w:p>
          <w:p w14:paraId="18B8815C">
            <w:pPr>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（2）设备冲洗废水</w:t>
            </w:r>
          </w:p>
          <w:p w14:paraId="0A56A524">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钻探设备在作业间隙或终孔后需要进行冲洗，产生少量冲洗废水。根据工程经验设备冲洗用水量约</w:t>
            </w:r>
            <w:r>
              <w:rPr>
                <w:rFonts w:hint="default" w:ascii="Times New Roman" w:hAnsi="Times New Roman" w:cs="Times New Roman"/>
                <w:color w:val="000000" w:themeColor="text1"/>
                <w:lang w:val="en-US" w:eastAsia="zh-CN"/>
                <w14:textFill>
                  <w14:solidFill>
                    <w14:schemeClr w14:val="tx1"/>
                  </w14:solidFill>
                </w14:textFill>
              </w:rPr>
              <w:t>30</w:t>
            </w:r>
            <w:r>
              <w:rPr>
                <w:rFonts w:hint="default" w:ascii="Times New Roman" w:hAnsi="Times New Roman" w:cs="Times New Roman"/>
                <w:color w:val="000000" w:themeColor="text1"/>
                <w14:textFill>
                  <w14:solidFill>
                    <w14:schemeClr w14:val="tx1"/>
                  </w14:solidFill>
                </w14:textFill>
              </w:rPr>
              <w:t>m³，废水产生量约</w:t>
            </w:r>
            <w:r>
              <w:rPr>
                <w:rFonts w:hint="default" w:ascii="Times New Roman" w:hAnsi="Times New Roman" w:cs="Times New Roman"/>
                <w:color w:val="000000" w:themeColor="text1"/>
                <w:lang w:val="en-US" w:eastAsia="zh-CN"/>
                <w14:textFill>
                  <w14:solidFill>
                    <w14:schemeClr w14:val="tx1"/>
                  </w14:solidFill>
                </w14:textFill>
              </w:rPr>
              <w:t>24</w:t>
            </w:r>
            <w:r>
              <w:rPr>
                <w:rFonts w:hint="default" w:ascii="Times New Roman" w:hAnsi="Times New Roman" w:cs="Times New Roman"/>
                <w:color w:val="000000" w:themeColor="text1"/>
                <w14:textFill>
                  <w14:solidFill>
                    <w14:schemeClr w14:val="tx1"/>
                  </w14:solidFill>
                </w14:textFill>
              </w:rPr>
              <w:t>m³。该废水水质与钻井泥浆废水相近，主要含少量泥浆和悬浮物，不含重金属及有毒有害物质。设备冲洗废水排入</w:t>
            </w:r>
            <w:r>
              <w:rPr>
                <w:rFonts w:hint="default" w:ascii="Times New Roman" w:hAnsi="Times New Roman" w:cs="Times New Roman"/>
                <w:color w:val="000000" w:themeColor="text1"/>
                <w:lang w:val="en-US" w:eastAsia="zh-CN"/>
                <w14:textFill>
                  <w14:solidFill>
                    <w14:schemeClr w14:val="tx1"/>
                  </w14:solidFill>
                </w14:textFill>
              </w:rPr>
              <w:t>防渗</w:t>
            </w:r>
            <w:r>
              <w:rPr>
                <w:rFonts w:hint="default" w:ascii="Times New Roman" w:hAnsi="Times New Roman" w:cs="Times New Roman"/>
                <w:color w:val="000000" w:themeColor="text1"/>
                <w14:textFill>
                  <w14:solidFill>
                    <w14:schemeClr w14:val="tx1"/>
                  </w14:solidFill>
                </w14:textFill>
              </w:rPr>
              <w:t>沉淀池，与钻井泥浆废水一并沉淀处理，上清液回用不向外环境排放。</w:t>
            </w:r>
          </w:p>
          <w:p w14:paraId="555C31EC">
            <w:pPr>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（3）生活污水</w:t>
            </w:r>
          </w:p>
          <w:p w14:paraId="3D3CDC1B">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生活污水产生量约337m³</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主要污染物为COD、NH₃-N、SS等。</w:t>
            </w:r>
            <w:r>
              <w:rPr>
                <w:rFonts w:hint="eastAsia" w:ascii="Times New Roman" w:hAnsi="Times New Roman" w:cs="Times New Roman"/>
                <w:color w:val="000000" w:themeColor="text1"/>
                <w:lang w:val="en-US" w:eastAsia="zh-CN"/>
                <w14:textFill>
                  <w14:solidFill>
                    <w14:schemeClr w14:val="tx1"/>
                  </w14:solidFill>
                </w14:textFill>
              </w:rPr>
              <w:t>临时办公生活营地</w:t>
            </w:r>
            <w:r>
              <w:rPr>
                <w:rFonts w:hint="default" w:ascii="Times New Roman" w:hAnsi="Times New Roman" w:cs="Times New Roman"/>
                <w:color w:val="000000" w:themeColor="text1"/>
                <w14:textFill>
                  <w14:solidFill>
                    <w14:schemeClr w14:val="tx1"/>
                  </w14:solidFill>
                </w14:textFill>
              </w:rPr>
              <w:t>配备移动式防渗环保厕所（密闭储污罐）。生活污水全部收集于储污罐中，定期由吸污车清运至</w:t>
            </w:r>
            <w:r>
              <w:rPr>
                <w:rFonts w:hint="default" w:ascii="Times New Roman" w:hAnsi="Times New Roman" w:cs="Times New Roman"/>
                <w:color w:val="000000" w:themeColor="text1"/>
                <w:lang w:eastAsia="zh-CN"/>
                <w14:textFill>
                  <w14:solidFill>
                    <w14:schemeClr w14:val="tx1"/>
                  </w14:solidFill>
                </w14:textFill>
              </w:rPr>
              <w:t>木垒哈萨克自治县</w:t>
            </w:r>
            <w:r>
              <w:rPr>
                <w:rFonts w:hint="default" w:ascii="Times New Roman" w:hAnsi="Times New Roman" w:cs="Times New Roman"/>
                <w:color w:val="000000" w:themeColor="text1"/>
                <w14:textFill>
                  <w14:solidFill>
                    <w14:schemeClr w14:val="tx1"/>
                  </w14:solidFill>
                </w14:textFill>
              </w:rPr>
              <w:t>污水处理厂集中处理，不向项目区及周边环境排放。</w:t>
            </w:r>
          </w:p>
          <w:p w14:paraId="384473A3">
            <w:pPr>
              <w:bidi w:val="0"/>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（4）水环境影响评价结论</w:t>
            </w:r>
          </w:p>
          <w:p w14:paraId="5F2BE07A">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综上</w:t>
            </w:r>
            <w:r>
              <w:rPr>
                <w:rFonts w:hint="default" w:ascii="Times New Roman" w:hAnsi="Times New Roman" w:eastAsia="Segoe UI" w:cs="Times New Roman"/>
                <w:i w:val="0"/>
                <w:iCs w:val="0"/>
                <w:caps w:val="0"/>
                <w:color w:val="000000" w:themeColor="text1"/>
                <w:spacing w:val="0"/>
                <w:sz w:val="24"/>
                <w:szCs w:val="24"/>
                <w:shd w:val="clear" w:fill="FFFFFF"/>
                <w14:textFill>
                  <w14:solidFill>
                    <w14:schemeClr w14:val="tx1"/>
                  </w14:solidFill>
                </w14:textFill>
              </w:rPr>
              <w:t>本项目施工期废水种类明确、产生量小、水质简单。钻探泥浆及设备冲洗废水通过防渗沉淀池处理后循环回用，生活污水经防渗收集后定期清运至污水处理厂处置，所有废水均实现</w:t>
            </w:r>
            <w:r>
              <w:rPr>
                <w:rFonts w:hint="eastAsia" w:cs="Times New Roman"/>
                <w:i w:val="0"/>
                <w:iCs w:val="0"/>
                <w:caps w:val="0"/>
                <w:color w:val="000000" w:themeColor="text1"/>
                <w:spacing w:val="0"/>
                <w:sz w:val="24"/>
                <w:szCs w:val="24"/>
                <w:shd w:val="clear" w:fill="FFFFFF"/>
                <w:lang w:eastAsia="zh-CN"/>
                <w14:textFill>
                  <w14:solidFill>
                    <w14:schemeClr w14:val="tx1"/>
                  </w14:solidFill>
                </w14:textFill>
              </w:rPr>
              <w:t>“</w:t>
            </w:r>
            <w:r>
              <w:rPr>
                <w:rFonts w:hint="default" w:ascii="Times New Roman" w:hAnsi="Times New Roman" w:eastAsia="Segoe UI" w:cs="Times New Roman"/>
                <w:i w:val="0"/>
                <w:iCs w:val="0"/>
                <w:caps w:val="0"/>
                <w:color w:val="000000" w:themeColor="text1"/>
                <w:spacing w:val="0"/>
                <w:sz w:val="24"/>
                <w:szCs w:val="24"/>
                <w:shd w:val="clear" w:fill="FFFFFF"/>
                <w14:textFill>
                  <w14:solidFill>
                    <w14:schemeClr w14:val="tx1"/>
                  </w14:solidFill>
                </w14:textFill>
              </w:rPr>
              <w:t>零外排</w:t>
            </w:r>
            <w:r>
              <w:rPr>
                <w:rFonts w:hint="eastAsia" w:cs="Times New Roman"/>
                <w:i w:val="0"/>
                <w:iCs w:val="0"/>
                <w:caps w:val="0"/>
                <w:color w:val="000000" w:themeColor="text1"/>
                <w:spacing w:val="0"/>
                <w:sz w:val="24"/>
                <w:szCs w:val="24"/>
                <w:shd w:val="clear" w:fill="FFFFFF"/>
                <w:lang w:eastAsia="zh-CN"/>
                <w14:textFill>
                  <w14:solidFill>
                    <w14:schemeClr w14:val="tx1"/>
                  </w14:solidFill>
                </w14:textFill>
              </w:rPr>
              <w:t>”</w:t>
            </w:r>
            <w:r>
              <w:rPr>
                <w:rFonts w:hint="default" w:ascii="Times New Roman" w:hAnsi="Times New Roman" w:eastAsia="Segoe UI" w:cs="Times New Roman"/>
                <w:i w:val="0"/>
                <w:iCs w:val="0"/>
                <w:caps w:val="0"/>
                <w:color w:val="000000" w:themeColor="text1"/>
                <w:spacing w:val="0"/>
                <w:sz w:val="24"/>
                <w:szCs w:val="24"/>
                <w:shd w:val="clear" w:fill="FFFFFF"/>
                <w14:textFill>
                  <w14:solidFill>
                    <w14:schemeClr w14:val="tx1"/>
                  </w14:solidFill>
                </w14:textFill>
              </w:rPr>
              <w:t>。项目区与地表水体无水力联系，在严格落实上述措施的前提下，项目建设不会对地表水环境产生污染影响。</w:t>
            </w:r>
          </w:p>
          <w:p w14:paraId="35A161DC">
            <w:pPr>
              <w:pStyle w:val="2"/>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声环境影响分析</w:t>
            </w:r>
          </w:p>
          <w:p w14:paraId="1E4DAE44">
            <w:pPr>
              <w:keepNext w:val="0"/>
              <w:keepLines w:val="0"/>
              <w:widowControl/>
              <w:suppressLineNumbers w:val="0"/>
              <w:jc w:val="left"/>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（1）噪声源强识别与源强参数</w:t>
            </w:r>
          </w:p>
          <w:p w14:paraId="4904EEAB">
            <w:pPr>
              <w:keepNext w:val="0"/>
              <w:keepLines w:val="0"/>
              <w:widowControl/>
              <w:suppressLineNumbers w:val="0"/>
              <w:jc w:val="both"/>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4"/>
                <w:szCs w:val="24"/>
                <w:shd w:val="clear" w:fill="FFFFFF"/>
                <w14:textFill>
                  <w14:solidFill>
                    <w14:schemeClr w14:val="tx1"/>
                  </w14:solidFill>
                </w14:textFill>
              </w:rPr>
              <w:t>本项目施工期噪声主要来源于钻探、槽探及辅助设备运行，以及运输车辆通行。</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依据《环境影响评价技术导则—声环境》（HJ 2.4-2021），结合设备选型资料与同类项目类比数据，识别并整理主要噪声源强信息如下表所示：</w:t>
            </w:r>
          </w:p>
          <w:p w14:paraId="1676C657">
            <w:pPr>
              <w:pStyle w:val="5"/>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表4-1    工业企业噪声源强调查清单</w:t>
            </w:r>
          </w:p>
          <w:tbl>
            <w:tblPr>
              <w:tblStyle w:val="13"/>
              <w:tblW w:w="79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5"/>
              <w:gridCol w:w="1319"/>
              <w:gridCol w:w="2476"/>
              <w:gridCol w:w="1247"/>
              <w:gridCol w:w="2253"/>
            </w:tblGrid>
            <w:tr w14:paraId="557D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75" w:type="dxa"/>
                  <w:shd w:val="clear" w:color="auto" w:fill="FFFFFF"/>
                  <w:vAlign w:val="center"/>
                </w:tcPr>
                <w:p w14:paraId="4AF094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序号</w:t>
                  </w:r>
                </w:p>
              </w:tc>
              <w:tc>
                <w:tcPr>
                  <w:tcW w:w="1319" w:type="dxa"/>
                  <w:shd w:val="clear" w:color="auto" w:fill="FFFFFF"/>
                  <w:vAlign w:val="center"/>
                </w:tcPr>
                <w:p w14:paraId="62F0B6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声源名称</w:t>
                  </w:r>
                </w:p>
              </w:tc>
              <w:tc>
                <w:tcPr>
                  <w:tcW w:w="2476" w:type="dxa"/>
                  <w:shd w:val="clear" w:color="auto" w:fill="FFFFFF"/>
                  <w:vAlign w:val="center"/>
                </w:tcPr>
                <w:p w14:paraId="1D8C72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空间相对位置</w:t>
                  </w:r>
                </w:p>
              </w:tc>
              <w:tc>
                <w:tcPr>
                  <w:tcW w:w="1247" w:type="dxa"/>
                  <w:shd w:val="clear" w:color="auto" w:fill="FFFFFF"/>
                  <w:vAlign w:val="center"/>
                </w:tcPr>
                <w:p w14:paraId="1350AB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声压级/距声源距离dB</w:t>
                  </w:r>
                  <w:r>
                    <w:rPr>
                      <w:rFonts w:hint="default" w:ascii="Times New Roman" w:hAnsi="Times New Roman" w:cs="Times New Roman"/>
                      <w:b/>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A</w:t>
                  </w:r>
                  <w:r>
                    <w:rPr>
                      <w:rFonts w:hint="default" w:ascii="Times New Roman" w:hAnsi="Times New Roman" w:cs="Times New Roman"/>
                      <w:b/>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/m</w:t>
                  </w:r>
                </w:p>
              </w:tc>
              <w:tc>
                <w:tcPr>
                  <w:tcW w:w="2253" w:type="dxa"/>
                  <w:shd w:val="clear" w:color="auto" w:fill="FFFFFF"/>
                  <w:vAlign w:val="center"/>
                </w:tcPr>
                <w:p w14:paraId="50023D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声源控制措施</w:t>
                  </w:r>
                </w:p>
              </w:tc>
            </w:tr>
            <w:tr w14:paraId="54CA8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5" w:type="dxa"/>
                  <w:shd w:val="clear" w:color="auto" w:fill="auto"/>
                  <w:noWrap/>
                  <w:vAlign w:val="center"/>
                </w:tcPr>
                <w:p w14:paraId="38BC2C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1319" w:type="dxa"/>
                  <w:shd w:val="clear" w:color="auto" w:fill="auto"/>
                  <w:noWrap/>
                  <w:vAlign w:val="center"/>
                </w:tcPr>
                <w:p w14:paraId="4E389C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全液压岩心钻机</w:t>
                  </w:r>
                </w:p>
              </w:tc>
              <w:tc>
                <w:tcPr>
                  <w:tcW w:w="2476" w:type="dxa"/>
                  <w:shd w:val="clear" w:color="auto" w:fill="auto"/>
                  <w:noWrap/>
                  <w:vAlign w:val="center"/>
                </w:tcPr>
                <w:p w14:paraId="3EF739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各</w:t>
                  </w:r>
                  <w:r>
                    <w:rPr>
                      <w:rFonts w:hint="default" w:ascii="Times New Roman" w:hAnsi="Times New Roman" w:cs="Times New Roman"/>
                      <w:color w:val="000000" w:themeColor="text1"/>
                      <w:sz w:val="21"/>
                      <w:szCs w:val="21"/>
                      <w:lang w:val="en-US" w:eastAsia="zh-CN"/>
                      <w14:textFill>
                        <w14:solidFill>
                          <w14:schemeClr w14:val="tx1"/>
                        </w14:solidFill>
                      </w14:textFill>
                    </w:rPr>
                    <w:t>勘探作业区</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（分散布置）</w:t>
                  </w:r>
                </w:p>
              </w:tc>
              <w:tc>
                <w:tcPr>
                  <w:tcW w:w="1247" w:type="dxa"/>
                  <w:shd w:val="clear" w:color="auto" w:fill="FFFFFF"/>
                  <w:vAlign w:val="center"/>
                </w:tcPr>
                <w:p w14:paraId="79C6CC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90/1</w:t>
                  </w:r>
                </w:p>
              </w:tc>
              <w:tc>
                <w:tcPr>
                  <w:tcW w:w="2253" w:type="dxa"/>
                  <w:shd w:val="clear" w:color="auto" w:fill="auto"/>
                  <w:noWrap/>
                  <w:vAlign w:val="center"/>
                </w:tcPr>
                <w:p w14:paraId="740281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选用低噪声设备、安装减振垫、加强维护保养</w:t>
                  </w:r>
                </w:p>
              </w:tc>
            </w:tr>
            <w:tr w14:paraId="5AC3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75" w:type="dxa"/>
                  <w:shd w:val="clear" w:color="auto" w:fill="auto"/>
                  <w:noWrap/>
                  <w:vAlign w:val="center"/>
                </w:tcPr>
                <w:p w14:paraId="7AFEAE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c>
                <w:tcPr>
                  <w:tcW w:w="1319" w:type="dxa"/>
                  <w:shd w:val="clear" w:color="auto" w:fill="auto"/>
                  <w:noWrap/>
                  <w:vAlign w:val="center"/>
                </w:tcPr>
                <w:p w14:paraId="4DE73D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泥浆泵</w:t>
                  </w:r>
                </w:p>
              </w:tc>
              <w:tc>
                <w:tcPr>
                  <w:tcW w:w="2476" w:type="dxa"/>
                  <w:shd w:val="clear" w:color="auto" w:fill="auto"/>
                  <w:noWrap/>
                  <w:vAlign w:val="center"/>
                </w:tcPr>
                <w:p w14:paraId="73AD47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各</w:t>
                  </w:r>
                  <w:r>
                    <w:rPr>
                      <w:rFonts w:hint="default" w:ascii="Times New Roman" w:hAnsi="Times New Roman" w:cs="Times New Roman"/>
                      <w:color w:val="000000" w:themeColor="text1"/>
                      <w:sz w:val="21"/>
                      <w:szCs w:val="21"/>
                      <w:lang w:val="en-US" w:eastAsia="zh-CN"/>
                      <w14:textFill>
                        <w14:solidFill>
                          <w14:schemeClr w14:val="tx1"/>
                        </w14:solidFill>
                      </w14:textFill>
                    </w:rPr>
                    <w:t>勘探作业区</w:t>
                  </w:r>
                </w:p>
              </w:tc>
              <w:tc>
                <w:tcPr>
                  <w:tcW w:w="1247" w:type="dxa"/>
                  <w:shd w:val="clear" w:color="auto" w:fill="FFFFFF"/>
                  <w:vAlign w:val="center"/>
                </w:tcPr>
                <w:p w14:paraId="442A1C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85/1</w:t>
                  </w:r>
                </w:p>
              </w:tc>
              <w:tc>
                <w:tcPr>
                  <w:tcW w:w="2253" w:type="dxa"/>
                  <w:shd w:val="clear" w:color="auto" w:fill="auto"/>
                  <w:noWrap/>
                  <w:vAlign w:val="center"/>
                </w:tcPr>
                <w:p w14:paraId="1CE6AF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基础减振、柔性连接</w:t>
                  </w:r>
                </w:p>
              </w:tc>
            </w:tr>
            <w:tr w14:paraId="5F00E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75" w:type="dxa"/>
                  <w:shd w:val="clear" w:color="auto" w:fill="auto"/>
                  <w:noWrap/>
                  <w:vAlign w:val="center"/>
                </w:tcPr>
                <w:p w14:paraId="02C376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1319" w:type="dxa"/>
                  <w:shd w:val="clear" w:color="auto" w:fill="auto"/>
                  <w:noWrap/>
                  <w:vAlign w:val="center"/>
                </w:tcPr>
                <w:p w14:paraId="79975D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泥浆搅拌机</w:t>
                  </w:r>
                </w:p>
              </w:tc>
              <w:tc>
                <w:tcPr>
                  <w:tcW w:w="2476" w:type="dxa"/>
                  <w:shd w:val="clear" w:color="auto" w:fill="auto"/>
                  <w:noWrap/>
                  <w:vAlign w:val="center"/>
                </w:tcPr>
                <w:p w14:paraId="14EECD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各</w:t>
                  </w:r>
                  <w:r>
                    <w:rPr>
                      <w:rFonts w:hint="default" w:ascii="Times New Roman" w:hAnsi="Times New Roman" w:cs="Times New Roman"/>
                      <w:color w:val="000000" w:themeColor="text1"/>
                      <w:sz w:val="21"/>
                      <w:szCs w:val="21"/>
                      <w:lang w:val="en-US" w:eastAsia="zh-CN"/>
                      <w14:textFill>
                        <w14:solidFill>
                          <w14:schemeClr w14:val="tx1"/>
                        </w14:solidFill>
                      </w14:textFill>
                    </w:rPr>
                    <w:t>勘探作业区</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（临时）</w:t>
                  </w:r>
                </w:p>
              </w:tc>
              <w:tc>
                <w:tcPr>
                  <w:tcW w:w="1247" w:type="dxa"/>
                  <w:shd w:val="clear" w:color="auto" w:fill="FFFFFF"/>
                  <w:vAlign w:val="center"/>
                </w:tcPr>
                <w:p w14:paraId="46B780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80/1</w:t>
                  </w:r>
                </w:p>
              </w:tc>
              <w:tc>
                <w:tcPr>
                  <w:tcW w:w="2253" w:type="dxa"/>
                  <w:shd w:val="clear" w:color="auto" w:fill="auto"/>
                  <w:noWrap/>
                  <w:vAlign w:val="center"/>
                </w:tcPr>
                <w:p w14:paraId="45C0F1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基础减振</w:t>
                  </w:r>
                </w:p>
              </w:tc>
            </w:tr>
            <w:tr w14:paraId="09B7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5" w:type="dxa"/>
                  <w:shd w:val="clear" w:color="auto" w:fill="auto"/>
                  <w:noWrap/>
                  <w:vAlign w:val="center"/>
                </w:tcPr>
                <w:p w14:paraId="7E9A2A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p>
              </w:tc>
              <w:tc>
                <w:tcPr>
                  <w:tcW w:w="1319" w:type="dxa"/>
                  <w:shd w:val="clear" w:color="auto" w:fill="auto"/>
                  <w:noWrap/>
                  <w:vAlign w:val="center"/>
                </w:tcPr>
                <w:p w14:paraId="4C8CA1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小型挖掘机</w:t>
                  </w:r>
                </w:p>
              </w:tc>
              <w:tc>
                <w:tcPr>
                  <w:tcW w:w="2476" w:type="dxa"/>
                  <w:shd w:val="clear" w:color="auto" w:fill="auto"/>
                  <w:noWrap/>
                  <w:vAlign w:val="center"/>
                </w:tcPr>
                <w:p w14:paraId="65840E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槽探作业点（分散）</w:t>
                  </w:r>
                </w:p>
              </w:tc>
              <w:tc>
                <w:tcPr>
                  <w:tcW w:w="1247" w:type="dxa"/>
                  <w:shd w:val="clear" w:color="auto" w:fill="FFFFFF"/>
                  <w:vAlign w:val="center"/>
                </w:tcPr>
                <w:p w14:paraId="5C2F59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90/1</w:t>
                  </w:r>
                </w:p>
              </w:tc>
              <w:tc>
                <w:tcPr>
                  <w:tcW w:w="2253" w:type="dxa"/>
                  <w:shd w:val="clear" w:color="auto" w:fill="auto"/>
                  <w:noWrap/>
                  <w:vAlign w:val="center"/>
                </w:tcPr>
                <w:p w14:paraId="39CF24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选用低噪声设备、定期保养</w:t>
                  </w:r>
                </w:p>
              </w:tc>
            </w:tr>
            <w:tr w14:paraId="5687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75" w:type="dxa"/>
                  <w:shd w:val="clear" w:color="auto" w:fill="auto"/>
                  <w:noWrap/>
                  <w:vAlign w:val="center"/>
                </w:tcPr>
                <w:p w14:paraId="559AD4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1319" w:type="dxa"/>
                  <w:shd w:val="clear" w:color="auto" w:fill="auto"/>
                  <w:noWrap/>
                  <w:vAlign w:val="center"/>
                </w:tcPr>
                <w:p w14:paraId="6308C7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柴油发电机</w:t>
                  </w:r>
                </w:p>
              </w:tc>
              <w:tc>
                <w:tcPr>
                  <w:tcW w:w="2476" w:type="dxa"/>
                  <w:shd w:val="clear" w:color="auto" w:fill="auto"/>
                  <w:noWrap/>
                  <w:vAlign w:val="center"/>
                </w:tcPr>
                <w:p w14:paraId="063FDA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各</w:t>
                  </w:r>
                  <w:r>
                    <w:rPr>
                      <w:rFonts w:hint="default" w:ascii="Times New Roman" w:hAnsi="Times New Roman" w:cs="Times New Roman"/>
                      <w:color w:val="000000" w:themeColor="text1"/>
                      <w:sz w:val="21"/>
                      <w:szCs w:val="21"/>
                      <w:lang w:val="en-US" w:eastAsia="zh-CN"/>
                      <w14:textFill>
                        <w14:solidFill>
                          <w14:schemeClr w14:val="tx1"/>
                        </w14:solidFill>
                      </w14:textFill>
                    </w:rPr>
                    <w:t>勘探作业区</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、临时营地</w:t>
                  </w:r>
                </w:p>
              </w:tc>
              <w:tc>
                <w:tcPr>
                  <w:tcW w:w="1247" w:type="dxa"/>
                  <w:shd w:val="clear" w:color="auto" w:fill="FFFFFF"/>
                  <w:noWrap/>
                  <w:vAlign w:val="center"/>
                </w:tcPr>
                <w:p w14:paraId="69B3D3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95/1</w:t>
                  </w:r>
                </w:p>
              </w:tc>
              <w:tc>
                <w:tcPr>
                  <w:tcW w:w="2253" w:type="dxa"/>
                  <w:shd w:val="clear" w:color="auto" w:fill="auto"/>
                  <w:noWrap/>
                  <w:vAlign w:val="center"/>
                </w:tcPr>
                <w:p w14:paraId="02B052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设置减振基座</w:t>
                  </w:r>
                </w:p>
              </w:tc>
            </w:tr>
            <w:tr w14:paraId="17B4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75" w:type="dxa"/>
                  <w:shd w:val="clear" w:color="auto" w:fill="auto"/>
                  <w:noWrap/>
                  <w:vAlign w:val="center"/>
                </w:tcPr>
                <w:p w14:paraId="34D9E9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w:t>
                  </w:r>
                </w:p>
              </w:tc>
              <w:tc>
                <w:tcPr>
                  <w:tcW w:w="1319" w:type="dxa"/>
                  <w:shd w:val="clear" w:color="auto" w:fill="auto"/>
                  <w:noWrap/>
                  <w:vAlign w:val="center"/>
                </w:tcPr>
                <w:p w14:paraId="30F75B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运输车辆</w:t>
                  </w:r>
                </w:p>
              </w:tc>
              <w:tc>
                <w:tcPr>
                  <w:tcW w:w="2476" w:type="dxa"/>
                  <w:shd w:val="clear" w:color="auto" w:fill="auto"/>
                  <w:noWrap/>
                  <w:vAlign w:val="center"/>
                </w:tcPr>
                <w:p w14:paraId="6D3DEB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临时道路（移动源）</w:t>
                  </w:r>
                </w:p>
              </w:tc>
              <w:tc>
                <w:tcPr>
                  <w:tcW w:w="1247" w:type="dxa"/>
                  <w:shd w:val="clear" w:color="auto" w:fill="FFFFFF"/>
                  <w:vAlign w:val="center"/>
                </w:tcPr>
                <w:p w14:paraId="544933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80/1</w:t>
                  </w:r>
                </w:p>
              </w:tc>
              <w:tc>
                <w:tcPr>
                  <w:tcW w:w="2253" w:type="dxa"/>
                  <w:shd w:val="clear" w:color="auto" w:fill="auto"/>
                  <w:noWrap/>
                  <w:vAlign w:val="center"/>
                </w:tcPr>
                <w:p w14:paraId="071954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限速行驶、禁止鸣笛</w:t>
                  </w:r>
                </w:p>
              </w:tc>
            </w:tr>
            <w:tr w14:paraId="2CB3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75" w:type="dxa"/>
                  <w:shd w:val="clear" w:color="auto" w:fill="auto"/>
                  <w:noWrap/>
                  <w:vAlign w:val="center"/>
                </w:tcPr>
                <w:p w14:paraId="770F5C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w:t>
                  </w:r>
                </w:p>
              </w:tc>
              <w:tc>
                <w:tcPr>
                  <w:tcW w:w="1319" w:type="dxa"/>
                  <w:shd w:val="clear" w:color="auto" w:fill="auto"/>
                  <w:noWrap/>
                  <w:vAlign w:val="center"/>
                </w:tcPr>
                <w:p w14:paraId="477984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岩芯切割机</w:t>
                  </w:r>
                </w:p>
              </w:tc>
              <w:tc>
                <w:tcPr>
                  <w:tcW w:w="2476" w:type="dxa"/>
                  <w:shd w:val="clear" w:color="auto" w:fill="auto"/>
                  <w:noWrap/>
                  <w:vAlign w:val="center"/>
                </w:tcPr>
                <w:p w14:paraId="731861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临时样品加工点</w:t>
                  </w:r>
                </w:p>
              </w:tc>
              <w:tc>
                <w:tcPr>
                  <w:tcW w:w="1247" w:type="dxa"/>
                  <w:shd w:val="clear" w:color="auto" w:fill="FFFFFF"/>
                  <w:vAlign w:val="center"/>
                </w:tcPr>
                <w:p w14:paraId="008CCB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85/1</w:t>
                  </w:r>
                </w:p>
              </w:tc>
              <w:tc>
                <w:tcPr>
                  <w:tcW w:w="2253" w:type="dxa"/>
                  <w:shd w:val="clear" w:color="auto" w:fill="auto"/>
                  <w:noWrap/>
                  <w:vAlign w:val="center"/>
                </w:tcPr>
                <w:p w14:paraId="6A33C0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基础减振、定期维护</w:t>
                  </w:r>
                </w:p>
              </w:tc>
            </w:tr>
          </w:tbl>
          <w:p w14:paraId="5CB7B9A3">
            <w:pPr>
              <w:keepNext w:val="0"/>
              <w:keepLines w:val="0"/>
              <w:widowControl/>
              <w:suppressLineNumbers w:val="0"/>
              <w:jc w:val="left"/>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（2）噪声影响分析</w:t>
            </w:r>
          </w:p>
          <w:p w14:paraId="73E00C85">
            <w:pPr>
              <w:bidi w:val="0"/>
              <w:rPr>
                <w:rFonts w:hint="default" w:ascii="Times New Roman" w:hAnsi="Times New Roman" w:cs="Times New Roman"/>
              </w:rPr>
            </w:pPr>
            <w:r>
              <w:rPr>
                <w:rFonts w:hint="default" w:ascii="Times New Roman" w:hAnsi="Times New Roman" w:cs="Times New Roman"/>
              </w:rPr>
              <w:t>本项目施工期噪声源主要为钻机、泥浆泵、挖掘机、柴油发电机、运输车辆等，各作业点分散布置于3.56km²勘查区内。本次评价采用点声源几何发散衰减模型，综合考虑同一作业平台内多个设备同时运行的噪声叠加影响。以单个</w:t>
            </w:r>
            <w:r>
              <w:rPr>
                <w:rFonts w:hint="default" w:ascii="Times New Roman" w:hAnsi="Times New Roman" w:cs="Times New Roman"/>
                <w:lang w:eastAsia="zh-CN"/>
              </w:rPr>
              <w:t>勘探作业区</w:t>
            </w:r>
            <w:r>
              <w:rPr>
                <w:rFonts w:hint="default" w:ascii="Times New Roman" w:hAnsi="Times New Roman" w:cs="Times New Roman"/>
              </w:rPr>
              <w:t>为例，该平台内同时运行的设备包括全液压岩心钻机源强90dB</w:t>
            </w:r>
            <w:r>
              <w:rPr>
                <w:rFonts w:hint="default" w:ascii="Times New Roman" w:hAnsi="Times New Roman" w:cs="Times New Roman"/>
                <w:lang w:eastAsia="zh-CN"/>
              </w:rPr>
              <w:t>（</w:t>
            </w:r>
            <w:r>
              <w:rPr>
                <w:rFonts w:hint="default" w:ascii="Times New Roman" w:hAnsi="Times New Roman" w:cs="Times New Roman"/>
              </w:rPr>
              <w:t>A</w:t>
            </w:r>
            <w:r>
              <w:rPr>
                <w:rFonts w:hint="default" w:ascii="Times New Roman" w:hAnsi="Times New Roman" w:cs="Times New Roman"/>
                <w:lang w:eastAsia="zh-CN"/>
              </w:rPr>
              <w:t>）</w:t>
            </w:r>
            <w:r>
              <w:rPr>
                <w:rFonts w:hint="default" w:ascii="Times New Roman" w:hAnsi="Times New Roman" w:cs="Times New Roman"/>
              </w:rPr>
              <w:t>、泥浆泵85dB</w:t>
            </w:r>
            <w:r>
              <w:rPr>
                <w:rFonts w:hint="default" w:ascii="Times New Roman" w:hAnsi="Times New Roman" w:cs="Times New Roman"/>
                <w:lang w:eastAsia="zh-CN"/>
              </w:rPr>
              <w:t>（</w:t>
            </w:r>
            <w:r>
              <w:rPr>
                <w:rFonts w:hint="default" w:ascii="Times New Roman" w:hAnsi="Times New Roman" w:cs="Times New Roman"/>
              </w:rPr>
              <w:t>A</w:t>
            </w:r>
            <w:r>
              <w:rPr>
                <w:rFonts w:hint="default" w:ascii="Times New Roman" w:hAnsi="Times New Roman" w:cs="Times New Roman"/>
                <w:lang w:eastAsia="zh-CN"/>
              </w:rPr>
              <w:t>）</w:t>
            </w:r>
            <w:r>
              <w:rPr>
                <w:rFonts w:hint="default" w:ascii="Times New Roman" w:hAnsi="Times New Roman" w:cs="Times New Roman"/>
              </w:rPr>
              <w:t>、泥浆搅拌机80dB</w:t>
            </w:r>
            <w:r>
              <w:rPr>
                <w:rFonts w:hint="default" w:ascii="Times New Roman" w:hAnsi="Times New Roman" w:cs="Times New Roman"/>
                <w:lang w:eastAsia="zh-CN"/>
              </w:rPr>
              <w:t>（</w:t>
            </w:r>
            <w:r>
              <w:rPr>
                <w:rFonts w:hint="default" w:ascii="Times New Roman" w:hAnsi="Times New Roman" w:cs="Times New Roman"/>
              </w:rPr>
              <w:t>A</w:t>
            </w:r>
            <w:r>
              <w:rPr>
                <w:rFonts w:hint="default" w:ascii="Times New Roman" w:hAnsi="Times New Roman" w:cs="Times New Roman"/>
                <w:lang w:eastAsia="zh-CN"/>
              </w:rPr>
              <w:t>）</w:t>
            </w:r>
            <w:r>
              <w:rPr>
                <w:rFonts w:hint="default" w:ascii="Times New Roman" w:hAnsi="Times New Roman" w:cs="Times New Roman"/>
              </w:rPr>
              <w:t>及柴油发电机95dB</w:t>
            </w:r>
            <w:r>
              <w:rPr>
                <w:rFonts w:hint="default" w:ascii="Times New Roman" w:hAnsi="Times New Roman" w:cs="Times New Roman"/>
                <w:lang w:eastAsia="zh-CN"/>
              </w:rPr>
              <w:t>（</w:t>
            </w:r>
            <w:r>
              <w:rPr>
                <w:rFonts w:hint="default" w:ascii="Times New Roman" w:hAnsi="Times New Roman" w:cs="Times New Roman"/>
              </w:rPr>
              <w:t>A</w:t>
            </w:r>
            <w:r>
              <w:rPr>
                <w:rFonts w:hint="default" w:ascii="Times New Roman" w:hAnsi="Times New Roman" w:cs="Times New Roman"/>
                <w:lang w:eastAsia="zh-CN"/>
              </w:rPr>
              <w:t>）</w:t>
            </w:r>
            <w:r>
              <w:rPr>
                <w:rFonts w:hint="default" w:ascii="Times New Roman" w:hAnsi="Times New Roman" w:cs="Times New Roman"/>
              </w:rPr>
              <w:t>，多台设备叠加后声级按能量叠加公式计算约为96.2dB</w:t>
            </w:r>
            <w:r>
              <w:rPr>
                <w:rFonts w:hint="default" w:ascii="Times New Roman" w:hAnsi="Times New Roman" w:cs="Times New Roman"/>
                <w:lang w:eastAsia="zh-CN"/>
              </w:rPr>
              <w:t>（</w:t>
            </w:r>
            <w:r>
              <w:rPr>
                <w:rFonts w:hint="default" w:ascii="Times New Roman" w:hAnsi="Times New Roman" w:cs="Times New Roman"/>
              </w:rPr>
              <w:t>A</w:t>
            </w:r>
            <w:r>
              <w:rPr>
                <w:rFonts w:hint="default" w:ascii="Times New Roman" w:hAnsi="Times New Roman" w:cs="Times New Roman"/>
                <w:lang w:eastAsia="zh-CN"/>
              </w:rPr>
              <w:t>）</w:t>
            </w:r>
            <w:r>
              <w:rPr>
                <w:rFonts w:hint="default" w:ascii="Times New Roman" w:hAnsi="Times New Roman" w:cs="Times New Roman"/>
              </w:rPr>
              <w:t>。按此叠加源强预测，经50m衰减后声级约62.2dB</w:t>
            </w:r>
            <w:r>
              <w:rPr>
                <w:rFonts w:hint="default" w:ascii="Times New Roman" w:hAnsi="Times New Roman" w:cs="Times New Roman"/>
                <w:lang w:eastAsia="zh-CN"/>
              </w:rPr>
              <w:t>（</w:t>
            </w:r>
            <w:r>
              <w:rPr>
                <w:rFonts w:hint="default" w:ascii="Times New Roman" w:hAnsi="Times New Roman" w:cs="Times New Roman"/>
              </w:rPr>
              <w:t>A</w:t>
            </w:r>
            <w:r>
              <w:rPr>
                <w:rFonts w:hint="default" w:ascii="Times New Roman" w:hAnsi="Times New Roman" w:cs="Times New Roman"/>
                <w:lang w:eastAsia="zh-CN"/>
              </w:rPr>
              <w:t>）</w:t>
            </w:r>
            <w:r>
              <w:rPr>
                <w:rFonts w:hint="default" w:ascii="Times New Roman" w:hAnsi="Times New Roman" w:cs="Times New Roman"/>
              </w:rPr>
              <w:t>，100m处约56.2dB</w:t>
            </w:r>
            <w:r>
              <w:rPr>
                <w:rFonts w:hint="default" w:ascii="Times New Roman" w:hAnsi="Times New Roman" w:cs="Times New Roman"/>
                <w:lang w:eastAsia="zh-CN"/>
              </w:rPr>
              <w:t>（</w:t>
            </w:r>
            <w:r>
              <w:rPr>
                <w:rFonts w:hint="default" w:ascii="Times New Roman" w:hAnsi="Times New Roman" w:cs="Times New Roman"/>
              </w:rPr>
              <w:t>A</w:t>
            </w:r>
            <w:r>
              <w:rPr>
                <w:rFonts w:hint="default" w:ascii="Times New Roman" w:hAnsi="Times New Roman" w:cs="Times New Roman"/>
                <w:lang w:eastAsia="zh-CN"/>
              </w:rPr>
              <w:t>）</w:t>
            </w:r>
            <w:r>
              <w:rPr>
                <w:rFonts w:hint="default" w:ascii="Times New Roman" w:hAnsi="Times New Roman" w:cs="Times New Roman"/>
              </w:rPr>
              <w:t>，200m处约50.2dB</w:t>
            </w:r>
            <w:r>
              <w:rPr>
                <w:rFonts w:hint="default" w:ascii="Times New Roman" w:hAnsi="Times New Roman" w:cs="Times New Roman"/>
                <w:lang w:eastAsia="zh-CN"/>
              </w:rPr>
              <w:t>（</w:t>
            </w:r>
            <w:r>
              <w:rPr>
                <w:rFonts w:hint="default" w:ascii="Times New Roman" w:hAnsi="Times New Roman" w:cs="Times New Roman"/>
              </w:rPr>
              <w:t>A</w:t>
            </w:r>
            <w:r>
              <w:rPr>
                <w:rFonts w:hint="default" w:ascii="Times New Roman" w:hAnsi="Times New Roman" w:cs="Times New Roman"/>
                <w:lang w:eastAsia="zh-CN"/>
              </w:rPr>
              <w:t>）</w:t>
            </w:r>
            <w:r>
              <w:rPr>
                <w:rFonts w:hint="default" w:ascii="Times New Roman" w:hAnsi="Times New Roman" w:cs="Times New Roman"/>
              </w:rPr>
              <w:t>。</w:t>
            </w:r>
          </w:p>
          <w:p w14:paraId="3F655026">
            <w:pPr>
              <w:bidi w:val="0"/>
              <w:rPr>
                <w:rFonts w:hint="default" w:ascii="Times New Roman" w:hAnsi="Times New Roman" w:cs="Times New Roman"/>
              </w:rPr>
            </w:pPr>
            <w:r>
              <w:rPr>
                <w:rFonts w:hint="default" w:ascii="Times New Roman" w:hAnsi="Times New Roman" w:cs="Times New Roman"/>
              </w:rPr>
              <w:t>项目区地处荒漠地带，</w:t>
            </w:r>
            <w:r>
              <w:rPr>
                <w:rFonts w:hint="default" w:ascii="Times New Roman" w:hAnsi="Times New Roman" w:cs="Times New Roman"/>
                <w:lang w:val="en-US" w:eastAsia="zh-CN"/>
              </w:rPr>
              <w:t>200m范围内</w:t>
            </w:r>
            <w:r>
              <w:rPr>
                <w:rFonts w:hint="default" w:ascii="Times New Roman" w:hAnsi="Times New Roman" w:cs="Times New Roman"/>
              </w:rPr>
              <w:t>无居民点、学校、医院等声环境敏感目标，且各作业点分散布置，单一平台设备噪声经距离衰减后对</w:t>
            </w:r>
            <w:r>
              <w:rPr>
                <w:rFonts w:hint="eastAsia" w:ascii="Times New Roman" w:hAnsi="Times New Roman" w:cs="Times New Roman"/>
                <w:lang w:eastAsia="zh-CN"/>
              </w:rPr>
              <w:t>厂</w:t>
            </w:r>
            <w:r>
              <w:rPr>
                <w:rFonts w:hint="default" w:ascii="Times New Roman" w:hAnsi="Times New Roman" w:cs="Times New Roman"/>
              </w:rPr>
              <w:t>界贡献值较低。评价要求：施工中优先选用低噪声、液压驱动的设备，对柴油发电机等强噪声源设置减振基座或隔声罩；合理安排作业时间，以昼间作业为主。通过采取上述措施，场界噪声可满足《建筑施工场界环境噪声排放标准》（GB 12523-20</w:t>
            </w:r>
            <w:r>
              <w:rPr>
                <w:rFonts w:hint="default" w:ascii="Times New Roman" w:hAnsi="Times New Roman" w:cs="Times New Roman"/>
                <w:lang w:val="en-US" w:eastAsia="zh-CN"/>
              </w:rPr>
              <w:t>25</w:t>
            </w:r>
            <w:r>
              <w:rPr>
                <w:rFonts w:hint="default" w:ascii="Times New Roman" w:hAnsi="Times New Roman" w:cs="Times New Roman"/>
              </w:rPr>
              <w:t>）昼间70dB</w:t>
            </w:r>
            <w:r>
              <w:rPr>
                <w:rFonts w:hint="default" w:ascii="Times New Roman" w:hAnsi="Times New Roman" w:cs="Times New Roman"/>
                <w:lang w:eastAsia="zh-CN"/>
              </w:rPr>
              <w:t>（</w:t>
            </w:r>
            <w:r>
              <w:rPr>
                <w:rFonts w:hint="default" w:ascii="Times New Roman" w:hAnsi="Times New Roman" w:cs="Times New Roman"/>
              </w:rPr>
              <w:t>A</w:t>
            </w:r>
            <w:r>
              <w:rPr>
                <w:rFonts w:hint="default" w:ascii="Times New Roman" w:hAnsi="Times New Roman" w:cs="Times New Roman"/>
                <w:lang w:eastAsia="zh-CN"/>
              </w:rPr>
              <w:t>）</w:t>
            </w:r>
            <w:r>
              <w:rPr>
                <w:rFonts w:hint="default" w:ascii="Times New Roman" w:hAnsi="Times New Roman" w:cs="Times New Roman"/>
              </w:rPr>
              <w:t>、夜间55dB</w:t>
            </w:r>
            <w:r>
              <w:rPr>
                <w:rFonts w:hint="default" w:ascii="Times New Roman" w:hAnsi="Times New Roman" w:cs="Times New Roman"/>
                <w:lang w:eastAsia="zh-CN"/>
              </w:rPr>
              <w:t>（</w:t>
            </w:r>
            <w:r>
              <w:rPr>
                <w:rFonts w:hint="default" w:ascii="Times New Roman" w:hAnsi="Times New Roman" w:cs="Times New Roman"/>
              </w:rPr>
              <w:t>A</w:t>
            </w:r>
            <w:r>
              <w:rPr>
                <w:rFonts w:hint="default" w:ascii="Times New Roman" w:hAnsi="Times New Roman" w:cs="Times New Roman"/>
                <w:lang w:eastAsia="zh-CN"/>
              </w:rPr>
              <w:t>）</w:t>
            </w:r>
            <w:r>
              <w:rPr>
                <w:rFonts w:hint="default" w:ascii="Times New Roman" w:hAnsi="Times New Roman" w:cs="Times New Roman"/>
              </w:rPr>
              <w:t>的限值要求。</w:t>
            </w:r>
          </w:p>
          <w:p w14:paraId="406D5ABD">
            <w:pPr>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（3）噪声影响评价结论</w:t>
            </w:r>
          </w:p>
          <w:p w14:paraId="0E0FC18B">
            <w:pPr>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本项目施工期噪声源强有限，作业点分散，评价范围内无声环境敏感目标</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在采取低噪声设备、昼间作业、合理布局及设备维护等常规控制措施的前提下，场界噪声可达标，不会对周边环境造成噪声</w:t>
            </w:r>
            <w:r>
              <w:rPr>
                <w:rFonts w:hint="default" w:ascii="Times New Roman" w:hAnsi="Times New Roman" w:cs="Times New Roman"/>
                <w:color w:val="000000" w:themeColor="text1"/>
                <w:lang w:val="en-US" w:eastAsia="zh-CN"/>
                <w14:textFill>
                  <w14:solidFill>
                    <w14:schemeClr w14:val="tx1"/>
                  </w14:solidFill>
                </w14:textFill>
              </w:rPr>
              <w:t>影响</w:t>
            </w:r>
            <w:r>
              <w:rPr>
                <w:rFonts w:hint="default" w:ascii="Times New Roman" w:hAnsi="Times New Roman" w:cs="Times New Roman"/>
                <w:color w:val="000000" w:themeColor="text1"/>
                <w14:textFill>
                  <w14:solidFill>
                    <w14:schemeClr w14:val="tx1"/>
                  </w14:solidFill>
                </w14:textFill>
              </w:rPr>
              <w:t>。</w:t>
            </w:r>
          </w:p>
          <w:p w14:paraId="233F6EDC">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pPr>
            <w:r>
              <w:rPr>
                <w:rFonts w:hint="default" w:ascii="Times New Roman" w:hAnsi="Times New Roman" w:cs="Times New Roman"/>
                <w:b/>
                <w:bCs/>
                <w:color w:val="000000" w:themeColor="text1"/>
                <w:kern w:val="0"/>
                <w:sz w:val="24"/>
                <w:szCs w:val="24"/>
                <w:lang w:val="en-US" w:eastAsia="zh-CN"/>
                <w14:textFill>
                  <w14:solidFill>
                    <w14:schemeClr w14:val="tx1"/>
                  </w14:solidFill>
                </w14:textFill>
              </w:rPr>
              <w:t>5.</w:t>
            </w:r>
            <w:r>
              <w:rPr>
                <w:rFonts w:hint="default" w:ascii="Times New Roman" w:hAnsi="Times New Roman" w:cs="Times New Roman"/>
                <w:b/>
                <w:bCs/>
                <w:color w:val="000000" w:themeColor="text1"/>
                <w:kern w:val="0"/>
                <w14:textFill>
                  <w14:solidFill>
                    <w14:schemeClr w14:val="tx1"/>
                  </w14:solidFill>
                </w14:textFill>
              </w:rPr>
              <w:t>固体废物影响分析</w:t>
            </w:r>
          </w:p>
          <w:p w14:paraId="3EF20ADC">
            <w:pPr>
              <w:keepNext w:val="0"/>
              <w:keepLines w:val="0"/>
              <w:widowControl/>
              <w:suppressLineNumbers w:val="0"/>
              <w:jc w:val="left"/>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w:t>
            </w:r>
            <w:r>
              <w:rPr>
                <w:rFonts w:hint="default" w:ascii="Times New Roman" w:hAnsi="Times New Roman" w:cs="Times New Roman"/>
                <w:b/>
                <w:bCs/>
                <w:color w:val="000000" w:themeColor="text1"/>
                <w:kern w:val="0"/>
                <w:sz w:val="24"/>
                <w:szCs w:val="24"/>
                <w:lang w:val="en-US" w:eastAsia="zh-CN" w:bidi="ar"/>
                <w14:textFill>
                  <w14:solidFill>
                    <w14:schemeClr w14:val="tx1"/>
                  </w14:solidFill>
                </w14:textFill>
              </w:rPr>
              <w:t>1</w:t>
            </w: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）剥离表层</w:t>
            </w:r>
          </w:p>
          <w:p w14:paraId="79280E62">
            <w:pPr>
              <w:keepNext w:val="0"/>
              <w:keepLines w:val="0"/>
              <w:widowControl/>
              <w:suppressLineNumbers w:val="0"/>
              <w:jc w:val="both"/>
              <w:rPr>
                <w:rFonts w:hint="default" w:ascii="Times New Roman" w:hAnsi="Times New Roman"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color w:val="000000" w:themeColor="text1"/>
                <w:kern w:val="0"/>
                <w:lang w:bidi="ar"/>
                <w14:textFill>
                  <w14:solidFill>
                    <w14:schemeClr w14:val="tx1"/>
                  </w14:solidFill>
                </w14:textFill>
              </w:rPr>
              <w:t>本项目施工过程中涉及的地表扰动总面积约15217m²，包括槽探作业区、钻探作业区、</w:t>
            </w:r>
            <w:r>
              <w:rPr>
                <w:rFonts w:hint="eastAsia" w:ascii="Times New Roman" w:hAnsi="Times New Roman" w:cs="Times New Roman"/>
                <w:color w:val="000000" w:themeColor="text1"/>
                <w:kern w:val="0"/>
                <w:lang w:val="en-US" w:eastAsia="zh-CN" w:bidi="ar"/>
                <w14:textFill>
                  <w14:solidFill>
                    <w14:schemeClr w14:val="tx1"/>
                  </w14:solidFill>
                </w14:textFill>
              </w:rPr>
              <w:t>临时办公生活营地</w:t>
            </w:r>
            <w:r>
              <w:rPr>
                <w:rFonts w:hint="default" w:ascii="Times New Roman" w:hAnsi="Times New Roman" w:cs="Times New Roman"/>
                <w:color w:val="000000" w:themeColor="text1"/>
                <w:kern w:val="0"/>
                <w:lang w:bidi="ar"/>
                <w14:textFill>
                  <w14:solidFill>
                    <w14:schemeClr w14:val="tx1"/>
                  </w14:solidFill>
                </w14:textFill>
              </w:rPr>
              <w:t>及临时道路等。</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项目所在区域属干旱荒漠地带，植被类型以低矮草本植物为主，无乔木分布，地表覆盖层较薄。</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按</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表土剥离平均厚度</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约</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为20厘米</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计，则</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剥离表土方量为</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3043m</w:t>
            </w:r>
            <w:r>
              <w:rPr>
                <w:rFonts w:hint="default" w:ascii="Times New Roman" w:hAnsi="Times New Roman" w:cs="Times New Roman"/>
                <w:color w:val="000000" w:themeColor="text1"/>
                <w:kern w:val="0"/>
                <w:sz w:val="24"/>
                <w:szCs w:val="24"/>
                <w:vertAlign w:val="superscript"/>
                <w:lang w:val="en-US" w:eastAsia="zh-CN" w:bidi="ar"/>
                <w14:textFill>
                  <w14:solidFill>
                    <w14:schemeClr w14:val="tx1"/>
                  </w14:solidFill>
                </w14:textFill>
              </w:rPr>
              <w:t>3</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w:t>
            </w:r>
          </w:p>
          <w:p w14:paraId="7B57668F">
            <w:pPr>
              <w:keepNext w:val="0"/>
              <w:keepLines w:val="0"/>
              <w:widowControl/>
              <w:suppressLineNumbers w:val="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所有剥离表土将严格遵循</w:t>
            </w:r>
            <w:r>
              <w:rPr>
                <w:rFonts w:hint="eastAsia"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分层剥离、分类堆放、防蚀保墒、原土回用</w:t>
            </w:r>
            <w:r>
              <w:rPr>
                <w:rFonts w:hint="eastAsia"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的原则进行管理</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Segoe UI" w:cs="Times New Roman"/>
                <w:i w:val="0"/>
                <w:iCs w:val="0"/>
                <w:caps w:val="0"/>
                <w:color w:val="0F1115"/>
                <w:spacing w:val="0"/>
                <w:sz w:val="24"/>
                <w:szCs w:val="24"/>
                <w:shd w:val="clear" w:fill="FFFFFF"/>
              </w:rPr>
              <w:t>在各作业区附近设置临时堆土场</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堆土高度控制在1.5m以内，采用编织袋装土构筑约0.5m高围堰；堆体表面及坡面全覆盖防雨防尘网，底部铺设0.5mm厚HDPE防渗膜，防止雨水冲刷和风蚀扬尘；设置醒目标识牌，严禁混入建筑垃圾或生活垃圾。</w:t>
            </w:r>
            <w:r>
              <w:rPr>
                <w:rFonts w:hint="default" w:ascii="Times New Roman" w:hAnsi="Times New Roman" w:eastAsia="Segoe UI" w:cs="Times New Roman"/>
                <w:i w:val="0"/>
                <w:iCs w:val="0"/>
                <w:caps w:val="0"/>
                <w:color w:val="0F1115"/>
                <w:spacing w:val="0"/>
                <w:sz w:val="24"/>
                <w:szCs w:val="24"/>
                <w:shd w:val="clear" w:fill="FFFFFF"/>
              </w:rPr>
              <w:t>勘探结束后，全部剥离表土用于临时营地、沉淀池及施工便道等区域的覆土回填和植被恢复，实现</w:t>
            </w:r>
            <w:r>
              <w:rPr>
                <w:rFonts w:hint="eastAsia" w:cs="Times New Roman"/>
                <w:i w:val="0"/>
                <w:iCs w:val="0"/>
                <w:caps w:val="0"/>
                <w:color w:val="0F1115"/>
                <w:spacing w:val="0"/>
                <w:sz w:val="24"/>
                <w:szCs w:val="24"/>
                <w:shd w:val="clear" w:fill="FFFFFF"/>
                <w:lang w:eastAsia="zh-CN"/>
              </w:rPr>
              <w:t>“</w:t>
            </w:r>
            <w:r>
              <w:rPr>
                <w:rFonts w:hint="default" w:ascii="Times New Roman" w:hAnsi="Times New Roman" w:eastAsia="Segoe UI" w:cs="Times New Roman"/>
                <w:i w:val="0"/>
                <w:iCs w:val="0"/>
                <w:caps w:val="0"/>
                <w:color w:val="0F1115"/>
                <w:spacing w:val="0"/>
                <w:sz w:val="24"/>
                <w:szCs w:val="24"/>
                <w:shd w:val="clear" w:fill="FFFFFF"/>
              </w:rPr>
              <w:t>原土还原、原境复绿</w:t>
            </w:r>
            <w:r>
              <w:rPr>
                <w:rFonts w:hint="eastAsia" w:cs="Times New Roman"/>
                <w:i w:val="0"/>
                <w:iCs w:val="0"/>
                <w:caps w:val="0"/>
                <w:color w:val="0F1115"/>
                <w:spacing w:val="0"/>
                <w:sz w:val="24"/>
                <w:szCs w:val="24"/>
                <w:shd w:val="clear" w:fill="FFFFFF"/>
                <w:lang w:eastAsia="zh-CN"/>
              </w:rPr>
              <w:t>”</w:t>
            </w:r>
            <w:r>
              <w:rPr>
                <w:rFonts w:hint="default" w:ascii="Times New Roman" w:hAnsi="Times New Roman" w:eastAsia="Segoe UI" w:cs="Times New Roman"/>
                <w:i w:val="0"/>
                <w:iCs w:val="0"/>
                <w:caps w:val="0"/>
                <w:color w:val="0F1115"/>
                <w:spacing w:val="0"/>
                <w:sz w:val="24"/>
                <w:szCs w:val="24"/>
                <w:shd w:val="clear" w:fill="FFFFFF"/>
              </w:rPr>
              <w:t>。</w:t>
            </w:r>
          </w:p>
          <w:p w14:paraId="3FBDAB0B">
            <w:pPr>
              <w:bidi w:val="0"/>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（2）钻井泥浆沉淀物（含岩屑）</w:t>
            </w:r>
          </w:p>
          <w:p w14:paraId="4F7BDF9A">
            <w:pPr>
              <w:bidi w:val="0"/>
              <w:rPr>
                <w:rFonts w:hint="default" w:ascii="Times New Roman" w:hAnsi="Times New Roman" w:cs="Times New Roman"/>
              </w:rPr>
            </w:pPr>
            <w:r>
              <w:rPr>
                <w:rFonts w:hint="default" w:ascii="Times New Roman" w:hAnsi="Times New Roman" w:cs="Times New Roman"/>
              </w:rPr>
              <w:t>钻探过程中产生的废钻井泥浆由水、膨润土（2.0t）、</w:t>
            </w:r>
            <w:r>
              <w:rPr>
                <w:rFonts w:hint="eastAsia" w:ascii="Times New Roman" w:hAnsi="Times New Roman" w:cs="Times New Roman"/>
                <w:lang w:eastAsia="zh-CN"/>
              </w:rPr>
              <w:t>速氪散</w:t>
            </w:r>
            <w:r>
              <w:rPr>
                <w:rFonts w:hint="default" w:ascii="Times New Roman" w:hAnsi="Times New Roman" w:cs="Times New Roman"/>
              </w:rPr>
              <w:t>（0.5t）、闭</w:t>
            </w:r>
            <w:r>
              <w:rPr>
                <w:rFonts w:hint="eastAsia" w:ascii="Times New Roman" w:hAnsi="Times New Roman" w:cs="Times New Roman"/>
                <w:lang w:eastAsia="zh-CN"/>
              </w:rPr>
              <w:t>凝剂</w:t>
            </w:r>
            <w:r>
              <w:rPr>
                <w:rFonts w:hint="default" w:ascii="Times New Roman" w:hAnsi="Times New Roman" w:cs="Times New Roman"/>
              </w:rPr>
              <w:t>（0.5t）及携带的岩屑组成。项目总进尺</w:t>
            </w:r>
            <w:r>
              <w:rPr>
                <w:rFonts w:hint="default" w:ascii="Times New Roman" w:hAnsi="Times New Roman" w:cs="Times New Roman"/>
                <w:lang w:val="en-US" w:eastAsia="zh-CN"/>
              </w:rPr>
              <w:t>4565</w:t>
            </w:r>
            <w:r>
              <w:rPr>
                <w:rFonts w:hint="default" w:ascii="Times New Roman" w:hAnsi="Times New Roman" w:cs="Times New Roman"/>
              </w:rPr>
              <w:t>m，钻孔直径75mm，理论岩屑体积约</w:t>
            </w:r>
            <w:r>
              <w:rPr>
                <w:rFonts w:hint="default" w:ascii="Times New Roman" w:hAnsi="Times New Roman" w:cs="Times New Roman"/>
                <w:lang w:val="en-US" w:eastAsia="zh-CN"/>
              </w:rPr>
              <w:t>21</w:t>
            </w:r>
            <w:r>
              <w:rPr>
                <w:rFonts w:hint="default" w:ascii="Times New Roman" w:hAnsi="Times New Roman" w:cs="Times New Roman"/>
              </w:rPr>
              <w:t>m³，岩屑重量约</w:t>
            </w:r>
            <w:r>
              <w:rPr>
                <w:rFonts w:hint="default" w:ascii="Times New Roman" w:hAnsi="Times New Roman" w:cs="Times New Roman"/>
                <w:lang w:val="en-US" w:eastAsia="zh-CN"/>
              </w:rPr>
              <w:t>50.6</w:t>
            </w:r>
            <w:r>
              <w:rPr>
                <w:rFonts w:hint="default" w:ascii="Times New Roman" w:hAnsi="Times New Roman" w:cs="Times New Roman"/>
              </w:rPr>
              <w:t>t；泥浆固相材料合计约</w:t>
            </w:r>
            <w:r>
              <w:rPr>
                <w:rFonts w:hint="default" w:ascii="Times New Roman" w:hAnsi="Times New Roman" w:cs="Times New Roman"/>
                <w:lang w:val="en-US" w:eastAsia="zh-CN"/>
              </w:rPr>
              <w:t>9</w:t>
            </w:r>
            <w:r>
              <w:rPr>
                <w:rFonts w:hint="default" w:ascii="Times New Roman" w:hAnsi="Times New Roman" w:cs="Times New Roman"/>
              </w:rPr>
              <w:t>t。经泥浆循环系统固液分离后，上清液回用，底部沉积物即为钻井泥浆沉淀物（含岩屑），总产生量约</w:t>
            </w:r>
            <w:r>
              <w:rPr>
                <w:rFonts w:hint="default" w:ascii="Times New Roman" w:hAnsi="Times New Roman" w:cs="Times New Roman"/>
                <w:lang w:val="en-US" w:eastAsia="zh-CN"/>
              </w:rPr>
              <w:t>60</w:t>
            </w:r>
            <w:r>
              <w:rPr>
                <w:rFonts w:hint="default" w:ascii="Times New Roman" w:hAnsi="Times New Roman" w:cs="Times New Roman"/>
              </w:rPr>
              <w:t>t，属一般工业固体废物。各钻探</w:t>
            </w:r>
            <w:r>
              <w:rPr>
                <w:rFonts w:hint="default" w:ascii="Times New Roman" w:hAnsi="Times New Roman" w:cs="Times New Roman"/>
                <w:lang w:val="en-US" w:eastAsia="zh-CN"/>
              </w:rPr>
              <w:t>井</w:t>
            </w:r>
            <w:r>
              <w:rPr>
                <w:rFonts w:hint="default" w:ascii="Times New Roman" w:hAnsi="Times New Roman" w:cs="Times New Roman"/>
              </w:rPr>
              <w:t>配套可拆卸式HDPE双格防渗沉淀池及防渗沉渣暂存区，泥浆</w:t>
            </w:r>
            <w:r>
              <w:rPr>
                <w:rFonts w:hint="eastAsia" w:cs="Times New Roman"/>
                <w:lang w:eastAsia="zh-CN"/>
              </w:rPr>
              <w:t>“</w:t>
            </w:r>
            <w:r>
              <w:rPr>
                <w:rFonts w:hint="default" w:ascii="Times New Roman" w:hAnsi="Times New Roman" w:cs="Times New Roman"/>
              </w:rPr>
              <w:t>浆不落地</w:t>
            </w:r>
            <w:r>
              <w:rPr>
                <w:rFonts w:hint="eastAsia" w:cs="Times New Roman"/>
                <w:lang w:eastAsia="zh-CN"/>
              </w:rPr>
              <w:t>”</w:t>
            </w:r>
            <w:r>
              <w:rPr>
                <w:rFonts w:hint="default" w:ascii="Times New Roman" w:hAnsi="Times New Roman" w:cs="Times New Roman"/>
              </w:rPr>
              <w:t>全部引入池内，沉淀后的底泥暂存于防渗堆放区，用防雨布覆盖。勘探结束后，底泥经自然干化后，就地填埋于钻探</w:t>
            </w:r>
            <w:r>
              <w:rPr>
                <w:rFonts w:hint="default" w:ascii="Times New Roman" w:hAnsi="Times New Roman" w:cs="Times New Roman"/>
                <w:lang w:val="en-US" w:eastAsia="zh-CN"/>
              </w:rPr>
              <w:t>井</w:t>
            </w:r>
            <w:r>
              <w:rPr>
                <w:rFonts w:hint="default" w:ascii="Times New Roman" w:hAnsi="Times New Roman" w:cs="Times New Roman"/>
              </w:rPr>
              <w:t>，并进行覆土平整和植被恢复，不向外环境排放。建设单位建立固废管理台账，记录产生、贮存和处置全过程，确保可追溯。</w:t>
            </w:r>
          </w:p>
          <w:p w14:paraId="430E48AA">
            <w:pPr>
              <w:bidi w:val="0"/>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（3）废包装袋</w:t>
            </w:r>
          </w:p>
          <w:p w14:paraId="60FCA60B">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钻探助剂（膨润土、速氪散、闭氪散）、水泥等物料使用后会产生废包装袋，主要为编织袋和纸塑复合袋。根据物料消耗量估算，废包装袋产生量约0.</w:t>
            </w:r>
            <w:r>
              <w:rPr>
                <w:rFonts w:hint="default" w:ascii="Times New Roman" w:hAnsi="Times New Roman" w:cs="Times New Roman"/>
                <w:color w:val="000000" w:themeColor="text1"/>
                <w:lang w:val="en-US" w:eastAsia="zh-CN"/>
                <w14:textFill>
                  <w14:solidFill>
                    <w14:schemeClr w14:val="tx1"/>
                  </w14:solidFill>
                </w14:textFill>
              </w:rPr>
              <w:t>45</w:t>
            </w:r>
            <w:r>
              <w:rPr>
                <w:rFonts w:hint="default" w:ascii="Times New Roman" w:hAnsi="Times New Roman" w:cs="Times New Roman"/>
                <w:color w:val="000000" w:themeColor="text1"/>
                <w14:textFill>
                  <w14:solidFill>
                    <w14:schemeClr w14:val="tx1"/>
                  </w14:solidFill>
                </w14:textFill>
              </w:rPr>
              <w:t>t。废包装袋属于一般固体废物，集中收集后定期清运至</w:t>
            </w:r>
            <w:r>
              <w:rPr>
                <w:rFonts w:hint="default" w:ascii="Times New Roman" w:hAnsi="Times New Roman" w:cs="Times New Roman"/>
                <w:color w:val="000000" w:themeColor="text1"/>
                <w:lang w:eastAsia="zh-CN"/>
                <w14:textFill>
                  <w14:solidFill>
                    <w14:schemeClr w14:val="tx1"/>
                  </w14:solidFill>
                </w14:textFill>
              </w:rPr>
              <w:t>木垒哈萨克自治县</w:t>
            </w:r>
            <w:r>
              <w:rPr>
                <w:rFonts w:hint="default" w:ascii="Times New Roman" w:hAnsi="Times New Roman" w:cs="Times New Roman"/>
                <w:color w:val="000000" w:themeColor="text1"/>
                <w14:textFill>
                  <w14:solidFill>
                    <w14:schemeClr w14:val="tx1"/>
                  </w14:solidFill>
                </w14:textFill>
              </w:rPr>
              <w:t>生活垃圾填埋场处置，不随意丢弃，对环境影响轻微。</w:t>
            </w:r>
          </w:p>
          <w:p w14:paraId="1E550E06">
            <w:pPr>
              <w:keepNext w:val="0"/>
              <w:keepLines w:val="0"/>
              <w:widowControl/>
              <w:suppressLineNumbers w:val="0"/>
              <w:jc w:val="left"/>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w:t>
            </w:r>
            <w:r>
              <w:rPr>
                <w:rFonts w:hint="default" w:ascii="Times New Roman" w:hAnsi="Times New Roman" w:cs="Times New Roman"/>
                <w:b/>
                <w:bCs/>
                <w:color w:val="000000" w:themeColor="text1"/>
                <w:kern w:val="0"/>
                <w:sz w:val="24"/>
                <w:szCs w:val="24"/>
                <w:lang w:val="en-US" w:eastAsia="zh-CN" w:bidi="ar"/>
                <w14:textFill>
                  <w14:solidFill>
                    <w14:schemeClr w14:val="tx1"/>
                  </w14:solidFill>
                </w14:textFill>
              </w:rPr>
              <w:t>4</w:t>
            </w: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）生活垃圾</w:t>
            </w:r>
          </w:p>
          <w:p w14:paraId="5E2AE8FD">
            <w:pPr>
              <w:bidi w:val="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施工期作业人员18人，施工期约780天，生活垃圾产生量按0.5kg/（人·d）估算，总产生量约7.02t。主要成分为厨余物、废纸、塑料等。</w:t>
            </w:r>
            <w:r>
              <w:rPr>
                <w:rFonts w:hint="eastAsia" w:ascii="Times New Roman" w:hAnsi="Times New Roman" w:eastAsia="宋体" w:cs="Times New Roman"/>
                <w:i w:val="0"/>
                <w:iCs w:val="0"/>
                <w:caps w:val="0"/>
                <w:color w:val="0F1115"/>
                <w:spacing w:val="0"/>
                <w:sz w:val="24"/>
                <w:szCs w:val="24"/>
                <w:shd w:val="clear" w:fill="FFFFFF"/>
                <w:lang w:eastAsia="zh-CN"/>
              </w:rPr>
              <w:t>临时办公生活营地</w:t>
            </w:r>
            <w:r>
              <w:rPr>
                <w:rFonts w:hint="default" w:ascii="Times New Roman" w:hAnsi="Times New Roman" w:eastAsia="Segoe UI" w:cs="Times New Roman"/>
                <w:i w:val="0"/>
                <w:iCs w:val="0"/>
                <w:caps w:val="0"/>
                <w:color w:val="0F1115"/>
                <w:spacing w:val="0"/>
                <w:sz w:val="24"/>
                <w:szCs w:val="24"/>
                <w:shd w:val="clear" w:fill="FFFFFF"/>
              </w:rPr>
              <w:t>内设置带盖垃圾桶分类收集生活垃圾</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，实行</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日产日清</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，定期清运至</w:t>
            </w:r>
            <w:r>
              <w:rPr>
                <w:rFonts w:hint="default" w:ascii="Times New Roman" w:hAnsi="Times New Roman" w:cs="Times New Roman"/>
                <w:color w:val="000000" w:themeColor="text1"/>
                <w:sz w:val="24"/>
                <w:szCs w:val="24"/>
                <w:lang w:val="en-US" w:eastAsia="zh-CN"/>
                <w14:textFill>
                  <w14:solidFill>
                    <w14:schemeClr w14:val="tx1"/>
                  </w14:solidFill>
                </w14:textFill>
              </w:rPr>
              <w:t>木垒哈萨克自治县</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生活垃圾填埋场进行卫生填埋处置，不向项目区及周边环境排放。</w:t>
            </w:r>
          </w:p>
          <w:p w14:paraId="7190F0D4">
            <w:pPr>
              <w:bidi w:val="0"/>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b/>
                <w:bCs/>
                <w:color w:val="000000" w:themeColor="text1"/>
                <w:kern w:val="0"/>
                <w:sz w:val="24"/>
                <w:szCs w:val="24"/>
                <w:lang w:val="en-US" w:eastAsia="zh-CN" w:bidi="ar"/>
                <w14:textFill>
                  <w14:solidFill>
                    <w14:schemeClr w14:val="tx1"/>
                  </w14:solidFill>
                </w14:textFill>
              </w:rPr>
              <w:t>（5）</w:t>
            </w: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固体废物及危险废物管理说明</w:t>
            </w:r>
          </w:p>
          <w:p w14:paraId="369F0B5B">
            <w:pPr>
              <w:keepNext w:val="0"/>
              <w:keepLines w:val="0"/>
              <w:widowControl/>
              <w:suppressLineNumbers w:val="0"/>
              <w:jc w:val="left"/>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本项目施工期间，所有钻探设备、柴油发电机及运输车辆均不在勘探现场进行拆解、保养或维修作业，仅进行日常检查和简单维护，不涉及润滑油、液压油的更换或添加，无废矿物油产生。柴油采用200L专用防泄漏塑料桶运输和储存，塑料桶为可重复使用的周转容器，施工周期内不产生废弃油桶。因此，本项目不产生危险废物，</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无须设置</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危险废物暂存间。</w:t>
            </w:r>
          </w:p>
          <w:p w14:paraId="00249E08">
            <w:pPr>
              <w:keepNext w:val="0"/>
              <w:keepLines w:val="0"/>
              <w:widowControl/>
              <w:suppressLineNumbers w:val="0"/>
              <w:jc w:val="left"/>
              <w:rPr>
                <w:rFonts w:hint="default" w:ascii="Times New Roman" w:hAnsi="Times New Roman"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b/>
                <w:bCs/>
                <w:color w:val="000000" w:themeColor="text1"/>
                <w:kern w:val="0"/>
                <w:sz w:val="24"/>
                <w:szCs w:val="24"/>
                <w:lang w:val="en-US" w:eastAsia="zh-CN" w:bidi="ar"/>
                <w14:textFill>
                  <w14:solidFill>
                    <w14:schemeClr w14:val="tx1"/>
                  </w14:solidFill>
                </w14:textFill>
              </w:rPr>
              <w:t>（6）固体废物汇总与去向一览表</w:t>
            </w:r>
          </w:p>
          <w:p w14:paraId="767903B9">
            <w:pPr>
              <w:pStyle w:val="5"/>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表4-2    项目施工期固体废物产生及处置情况一览表</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1410"/>
              <w:gridCol w:w="1572"/>
              <w:gridCol w:w="1048"/>
              <w:gridCol w:w="2476"/>
            </w:tblGrid>
            <w:tr w14:paraId="0FF64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1" w:type="pct"/>
                  <w:vAlign w:val="center"/>
                </w:tcPr>
                <w:p w14:paraId="2525EF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vertAlign w:val="baseline"/>
                      <w:lang w:val="en-US" w:eastAsia="zh-CN" w:bidi="ar"/>
                      <w14:textFill>
                        <w14:solidFill>
                          <w14:schemeClr w14:val="tx1"/>
                        </w14:solidFill>
                      </w14:textFill>
                    </w:rPr>
                    <w:t>类别</w:t>
                  </w:r>
                </w:p>
              </w:tc>
              <w:tc>
                <w:tcPr>
                  <w:tcW w:w="875" w:type="pct"/>
                  <w:vAlign w:val="center"/>
                </w:tcPr>
                <w:p w14:paraId="69AC22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vertAlign w:val="baseline"/>
                      <w:lang w:val="en-US" w:eastAsia="zh-CN" w:bidi="ar"/>
                      <w14:textFill>
                        <w14:solidFill>
                          <w14:schemeClr w14:val="tx1"/>
                        </w14:solidFill>
                      </w14:textFill>
                    </w:rPr>
                    <w:t>来源</w:t>
                  </w:r>
                </w:p>
              </w:tc>
              <w:tc>
                <w:tcPr>
                  <w:tcW w:w="975" w:type="pct"/>
                  <w:vAlign w:val="center"/>
                </w:tcPr>
                <w:p w14:paraId="185C55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vertAlign w:val="baseline"/>
                      <w:lang w:val="en-US" w:eastAsia="zh-CN" w:bidi="ar"/>
                      <w14:textFill>
                        <w14:solidFill>
                          <w14:schemeClr w14:val="tx1"/>
                        </w14:solidFill>
                      </w14:textFill>
                    </w:rPr>
                    <w:t>性质分类</w:t>
                  </w:r>
                </w:p>
              </w:tc>
              <w:tc>
                <w:tcPr>
                  <w:tcW w:w="650" w:type="pct"/>
                  <w:vAlign w:val="center"/>
                </w:tcPr>
                <w:p w14:paraId="63BC34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vertAlign w:val="baseline"/>
                      <w:lang w:val="en-US" w:eastAsia="zh-CN" w:bidi="ar"/>
                      <w14:textFill>
                        <w14:solidFill>
                          <w14:schemeClr w14:val="tx1"/>
                        </w14:solidFill>
                      </w14:textFill>
                    </w:rPr>
                    <w:t>产生量</w:t>
                  </w:r>
                </w:p>
              </w:tc>
              <w:tc>
                <w:tcPr>
                  <w:tcW w:w="1536" w:type="pct"/>
                  <w:vAlign w:val="center"/>
                </w:tcPr>
                <w:p w14:paraId="67B816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vertAlign w:val="baseline"/>
                      <w:lang w:val="en-US" w:eastAsia="zh-CN" w:bidi="ar"/>
                      <w14:textFill>
                        <w14:solidFill>
                          <w14:schemeClr w14:val="tx1"/>
                        </w14:solidFill>
                      </w14:textFill>
                    </w:rPr>
                    <w:t>处置方式</w:t>
                  </w:r>
                </w:p>
              </w:tc>
            </w:tr>
            <w:tr w14:paraId="2C39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 w:type="pct"/>
                  <w:vAlign w:val="center"/>
                </w:tcPr>
                <w:p w14:paraId="61C289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t>剥离表土</w:t>
                  </w:r>
                </w:p>
              </w:tc>
              <w:tc>
                <w:tcPr>
                  <w:tcW w:w="875" w:type="pct"/>
                  <w:vAlign w:val="center"/>
                </w:tcPr>
                <w:p w14:paraId="044CF1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t>地表开挖</w:t>
                  </w:r>
                </w:p>
              </w:tc>
              <w:tc>
                <w:tcPr>
                  <w:tcW w:w="975" w:type="pct"/>
                  <w:vAlign w:val="center"/>
                </w:tcPr>
                <w:p w14:paraId="19EC17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t>/</w:t>
                  </w:r>
                </w:p>
              </w:tc>
              <w:tc>
                <w:tcPr>
                  <w:tcW w:w="650" w:type="pct"/>
                  <w:vAlign w:val="center"/>
                </w:tcPr>
                <w:p w14:paraId="3C3EDB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cs="Times New Roman"/>
                      <w:color w:val="000000" w:themeColor="text1"/>
                      <w:kern w:val="0"/>
                      <w:sz w:val="21"/>
                      <w:szCs w:val="21"/>
                      <w:vertAlign w:val="baseline"/>
                      <w:lang w:val="en-US" w:eastAsia="zh-CN" w:bidi="ar"/>
                      <w14:textFill>
                        <w14:solidFill>
                          <w14:schemeClr w14:val="tx1"/>
                        </w14:solidFill>
                      </w14:textFill>
                    </w:rPr>
                    <w:t>3043m</w:t>
                  </w:r>
                  <w:r>
                    <w:rPr>
                      <w:rFonts w:hint="default" w:ascii="Times New Roman" w:hAnsi="Times New Roman" w:cs="Times New Roman"/>
                      <w:color w:val="000000" w:themeColor="text1"/>
                      <w:kern w:val="0"/>
                      <w:sz w:val="21"/>
                      <w:szCs w:val="21"/>
                      <w:vertAlign w:val="superscript"/>
                      <w:lang w:val="en-US" w:eastAsia="zh-CN" w:bidi="ar"/>
                      <w14:textFill>
                        <w14:solidFill>
                          <w14:schemeClr w14:val="tx1"/>
                        </w14:solidFill>
                      </w14:textFill>
                    </w:rPr>
                    <w:t>3</w:t>
                  </w:r>
                </w:p>
              </w:tc>
              <w:tc>
                <w:tcPr>
                  <w:tcW w:w="1536" w:type="pct"/>
                  <w:vAlign w:val="center"/>
                </w:tcPr>
                <w:p w14:paraId="37A4AA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t>临时堆存，后期用于生态恢复</w:t>
                  </w:r>
                </w:p>
              </w:tc>
            </w:tr>
            <w:tr w14:paraId="5E5F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 w:type="pct"/>
                  <w:vAlign w:val="center"/>
                </w:tcPr>
                <w:p w14:paraId="5E9ADA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cs="Times New Roman"/>
                      <w:color w:val="000000" w:themeColor="text1"/>
                      <w:kern w:val="0"/>
                      <w:sz w:val="21"/>
                      <w:szCs w:val="21"/>
                      <w:vertAlign w:val="baseline"/>
                      <w:lang w:val="en-US" w:eastAsia="zh-CN" w:bidi="ar"/>
                      <w14:textFill>
                        <w14:solidFill>
                          <w14:schemeClr w14:val="tx1"/>
                        </w14:solidFill>
                      </w14:textFill>
                    </w:rPr>
                    <w:t>钻井泥浆沉淀物（含岩屑）</w:t>
                  </w:r>
                </w:p>
              </w:tc>
              <w:tc>
                <w:tcPr>
                  <w:tcW w:w="875" w:type="pct"/>
                  <w:vAlign w:val="center"/>
                </w:tcPr>
                <w:p w14:paraId="24C4ED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t>废钻井泥浆</w:t>
                  </w:r>
                </w:p>
              </w:tc>
              <w:tc>
                <w:tcPr>
                  <w:tcW w:w="975" w:type="pct"/>
                  <w:vAlign w:val="center"/>
                </w:tcPr>
                <w:p w14:paraId="51A419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t>一般工业固废</w:t>
                  </w:r>
                </w:p>
              </w:tc>
              <w:tc>
                <w:tcPr>
                  <w:tcW w:w="650" w:type="pct"/>
                  <w:vAlign w:val="center"/>
                </w:tcPr>
                <w:p w14:paraId="7C4F89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cs="Times New Roman"/>
                      <w:color w:val="000000" w:themeColor="text1"/>
                      <w:kern w:val="0"/>
                      <w:sz w:val="21"/>
                      <w:szCs w:val="21"/>
                      <w:vertAlign w:val="baseline"/>
                      <w:lang w:val="en-US" w:eastAsia="zh-CN" w:bidi="ar"/>
                      <w14:textFill>
                        <w14:solidFill>
                          <w14:schemeClr w14:val="tx1"/>
                        </w14:solidFill>
                      </w14:textFill>
                    </w:rPr>
                    <w:t>约60t</w:t>
                  </w:r>
                </w:p>
              </w:tc>
              <w:tc>
                <w:tcPr>
                  <w:tcW w:w="1536" w:type="pct"/>
                  <w:vAlign w:val="center"/>
                </w:tcPr>
                <w:p w14:paraId="4F2EB3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Segoe UI" w:cs="Times New Roman"/>
                      <w:i w:val="0"/>
                      <w:iCs w:val="0"/>
                      <w:caps w:val="0"/>
                      <w:color w:val="0F1115"/>
                      <w:spacing w:val="0"/>
                      <w:sz w:val="22"/>
                      <w:szCs w:val="22"/>
                      <w:shd w:val="clear" w:fill="FFFFFF"/>
                    </w:rPr>
                    <w:t>自然干化后，就地填埋于钻探</w:t>
                  </w:r>
                  <w:r>
                    <w:rPr>
                      <w:rFonts w:hint="default" w:ascii="Times New Roman" w:hAnsi="Times New Roman" w:eastAsia="宋体" w:cs="Times New Roman"/>
                      <w:i w:val="0"/>
                      <w:iCs w:val="0"/>
                      <w:caps w:val="0"/>
                      <w:color w:val="0F1115"/>
                      <w:spacing w:val="0"/>
                      <w:sz w:val="22"/>
                      <w:szCs w:val="22"/>
                      <w:shd w:val="clear" w:fill="FFFFFF"/>
                      <w:lang w:val="en-US" w:eastAsia="zh-CN"/>
                    </w:rPr>
                    <w:t>井</w:t>
                  </w:r>
                  <w:r>
                    <w:rPr>
                      <w:rFonts w:hint="default" w:ascii="Times New Roman" w:hAnsi="Times New Roman" w:eastAsia="Segoe UI" w:cs="Times New Roman"/>
                      <w:i w:val="0"/>
                      <w:iCs w:val="0"/>
                      <w:caps w:val="0"/>
                      <w:color w:val="0F1115"/>
                      <w:spacing w:val="0"/>
                      <w:sz w:val="22"/>
                      <w:szCs w:val="22"/>
                      <w:shd w:val="clear" w:fill="FFFFFF"/>
                    </w:rPr>
                    <w:t>，覆土恢复</w:t>
                  </w:r>
                </w:p>
              </w:tc>
            </w:tr>
            <w:tr w14:paraId="3A2A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961" w:type="pct"/>
                  <w:vAlign w:val="center"/>
                </w:tcPr>
                <w:p w14:paraId="6F7832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cs="Times New Roman"/>
                      <w:color w:val="000000" w:themeColor="text1"/>
                      <w:kern w:val="0"/>
                      <w:sz w:val="21"/>
                      <w:szCs w:val="21"/>
                      <w:vertAlign w:val="baseline"/>
                      <w:lang w:val="en-US" w:eastAsia="zh-CN" w:bidi="ar"/>
                      <w14:textFill>
                        <w14:solidFill>
                          <w14:schemeClr w14:val="tx1"/>
                        </w14:solidFill>
                      </w14:textFill>
                    </w:rPr>
                    <w:t>废包装袋</w:t>
                  </w:r>
                </w:p>
              </w:tc>
              <w:tc>
                <w:tcPr>
                  <w:tcW w:w="875" w:type="pct"/>
                  <w:vAlign w:val="center"/>
                </w:tcPr>
                <w:p w14:paraId="59F710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t>钻探助剂（速氪散、膨润土等）包装</w:t>
                  </w:r>
                </w:p>
              </w:tc>
              <w:tc>
                <w:tcPr>
                  <w:tcW w:w="975" w:type="pct"/>
                  <w:vAlign w:val="center"/>
                </w:tcPr>
                <w:p w14:paraId="029CD6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t>一般工业固体废物</w:t>
                  </w:r>
                </w:p>
              </w:tc>
              <w:tc>
                <w:tcPr>
                  <w:tcW w:w="650" w:type="pct"/>
                  <w:vAlign w:val="center"/>
                </w:tcPr>
                <w:p w14:paraId="444D75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t>约</w:t>
                  </w:r>
                  <w:r>
                    <w:rPr>
                      <w:rFonts w:hint="default" w:ascii="Times New Roman" w:hAnsi="Times New Roman" w:cs="Times New Roman"/>
                      <w:color w:val="000000" w:themeColor="text1"/>
                      <w:kern w:val="0"/>
                      <w:sz w:val="21"/>
                      <w:szCs w:val="21"/>
                      <w:vertAlign w:val="baseline"/>
                      <w:lang w:val="en-US" w:eastAsia="zh-CN" w:bidi="ar"/>
                      <w14:textFill>
                        <w14:solidFill>
                          <w14:schemeClr w14:val="tx1"/>
                        </w14:solidFill>
                      </w14:textFill>
                    </w:rPr>
                    <w:t>0.45t</w:t>
                  </w:r>
                </w:p>
              </w:tc>
              <w:tc>
                <w:tcPr>
                  <w:tcW w:w="1536" w:type="pct"/>
                  <w:vAlign w:val="center"/>
                </w:tcPr>
                <w:p w14:paraId="6601AB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t>集中收集，与生活垃圾一同运往</w:t>
                  </w:r>
                  <w:r>
                    <w:rPr>
                      <w:rFonts w:hint="default" w:ascii="Times New Roman" w:hAnsi="Times New Roman" w:cs="Times New Roman"/>
                      <w:color w:val="000000" w:themeColor="text1"/>
                      <w:kern w:val="0"/>
                      <w:sz w:val="21"/>
                      <w:szCs w:val="21"/>
                      <w:vertAlign w:val="baseline"/>
                      <w:lang w:val="en-US" w:eastAsia="zh-CN" w:bidi="ar"/>
                      <w14:textFill>
                        <w14:solidFill>
                          <w14:schemeClr w14:val="tx1"/>
                        </w14:solidFill>
                      </w14:textFill>
                    </w:rPr>
                    <w:t>木垒哈萨克自治县生活垃圾填埋场</w:t>
                  </w:r>
                  <w:r>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t>进行处置</w:t>
                  </w:r>
                </w:p>
              </w:tc>
            </w:tr>
            <w:tr w14:paraId="3822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 w:type="pct"/>
                  <w:vAlign w:val="center"/>
                </w:tcPr>
                <w:p w14:paraId="3D20CB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t>生活垃圾</w:t>
                  </w:r>
                </w:p>
              </w:tc>
              <w:tc>
                <w:tcPr>
                  <w:tcW w:w="875" w:type="pct"/>
                  <w:vAlign w:val="center"/>
                </w:tcPr>
                <w:p w14:paraId="05EA70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t>施工人员日常生活</w:t>
                  </w:r>
                </w:p>
              </w:tc>
              <w:tc>
                <w:tcPr>
                  <w:tcW w:w="975" w:type="pct"/>
                  <w:vAlign w:val="center"/>
                </w:tcPr>
                <w:p w14:paraId="4D1552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t>一般生活垃圾</w:t>
                  </w:r>
                </w:p>
              </w:tc>
              <w:tc>
                <w:tcPr>
                  <w:tcW w:w="650" w:type="pct"/>
                  <w:vAlign w:val="center"/>
                </w:tcPr>
                <w:p w14:paraId="5CD64D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cs="Times New Roman"/>
                      <w:color w:val="000000" w:themeColor="text1"/>
                      <w:kern w:val="0"/>
                      <w:sz w:val="21"/>
                      <w:szCs w:val="21"/>
                      <w:vertAlign w:val="baseline"/>
                      <w:lang w:val="en-US" w:eastAsia="zh-CN" w:bidi="ar"/>
                      <w14:textFill>
                        <w14:solidFill>
                          <w14:schemeClr w14:val="tx1"/>
                        </w14:solidFill>
                      </w14:textFill>
                    </w:rPr>
                    <w:t>7.02</w:t>
                  </w:r>
                  <w:r>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t>t</w:t>
                  </w:r>
                </w:p>
              </w:tc>
              <w:tc>
                <w:tcPr>
                  <w:tcW w:w="1536" w:type="pct"/>
                  <w:vAlign w:val="center"/>
                </w:tcPr>
                <w:p w14:paraId="0C2B99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t>分类收集</w:t>
                  </w:r>
                  <w:r>
                    <w:rPr>
                      <w:rFonts w:hint="default" w:ascii="Times New Roman" w:hAnsi="Times New Roman" w:cs="Times New Roman"/>
                      <w:color w:val="000000" w:themeColor="text1"/>
                      <w:kern w:val="0"/>
                      <w:sz w:val="21"/>
                      <w:szCs w:val="21"/>
                      <w:vertAlign w:val="baseline"/>
                      <w:lang w:val="en-US" w:eastAsia="zh-CN" w:bidi="ar"/>
                      <w14:textFill>
                        <w14:solidFill>
                          <w14:schemeClr w14:val="tx1"/>
                        </w14:solidFill>
                      </w14:textFill>
                    </w:rPr>
                    <w:t>定期</w:t>
                  </w:r>
                  <w:r>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t>运往</w:t>
                  </w:r>
                  <w:r>
                    <w:rPr>
                      <w:rFonts w:hint="default" w:ascii="Times New Roman" w:hAnsi="Times New Roman" w:cs="Times New Roman"/>
                      <w:color w:val="000000" w:themeColor="text1"/>
                      <w:kern w:val="0"/>
                      <w:sz w:val="21"/>
                      <w:szCs w:val="21"/>
                      <w:vertAlign w:val="baseline"/>
                      <w:lang w:val="en-US" w:eastAsia="zh-CN" w:bidi="ar"/>
                      <w14:textFill>
                        <w14:solidFill>
                          <w14:schemeClr w14:val="tx1"/>
                        </w14:solidFill>
                      </w14:textFill>
                    </w:rPr>
                    <w:t>木垒哈萨克自治县生活垃圾填埋场</w:t>
                  </w:r>
                  <w:r>
                    <w:rPr>
                      <w:rFonts w:hint="default" w:ascii="Times New Roman" w:hAnsi="Times New Roman" w:eastAsia="宋体" w:cs="Times New Roman"/>
                      <w:color w:val="000000" w:themeColor="text1"/>
                      <w:kern w:val="0"/>
                      <w:sz w:val="21"/>
                      <w:szCs w:val="21"/>
                      <w:vertAlign w:val="baseline"/>
                      <w:lang w:val="en-US" w:eastAsia="zh-CN" w:bidi="ar"/>
                      <w14:textFill>
                        <w14:solidFill>
                          <w14:schemeClr w14:val="tx1"/>
                        </w14:solidFill>
                      </w14:textFill>
                    </w:rPr>
                    <w:t>处置</w:t>
                  </w:r>
                </w:p>
              </w:tc>
            </w:tr>
          </w:tbl>
          <w:p w14:paraId="0121B746">
            <w:pPr>
              <w:keepNext w:val="0"/>
              <w:keepLines w:val="0"/>
              <w:widowControl/>
              <w:suppressLineNumbers w:val="0"/>
              <w:jc w:val="left"/>
              <w:rPr>
                <w:rFonts w:hint="default" w:ascii="Times New Roman" w:hAnsi="Times New Roman"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b/>
                <w:bCs/>
                <w:color w:val="000000" w:themeColor="text1"/>
                <w:kern w:val="0"/>
                <w:sz w:val="24"/>
                <w:szCs w:val="24"/>
                <w:lang w:val="en-US" w:eastAsia="zh-CN" w:bidi="ar"/>
                <w14:textFill>
                  <w14:solidFill>
                    <w14:schemeClr w14:val="tx1"/>
                  </w14:solidFill>
                </w14:textFill>
              </w:rPr>
              <w:t>（7）结论</w:t>
            </w:r>
          </w:p>
          <w:p w14:paraId="5DF99209">
            <w:pPr>
              <w:bidi w:val="0"/>
              <w:rPr>
                <w:rFonts w:hint="default" w:ascii="Times New Roman" w:hAnsi="Times New Roman" w:cs="Times New Roman"/>
                <w:lang w:val="en-US" w:eastAsia="zh-CN"/>
              </w:rPr>
            </w:pPr>
            <w:r>
              <w:rPr>
                <w:rFonts w:hint="default" w:ascii="Times New Roman" w:hAnsi="Times New Roman" w:cs="Times New Roman"/>
              </w:rPr>
              <w:t>综上，本项目施工期产生的固体废物种类明确、产生量合理，剥离表土实现资源化回用，钻井泥浆沉淀物、废包装袋和生活垃圾均得到合规处置，不产生危险废物。在严格落实</w:t>
            </w:r>
            <w:r>
              <w:rPr>
                <w:rFonts w:hint="eastAsia" w:cs="Times New Roman"/>
                <w:lang w:eastAsia="zh-CN"/>
              </w:rPr>
              <w:t>“</w:t>
            </w:r>
            <w:r>
              <w:rPr>
                <w:rFonts w:hint="default" w:ascii="Times New Roman" w:hAnsi="Times New Roman" w:cs="Times New Roman"/>
              </w:rPr>
              <w:t>分类收集、规范暂存、及时清运</w:t>
            </w:r>
            <w:r>
              <w:rPr>
                <w:rFonts w:hint="eastAsia" w:cs="Times New Roman"/>
                <w:lang w:eastAsia="zh-CN"/>
              </w:rPr>
              <w:t>”</w:t>
            </w:r>
            <w:r>
              <w:rPr>
                <w:rFonts w:hint="default" w:ascii="Times New Roman" w:hAnsi="Times New Roman" w:cs="Times New Roman"/>
              </w:rPr>
              <w:t>等管理措施的前提下，所有固体废物均可得到妥善处置，对周边环境影响轻微。</w:t>
            </w:r>
          </w:p>
          <w:p w14:paraId="49F96F8C">
            <w:pPr>
              <w:pStyle w:val="2"/>
              <w:bidi w:val="0"/>
              <w:rPr>
                <w:rFonts w:hint="default" w:ascii="Times New Roman" w:hAnsi="Times New Roman" w:cs="Times New Roman"/>
                <w:lang w:val="en-US" w:eastAsia="zh-CN"/>
              </w:rPr>
            </w:pPr>
            <w:r>
              <w:rPr>
                <w:rFonts w:hint="default" w:ascii="Times New Roman" w:hAnsi="Times New Roman" w:cs="Times New Roman"/>
                <w:lang w:val="en-US" w:eastAsia="zh-CN"/>
              </w:rPr>
              <w:t>6.土壤、地下水环境影响分析</w:t>
            </w:r>
          </w:p>
          <w:p w14:paraId="68283E24">
            <w:pPr>
              <w:bidi w:val="0"/>
              <w:rPr>
                <w:rFonts w:hint="default" w:ascii="Times New Roman" w:hAnsi="Times New Roman" w:cs="Times New Roman"/>
                <w:lang w:val="en-US" w:eastAsia="zh-CN"/>
              </w:rPr>
            </w:pPr>
            <w:r>
              <w:rPr>
                <w:rFonts w:hint="default" w:ascii="Times New Roman" w:hAnsi="Times New Roman" w:cs="Times New Roman"/>
                <w:lang w:val="en-US" w:eastAsia="zh-CN"/>
              </w:rPr>
              <w:t>本次评价结合项目特点，对勘探过程中可能涉及的土壤与地下水环境影响进行简要分析，并提出针对性防控措施。</w:t>
            </w:r>
          </w:p>
          <w:p w14:paraId="6796DF81">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（1）地下水环境影响分析</w:t>
            </w:r>
          </w:p>
          <w:p w14:paraId="7D9F15F4">
            <w:pPr>
              <w:bidi w:val="0"/>
              <w:rPr>
                <w:rFonts w:hint="default" w:ascii="Times New Roman" w:hAnsi="Times New Roman" w:cs="Times New Roman"/>
                <w:b/>
                <w:bCs/>
              </w:rPr>
            </w:pPr>
            <w:r>
              <w:rPr>
                <w:rFonts w:hint="default" w:ascii="Times New Roman" w:hAnsi="Times New Roman" w:cs="Times New Roman"/>
                <w:b/>
                <w:bCs/>
                <w:lang w:val="en-US" w:eastAsia="zh-CN"/>
              </w:rPr>
              <w:t>①</w:t>
            </w:r>
            <w:r>
              <w:rPr>
                <w:rFonts w:hint="default" w:ascii="Times New Roman" w:hAnsi="Times New Roman" w:cs="Times New Roman"/>
                <w:b/>
                <w:bCs/>
              </w:rPr>
              <w:t>钻探施工对地下水环境的扰动风险与防控</w:t>
            </w:r>
          </w:p>
          <w:p w14:paraId="4C8AF048">
            <w:pPr>
              <w:bidi w:val="0"/>
              <w:rPr>
                <w:rFonts w:hint="default" w:ascii="Times New Roman" w:hAnsi="Times New Roman" w:cs="Times New Roman"/>
              </w:rPr>
            </w:pPr>
            <w:r>
              <w:rPr>
                <w:rFonts w:hint="default" w:ascii="Times New Roman" w:hAnsi="Times New Roman" w:cs="Times New Roman"/>
              </w:rPr>
              <w:t>本项目设计钻探</w:t>
            </w:r>
            <w:r>
              <w:rPr>
                <w:rFonts w:hint="default" w:ascii="Times New Roman" w:hAnsi="Times New Roman" w:cs="Times New Roman"/>
                <w:lang w:val="en-US" w:eastAsia="zh-CN"/>
              </w:rPr>
              <w:t>24</w:t>
            </w:r>
            <w:r>
              <w:rPr>
                <w:rFonts w:hint="default" w:ascii="Times New Roman" w:hAnsi="Times New Roman" w:cs="Times New Roman"/>
              </w:rPr>
              <w:t>个钻孔，总进尺</w:t>
            </w:r>
            <w:r>
              <w:rPr>
                <w:rFonts w:hint="default" w:ascii="Times New Roman" w:hAnsi="Times New Roman" w:cs="Times New Roman"/>
                <w:lang w:val="en-US" w:eastAsia="zh-CN"/>
              </w:rPr>
              <w:t>4565</w:t>
            </w:r>
            <w:r>
              <w:rPr>
                <w:rFonts w:hint="default" w:ascii="Times New Roman" w:hAnsi="Times New Roman" w:cs="Times New Roman"/>
              </w:rPr>
              <w:t>m，最大孔深</w:t>
            </w:r>
            <w:r>
              <w:rPr>
                <w:rFonts w:hint="default" w:ascii="Times New Roman" w:hAnsi="Times New Roman" w:cs="Times New Roman"/>
                <w:lang w:val="en-US" w:eastAsia="zh-CN"/>
              </w:rPr>
              <w:t>300</w:t>
            </w:r>
            <w:r>
              <w:rPr>
                <w:rFonts w:hint="default" w:ascii="Times New Roman" w:hAnsi="Times New Roman" w:cs="Times New Roman"/>
              </w:rPr>
              <w:t>m，钻探深度进入基岩裂隙发育带。区域地下水主要为基岩裂隙水，水量贫乏，环境敏感程度较低。</w:t>
            </w:r>
          </w:p>
          <w:p w14:paraId="7AF1A042">
            <w:pPr>
              <w:bidi w:val="0"/>
              <w:rPr>
                <w:rFonts w:hint="default" w:ascii="Times New Roman" w:hAnsi="Times New Roman" w:cs="Times New Roman"/>
              </w:rPr>
            </w:pPr>
            <w:r>
              <w:rPr>
                <w:rFonts w:hint="default" w:ascii="Times New Roman" w:hAnsi="Times New Roman" w:cs="Times New Roman"/>
              </w:rPr>
              <w:t>钻探施工对地下水的潜在影响主要是：钻孔穿越不同地层时，若未有效隔离，可能连通不同含水层，导致钻井液下渗或含水层水力联系改变。鉴于本项目钻孔数量少、孔径小，扰动范围十分有限。</w:t>
            </w:r>
          </w:p>
          <w:p w14:paraId="519273CA">
            <w:pPr>
              <w:bidi w:val="0"/>
              <w:rPr>
                <w:rFonts w:hint="default" w:ascii="Times New Roman" w:hAnsi="Times New Roman" w:cs="Times New Roman"/>
              </w:rPr>
            </w:pPr>
            <w:r>
              <w:rPr>
                <w:rFonts w:hint="default" w:ascii="Times New Roman" w:hAnsi="Times New Roman" w:cs="Times New Roman"/>
              </w:rPr>
              <w:t>项目采取</w:t>
            </w:r>
            <w:r>
              <w:rPr>
                <w:rFonts w:hint="eastAsia" w:cs="Times New Roman"/>
                <w:lang w:eastAsia="zh-CN"/>
              </w:rPr>
              <w:t>“</w:t>
            </w:r>
            <w:r>
              <w:rPr>
                <w:rFonts w:hint="default" w:ascii="Times New Roman" w:hAnsi="Times New Roman" w:cs="Times New Roman"/>
              </w:rPr>
              <w:t>套管隔离+水泥固井+终孔封堵</w:t>
            </w:r>
            <w:r>
              <w:rPr>
                <w:rFonts w:hint="eastAsia" w:cs="Times New Roman"/>
                <w:lang w:eastAsia="zh-CN"/>
              </w:rPr>
              <w:t>”</w:t>
            </w:r>
            <w:r>
              <w:rPr>
                <w:rFonts w:hint="default" w:ascii="Times New Roman" w:hAnsi="Times New Roman" w:cs="Times New Roman"/>
              </w:rPr>
              <w:t>的全过程防控措施：钻进至基岩或含水层上方时下入技术套管；采用水泥浆固井封隔套管与孔壁间环形空间；终孔后全孔水泥封孔（封孔范围为地表至基岩下1m及矿体顶底板各向外延伸10m）。上述措施可有效阻断污染物迁移路径，保障地下水系统完整性。</w:t>
            </w:r>
          </w:p>
          <w:p w14:paraId="71AE1CD9">
            <w:pPr>
              <w:bidi w:val="0"/>
              <w:rPr>
                <w:rFonts w:hint="default" w:ascii="Times New Roman" w:hAnsi="Times New Roman" w:cs="Times New Roman"/>
                <w:b/>
                <w:bCs/>
              </w:rPr>
            </w:pPr>
            <w:r>
              <w:rPr>
                <w:rFonts w:hint="default" w:ascii="Times New Roman" w:hAnsi="Times New Roman" w:cs="Times New Roman"/>
                <w:b/>
                <w:bCs/>
                <w:lang w:val="en-US" w:eastAsia="zh-CN"/>
              </w:rPr>
              <w:t>②</w:t>
            </w:r>
            <w:r>
              <w:rPr>
                <w:rFonts w:hint="default" w:ascii="Times New Roman" w:hAnsi="Times New Roman" w:cs="Times New Roman"/>
                <w:b/>
                <w:bCs/>
              </w:rPr>
              <w:t>钻探过程揭露含水层的情景分析与应对措施</w:t>
            </w:r>
          </w:p>
          <w:p w14:paraId="3628F92F">
            <w:pPr>
              <w:bidi w:val="0"/>
              <w:rPr>
                <w:rFonts w:hint="default" w:ascii="Times New Roman" w:hAnsi="Times New Roman" w:cs="Times New Roman"/>
              </w:rPr>
            </w:pPr>
            <w:r>
              <w:rPr>
                <w:rFonts w:hint="default" w:ascii="Times New Roman" w:hAnsi="Times New Roman" w:cs="Times New Roman"/>
              </w:rPr>
              <w:t>本项目处于普查阶段，尚未施工钻孔，区域水文地质参数不明确，无法预判是否遭遇含水层及涌水量大小。考虑到钻探设计孔深达数百米，存在揭露基岩裂隙水的可能性，本次评价基于</w:t>
            </w:r>
            <w:r>
              <w:rPr>
                <w:rFonts w:hint="eastAsia" w:cs="Times New Roman"/>
                <w:lang w:eastAsia="zh-CN"/>
              </w:rPr>
              <w:t>“</w:t>
            </w:r>
            <w:r>
              <w:rPr>
                <w:rFonts w:hint="default" w:ascii="Times New Roman" w:hAnsi="Times New Roman" w:cs="Times New Roman"/>
              </w:rPr>
              <w:t>若遇涌水</w:t>
            </w:r>
            <w:r>
              <w:rPr>
                <w:rFonts w:hint="eastAsia" w:cs="Times New Roman"/>
                <w:lang w:eastAsia="zh-CN"/>
              </w:rPr>
              <w:t>”</w:t>
            </w:r>
            <w:r>
              <w:rPr>
                <w:rFonts w:hint="default" w:ascii="Times New Roman" w:hAnsi="Times New Roman" w:cs="Times New Roman"/>
              </w:rPr>
              <w:t>情景进行定性分析。</w:t>
            </w:r>
          </w:p>
          <w:p w14:paraId="03920B1F">
            <w:pPr>
              <w:bidi w:val="0"/>
              <w:rPr>
                <w:rFonts w:hint="default" w:ascii="Times New Roman" w:hAnsi="Times New Roman" w:cs="Times New Roman"/>
              </w:rPr>
            </w:pPr>
            <w:r>
              <w:rPr>
                <w:rFonts w:hint="default" w:ascii="Times New Roman" w:hAnsi="Times New Roman" w:cs="Times New Roman"/>
              </w:rPr>
              <w:t>若施工中揭露含水层，涌水主要为基岩裂隙水，水量相对有限。涌水水质总体较好，但钻进过程中会携带岩屑及少量钻井液成分，导致悬浮物浓度升高，其余指标与原始地下水基本一致。</w:t>
            </w:r>
          </w:p>
          <w:p w14:paraId="32724119">
            <w:pPr>
              <w:bidi w:val="0"/>
              <w:rPr>
                <w:rFonts w:hint="default" w:ascii="Times New Roman" w:hAnsi="Times New Roman" w:cs="Times New Roman"/>
              </w:rPr>
            </w:pPr>
            <w:r>
              <w:rPr>
                <w:rFonts w:hint="default" w:ascii="Times New Roman" w:hAnsi="Times New Roman" w:cs="Times New Roman"/>
              </w:rPr>
              <w:t>涌水若管理不当，可能造成勘探作业区局部积水漫流，对周边土壤造成短期浸泡和轻微侵蚀，并可能影响孔壁稳定性。施工过程中，通过密切监测返浆流量及压力变化，发现异常立即停钻检查；涌水经导流槽引入防渗沉淀池沉淀处理，上清液回用于钻探生产或洒水抑尘，不外排。若涌水量超出沉淀池接纳能力，通过调整钻进参数或投放堵漏材料控制涌水，必要时启用备用防渗集水设施暂存，待沉淀处理后回用。若涌水持续影响施工安全或环境，应组织水文地质专家评估并调整钻探方案。</w:t>
            </w:r>
          </w:p>
          <w:p w14:paraId="6B5C8FF3">
            <w:pPr>
              <w:bidi w:val="0"/>
              <w:rPr>
                <w:rFonts w:hint="default" w:ascii="Times New Roman" w:hAnsi="Times New Roman" w:cs="Times New Roman"/>
              </w:rPr>
            </w:pPr>
            <w:r>
              <w:rPr>
                <w:rFonts w:hint="default" w:ascii="Times New Roman" w:hAnsi="Times New Roman" w:cs="Times New Roman"/>
                <w:lang w:val="en-US" w:eastAsia="zh-CN"/>
              </w:rPr>
              <w:t>综上</w:t>
            </w:r>
            <w:r>
              <w:rPr>
                <w:rFonts w:hint="default" w:ascii="Times New Roman" w:hAnsi="Times New Roman" w:cs="Times New Roman"/>
              </w:rPr>
              <w:t>区域干旱少雨、地下水补给缓慢，结合钻孔数量少、孔径小、施工周期短的特点，钻探过</w:t>
            </w:r>
            <w:r>
              <w:rPr>
                <w:rFonts w:hint="eastAsia" w:ascii="Times New Roman" w:hAnsi="Times New Roman" w:cs="Times New Roman"/>
                <w:lang w:eastAsia="zh-CN"/>
              </w:rPr>
              <w:t>程中</w:t>
            </w:r>
            <w:r>
              <w:rPr>
                <w:rFonts w:hint="default" w:ascii="Times New Roman" w:hAnsi="Times New Roman" w:cs="Times New Roman"/>
              </w:rPr>
              <w:t>揭露含水层的可能性总体较低，即便发生涌水，水量亦相对有限，影响属于局部、短期、可逆范畴。在落实上述措施的前提下，不会对区域地下水造成不可逆影响。实际施工中若遇涌水，建设单位应根据具体情况评估环境影响，必要时向生态环境主管部门报告。</w:t>
            </w:r>
          </w:p>
          <w:p w14:paraId="0EE0EBD5">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（2）土壤环境影响分析</w:t>
            </w:r>
          </w:p>
          <w:p w14:paraId="76122BA4">
            <w:pPr>
              <w:bidi w:val="0"/>
              <w:rPr>
                <w:rFonts w:hint="default" w:ascii="Times New Roman" w:hAnsi="Times New Roman" w:cs="Times New Roman"/>
                <w:lang w:val="en-US" w:eastAsia="zh-CN"/>
              </w:rPr>
            </w:pPr>
            <w:r>
              <w:rPr>
                <w:rFonts w:hint="default" w:ascii="Times New Roman" w:hAnsi="Times New Roman" w:cs="Times New Roman"/>
                <w:lang w:val="en-US" w:eastAsia="zh-CN"/>
              </w:rPr>
              <w:t>项目对土壤环境的潜在影响主要来源于以下几个方面：</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5"/>
              <w:gridCol w:w="2055"/>
              <w:gridCol w:w="3865"/>
            </w:tblGrid>
            <w:tr w14:paraId="60A2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25" w:type="pct"/>
                  <w:vAlign w:val="center"/>
                </w:tcPr>
                <w:p w14:paraId="714A9E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t>风险源</w:t>
                  </w:r>
                </w:p>
              </w:tc>
              <w:tc>
                <w:tcPr>
                  <w:tcW w:w="1275" w:type="pct"/>
                  <w:vAlign w:val="center"/>
                </w:tcPr>
                <w:p w14:paraId="0CC631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t>影响途径</w:t>
                  </w:r>
                </w:p>
              </w:tc>
              <w:tc>
                <w:tcPr>
                  <w:tcW w:w="2399" w:type="pct"/>
                  <w:vAlign w:val="center"/>
                </w:tcPr>
                <w:p w14:paraId="2277E1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t>潜在后果</w:t>
                  </w:r>
                </w:p>
              </w:tc>
            </w:tr>
            <w:tr w14:paraId="143D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25" w:type="pct"/>
                  <w:vAlign w:val="center"/>
                </w:tcPr>
                <w:p w14:paraId="1EABAC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柴油储存与使用</w:t>
                  </w:r>
                </w:p>
              </w:tc>
              <w:tc>
                <w:tcPr>
                  <w:tcW w:w="1275" w:type="pct"/>
                  <w:vAlign w:val="center"/>
                </w:tcPr>
                <w:p w14:paraId="53D5C2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泄漏、滴洒</w:t>
                  </w:r>
                </w:p>
              </w:tc>
              <w:tc>
                <w:tcPr>
                  <w:tcW w:w="2399" w:type="pct"/>
                  <w:vAlign w:val="center"/>
                </w:tcPr>
                <w:p w14:paraId="3E3CAF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石油类入渗，导致土壤污染，破坏土壤结构与微生物活性</w:t>
                  </w:r>
                </w:p>
              </w:tc>
            </w:tr>
            <w:tr w14:paraId="394A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25" w:type="pct"/>
                  <w:vAlign w:val="center"/>
                </w:tcPr>
                <w:p w14:paraId="0F2482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生活污水与泥浆水</w:t>
                  </w:r>
                </w:p>
              </w:tc>
              <w:tc>
                <w:tcPr>
                  <w:tcW w:w="1275" w:type="pct"/>
                  <w:vAlign w:val="center"/>
                </w:tcPr>
                <w:p w14:paraId="610460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下渗</w:t>
                  </w:r>
                </w:p>
              </w:tc>
              <w:tc>
                <w:tcPr>
                  <w:tcW w:w="2399" w:type="pct"/>
                  <w:vAlign w:val="center"/>
                </w:tcPr>
                <w:p w14:paraId="7DBBD5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有机物积累，影响土壤透气性与肥力</w:t>
                  </w:r>
                </w:p>
              </w:tc>
            </w:tr>
            <w:tr w14:paraId="025D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25" w:type="pct"/>
                  <w:vAlign w:val="center"/>
                </w:tcPr>
                <w:p w14:paraId="47C716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固废暂存不当</w:t>
                  </w:r>
                </w:p>
              </w:tc>
              <w:tc>
                <w:tcPr>
                  <w:tcW w:w="1275" w:type="pct"/>
                  <w:vAlign w:val="center"/>
                </w:tcPr>
                <w:p w14:paraId="7737D1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扬散、渗滤</w:t>
                  </w:r>
                </w:p>
              </w:tc>
              <w:tc>
                <w:tcPr>
                  <w:tcW w:w="2399" w:type="pct"/>
                  <w:vAlign w:val="center"/>
                </w:tcPr>
                <w:p w14:paraId="23CBDB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污染周边表层土壤</w:t>
                  </w:r>
                </w:p>
              </w:tc>
            </w:tr>
            <w:tr w14:paraId="4361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25" w:type="pct"/>
                  <w:vAlign w:val="center"/>
                </w:tcPr>
                <w:p w14:paraId="436CDC9F">
                  <w:pPr>
                    <w:spacing w:line="240" w:lineRule="auto"/>
                    <w:ind w:firstLine="0" w:firstLine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水泥储存与使用</w:t>
                  </w:r>
                </w:p>
              </w:tc>
              <w:tc>
                <w:tcPr>
                  <w:tcW w:w="1275" w:type="pct"/>
                  <w:vAlign w:val="center"/>
                </w:tcPr>
                <w:p w14:paraId="62F55DA8">
                  <w:pPr>
                    <w:spacing w:line="240" w:lineRule="auto"/>
                    <w:ind w:firstLine="0" w:firstLine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雨水冲刷堆存区，水泥随地表径流迁移；搅拌过程中水泥浆洒落渗入土壤</w:t>
                  </w:r>
                </w:p>
              </w:tc>
              <w:tc>
                <w:tcPr>
                  <w:tcW w:w="2399" w:type="pct"/>
                  <w:vAlign w:val="center"/>
                </w:tcPr>
                <w:p w14:paraId="00B9C2DC">
                  <w:pPr>
                    <w:spacing w:line="240" w:lineRule="auto"/>
                    <w:ind w:firstLine="0" w:firstLine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碱性物质入渗导致局部土壤pH升高、板结，影响微生物活性与植被恢复，若进入水体可引起pH升高</w:t>
                  </w:r>
                </w:p>
              </w:tc>
            </w:tr>
          </w:tbl>
          <w:p w14:paraId="71B57220">
            <w:pPr>
              <w:bidi w:val="0"/>
              <w:rPr>
                <w:rFonts w:hint="default" w:ascii="Times New Roman" w:hAnsi="Times New Roman" w:cs="Times New Roman"/>
                <w:lang w:val="en-US" w:eastAsia="zh-CN"/>
              </w:rPr>
            </w:pPr>
            <w:r>
              <w:rPr>
                <w:rFonts w:hint="default" w:ascii="Times New Roman" w:hAnsi="Times New Roman" w:cs="Times New Roman"/>
              </w:rPr>
              <w:t>针对上述风险，项目采取</w:t>
            </w:r>
            <w:r>
              <w:rPr>
                <w:rFonts w:hint="eastAsia" w:cs="Times New Roman"/>
                <w:lang w:eastAsia="zh-CN"/>
              </w:rPr>
              <w:t>“</w:t>
            </w:r>
            <w:r>
              <w:rPr>
                <w:rFonts w:hint="default" w:ascii="Times New Roman" w:hAnsi="Times New Roman" w:cs="Times New Roman"/>
              </w:rPr>
              <w:t>源头预防—过程控制—末端治理</w:t>
            </w:r>
            <w:r>
              <w:rPr>
                <w:rFonts w:hint="eastAsia" w:cs="Times New Roman"/>
                <w:lang w:eastAsia="zh-CN"/>
              </w:rPr>
              <w:t>”</w:t>
            </w:r>
            <w:r>
              <w:rPr>
                <w:rFonts w:hint="default" w:ascii="Times New Roman" w:hAnsi="Times New Roman" w:cs="Times New Roman"/>
              </w:rPr>
              <w:t>的全过程防控策略：</w:t>
            </w:r>
          </w:p>
          <w:p w14:paraId="6EDEDC4A">
            <w:pPr>
              <w:bidi w:val="0"/>
              <w:rPr>
                <w:rFonts w:hint="default" w:ascii="Times New Roman" w:hAnsi="Times New Roman" w:cs="Times New Roman"/>
                <w:lang w:val="en-US" w:eastAsia="zh-CN"/>
              </w:rPr>
            </w:pPr>
            <w:r>
              <w:rPr>
                <w:rFonts w:hint="default" w:ascii="Times New Roman" w:hAnsi="Times New Roman" w:cs="Times New Roman"/>
                <w:lang w:val="en-US" w:eastAsia="zh-CN"/>
              </w:rPr>
              <w:t>①源头防控措施</w:t>
            </w:r>
          </w:p>
          <w:p w14:paraId="0056E129">
            <w:pPr>
              <w:ind w:firstLine="480"/>
              <w:rPr>
                <w:rFonts w:hint="default" w:ascii="Times New Roman" w:hAnsi="Times New Roman" w:eastAsia="宋体" w:cs="Times New Roman"/>
                <w:lang w:val="en-US" w:eastAsia="zh-CN"/>
              </w:rPr>
            </w:pPr>
            <w:r>
              <w:rPr>
                <w:rFonts w:hint="default" w:ascii="Times New Roman" w:hAnsi="Times New Roman" w:cs="Times New Roman"/>
              </w:rPr>
              <w:t>柴油不设固定储罐，由车辆从加油站拉运，现场即时存放不超过3桶（约0.5t）。临时存放点铺设2mm厚HDPE防渗膜，并设置可拆卸式围堰（容积不小于单桶容量），配备吸油毡、防渗托盘等应急物资，用毕即清</w:t>
            </w:r>
            <w:r>
              <w:rPr>
                <w:rFonts w:hint="default" w:ascii="Times New Roman" w:hAnsi="Times New Roman" w:cs="Times New Roman"/>
                <w:lang w:val="en-US" w:eastAsia="zh-CN"/>
              </w:rPr>
              <w:t>；泥浆沉淀池底部铺设1.5mmHDPE防渗膜；生活污水收集设置移动式防渗环保厕所，储污罐密闭防渗，杜绝渗漏风险。袋装水泥分区堆放于各钻探平台，下垫防渗膜，上覆防雨布，四周设置简易挡水埂，防止雨水冲刷。</w:t>
            </w:r>
          </w:p>
          <w:p w14:paraId="533A1418">
            <w:pPr>
              <w:bidi w:val="0"/>
              <w:rPr>
                <w:rFonts w:hint="default" w:ascii="Times New Roman" w:hAnsi="Times New Roman" w:cs="Times New Roman"/>
                <w:lang w:val="en-US" w:eastAsia="zh-CN"/>
              </w:rPr>
            </w:pPr>
            <w:r>
              <w:rPr>
                <w:rFonts w:hint="default" w:ascii="Times New Roman" w:hAnsi="Times New Roman" w:cs="Times New Roman"/>
                <w:lang w:val="en-US" w:eastAsia="zh-CN"/>
              </w:rPr>
              <w:t>②过程管理措施</w:t>
            </w:r>
          </w:p>
          <w:p w14:paraId="05E5D1A5">
            <w:pPr>
              <w:bidi w:val="0"/>
              <w:rPr>
                <w:rFonts w:hint="default" w:ascii="Times New Roman" w:hAnsi="Times New Roman" w:cs="Times New Roman"/>
                <w:lang w:val="en-US" w:eastAsia="zh-CN"/>
              </w:rPr>
            </w:pPr>
            <w:r>
              <w:rPr>
                <w:rFonts w:hint="default" w:ascii="Times New Roman" w:hAnsi="Times New Roman" w:cs="Times New Roman"/>
                <w:lang w:val="en-US" w:eastAsia="zh-CN"/>
              </w:rPr>
              <w:t>实行每日巡检制度，重点检查储油点、管道接口、设备运行状态是否存在</w:t>
            </w:r>
            <w:r>
              <w:rPr>
                <w:rFonts w:hint="eastAsia" w:cs="Times New Roman"/>
                <w:lang w:val="en-US" w:eastAsia="zh-CN"/>
              </w:rPr>
              <w:t>“</w:t>
            </w:r>
            <w:r>
              <w:rPr>
                <w:rFonts w:hint="default" w:ascii="Times New Roman" w:hAnsi="Times New Roman" w:cs="Times New Roman"/>
                <w:lang w:val="en-US" w:eastAsia="zh-CN"/>
              </w:rPr>
              <w:t>跑、冒、滴、漏</w:t>
            </w:r>
            <w:r>
              <w:rPr>
                <w:rFonts w:hint="eastAsia" w:cs="Times New Roman"/>
                <w:lang w:val="en-US" w:eastAsia="zh-CN"/>
              </w:rPr>
              <w:t>”</w:t>
            </w:r>
            <w:r>
              <w:rPr>
                <w:rFonts w:hint="default" w:ascii="Times New Roman" w:hAnsi="Times New Roman" w:cs="Times New Roman"/>
                <w:lang w:val="en-US" w:eastAsia="zh-CN"/>
              </w:rPr>
              <w:t>现象；加强机械维护，避免因故障导致油品泄漏。</w:t>
            </w:r>
          </w:p>
          <w:p w14:paraId="1712B31B">
            <w:pPr>
              <w:bidi w:val="0"/>
              <w:rPr>
                <w:rFonts w:hint="default" w:ascii="Times New Roman" w:hAnsi="Times New Roman" w:cs="Times New Roman"/>
                <w:lang w:val="en-US" w:eastAsia="zh-CN"/>
              </w:rPr>
            </w:pPr>
            <w:r>
              <w:rPr>
                <w:rFonts w:hint="default" w:ascii="Times New Roman" w:hAnsi="Times New Roman" w:cs="Times New Roman"/>
                <w:lang w:val="en-US" w:eastAsia="zh-CN"/>
              </w:rPr>
              <w:t>③末端处置与恢复</w:t>
            </w:r>
          </w:p>
          <w:p w14:paraId="009C1845">
            <w:pPr>
              <w:bidi w:val="0"/>
              <w:rPr>
                <w:rFonts w:hint="default" w:ascii="Times New Roman" w:hAnsi="Times New Roman" w:cs="Times New Roman"/>
                <w:lang w:val="en-US" w:eastAsia="zh-CN"/>
              </w:rPr>
            </w:pPr>
            <w:r>
              <w:rPr>
                <w:rFonts w:hint="default" w:ascii="Times New Roman" w:hAnsi="Times New Roman" w:cs="Times New Roman"/>
                <w:lang w:val="en-US" w:eastAsia="zh-CN"/>
              </w:rPr>
              <w:t>钻井泥浆沉淀物经收集后委托有资质单位转运至青河县一般工业固体废物填埋场进行合规处置；勘探结束后，所有临时占地及时开展迹地清理、土地平整、表土回覆和植被恢复，恢复原有土壤结构与生态功能。</w:t>
            </w:r>
          </w:p>
          <w:p w14:paraId="4D7D7817">
            <w:pPr>
              <w:bidi w:val="0"/>
              <w:rPr>
                <w:rFonts w:hint="default" w:ascii="Times New Roman" w:hAnsi="Times New Roman" w:cs="Times New Roman"/>
                <w:lang w:val="en-US" w:eastAsia="zh-CN"/>
              </w:rPr>
            </w:pPr>
            <w:r>
              <w:rPr>
                <w:rFonts w:hint="default" w:ascii="Times New Roman" w:hAnsi="Times New Roman" w:cs="Times New Roman"/>
                <w:lang w:val="en-US" w:eastAsia="zh-CN"/>
              </w:rPr>
              <w:t>（3）结论</w:t>
            </w:r>
          </w:p>
          <w:p w14:paraId="3F5C40B0">
            <w:pPr>
              <w:bidi w:val="0"/>
              <w:rPr>
                <w:rFonts w:hint="default" w:ascii="Times New Roman" w:hAnsi="Times New Roman"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lang w:val="en-US" w:eastAsia="zh-CN"/>
              </w:rPr>
              <w:t>本项目在施工过程中存在钻孔串层、地下涌水、油品泄漏、污水下渗等潜在风险。通过严格落实套管隔离、水泥固井、分区防渗、应急响应、固废合规处置等防控措施，可有效切断污染物迁移路径，确保污染物不进入土壤和地下水环境。</w:t>
            </w:r>
          </w:p>
          <w:p w14:paraId="1C0CBC4A">
            <w:pPr>
              <w:keepNext w:val="0"/>
              <w:keepLines w:val="0"/>
              <w:widowControl/>
              <w:suppressLineNumbers w:val="0"/>
              <w:ind w:left="0" w:leftChars="0" w:firstLine="0" w:firstLineChars="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kern w:val="0"/>
                <w:sz w:val="24"/>
                <w:szCs w:val="24"/>
                <w:lang w:val="en-US" w:eastAsia="zh-CN" w:bidi="ar"/>
                <w14:textFill>
                  <w14:solidFill>
                    <w14:schemeClr w14:val="tx1"/>
                  </w14:solidFill>
                </w14:textFill>
              </w:rPr>
              <w:t>7.</w:t>
            </w: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环境风险分析</w:t>
            </w:r>
          </w:p>
          <w:p w14:paraId="14EB3F25">
            <w:pPr>
              <w:pStyle w:val="3"/>
              <w:bidi w:val="0"/>
              <w:rPr>
                <w:rFonts w:hint="default" w:ascii="Times New Roman" w:hAnsi="Times New Roman" w:cs="Times New Roman"/>
                <w:lang w:val="en-US" w:eastAsia="zh-CN"/>
              </w:rPr>
            </w:pPr>
            <w:r>
              <w:rPr>
                <w:rFonts w:hint="default" w:ascii="Times New Roman" w:hAnsi="Times New Roman" w:cs="Times New Roman"/>
                <w:lang w:val="en-US" w:eastAsia="zh-CN"/>
              </w:rPr>
              <w:t>7.1</w:t>
            </w:r>
            <w:r>
              <w:rPr>
                <w:rFonts w:hint="eastAsia" w:ascii="Times New Roman" w:hAnsi="Times New Roman" w:cs="Times New Roman"/>
                <w:lang w:val="en-US" w:eastAsia="zh-CN"/>
              </w:rPr>
              <w:t xml:space="preserve"> 风险</w:t>
            </w:r>
            <w:r>
              <w:rPr>
                <w:rFonts w:hint="default" w:ascii="Times New Roman" w:hAnsi="Times New Roman" w:cs="Times New Roman"/>
                <w:lang w:val="en-US" w:eastAsia="zh-CN"/>
              </w:rPr>
              <w:t>源调查</w:t>
            </w:r>
          </w:p>
          <w:p w14:paraId="7B41A5D4">
            <w:pPr>
              <w:bidi w:val="0"/>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（1）物质危险性识别</w:t>
            </w:r>
          </w:p>
          <w:p w14:paraId="7A5F542C">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为金属矿产资源地质勘查工程，属于非开采类、短周期探矿活动，不涉及爆破、选矿、冶炼、氰化提金等高风险工艺，无有毒有害化学试剂（如氰化物、强酸强碱）使用环节，也不产生含重金属溶出的废水或废渣。主要作业内容包括槽探钻探施工、岩芯取样、设备运输及临时营地建设。施工期间，机械设备（如全液压钻机、柴油发电机、运输车辆）需使用柴油作为动力燃料，因此存在少量柴油的储存与使用环节，构成潜在环境风险源。</w:t>
            </w:r>
          </w:p>
          <w:p w14:paraId="491EC63B">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经识别，本项目涉及的环境风险物质为：柴油（CAS号：68476-30-2），由附近加油站采购成品油，采用200L防泄漏塑料桶密封运输至现场；现场同时存放不超过3桶，总容积600L，按密度0.85 t/m³计算，最大质量为：0.6 m</w:t>
            </w:r>
            <w:r>
              <w:rPr>
                <w:rFonts w:hint="default" w:ascii="Times New Roman" w:hAnsi="Times New Roman" w:cs="Times New Roman"/>
                <w:color w:val="000000" w:themeColor="text1"/>
                <w:vertAlign w:val="superscript"/>
                <w:lang w:val="en-US" w:eastAsia="zh-CN"/>
                <w14:textFill>
                  <w14:solidFill>
                    <w14:schemeClr w14:val="tx1"/>
                  </w14:solidFill>
                </w14:textFill>
              </w:rPr>
              <w:t>3</w:t>
            </w:r>
            <w:r>
              <w:rPr>
                <w:rFonts w:hint="default" w:ascii="Times New Roman" w:hAnsi="Times New Roman" w:cs="Times New Roman"/>
                <w:color w:val="000000" w:themeColor="text1"/>
                <w:lang w:val="en-US" w:eastAsia="zh-CN"/>
                <w14:textFill>
                  <w14:solidFill>
                    <w14:schemeClr w14:val="tx1"/>
                  </w14:solidFill>
                </w14:textFill>
              </w:rPr>
              <w:t>×0.85t/m³=0.51吨；现场设置临时储油区，远离火源、热源和生活区，配备防渗托盘、可拆卸围堰及消防器材；仅用于钻机、发电机启动运行及车辆加油，不进行拆解维修或润滑油更换，不产生废矿物油、含油抹布等危险废物。</w:t>
            </w:r>
          </w:p>
          <w:p w14:paraId="2CB67D04">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根据HJ169-2018附录B，柴油的环境风险物质临界量为2500吨。计算风险物质数量与临界量比值（Q值）</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等于</w:t>
            </w:r>
            <w:r>
              <w:rPr>
                <w:rFonts w:hint="default" w:ascii="Times New Roman" w:hAnsi="Times New Roman" w:cs="Times New Roman"/>
                <w:color w:val="000000" w:themeColor="text1"/>
                <w:sz w:val="24"/>
                <w:szCs w:val="24"/>
                <w:lang w:val="en-US" w:eastAsia="zh-CN"/>
                <w14:textFill>
                  <w14:solidFill>
                    <w14:schemeClr w14:val="tx1"/>
                  </w14:solidFill>
                </w14:textFill>
              </w:rPr>
              <w:t>0.0002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&lt;1，由于Q&lt;1，根据《建设项目环境风险评价技术导则》第5.3条规定，判定本项目环境风险潜势为Ⅰ级，可开展简单分析。</w:t>
            </w:r>
          </w:p>
          <w:p w14:paraId="54A4BDB6">
            <w:pPr>
              <w:pStyle w:val="5"/>
              <w:bidi w:val="0"/>
              <w:rPr>
                <w:rFonts w:hint="default" w:ascii="Times New Roman" w:hAnsi="Times New Roman" w:cs="Times New Roman"/>
                <w:color w:val="000000" w:themeColor="text1"/>
                <w:lang w:val="en-US" w:eastAsia="zh-CN"/>
                <w14:textFill>
                  <w14:solidFill>
                    <w14:schemeClr w14:val="tx1"/>
                  </w14:solidFill>
                </w14:textFill>
              </w:rPr>
            </w:pPr>
          </w:p>
          <w:p w14:paraId="5FB424AF">
            <w:pPr>
              <w:pStyle w:val="5"/>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表4-3    危险物质识别一览表</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084"/>
              <w:gridCol w:w="1193"/>
              <w:gridCol w:w="1588"/>
              <w:gridCol w:w="1151"/>
              <w:gridCol w:w="1309"/>
              <w:gridCol w:w="993"/>
            </w:tblGrid>
            <w:tr w14:paraId="5D62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noWrap w:val="0"/>
                  <w:vAlign w:val="center"/>
                </w:tcPr>
                <w:p w14:paraId="3005A5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序号</w:t>
                  </w:r>
                </w:p>
              </w:tc>
              <w:tc>
                <w:tcPr>
                  <w:tcW w:w="673" w:type="pct"/>
                  <w:noWrap w:val="0"/>
                  <w:vAlign w:val="center"/>
                </w:tcPr>
                <w:p w14:paraId="03708E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物质名称</w:t>
                  </w:r>
                </w:p>
              </w:tc>
              <w:tc>
                <w:tcPr>
                  <w:tcW w:w="740" w:type="pct"/>
                  <w:noWrap w:val="0"/>
                  <w:vAlign w:val="center"/>
                </w:tcPr>
                <w:p w14:paraId="63B88F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风险特性</w:t>
                  </w:r>
                </w:p>
              </w:tc>
              <w:tc>
                <w:tcPr>
                  <w:tcW w:w="985" w:type="pct"/>
                  <w:noWrap w:val="0"/>
                  <w:vAlign w:val="center"/>
                </w:tcPr>
                <w:p w14:paraId="0D370E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判断依据</w:t>
                  </w:r>
                </w:p>
              </w:tc>
              <w:tc>
                <w:tcPr>
                  <w:tcW w:w="714" w:type="pct"/>
                  <w:noWrap w:val="0"/>
                  <w:vAlign w:val="center"/>
                </w:tcPr>
                <w:p w14:paraId="59DCE7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bCs/>
                      <w:color w:val="000000" w:themeColor="text1"/>
                      <w:kern w:val="0"/>
                      <w:sz w:val="21"/>
                      <w:szCs w:val="21"/>
                      <w:lang w:val="en-US" w:eastAsia="zh-CN"/>
                      <w14:textFill>
                        <w14:solidFill>
                          <w14:schemeClr w14:val="tx1"/>
                        </w14:solidFill>
                      </w14:textFill>
                    </w:rPr>
                    <w:t>临界量</w:t>
                  </w:r>
                </w:p>
              </w:tc>
              <w:tc>
                <w:tcPr>
                  <w:tcW w:w="812" w:type="pct"/>
                  <w:noWrap w:val="0"/>
                  <w:vAlign w:val="center"/>
                </w:tcPr>
                <w:p w14:paraId="426EFE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bCs/>
                      <w:color w:val="000000" w:themeColor="text1"/>
                      <w:kern w:val="0"/>
                      <w:sz w:val="21"/>
                      <w:szCs w:val="21"/>
                      <w:lang w:val="en-US" w:eastAsia="zh-CN"/>
                      <w14:textFill>
                        <w14:solidFill>
                          <w14:schemeClr w14:val="tx1"/>
                        </w14:solidFill>
                      </w14:textFill>
                    </w:rPr>
                    <w:t>最大存放量</w:t>
                  </w:r>
                </w:p>
              </w:tc>
              <w:tc>
                <w:tcPr>
                  <w:tcW w:w="616" w:type="pct"/>
                  <w:noWrap w:val="0"/>
                  <w:vAlign w:val="center"/>
                </w:tcPr>
                <w:p w14:paraId="3F9DBC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bCs/>
                      <w:color w:val="000000" w:themeColor="text1"/>
                      <w:kern w:val="0"/>
                      <w:sz w:val="21"/>
                      <w:szCs w:val="21"/>
                      <w:lang w:val="en-US" w:eastAsia="zh-CN"/>
                      <w14:textFill>
                        <w14:solidFill>
                          <w14:schemeClr w14:val="tx1"/>
                        </w14:solidFill>
                      </w14:textFill>
                    </w:rPr>
                    <w:t>Q值</w:t>
                  </w:r>
                </w:p>
              </w:tc>
            </w:tr>
            <w:tr w14:paraId="643E8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noWrap w:val="0"/>
                  <w:vAlign w:val="center"/>
                </w:tcPr>
                <w:p w14:paraId="6B155A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w:t>
                  </w:r>
                </w:p>
              </w:tc>
              <w:tc>
                <w:tcPr>
                  <w:tcW w:w="673" w:type="pct"/>
                  <w:noWrap w:val="0"/>
                  <w:vAlign w:val="center"/>
                </w:tcPr>
                <w:p w14:paraId="444C1B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柴油</w:t>
                  </w:r>
                </w:p>
              </w:tc>
              <w:tc>
                <w:tcPr>
                  <w:tcW w:w="740" w:type="pct"/>
                  <w:noWrap w:val="0"/>
                  <w:vAlign w:val="center"/>
                </w:tcPr>
                <w:p w14:paraId="100D42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可燃性</w:t>
                  </w:r>
                </w:p>
              </w:tc>
              <w:tc>
                <w:tcPr>
                  <w:tcW w:w="985" w:type="pct"/>
                  <w:noWrap w:val="0"/>
                  <w:vAlign w:val="center"/>
                </w:tcPr>
                <w:p w14:paraId="78D59E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HJ169-2018</w:t>
                  </w:r>
                </w:p>
              </w:tc>
              <w:tc>
                <w:tcPr>
                  <w:tcW w:w="714" w:type="pct"/>
                  <w:noWrap w:val="0"/>
                  <w:vAlign w:val="center"/>
                </w:tcPr>
                <w:p w14:paraId="357C55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2500吨</w:t>
                  </w:r>
                </w:p>
              </w:tc>
              <w:tc>
                <w:tcPr>
                  <w:tcW w:w="812" w:type="pct"/>
                  <w:noWrap w:val="0"/>
                  <w:vAlign w:val="center"/>
                </w:tcPr>
                <w:p w14:paraId="6939EA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0.51吨</w:t>
                  </w:r>
                </w:p>
              </w:tc>
              <w:tc>
                <w:tcPr>
                  <w:tcW w:w="616" w:type="pct"/>
                  <w:noWrap w:val="0"/>
                  <w:vAlign w:val="center"/>
                </w:tcPr>
                <w:p w14:paraId="0A12DC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0.0002</w:t>
                  </w:r>
                </w:p>
              </w:tc>
            </w:tr>
          </w:tbl>
          <w:p w14:paraId="400F84B2">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生产系统危险性识别</w:t>
            </w:r>
          </w:p>
          <w:p w14:paraId="75EBABEC">
            <w:pPr>
              <w:keepNext/>
              <w:keepLines/>
              <w:widowControl w:val="0"/>
              <w:bidi w:val="0"/>
              <w:spacing w:before="60" w:beforeLines="0" w:beforeAutospacing="0" w:after="60" w:afterLines="0" w:afterAutospacing="0" w:line="360" w:lineRule="auto"/>
              <w:ind w:firstLine="480" w:firstLineChars="200"/>
              <w:jc w:val="both"/>
              <w:outlineLvl w:val="1"/>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本项</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目在</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野外作业条件下存在潜在风险单元，主要集中在燃油储存与机械动力系统运行环节。</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具体见表4-4。</w:t>
            </w:r>
          </w:p>
          <w:p w14:paraId="360CB1FC">
            <w:pPr>
              <w:pStyle w:val="5"/>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表4-4    生产系统危险性识别一览表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437"/>
              <w:gridCol w:w="1678"/>
              <w:gridCol w:w="1750"/>
              <w:gridCol w:w="2472"/>
            </w:tblGrid>
            <w:tr w14:paraId="377E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14:paraId="713704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bCs/>
                      <w:color w:val="000000" w:themeColor="text1"/>
                      <w:kern w:val="0"/>
                      <w:sz w:val="21"/>
                      <w:szCs w:val="21"/>
                      <w:lang w:val="en-US" w:eastAsia="zh-CN"/>
                      <w14:textFill>
                        <w14:solidFill>
                          <w14:schemeClr w14:val="tx1"/>
                        </w14:solidFill>
                      </w14:textFill>
                    </w:rPr>
                    <w:t>序号</w:t>
                  </w:r>
                </w:p>
              </w:tc>
              <w:tc>
                <w:tcPr>
                  <w:tcW w:w="1437" w:type="dxa"/>
                </w:tcPr>
                <w:p w14:paraId="554345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bCs/>
                      <w:color w:val="000000" w:themeColor="text1"/>
                      <w:kern w:val="0"/>
                      <w:sz w:val="21"/>
                      <w:szCs w:val="21"/>
                      <w:lang w:val="en-US" w:eastAsia="zh-CN"/>
                      <w14:textFill>
                        <w14:solidFill>
                          <w14:schemeClr w14:val="tx1"/>
                        </w14:solidFill>
                      </w14:textFill>
                    </w:rPr>
                    <w:t>风险单元</w:t>
                  </w:r>
                </w:p>
              </w:tc>
              <w:tc>
                <w:tcPr>
                  <w:tcW w:w="1678" w:type="dxa"/>
                </w:tcPr>
                <w:p w14:paraId="7F68D7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主要设备/设施</w:t>
                  </w:r>
                </w:p>
              </w:tc>
              <w:tc>
                <w:tcPr>
                  <w:tcW w:w="1750" w:type="dxa"/>
                </w:tcPr>
                <w:p w14:paraId="788C87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潜在事故类型</w:t>
                  </w:r>
                </w:p>
              </w:tc>
              <w:tc>
                <w:tcPr>
                  <w:tcW w:w="2472" w:type="dxa"/>
                </w:tcPr>
                <w:p w14:paraId="45713A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原因分析</w:t>
                  </w:r>
                </w:p>
              </w:tc>
            </w:tr>
            <w:tr w14:paraId="4319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Align w:val="center"/>
                </w:tcPr>
                <w:p w14:paraId="702E07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1</w:t>
                  </w:r>
                </w:p>
              </w:tc>
              <w:tc>
                <w:tcPr>
                  <w:tcW w:w="1437" w:type="dxa"/>
                  <w:vAlign w:val="center"/>
                </w:tcPr>
                <w:p w14:paraId="55D0DB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柴油临时存放点（即用即拉）</w:t>
                  </w:r>
                </w:p>
              </w:tc>
              <w:tc>
                <w:tcPr>
                  <w:tcW w:w="1678" w:type="dxa"/>
                  <w:vAlign w:val="center"/>
                </w:tcPr>
                <w:p w14:paraId="404776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柴油桶、加油工具</w:t>
                  </w:r>
                </w:p>
              </w:tc>
              <w:tc>
                <w:tcPr>
                  <w:tcW w:w="1750" w:type="dxa"/>
                  <w:vAlign w:val="center"/>
                </w:tcPr>
                <w:p w14:paraId="62035F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泄漏、火灾</w:t>
                  </w:r>
                </w:p>
              </w:tc>
              <w:tc>
                <w:tcPr>
                  <w:tcW w:w="2472" w:type="dxa"/>
                  <w:vAlign w:val="center"/>
                </w:tcPr>
                <w:p w14:paraId="34A197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容器破损、操作不当、静电火花、邻近动火作业</w:t>
                  </w:r>
                </w:p>
              </w:tc>
            </w:tr>
            <w:tr w14:paraId="12D1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Align w:val="center"/>
                </w:tcPr>
                <w:p w14:paraId="76B3E3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2</w:t>
                  </w:r>
                </w:p>
              </w:tc>
              <w:tc>
                <w:tcPr>
                  <w:tcW w:w="1437" w:type="dxa"/>
                  <w:vAlign w:val="center"/>
                </w:tcPr>
                <w:p w14:paraId="70632F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勘探作业区</w:t>
                  </w:r>
                </w:p>
              </w:tc>
              <w:tc>
                <w:tcPr>
                  <w:tcW w:w="1678" w:type="dxa"/>
                  <w:vAlign w:val="center"/>
                </w:tcPr>
                <w:p w14:paraId="5F873C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柴油动力钻机、发电机</w:t>
                  </w:r>
                </w:p>
              </w:tc>
              <w:tc>
                <w:tcPr>
                  <w:tcW w:w="1750" w:type="dxa"/>
                  <w:vAlign w:val="center"/>
                </w:tcPr>
                <w:p w14:paraId="581220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燃油泄漏、机械故障引发火灾</w:t>
                  </w:r>
                </w:p>
              </w:tc>
              <w:tc>
                <w:tcPr>
                  <w:tcW w:w="2472" w:type="dxa"/>
                  <w:vAlign w:val="center"/>
                </w:tcPr>
                <w:p w14:paraId="54F2FD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设备老化、维护不到位</w:t>
                  </w:r>
                </w:p>
              </w:tc>
            </w:tr>
          </w:tbl>
          <w:p w14:paraId="0B664C36">
            <w:pPr>
              <w:keepNext/>
              <w:keepLines/>
              <w:widowControl w:val="0"/>
              <w:bidi w:val="0"/>
              <w:spacing w:before="60" w:beforeLines="0" w:beforeAutospacing="0" w:after="60" w:afterLines="0" w:afterAutospacing="0" w:line="360" w:lineRule="auto"/>
              <w:ind w:firstLine="480" w:firstLineChars="200"/>
              <w:jc w:val="both"/>
              <w:outlineLvl w:val="1"/>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t>上述两个风险单元构成项目主要环境风险源，重点防范对象为柴油泄漏及其引发的次生火灾事故。</w:t>
            </w:r>
          </w:p>
          <w:p w14:paraId="2D62A08F">
            <w:pPr>
              <w:pStyle w:val="3"/>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7.2环境敏感目标情况</w:t>
            </w:r>
          </w:p>
          <w:p w14:paraId="61D4E3ED">
            <w:pPr>
              <w:bidi w:val="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w:t>
            </w:r>
            <w:r>
              <w:rPr>
                <w:rFonts w:hint="default" w:ascii="Times New Roman" w:hAnsi="Times New Roman" w:cs="Times New Roman"/>
                <w:color w:val="000000" w:themeColor="text1"/>
                <w:lang w:val="en-US" w:eastAsia="zh-CN"/>
                <w14:textFill>
                  <w14:solidFill>
                    <w14:schemeClr w14:val="tx1"/>
                  </w14:solidFill>
                </w14:textFill>
              </w:rPr>
              <w:t>勘查区</w:t>
            </w:r>
            <w:r>
              <w:rPr>
                <w:rFonts w:hint="default" w:ascii="Times New Roman" w:hAnsi="Times New Roman" w:cs="Times New Roman"/>
                <w:color w:val="000000" w:themeColor="text1"/>
                <w14:textFill>
                  <w14:solidFill>
                    <w14:schemeClr w14:val="tx1"/>
                  </w14:solidFill>
                </w14:textFill>
              </w:rPr>
              <w:t>位于</w:t>
            </w:r>
            <w:r>
              <w:rPr>
                <w:rFonts w:hint="default" w:ascii="Times New Roman" w:hAnsi="Times New Roman" w:cs="Times New Roman"/>
                <w:color w:val="000000" w:themeColor="text1"/>
                <w:lang w:val="en-US" w:eastAsia="zh-CN"/>
                <w14:textFill>
                  <w14:solidFill>
                    <w14:schemeClr w14:val="tx1"/>
                  </w14:solidFill>
                </w14:textFill>
              </w:rPr>
              <w:t>昌吉回族自治州木垒哈萨克自治县城北东38方向直距145公里处</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地处偏远山区，地形以低山丘陵为主，植被覆盖率较低，土地利用类型主要为荒漠草原，无耕地、人工林地或集中居民区分布。</w:t>
            </w:r>
          </w:p>
          <w:p w14:paraId="3519BBD9">
            <w:pPr>
              <w:bidi w:val="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经</w:t>
            </w:r>
            <w:r>
              <w:rPr>
                <w:rFonts w:hint="default" w:ascii="Times New Roman" w:hAnsi="Times New Roman" w:cs="Times New Roman"/>
                <w:color w:val="000000" w:themeColor="text1"/>
                <w:sz w:val="24"/>
                <w:szCs w:val="24"/>
                <w:lang w:val="en-US" w:eastAsia="zh-CN"/>
                <w14:textFill>
                  <w14:solidFill>
                    <w14:schemeClr w14:val="tx1"/>
                  </w14:solidFill>
                </w14:textFill>
              </w:rPr>
              <w:t>现场调查</w:t>
            </w:r>
            <w:r>
              <w:rPr>
                <w:rFonts w:hint="default" w:ascii="Times New Roman" w:hAnsi="Times New Roman" w:eastAsia="宋体" w:cs="Times New Roman"/>
                <w:color w:val="000000" w:themeColor="text1"/>
                <w:sz w:val="24"/>
                <w:szCs w:val="24"/>
                <w14:textFill>
                  <w14:solidFill>
                    <w14:schemeClr w14:val="tx1"/>
                  </w14:solidFill>
                </w14:textFill>
              </w:rPr>
              <w:t>核实，</w:t>
            </w:r>
            <w:r>
              <w:rPr>
                <w:rFonts w:hint="default" w:ascii="Times New Roman" w:hAnsi="Times New Roman" w:cs="Times New Roman"/>
                <w:color w:val="000000" w:themeColor="text1"/>
                <w:sz w:val="24"/>
                <w:szCs w:val="24"/>
                <w:lang w:val="en-US" w:eastAsia="zh-CN"/>
                <w14:textFill>
                  <w14:solidFill>
                    <w14:schemeClr w14:val="tx1"/>
                  </w14:solidFill>
                </w14:textFill>
              </w:rPr>
              <w:t>勘探区外5km</w:t>
            </w:r>
            <w:r>
              <w:rPr>
                <w:rFonts w:hint="default" w:ascii="Times New Roman" w:hAnsi="Times New Roman" w:eastAsia="宋体" w:cs="Times New Roman"/>
                <w:color w:val="000000" w:themeColor="text1"/>
                <w:sz w:val="24"/>
                <w:szCs w:val="24"/>
                <w14:textFill>
                  <w14:solidFill>
                    <w14:schemeClr w14:val="tx1"/>
                  </w14:solidFill>
                </w14:textFill>
              </w:rPr>
              <w:t>范围内</w:t>
            </w:r>
            <w:r>
              <w:rPr>
                <w:rFonts w:hint="default" w:ascii="Times New Roman" w:hAnsi="Times New Roman" w:cs="Times New Roman"/>
                <w:color w:val="000000" w:themeColor="text1"/>
                <w:sz w:val="24"/>
                <w:szCs w:val="24"/>
                <w:lang w:val="en-US" w:eastAsia="zh-CN"/>
                <w14:textFill>
                  <w14:solidFill>
                    <w14:schemeClr w14:val="tx1"/>
                  </w14:solidFill>
                </w14:textFill>
              </w:rPr>
              <w:t>无</w:t>
            </w:r>
            <w:r>
              <w:rPr>
                <w:rFonts w:hint="default" w:ascii="Times New Roman" w:hAnsi="Times New Roman" w:eastAsia="宋体" w:cs="Times New Roman"/>
                <w:color w:val="000000" w:themeColor="text1"/>
                <w:sz w:val="24"/>
                <w:szCs w:val="24"/>
                <w14:textFill>
                  <w14:solidFill>
                    <w14:schemeClr w14:val="tx1"/>
                  </w14:solidFill>
                </w14:textFill>
              </w:rPr>
              <w:t>人口密集区</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无自然保护区、风景名胜区、饮用水水源保护区等生态保护目标</w:t>
            </w:r>
            <w:r>
              <w:rPr>
                <w:rFonts w:hint="default" w:ascii="Times New Roman" w:hAnsi="Times New Roman" w:cs="Times New Roman"/>
                <w:color w:val="000000" w:themeColor="text1"/>
                <w:sz w:val="24"/>
                <w:szCs w:val="24"/>
                <w:lang w:eastAsia="zh-CN"/>
                <w14:textFill>
                  <w14:solidFill>
                    <w14:schemeClr w14:val="tx1"/>
                  </w14:solidFill>
                </w14:textFill>
              </w:rPr>
              <w:t>；项目区周边无常年性河流或湖泊；无常年性地表水体；区域地下水类型为基岩裂隙水，埋深大于30m，含水层渗透性弱，补给缓慢；目前无集中式供水井或分散式饮用水井分布，不具备集中供水功能；</w:t>
            </w:r>
            <w:r>
              <w:rPr>
                <w:rFonts w:hint="default" w:ascii="Times New Roman" w:hAnsi="Times New Roman" w:eastAsia="宋体" w:cs="Times New Roman"/>
                <w:color w:val="000000" w:themeColor="text1"/>
                <w:sz w:val="24"/>
                <w:szCs w:val="24"/>
                <w14:textFill>
                  <w14:solidFill>
                    <w14:schemeClr w14:val="tx1"/>
                  </w14:solidFill>
                </w14:textFill>
              </w:rPr>
              <w:t>综上所述，区域人口稀少，环境空气质量背景值良好，大气环境风险受体等级判定为E3（低）；地下水环境功能为Ⅲ类，地下水环境风险受体等级为E3。</w:t>
            </w:r>
          </w:p>
          <w:p w14:paraId="7B7A26E6">
            <w:pPr>
              <w:pStyle w:val="3"/>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7.3环境风险分析</w:t>
            </w:r>
          </w:p>
          <w:p w14:paraId="612F587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尽管本项目环境风险潜势为Ⅰ级，但仍应对可能发生的典型环境风险情景进行定性分析，识别关键风险路径与影响程度。</w:t>
            </w:r>
          </w:p>
          <w:p w14:paraId="58775A6E">
            <w:pPr>
              <w:pStyle w:val="5"/>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表4-5    环境风险分析一览表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1591"/>
              <w:gridCol w:w="867"/>
              <w:gridCol w:w="831"/>
              <w:gridCol w:w="4103"/>
            </w:tblGrid>
            <w:tr w14:paraId="4429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14:paraId="4D906E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bCs/>
                      <w:color w:val="000000" w:themeColor="text1"/>
                      <w:kern w:val="0"/>
                      <w:sz w:val="21"/>
                      <w:szCs w:val="21"/>
                      <w:lang w:val="en-US" w:eastAsia="zh-CN"/>
                      <w14:textFill>
                        <w14:solidFill>
                          <w14:schemeClr w14:val="tx1"/>
                        </w14:solidFill>
                      </w14:textFill>
                    </w:rPr>
                    <w:t>序号</w:t>
                  </w:r>
                </w:p>
              </w:tc>
              <w:tc>
                <w:tcPr>
                  <w:tcW w:w="1591" w:type="dxa"/>
                  <w:vAlign w:val="center"/>
                </w:tcPr>
                <w:p w14:paraId="34C31D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bCs/>
                      <w:color w:val="000000" w:themeColor="text1"/>
                      <w:kern w:val="0"/>
                      <w:sz w:val="21"/>
                      <w:szCs w:val="21"/>
                      <w:lang w:val="en-US" w:eastAsia="zh-CN"/>
                      <w14:textFill>
                        <w14:solidFill>
                          <w14:schemeClr w14:val="tx1"/>
                        </w14:solidFill>
                      </w14:textFill>
                    </w:rPr>
                    <w:t>风险情景</w:t>
                  </w:r>
                </w:p>
              </w:tc>
              <w:tc>
                <w:tcPr>
                  <w:tcW w:w="867" w:type="dxa"/>
                  <w:vAlign w:val="center"/>
                </w:tcPr>
                <w:p w14:paraId="5C1E7E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bCs/>
                      <w:color w:val="000000" w:themeColor="text1"/>
                      <w:kern w:val="0"/>
                      <w:sz w:val="21"/>
                      <w:szCs w:val="21"/>
                      <w:lang w:val="en-US" w:eastAsia="zh-CN"/>
                      <w14:textFill>
                        <w14:solidFill>
                          <w14:schemeClr w14:val="tx1"/>
                        </w14:solidFill>
                      </w14:textFill>
                    </w:rPr>
                    <w:t>发生可能性</w:t>
                  </w:r>
                </w:p>
              </w:tc>
              <w:tc>
                <w:tcPr>
                  <w:tcW w:w="831" w:type="dxa"/>
                  <w:vAlign w:val="center"/>
                </w:tcPr>
                <w:p w14:paraId="703E65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bCs/>
                      <w:color w:val="000000" w:themeColor="text1"/>
                      <w:kern w:val="0"/>
                      <w:sz w:val="21"/>
                      <w:szCs w:val="21"/>
                      <w:lang w:val="en-US" w:eastAsia="zh-CN"/>
                      <w14:textFill>
                        <w14:solidFill>
                          <w14:schemeClr w14:val="tx1"/>
                        </w14:solidFill>
                      </w14:textFill>
                    </w:rPr>
                    <w:t>后果影响程度</w:t>
                  </w:r>
                </w:p>
              </w:tc>
              <w:tc>
                <w:tcPr>
                  <w:tcW w:w="4103" w:type="dxa"/>
                  <w:vAlign w:val="center"/>
                </w:tcPr>
                <w:p w14:paraId="600774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bCs/>
                      <w:color w:val="000000" w:themeColor="text1"/>
                      <w:kern w:val="0"/>
                      <w:sz w:val="21"/>
                      <w:szCs w:val="21"/>
                      <w:lang w:val="en-US" w:eastAsia="zh-CN"/>
                      <w14:textFill>
                        <w14:solidFill>
                          <w14:schemeClr w14:val="tx1"/>
                        </w14:solidFill>
                      </w14:textFill>
                    </w:rPr>
                    <w:t>描述说明</w:t>
                  </w:r>
                </w:p>
              </w:tc>
            </w:tr>
            <w:tr w14:paraId="495BE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14:paraId="2B2ED0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1</w:t>
                  </w:r>
                </w:p>
              </w:tc>
              <w:tc>
                <w:tcPr>
                  <w:tcW w:w="1591" w:type="dxa"/>
                  <w:vAlign w:val="center"/>
                </w:tcPr>
                <w:p w14:paraId="0F1612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柴油运输或加注过程中泄漏</w:t>
                  </w:r>
                </w:p>
              </w:tc>
              <w:tc>
                <w:tcPr>
                  <w:tcW w:w="867" w:type="dxa"/>
                  <w:vAlign w:val="center"/>
                </w:tcPr>
                <w:p w14:paraId="27957C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较低</w:t>
                  </w:r>
                </w:p>
              </w:tc>
              <w:tc>
                <w:tcPr>
                  <w:tcW w:w="831" w:type="dxa"/>
                  <w:vAlign w:val="center"/>
                </w:tcPr>
                <w:p w14:paraId="7C0A38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轻微</w:t>
                  </w:r>
                </w:p>
              </w:tc>
              <w:tc>
                <w:tcPr>
                  <w:tcW w:w="4103" w:type="dxa"/>
                  <w:vAlign w:val="center"/>
                </w:tcPr>
                <w:p w14:paraId="589E8F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若发生滴漏，可能导致局部土壤污染，若未及时清理，在降雨条件下可能随地表径流迁移进入浅层土壤，存在缓慢入渗风险</w:t>
                  </w:r>
                </w:p>
              </w:tc>
            </w:tr>
            <w:tr w14:paraId="2B88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14:paraId="03EA65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2</w:t>
                  </w:r>
                </w:p>
              </w:tc>
              <w:tc>
                <w:tcPr>
                  <w:tcW w:w="1591" w:type="dxa"/>
                  <w:vAlign w:val="center"/>
                </w:tcPr>
                <w:p w14:paraId="400692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储油桶倾倒导致大量泄漏</w:t>
                  </w:r>
                </w:p>
              </w:tc>
              <w:tc>
                <w:tcPr>
                  <w:tcW w:w="867" w:type="dxa"/>
                  <w:vAlign w:val="center"/>
                </w:tcPr>
                <w:p w14:paraId="1769DA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较低</w:t>
                  </w:r>
                </w:p>
              </w:tc>
              <w:tc>
                <w:tcPr>
                  <w:tcW w:w="831" w:type="dxa"/>
                  <w:vAlign w:val="center"/>
                </w:tcPr>
                <w:p w14:paraId="22D618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中等</w:t>
                  </w:r>
                </w:p>
              </w:tc>
              <w:tc>
                <w:tcPr>
                  <w:tcW w:w="4103" w:type="dxa"/>
                  <w:vAlign w:val="center"/>
                </w:tcPr>
                <w:p w14:paraId="36742F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在极端天气（强风）、人为失误情况下可能发生，最大泄漏量约为0.51t，影响范围有限，但可能造成局部土壤油污，并产生异味</w:t>
                  </w:r>
                </w:p>
              </w:tc>
            </w:tr>
            <w:tr w14:paraId="222AB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14:paraId="54901D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3</w:t>
                  </w:r>
                </w:p>
              </w:tc>
              <w:tc>
                <w:tcPr>
                  <w:tcW w:w="1591" w:type="dxa"/>
                  <w:vAlign w:val="center"/>
                </w:tcPr>
                <w:p w14:paraId="15B562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油品遇明火引发火灾</w:t>
                  </w:r>
                </w:p>
              </w:tc>
              <w:tc>
                <w:tcPr>
                  <w:tcW w:w="867" w:type="dxa"/>
                  <w:vAlign w:val="center"/>
                </w:tcPr>
                <w:p w14:paraId="0FE286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较低</w:t>
                  </w:r>
                </w:p>
              </w:tc>
              <w:tc>
                <w:tcPr>
                  <w:tcW w:w="831" w:type="dxa"/>
                  <w:vAlign w:val="center"/>
                </w:tcPr>
                <w:p w14:paraId="2D0E49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局部</w:t>
                  </w:r>
                </w:p>
              </w:tc>
              <w:tc>
                <w:tcPr>
                  <w:tcW w:w="4103" w:type="dxa"/>
                  <w:vAlign w:val="center"/>
                </w:tcPr>
                <w:p w14:paraId="38F7E4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存在于动火作业、电气火花、吸烟等情形下，可能引燃挥发油气，造成人员伤害及大气污染物排放（CO、烟尘等）</w:t>
                  </w:r>
                </w:p>
              </w:tc>
            </w:tr>
          </w:tbl>
          <w:p w14:paraId="684974A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由于项目所用危险物质储量极小（仅</w:t>
            </w:r>
            <w:r>
              <w:rPr>
                <w:rFonts w:hint="default" w:ascii="Times New Roman" w:hAnsi="Times New Roman" w:cs="Times New Roman"/>
                <w:color w:val="000000" w:themeColor="text1"/>
                <w:sz w:val="24"/>
                <w:szCs w:val="24"/>
                <w:lang w:val="en-US" w:eastAsia="zh-CN"/>
                <w14:textFill>
                  <w14:solidFill>
                    <w14:schemeClr w14:val="tx1"/>
                  </w14:solidFill>
                </w14:textFill>
              </w:rPr>
              <w:t>0.51t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）、作业周期短、远离人居与生态敏感区，即使发生泄漏或火灾事故，其影响范围可控，不会造成重大环境污染或公共健康危害。</w:t>
            </w:r>
          </w:p>
          <w:p w14:paraId="3E39E1A5">
            <w:pPr>
              <w:pStyle w:val="3"/>
              <w:bidi w:val="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7.4环境风险防范措施及应急要求</w:t>
            </w:r>
          </w:p>
          <w:p w14:paraId="255039BB">
            <w:pP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为最大限度预防和减轻潜在环境风险，确保施工安全和环境安全，本项目将采取以下综合性、全过程的防范措施和应急准备：</w:t>
            </w:r>
          </w:p>
          <w:p w14:paraId="0EAFDA1D">
            <w:pP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储存与运输管理</w:t>
            </w:r>
          </w:p>
          <w:p w14:paraId="25A9172F">
            <w:pPr>
              <w:ind w:firstLine="480"/>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柴油不设固定储罐。拉运及临时存放均使用专用防泄漏、耐腐蚀、带密封盖的塑料桶。临时存放点选择平坦、坚实、通风良好的区域，远离火源、热源和生活办公区，安全距离不小于10m；下方铺设2mm厚HDPE防渗膜，设置可拆卸式围堰和防渗托盘（容积不低于单桶容量），配备吸油毡等应急物资。柴油即用即拉，每批次不超过3桶，用毕及时清理</w:t>
            </w:r>
            <w:r>
              <w:rPr>
                <w:rFonts w:hint="default" w:ascii="Times New Roman" w:hAnsi="Times New Roman" w:cs="Times New Roman"/>
                <w:color w:val="000000" w:themeColor="text1"/>
                <w:lang w:eastAsia="zh-CN"/>
                <w14:textFill>
                  <w14:solidFill>
                    <w14:schemeClr w14:val="tx1"/>
                  </w14:solidFill>
                </w14:textFill>
              </w:rPr>
              <w:t>。</w:t>
            </w:r>
          </w:p>
          <w:p w14:paraId="0A9E942A">
            <w:pP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加油作业安全管理</w:t>
            </w:r>
          </w:p>
          <w:p w14:paraId="0FCCC669">
            <w:pP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加油操作应在指定专用区域进行，禁止在设备运转状态下加油；配备干粉灭火器、消防沙箱、吸油毡等应急物资；严禁在储油点及周边30m范围内吸烟、使用明火或进行焊接等动火作业；所有电气设备须可靠接地，防止静电积聚引发火灾。</w:t>
            </w:r>
          </w:p>
          <w:p w14:paraId="397CE8B5">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（3）探矿过程专项环境风险防范措施</w:t>
            </w:r>
          </w:p>
          <w:p w14:paraId="756E83BE">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钻井液泄漏防控：使用环保型、可生物降解的水基钻井液，严禁使用油基泥浆。在勘探作业区及泥浆循环区（导流槽、沉淀池）铺设HDPE防渗膜，并设置围堰，形成</w:t>
            </w:r>
            <w:r>
              <w:rPr>
                <w:rFonts w:hint="eastAsia"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双保险</w:t>
            </w:r>
            <w:r>
              <w:rPr>
                <w:rFonts w:hint="eastAsia"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防渗体系。加强泥浆循环系统巡检，及时发现并处理</w:t>
            </w:r>
            <w:r>
              <w:rPr>
                <w:rFonts w:hint="eastAsia"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跑、冒、滴、漏</w:t>
            </w:r>
            <w:r>
              <w:rPr>
                <w:rFonts w:hint="eastAsia"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现象。</w:t>
            </w:r>
          </w:p>
          <w:p w14:paraId="3A5E2D4C">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（4）污染防治与固废管理</w:t>
            </w:r>
          </w:p>
          <w:p w14:paraId="49FC9DCB">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定期检查机械设备油路密封性能，杜绝</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跑、冒、滴、漏</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现象；施工结束后应对储油点及周边区域彻底清理，清除残留油迹。废钻井泥浆沉淀物（含岩屑）作为一般工业固废，全部运送至青河县一般工业固体废物填埋场进行安全填埋处置，防范扬尘与淋溶风险。</w:t>
            </w:r>
          </w:p>
          <w:p w14:paraId="6340E224">
            <w:pP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应急预案与培训演练</w:t>
            </w:r>
          </w:p>
          <w:p w14:paraId="0E411B7B">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编制《突发环境事件应急预案简要方案》，明确应急组织架构、责任人职责、报警联络方式、初期处置流程（如吸附、覆盖、转移、隔离）等内容；</w:t>
            </w:r>
            <w:r>
              <w:rPr>
                <w:rFonts w:hint="default" w:ascii="Times New Roman" w:hAnsi="Times New Roman" w:cs="Times New Roman"/>
                <w:color w:val="000000" w:themeColor="text1"/>
                <w:lang w:val="en-US" w:eastAsia="zh-CN"/>
                <w14:textFill>
                  <w14:solidFill>
                    <w14:schemeClr w14:val="tx1"/>
                  </w14:solidFill>
                </w14:textFill>
              </w:rPr>
              <w:t>在工地现场配备应急物资（如吸油毡、堵漏剂、备用防渗布、应急泵等），定期检查维护。组织全体施工人员进行环境风险防范和应急响应培训，针对钻井液泄漏或涌水等情景的实战演练，提升现场人员的应急处置能力。</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与属地生态环境主管部门建立信息通报机制，确保一旦发生突发环境事件能够快速响应、协同处置。</w:t>
            </w:r>
          </w:p>
          <w:p w14:paraId="75EB4D80">
            <w:pP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日常巡查与报告制度</w:t>
            </w:r>
          </w:p>
          <w:p w14:paraId="2F79D5B4">
            <w:pP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实行每日巡查制度，重点检查储油点安全性、容器完整性、周边环境状况；如发生柴油泄漏或火灾事故，应立即启动应急程序，控制污染扩散，并在第一时间向当地生态环境部门报告，同时做好事件记录与后续整改工作。</w:t>
            </w:r>
          </w:p>
          <w:p w14:paraId="0ED3D3E4">
            <w:pPr>
              <w:pStyle w:val="3"/>
              <w:bidi w:val="0"/>
              <w:rPr>
                <w:rFonts w:hint="default" w:ascii="Times New Roman" w:hAnsi="Times New Roman" w:cs="Times New Roman"/>
                <w:lang w:val="en-US" w:eastAsia="zh-CN"/>
              </w:rPr>
            </w:pPr>
            <w:r>
              <w:rPr>
                <w:rFonts w:hint="default" w:ascii="Times New Roman" w:hAnsi="Times New Roman" w:cs="Times New Roman"/>
                <w:lang w:val="en-US" w:eastAsia="zh-CN"/>
              </w:rPr>
              <w:t>7.5分析结论</w:t>
            </w:r>
          </w:p>
          <w:p w14:paraId="6AA72776">
            <w:pP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根据《建设项目环境风险评价技术导则》（HJ 169-2018）相关规定，本项目所涉危险物质——柴油的最大存在量仅为0.</w:t>
            </w:r>
            <w:r>
              <w:rPr>
                <w:rFonts w:hint="default" w:ascii="Times New Roman" w:hAnsi="Times New Roman" w:cs="Times New Roman"/>
                <w:color w:val="000000" w:themeColor="text1"/>
                <w:sz w:val="24"/>
                <w:szCs w:val="24"/>
                <w:lang w:val="en-US" w:eastAsia="zh-CN"/>
                <w14:textFill>
                  <w14:solidFill>
                    <w14:schemeClr w14:val="tx1"/>
                  </w14:solidFill>
                </w14:textFill>
              </w:rPr>
              <w:t>51</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吨，远低于其2500吨的临界量，计算得Q值为</w:t>
            </w:r>
            <w:r>
              <w:rPr>
                <w:rFonts w:hint="default" w:ascii="Times New Roman" w:hAnsi="Times New Roman" w:cs="Times New Roman"/>
                <w:color w:val="000000" w:themeColor="text1"/>
                <w:sz w:val="24"/>
                <w:szCs w:val="24"/>
                <w:lang w:val="en-US" w:eastAsia="zh-CN"/>
                <w14:textFill>
                  <w14:solidFill>
                    <w14:schemeClr w14:val="tx1"/>
                  </w14:solidFill>
                </w14:textFill>
              </w:rPr>
              <w:t>0.0002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，小于1，环境风险潜势为Ⅰ级。项目所在区域无重要环境敏感目标，地表水缺失，地下水埋藏深、流动性弱，生态系统脆弱度较低。通过落实各项环境风险防控措施，可有效控制潜在环境风险。</w:t>
            </w:r>
            <w:r>
              <w:rPr>
                <w:rFonts w:hint="default" w:ascii="Times New Roman" w:hAnsi="Times New Roman" w:cs="Times New Roman"/>
                <w:color w:val="000000" w:themeColor="text1"/>
                <w:sz w:val="24"/>
                <w:szCs w:val="24"/>
                <w:lang w:val="en-US" w:eastAsia="zh-CN"/>
                <w14:textFill>
                  <w14:solidFill>
                    <w14:schemeClr w14:val="tx1"/>
                  </w14:solidFill>
                </w14:textFill>
              </w:rPr>
              <w:t>综上</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本项目环境风险处于可控范围，从环境风险角度分析，项目建设具备环境可行性。</w:t>
            </w:r>
          </w:p>
          <w:p w14:paraId="51452A3E">
            <w:pPr>
              <w:pStyle w:val="5"/>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表4-6   本项目环境风险简单分析内容表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5"/>
              <w:gridCol w:w="871"/>
              <w:gridCol w:w="1963"/>
              <w:gridCol w:w="1427"/>
              <w:gridCol w:w="2102"/>
            </w:tblGrid>
            <w:tr w14:paraId="28D6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1" w:type="pct"/>
                  <w:noWrap w:val="0"/>
                  <w:vAlign w:val="center"/>
                </w:tcPr>
                <w:p w14:paraId="0A9D64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建设项目名称</w:t>
                  </w:r>
                </w:p>
              </w:tc>
              <w:tc>
                <w:tcPr>
                  <w:tcW w:w="3948" w:type="pct"/>
                  <w:gridSpan w:val="4"/>
                  <w:noWrap w:val="0"/>
                  <w:vAlign w:val="center"/>
                </w:tcPr>
                <w:p w14:paraId="67C17C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新疆木垒哈萨克自治县托浪岗金矿普查项目</w:t>
                  </w:r>
                </w:p>
              </w:tc>
            </w:tr>
            <w:tr w14:paraId="69B5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1" w:type="pct"/>
                  <w:noWrap w:val="0"/>
                  <w:vAlign w:val="center"/>
                </w:tcPr>
                <w:p w14:paraId="09AE5C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建设地点</w:t>
                  </w:r>
                </w:p>
              </w:tc>
              <w:tc>
                <w:tcPr>
                  <w:tcW w:w="3948" w:type="pct"/>
                  <w:gridSpan w:val="4"/>
                  <w:noWrap w:val="0"/>
                  <w:vAlign w:val="center"/>
                </w:tcPr>
                <w:p w14:paraId="75EBB5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新疆维吾尔自治区昌吉回族自治州木垒哈萨克自治县城北东38方向直距145公里处</w:t>
                  </w:r>
                </w:p>
              </w:tc>
            </w:tr>
            <w:tr w14:paraId="5829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1" w:type="pct"/>
                  <w:noWrap w:val="0"/>
                  <w:vAlign w:val="center"/>
                </w:tcPr>
                <w:p w14:paraId="08ECCD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地理坐标</w:t>
                  </w:r>
                </w:p>
              </w:tc>
              <w:tc>
                <w:tcPr>
                  <w:tcW w:w="540" w:type="pct"/>
                  <w:noWrap w:val="0"/>
                  <w:vAlign w:val="center"/>
                </w:tcPr>
                <w:p w14:paraId="54E8DC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经度</w:t>
                  </w:r>
                </w:p>
              </w:tc>
              <w:tc>
                <w:tcPr>
                  <w:tcW w:w="1218" w:type="pct"/>
                  <w:noWrap w:val="0"/>
                  <w:vAlign w:val="center"/>
                </w:tcPr>
                <w:p w14:paraId="17E8F1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p>
              </w:tc>
              <w:tc>
                <w:tcPr>
                  <w:tcW w:w="885" w:type="pct"/>
                  <w:noWrap w:val="0"/>
                  <w:vAlign w:val="center"/>
                </w:tcPr>
                <w:p w14:paraId="62687A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纬度</w:t>
                  </w:r>
                </w:p>
              </w:tc>
              <w:tc>
                <w:tcPr>
                  <w:tcW w:w="1304" w:type="pct"/>
                  <w:noWrap w:val="0"/>
                  <w:vAlign w:val="center"/>
                </w:tcPr>
                <w:p w14:paraId="7A617A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u w:val="none"/>
                      <w14:textFill>
                        <w14:solidFill>
                          <w14:schemeClr w14:val="tx1"/>
                        </w14:solidFill>
                      </w14:textFill>
                    </w:rPr>
                  </w:pPr>
                </w:p>
              </w:tc>
            </w:tr>
            <w:tr w14:paraId="2E79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1" w:type="pct"/>
                  <w:noWrap w:val="0"/>
                  <w:vAlign w:val="center"/>
                </w:tcPr>
                <w:p w14:paraId="3BD933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主要危险物质及分布</w:t>
                  </w:r>
                </w:p>
              </w:tc>
              <w:tc>
                <w:tcPr>
                  <w:tcW w:w="3948" w:type="pct"/>
                  <w:gridSpan w:val="4"/>
                  <w:noWrap w:val="0"/>
                  <w:vAlign w:val="center"/>
                </w:tcPr>
                <w:p w14:paraId="150185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危险物质：柴油；分布点：柴油储存点、</w:t>
                  </w:r>
                  <w:r>
                    <w:rPr>
                      <w:rFonts w:hint="default" w:ascii="Times New Roman" w:hAnsi="Times New Roman" w:cs="Times New Roman"/>
                      <w:color w:val="000000" w:themeColor="text1"/>
                      <w:sz w:val="21"/>
                      <w:szCs w:val="21"/>
                      <w:lang w:val="en-US" w:eastAsia="zh-CN"/>
                      <w14:textFill>
                        <w14:solidFill>
                          <w14:schemeClr w14:val="tx1"/>
                        </w14:solidFill>
                      </w14:textFill>
                    </w:rPr>
                    <w:t>勘探</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设备区</w:t>
                  </w:r>
                </w:p>
              </w:tc>
            </w:tr>
            <w:tr w14:paraId="0B916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1" w:type="pct"/>
                  <w:noWrap w:val="0"/>
                  <w:vAlign w:val="center"/>
                </w:tcPr>
                <w:p w14:paraId="1C4EF2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环境影响途径及危害后果（大气、地表水、地下水等）</w:t>
                  </w:r>
                </w:p>
              </w:tc>
              <w:tc>
                <w:tcPr>
                  <w:tcW w:w="3948" w:type="pct"/>
                  <w:gridSpan w:val="4"/>
                  <w:noWrap w:val="0"/>
                  <w:vAlign w:val="center"/>
                </w:tcPr>
                <w:p w14:paraId="506AA4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项目主要环境风险为柴油泄漏和火灾事故。小规模泄漏可能导致局部</w:t>
                  </w:r>
                  <w:r>
                    <w:rPr>
                      <w:rFonts w:hint="default" w:ascii="Times New Roman" w:hAnsi="Times New Roman" w:eastAsia="宋体" w:cs="Times New Roman"/>
                      <w:color w:val="000000" w:themeColor="text1"/>
                      <w:sz w:val="21"/>
                      <w:szCs w:val="21"/>
                      <w:lang w:eastAsia="zh-CN"/>
                      <w14:textFill>
                        <w14:solidFill>
                          <w14:schemeClr w14:val="tx1"/>
                        </w14:solidFill>
                      </w14:textFill>
                    </w:rPr>
                    <w:t>土壤</w:t>
                  </w:r>
                  <w:r>
                    <w:rPr>
                      <w:rFonts w:hint="default" w:ascii="Times New Roman" w:hAnsi="Times New Roman" w:cs="Times New Roman"/>
                      <w:color w:val="000000" w:themeColor="text1"/>
                      <w:sz w:val="21"/>
                      <w:szCs w:val="21"/>
                      <w14:textFill>
                        <w14:solidFill>
                          <w14:schemeClr w14:val="tx1"/>
                        </w14:solidFill>
                      </w14:textFill>
                    </w:rPr>
                    <w:t>污染，经雨水冲刷存在缓慢入渗风险，区域地下水埋深较大，对地表活动敏感度低；无地表水体分布，地表水环境风险基本可忽略。若发生火灾，可能产生一氧化碳、烟尘等大气污染物，影响局限于作业区域，对周边大气环境影响轻微。总体环境危害程度较小，影响范围可控。</w:t>
                  </w:r>
                </w:p>
              </w:tc>
            </w:tr>
            <w:tr w14:paraId="5876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51" w:type="pct"/>
                  <w:noWrap w:val="0"/>
                  <w:vAlign w:val="center"/>
                </w:tcPr>
                <w:p w14:paraId="518569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风险防范措施要求</w:t>
                  </w:r>
                </w:p>
              </w:tc>
              <w:tc>
                <w:tcPr>
                  <w:tcW w:w="3948" w:type="pct"/>
                  <w:gridSpan w:val="4"/>
                  <w:noWrap w:val="0"/>
                  <w:vAlign w:val="center"/>
                </w:tcPr>
                <w:p w14:paraId="47ED82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规范储运、防火防爆、加强巡查、制定应急</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预</w:t>
                  </w:r>
                  <w:r>
                    <w:rPr>
                      <w:rFonts w:hint="default" w:ascii="Times New Roman" w:hAnsi="Times New Roman" w:cs="Times New Roman"/>
                      <w:color w:val="000000" w:themeColor="text1"/>
                      <w:sz w:val="21"/>
                      <w:szCs w:val="21"/>
                      <w14:textFill>
                        <w14:solidFill>
                          <w14:schemeClr w14:val="tx1"/>
                        </w14:solidFill>
                      </w14:textFill>
                    </w:rPr>
                    <w:t>案</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并配备相应的应急物资</w:t>
                  </w:r>
                </w:p>
              </w:tc>
            </w:tr>
          </w:tbl>
          <w:p w14:paraId="323B49D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p>
        </w:tc>
      </w:tr>
      <w:tr w14:paraId="21486A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5" w:hRule="atLeast"/>
          <w:jc w:val="center"/>
        </w:trPr>
        <w:tc>
          <w:tcPr>
            <w:tcW w:w="468" w:type="pct"/>
            <w:noWrap w:val="0"/>
            <w:tcMar>
              <w:left w:w="28" w:type="dxa"/>
              <w:right w:w="28" w:type="dxa"/>
            </w:tcMar>
            <w:vAlign w:val="center"/>
          </w:tcPr>
          <w:p w14:paraId="0447CDC8">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rPr>
                <w:rFonts w:hint="default" w:ascii="Times New Roman" w:hAnsi="Times New Roman" w:eastAsia="宋体" w:cs="Times New Roman"/>
                <w:bCs/>
                <w:color w:val="000000" w:themeColor="text1"/>
                <w:kern w:val="2"/>
                <w:sz w:val="24"/>
                <w:szCs w:val="24"/>
                <w14:textFill>
                  <w14:solidFill>
                    <w14:schemeClr w14:val="tx1"/>
                  </w14:solidFill>
                </w14:textFill>
              </w:rPr>
            </w:pPr>
            <w:r>
              <w:rPr>
                <w:rFonts w:hint="default" w:ascii="Times New Roman" w:hAnsi="Times New Roman" w:eastAsia="宋体" w:cs="Times New Roman"/>
                <w:bCs/>
                <w:color w:val="000000" w:themeColor="text1"/>
                <w:spacing w:val="10"/>
                <w:kern w:val="2"/>
                <w:sz w:val="24"/>
                <w:szCs w:val="24"/>
                <w14:textFill>
                  <w14:solidFill>
                    <w14:schemeClr w14:val="tx1"/>
                  </w14:solidFill>
                </w14:textFill>
              </w:rPr>
              <w:t>运营期生态环境影响分析</w:t>
            </w:r>
          </w:p>
        </w:tc>
        <w:tc>
          <w:tcPr>
            <w:tcW w:w="4531" w:type="pct"/>
            <w:noWrap w:val="0"/>
            <w:vAlign w:val="center"/>
          </w:tcPr>
          <w:p w14:paraId="0B3CC738">
            <w:pPr>
              <w:keepNext w:val="0"/>
              <w:keepLines w:val="0"/>
              <w:widowControl/>
              <w:suppressLineNumbers w:val="0"/>
              <w:jc w:val="left"/>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本项目为勘探项目，仅包含勘探期，不涉及运营期的生态影响分析。</w:t>
            </w:r>
          </w:p>
        </w:tc>
      </w:tr>
      <w:tr w14:paraId="045A83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31" w:hRule="atLeast"/>
          <w:jc w:val="center"/>
        </w:trPr>
        <w:tc>
          <w:tcPr>
            <w:tcW w:w="468" w:type="pct"/>
            <w:noWrap w:val="0"/>
            <w:vAlign w:val="center"/>
          </w:tcPr>
          <w:p w14:paraId="188983D5">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rPr>
                <w:rFonts w:hint="default" w:ascii="Times New Roman" w:hAnsi="Times New Roman" w:eastAsia="宋体" w:cs="Times New Roman"/>
                <w:bCs/>
                <w:color w:val="000000" w:themeColor="text1"/>
                <w:kern w:val="2"/>
                <w:sz w:val="24"/>
                <w:szCs w:val="24"/>
                <w14:textFill>
                  <w14:solidFill>
                    <w14:schemeClr w14:val="tx1"/>
                  </w14:solidFill>
                </w14:textFill>
              </w:rPr>
            </w:pPr>
            <w:r>
              <w:rPr>
                <w:rFonts w:hint="default" w:ascii="Times New Roman" w:hAnsi="Times New Roman" w:eastAsia="宋体" w:cs="Times New Roman"/>
                <w:bCs/>
                <w:color w:val="000000" w:themeColor="text1"/>
                <w:kern w:val="2"/>
                <w:sz w:val="24"/>
                <w:szCs w:val="24"/>
                <w14:textFill>
                  <w14:solidFill>
                    <w14:schemeClr w14:val="tx1"/>
                  </w14:solidFill>
                </w14:textFill>
              </w:rPr>
              <w:t>选址选线环境合理性分析</w:t>
            </w:r>
          </w:p>
        </w:tc>
        <w:tc>
          <w:tcPr>
            <w:tcW w:w="4531" w:type="pct"/>
            <w:noWrap w:val="0"/>
            <w:vAlign w:val="center"/>
          </w:tcPr>
          <w:p w14:paraId="53EB2524">
            <w:pPr>
              <w:keepNext w:val="0"/>
              <w:keepLines w:val="0"/>
              <w:widowControl/>
              <w:suppressLineNumbers w:val="0"/>
              <w:jc w:val="left"/>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该探矿权勘查区块范围不涉及自然保护区、生态红线、国家公园、世界自然遗产地、风景名胜区、森林公园、水资源保护区、地质公园、地质遗迹、国家重点保护历史文物、名胜古迹，建设项目压覆区，矿产资源规划禁止区等重要地区。在落实本报告提出的污染防治措施前提下，确保各项污染物稳定达标排放，对周围环境影响不大，选址可行。</w:t>
            </w:r>
          </w:p>
        </w:tc>
      </w:tr>
    </w:tbl>
    <w:p w14:paraId="79DCF54E">
      <w:pPr>
        <w:adjustRightInd w:val="0"/>
        <w:snapToGrid w:val="0"/>
        <w:spacing w:line="360" w:lineRule="auto"/>
        <w:rPr>
          <w:rFonts w:hint="eastAsia" w:ascii="宋体" w:hAnsi="Times New Roman" w:cs="宋体"/>
          <w:b/>
          <w:color w:val="000000" w:themeColor="text1"/>
          <w:kern w:val="0"/>
          <w:sz w:val="28"/>
          <w:szCs w:val="28"/>
          <w14:textFill>
            <w14:solidFill>
              <w14:schemeClr w14:val="tx1"/>
            </w14:solidFill>
          </w14:textFill>
        </w:rPr>
      </w:pPr>
    </w:p>
    <w:p w14:paraId="421D8F50">
      <w:pPr>
        <w:adjustRightInd w:val="0"/>
        <w:snapToGrid w:val="0"/>
        <w:spacing w:line="360" w:lineRule="auto"/>
        <w:rPr>
          <w:rFonts w:hint="eastAsia" w:ascii="宋体" w:cs="宋体"/>
          <w:b/>
          <w:color w:val="000000" w:themeColor="text1"/>
          <w:kern w:val="0"/>
          <w:sz w:val="28"/>
          <w:szCs w:val="28"/>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6D3626C7">
      <w:pPr>
        <w:widowControl/>
        <w:spacing w:before="100" w:beforeAutospacing="1" w:after="100" w:afterAutospacing="1" w:line="360" w:lineRule="auto"/>
        <w:ind w:firstLine="600" w:firstLineChars="200"/>
        <w:jc w:val="center"/>
        <w:outlineLvl w:val="0"/>
        <w:rPr>
          <w:rFonts w:hint="eastAsia" w:ascii="黑体" w:hAnsi="黑体" w:eastAsia="黑体" w:cs="Times New Roman"/>
          <w:snapToGrid w:val="0"/>
          <w:color w:val="000000" w:themeColor="text1"/>
          <w:kern w:val="0"/>
          <w:sz w:val="30"/>
          <w:szCs w:val="30"/>
          <w:lang w:val="en-US" w:eastAsia="zh-CN" w:bidi="ar-SA"/>
          <w14:textFill>
            <w14:solidFill>
              <w14:schemeClr w14:val="tx1"/>
            </w14:solidFill>
          </w14:textFill>
        </w:rPr>
      </w:pPr>
      <w:r>
        <w:rPr>
          <w:rFonts w:hint="eastAsia" w:ascii="黑体" w:hAnsi="黑体" w:eastAsia="黑体" w:cs="Times New Roman"/>
          <w:snapToGrid w:val="0"/>
          <w:color w:val="000000" w:themeColor="text1"/>
          <w:kern w:val="0"/>
          <w:sz w:val="30"/>
          <w:szCs w:val="30"/>
          <w:lang w:val="en-US" w:eastAsia="zh-CN" w:bidi="ar-SA"/>
          <w14:textFill>
            <w14:solidFill>
              <w14:schemeClr w14:val="tx1"/>
            </w14:solidFill>
          </w14:textFill>
        </w:rPr>
        <w:t>五、主要生态环境保护措施</w:t>
      </w:r>
    </w:p>
    <w:tbl>
      <w:tblPr>
        <w:tblStyle w:val="13"/>
        <w:tblW w:w="92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8457"/>
      </w:tblGrid>
      <w:tr w14:paraId="1DA643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093" w:hRule="atLeast"/>
          <w:jc w:val="center"/>
        </w:trPr>
        <w:tc>
          <w:tcPr>
            <w:tcW w:w="753" w:type="dxa"/>
            <w:noWrap w:val="0"/>
            <w:tcMar>
              <w:left w:w="28" w:type="dxa"/>
              <w:right w:w="28" w:type="dxa"/>
            </w:tcMar>
            <w:vAlign w:val="center"/>
          </w:tcPr>
          <w:p w14:paraId="0491008B">
            <w:pPr>
              <w:keepNext w:val="0"/>
              <w:keepLines w:val="0"/>
              <w:pageBreakBefore w:val="0"/>
              <w:widowControl w:val="0"/>
              <w:kinsoku/>
              <w:wordWrap/>
              <w:overflowPunct/>
              <w:topLinePunct w:val="0"/>
              <w:bidi w:val="0"/>
              <w:adjustRightInd/>
              <w:snapToGrid/>
              <w:ind w:left="0" w:leftChars="0" w:firstLine="0" w:firstLineChars="0"/>
              <w:jc w:val="both"/>
              <w:textAlignment w:val="auto"/>
              <w:rPr>
                <w:rFonts w:ascii="宋体" w:hAnsi="宋体" w:cs="Times New Roman"/>
                <w:bCs/>
                <w:color w:val="000000" w:themeColor="text1"/>
                <w:sz w:val="24"/>
                <w:szCs w:val="24"/>
                <w14:textFill>
                  <w14:solidFill>
                    <w14:schemeClr w14:val="tx1"/>
                  </w14:solidFill>
                </w14:textFill>
              </w:rPr>
            </w:pPr>
            <w:r>
              <w:rPr>
                <w:rFonts w:hint="eastAsia" w:ascii="宋体" w:hAnsi="宋体" w:cs="宋体"/>
                <w:bCs/>
                <w:color w:val="000000" w:themeColor="text1"/>
                <w:spacing w:val="10"/>
                <w:sz w:val="24"/>
                <w:szCs w:val="24"/>
                <w14:textFill>
                  <w14:solidFill>
                    <w14:schemeClr w14:val="tx1"/>
                  </w14:solidFill>
                </w14:textFill>
              </w:rPr>
              <w:t>施工期生态环境保护措施</w:t>
            </w:r>
          </w:p>
        </w:tc>
        <w:tc>
          <w:tcPr>
            <w:tcW w:w="8457" w:type="dxa"/>
            <w:shd w:val="clear" w:color="auto" w:fill="auto"/>
            <w:noWrap w:val="0"/>
            <w:vAlign w:val="center"/>
          </w:tcPr>
          <w:p w14:paraId="569FD375">
            <w:pPr>
              <w:pStyle w:val="2"/>
              <w:bidi w:val="0"/>
              <w:rPr>
                <w:rFonts w:hint="default"/>
                <w:lang w:val="en-US" w:eastAsia="zh-CN"/>
              </w:rPr>
            </w:pPr>
            <w:r>
              <w:rPr>
                <w:rFonts w:hint="eastAsia"/>
                <w:lang w:val="en-US" w:eastAsia="zh-CN"/>
              </w:rPr>
              <w:t>1.生态环境保护措施</w:t>
            </w:r>
          </w:p>
          <w:p w14:paraId="19F8AB56">
            <w:pPr>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为最大限度减轻项目施工期对生态环境造成的不利影响，保障区域生态系统的完整性与稳定性，依据“预防为主、保护优先、因地制宜、生态恢复”原则，制定以下系统化、全过程的生态环境保护措施体系。</w:t>
            </w:r>
          </w:p>
          <w:p w14:paraId="7A6B2082">
            <w:pPr>
              <w:bidi w:val="0"/>
              <w:rPr>
                <w:rFonts w:hint="eastAsia"/>
                <w:b/>
                <w:bCs/>
              </w:rPr>
            </w:pPr>
            <w:r>
              <w:rPr>
                <w:rFonts w:hint="eastAsia"/>
                <w:b/>
                <w:bCs/>
              </w:rPr>
              <w:t>（1）土地利用保护措施</w:t>
            </w:r>
          </w:p>
          <w:p w14:paraId="206880F1">
            <w:pPr>
              <w:bidi w:val="0"/>
              <w:rPr>
                <w:rFonts w:hint="eastAsia"/>
              </w:rPr>
            </w:pPr>
            <w:r>
              <w:rPr>
                <w:rFonts w:hint="eastAsia"/>
              </w:rPr>
              <w:t>项目所有工程均为临时占地，不涉及永久征地。为减少对土地的扰动，严格控制作业范围，所有槽探作业区、钻探作业区、</w:t>
            </w:r>
            <w:r>
              <w:rPr>
                <w:rFonts w:hint="eastAsia"/>
                <w:lang w:val="en-US" w:eastAsia="zh-CN"/>
              </w:rPr>
              <w:t>临时办公生活营地</w:t>
            </w:r>
            <w:r>
              <w:rPr>
                <w:rFonts w:hint="eastAsia"/>
              </w:rPr>
              <w:t>及临时道路等均实行红线管控，明确标识施工边界，严禁超范围占地或扩大扰动面积。施工车辆及人员活动严格限定在既定路线和作业区内，禁止随意碾压周边荒漠草地。临时道路优先利用既有自然便道和车辙痕迹，宽度控制在4米以内，严禁路面硬化。施工结束后，立即拆除所有临时设施，对临时占地进行场地清理、平整、表土回覆，恢复原有土地使用功能，不造成永久性土地退化。</w:t>
            </w:r>
          </w:p>
          <w:p w14:paraId="4C0BE76B">
            <w:pPr>
              <w:bidi w:val="0"/>
              <w:rPr>
                <w:b/>
                <w:bCs/>
              </w:rPr>
            </w:pPr>
            <w:r>
              <w:rPr>
                <w:b/>
                <w:bCs/>
              </w:rPr>
              <w:t>（2）植被保护与恢复措施</w:t>
            </w:r>
          </w:p>
          <w:p w14:paraId="1F9E2FA2">
            <w:pPr>
              <w:bidi w:val="0"/>
              <w:rPr>
                <w:rFonts w:hint="default"/>
              </w:rPr>
            </w:pPr>
            <w:r>
              <w:rPr>
                <w:rFonts w:hint="eastAsia"/>
                <w:lang w:val="en-US" w:eastAsia="zh-CN"/>
              </w:rPr>
              <w:t>①</w:t>
            </w:r>
            <w:r>
              <w:rPr>
                <w:rFonts w:hint="default"/>
              </w:rPr>
              <w:t>避让与减缓措施：项目选址及工程布设全面避让自然保护区、生态保护红线等敏感区域。槽探、钻探作业区及</w:t>
            </w:r>
            <w:r>
              <w:rPr>
                <w:rFonts w:hint="eastAsia"/>
                <w:lang w:eastAsia="zh-CN"/>
              </w:rPr>
              <w:t>临时办公生活营地</w:t>
            </w:r>
            <w:r>
              <w:rPr>
                <w:rFonts w:hint="default"/>
              </w:rPr>
              <w:t>选址进一步避让植被相对密集区域，优先选择植被稀疏的裸地。施工过程中，对占地范围内的原生植被，除必须清除外，尽量减少砍伐和碾压。施工扬尘采取洒水抑尘措施，减轻对周边植物光合作用的影响。车辆按固定路线行驶，严禁随意开辟新便道碾压植被。</w:t>
            </w:r>
          </w:p>
          <w:p w14:paraId="1FCC0CC8">
            <w:pPr>
              <w:bidi w:val="0"/>
              <w:rPr>
                <w:rFonts w:hint="eastAsia"/>
              </w:rPr>
            </w:pPr>
            <w:r>
              <w:rPr>
                <w:rFonts w:hint="eastAsia"/>
                <w:lang w:val="en-US" w:eastAsia="zh-CN"/>
              </w:rPr>
              <w:t>②</w:t>
            </w:r>
            <w:r>
              <w:rPr>
                <w:rFonts w:hint="default"/>
              </w:rPr>
              <w:t>恢复措施：施工前，对槽探作业区、钻探作业区、</w:t>
            </w:r>
            <w:r>
              <w:rPr>
                <w:rFonts w:hint="eastAsia"/>
                <w:lang w:eastAsia="zh-CN"/>
              </w:rPr>
              <w:t>临时办公生活营地</w:t>
            </w:r>
            <w:r>
              <w:rPr>
                <w:rFonts w:hint="default"/>
              </w:rPr>
              <w:t>及临时道路等区域进行表土分层剥离，剥离的表土就近堆存于临时堆土场，采取防尘网苫盖、编织袋围堰及底部HDPE防渗膜等防护措施。勘探结束后，立即启动生态恢复程序：首先拆除所有临时设施，清除场地内建筑垃圾和生活垃圾；然后对临时占地进行地形整治和土地平整，回填土方，恢复至施工前微地貌；随后将前期剥离的保育表土全部均匀回覆至原地，恢复土壤肥力；最后在回覆表土区域播撒本地适生草种，确保恢复后的植被覆盖度不低于周边原生植被水平。</w:t>
            </w:r>
          </w:p>
          <w:p w14:paraId="3E0F0E17">
            <w:pPr>
              <w:bidi w:val="0"/>
              <w:rPr>
                <w:rFonts w:hint="eastAsia"/>
                <w:b/>
                <w:bCs/>
              </w:rPr>
            </w:pPr>
            <w:r>
              <w:rPr>
                <w:rFonts w:hint="eastAsia"/>
                <w:b/>
                <w:bCs/>
              </w:rPr>
              <w:t>（3）野生动物保护措施</w:t>
            </w:r>
          </w:p>
          <w:p w14:paraId="6910E3F9">
            <w:pPr>
              <w:bidi w:val="0"/>
              <w:rPr>
                <w:rFonts w:hint="eastAsia"/>
              </w:rPr>
            </w:pPr>
            <w:r>
              <w:rPr>
                <w:rFonts w:hint="eastAsia"/>
              </w:rPr>
              <w:t>为减少施工对野生动物的惊扰，采取以下措施：优先选用低噪声设备，对柴油发电机等强噪声源安装减振垫或隔声罩；合理安排施工时间，高噪声作业尽量安排在昼间，夜间禁止进行产生环境噪声污染的施工作业，夜间施工照明灯具加装灯罩，避免强光直射动物栖息方向。施工期间，严禁施工人员捕猎野生动物、捣毁鸟巢或破坏动物洞穴。发现受伤或受困野生动物，应及时联系当地野生动物保护机构处置。施工结束后，干扰源消失，动物种群可自然回迁。</w:t>
            </w:r>
          </w:p>
          <w:p w14:paraId="72B86C4D">
            <w:pPr>
              <w:bidi w:val="0"/>
              <w:rPr>
                <w:rFonts w:hint="eastAsia"/>
                <w:b/>
                <w:bCs/>
              </w:rPr>
            </w:pPr>
            <w:r>
              <w:rPr>
                <w:rFonts w:hint="eastAsia"/>
                <w:b/>
                <w:bCs/>
              </w:rPr>
              <w:t>（4）水土流失防治措施</w:t>
            </w:r>
          </w:p>
          <w:p w14:paraId="308AE057">
            <w:pPr>
              <w:bidi w:val="0"/>
              <w:rPr>
                <w:rFonts w:hint="eastAsia"/>
              </w:rPr>
            </w:pPr>
            <w:r>
              <w:rPr>
                <w:rFonts w:hint="eastAsia"/>
              </w:rPr>
              <w:t>针对项目区风力侵蚀为主的特点，采取以下水土保持措施：临时堆土场表面全覆盖防尘网，边缘压实固定，堆体周边设置编织袋装土围堰，底部铺设HDPE防渗膜，防止风蚀和雨水冲刷。施工便道及作业区采取洒水抑尘措施，干燥大风天气增加洒水频次至每日4</w:t>
            </w:r>
            <w:r>
              <w:rPr>
                <w:rFonts w:hint="eastAsia"/>
                <w:lang w:eastAsia="zh-CN"/>
              </w:rPr>
              <w:t>～</w:t>
            </w:r>
            <w:r>
              <w:rPr>
                <w:rFonts w:hint="eastAsia"/>
              </w:rPr>
              <w:t>6次。槽探工程采取分段开挖、及时回填的方式，减少土石裸露时间。临时占地施工结束后立即进行场地清理、平整和植被恢复。通过上述措施，可有效控制水土流失，使其降至微度级别。</w:t>
            </w:r>
          </w:p>
          <w:p w14:paraId="22E09E28">
            <w:pPr>
              <w:bidi w:val="0"/>
              <w:rPr>
                <w:rFonts w:hint="eastAsia"/>
                <w:b/>
                <w:bCs/>
              </w:rPr>
            </w:pPr>
            <w:r>
              <w:rPr>
                <w:rFonts w:hint="eastAsia"/>
                <w:b/>
                <w:bCs/>
              </w:rPr>
              <w:t>（</w:t>
            </w:r>
            <w:r>
              <w:rPr>
                <w:rFonts w:hint="eastAsia"/>
                <w:b/>
                <w:bCs/>
                <w:lang w:val="en-US" w:eastAsia="zh-CN"/>
              </w:rPr>
              <w:t>5</w:t>
            </w:r>
            <w:r>
              <w:rPr>
                <w:rFonts w:hint="eastAsia"/>
                <w:b/>
                <w:bCs/>
              </w:rPr>
              <w:t>）景观生态保护措施</w:t>
            </w:r>
          </w:p>
          <w:p w14:paraId="485C265C">
            <w:pPr>
              <w:bidi w:val="0"/>
              <w:rPr>
                <w:rFonts w:hint="eastAsia"/>
              </w:rPr>
            </w:pPr>
            <w:r>
              <w:rPr>
                <w:rFonts w:hint="eastAsia"/>
              </w:rPr>
              <w:t>项目采用分散点状和线状布置，单体工程规模小，不建设永久性构筑物。</w:t>
            </w:r>
            <w:r>
              <w:rPr>
                <w:rFonts w:hint="eastAsia"/>
                <w:lang w:eastAsia="zh-CN"/>
              </w:rPr>
              <w:t>临时办公生活营地</w:t>
            </w:r>
            <w:r>
              <w:rPr>
                <w:rFonts w:hint="eastAsia"/>
              </w:rPr>
              <w:t>采用活动板房等低矮临时建筑，色彩与周边环境协调。施工期间，物料堆放整齐，保持场地整洁。施工结束后，全面拆除所有临时设施，清理迹地，回覆表土，播撒草籽，使施工痕迹在自然恢复过程中逐渐消融，景观视觉融入荒漠背景。</w:t>
            </w:r>
          </w:p>
          <w:p w14:paraId="704CCE97">
            <w:pPr>
              <w:bidi w:val="0"/>
              <w:rPr>
                <w:rFonts w:hint="eastAsia"/>
              </w:rPr>
            </w:pPr>
            <w:r>
              <w:rPr>
                <w:rFonts w:hint="eastAsia"/>
              </w:rPr>
              <w:t>通过以上系统化措施的有效实施，可确保项目施工期对生态环境的影响控制在可接受范围内，临时占地生态功能得到有效恢复，土壤资源得到保护，符合绿色勘查要求。</w:t>
            </w:r>
          </w:p>
          <w:p w14:paraId="3A6BCD6F">
            <w:pPr>
              <w:pStyle w:val="2"/>
              <w:bidi w:val="0"/>
              <w:rPr>
                <w:rFonts w:hint="eastAsia"/>
                <w:lang w:val="en-US" w:eastAsia="zh-CN"/>
              </w:rPr>
            </w:pPr>
            <w:r>
              <w:rPr>
                <w:rFonts w:hint="eastAsia"/>
                <w:lang w:val="en-US" w:eastAsia="zh-CN"/>
              </w:rPr>
              <w:t>2.大气环境保护措施</w:t>
            </w:r>
          </w:p>
          <w:p w14:paraId="335DB0F8">
            <w:pPr>
              <w:widowControl/>
              <w:bidi w:val="0"/>
              <w:ind w:firstLine="0"/>
              <w:jc w:val="left"/>
            </w:pPr>
            <w:r>
              <w:rPr>
                <w:rFonts w:hint="default"/>
              </w:rPr>
              <w:t>（1）在常规气象条件下，对施工便道、勘探作业区、物料装卸区等易起尘区域，每日洒水2～3次。遇大风或沙尘天气时，立即启动应急抑尘预案，增加洒水频次至每日4～6次，必要时可暂停部分高扬尘作业。</w:t>
            </w:r>
          </w:p>
          <w:p w14:paraId="6E9A7096">
            <w:pPr>
              <w:widowControl/>
              <w:bidi w:val="0"/>
              <w:ind w:firstLine="0"/>
              <w:jc w:val="left"/>
              <w:rPr>
                <w:rFonts w:hint="default"/>
              </w:rPr>
            </w:pPr>
            <w:r>
              <w:rPr>
                <w:rFonts w:hint="default"/>
              </w:rPr>
              <w:t>（2）勘探过程采用湿式作业，从源头上抑制钻探粉尘。</w:t>
            </w:r>
          </w:p>
          <w:p w14:paraId="4BC67ECE">
            <w:pPr>
              <w:widowControl/>
              <w:bidi w:val="0"/>
              <w:ind w:firstLine="0"/>
              <w:jc w:val="left"/>
              <w:rPr>
                <w:rFonts w:hint="default"/>
              </w:rPr>
            </w:pPr>
            <w:r>
              <w:rPr>
                <w:rFonts w:hint="default"/>
              </w:rPr>
              <w:t>（3）对临时堆土采用防尘网覆盖。</w:t>
            </w:r>
          </w:p>
          <w:p w14:paraId="65C9CE71">
            <w:pPr>
              <w:widowControl/>
              <w:bidi w:val="0"/>
              <w:ind w:firstLine="0"/>
              <w:jc w:val="left"/>
              <w:rPr>
                <w:rFonts w:hint="default"/>
              </w:rPr>
            </w:pPr>
            <w:r>
              <w:rPr>
                <w:rFonts w:hint="default"/>
              </w:rPr>
              <w:t>（4）施工便道优先利用勘探区内已有的天然砾石路面和自然便道，严禁拓宽或新建永久性道路。对于局部松软或易起尘路段，采用就地平整、压实的方式进行加固，严禁进行路面硬化。通过合理规划行车路线，集中车流，减少对地表的碾压范围和扬尘产生。</w:t>
            </w:r>
          </w:p>
          <w:p w14:paraId="6DA1A14C">
            <w:pPr>
              <w:widowControl/>
              <w:bidi w:val="0"/>
              <w:ind w:firstLine="0"/>
              <w:jc w:val="left"/>
              <w:rPr>
                <w:rFonts w:hint="default"/>
              </w:rPr>
            </w:pPr>
            <w:r>
              <w:rPr>
                <w:rFonts w:hint="default"/>
              </w:rPr>
              <w:t>（5）水泥封孔作业粉尘防治</w:t>
            </w:r>
          </w:p>
          <w:p w14:paraId="06ABCC84">
            <w:pPr>
              <w:widowControl/>
              <w:bidi w:val="0"/>
              <w:ind w:firstLine="0"/>
              <w:jc w:val="left"/>
            </w:pPr>
            <w:r>
              <w:rPr>
                <w:rFonts w:hint="default"/>
              </w:rPr>
              <w:t>水泥采用密封袋装运输，现场拆袋和搅拌作业在背风侧进行；堆放点铺设防渗膜垫层，堆体全覆盖防雨布，每日洒水保持地面湿润；水泥按封孔进度分批拉运，单个钻探平台一次存放不超过1.0t（20袋），用多少拉多少；拆袋时轻拆轻放，避免大幅度抛洒；空袋及时扎口收集，不随意丢弃；遇4级以上大风天气，暂停水泥拆袋和搅拌作业。</w:t>
            </w:r>
          </w:p>
          <w:p w14:paraId="016FA16C">
            <w:pPr>
              <w:widowControl/>
              <w:bidi w:val="0"/>
              <w:ind w:firstLine="0"/>
              <w:jc w:val="left"/>
              <w:rPr>
                <w:rFonts w:hint="default"/>
              </w:rPr>
            </w:pPr>
            <w:r>
              <w:rPr>
                <w:rFonts w:hint="default"/>
              </w:rPr>
              <w:t>（6）柴油使用标准密闭防泄漏塑料桶，柴油闪点高、不易挥发。正常存放时桶盖密闭，仅在加油时短暂开启，随即封闭，基本无呼吸气排放。</w:t>
            </w:r>
          </w:p>
          <w:p w14:paraId="54835951">
            <w:pPr>
              <w:widowControl/>
              <w:bidi w:val="0"/>
              <w:ind w:firstLine="0"/>
              <w:jc w:val="left"/>
              <w:rPr>
                <w:rFonts w:hint="default"/>
              </w:rPr>
            </w:pPr>
            <w:r>
              <w:rPr>
                <w:rFonts w:hint="default"/>
              </w:rPr>
              <w:t>（7）选用优质油品，加强柴油机械设备维护管理，降低油品燃烧尾气对大气的影响。</w:t>
            </w:r>
          </w:p>
          <w:p w14:paraId="49E4FE23">
            <w:pPr>
              <w:pStyle w:val="2"/>
              <w:bidi w:val="0"/>
              <w:rPr>
                <w:rFonts w:hint="eastAsia"/>
                <w:lang w:val="en-US" w:eastAsia="zh-CN"/>
              </w:rPr>
            </w:pPr>
            <w:r>
              <w:rPr>
                <w:rFonts w:hint="eastAsia"/>
                <w:lang w:val="en-US" w:eastAsia="zh-CN"/>
              </w:rPr>
              <w:t>3.水环境保护措施</w:t>
            </w:r>
          </w:p>
          <w:p w14:paraId="22735B4C">
            <w:pPr>
              <w:bidi w:val="0"/>
            </w:pPr>
            <w:r>
              <w:rPr>
                <w:rFonts w:hint="default"/>
              </w:rPr>
              <w:t>本项目施工期产生的废水主要为钻井泥浆返排水、设备冲洗废水、可能的地下涌水和少量生活污水。针对各类废水，项目建立</w:t>
            </w:r>
            <w:r>
              <w:rPr>
                <w:rFonts w:hint="eastAsia"/>
                <w:lang w:eastAsia="zh-CN"/>
              </w:rPr>
              <w:t>“</w:t>
            </w:r>
            <w:r>
              <w:rPr>
                <w:rFonts w:hint="default"/>
              </w:rPr>
              <w:t>源头减量—过程分离—资源回用—固废利用</w:t>
            </w:r>
            <w:r>
              <w:rPr>
                <w:rFonts w:hint="eastAsia"/>
                <w:lang w:eastAsia="zh-CN"/>
              </w:rPr>
              <w:t>”</w:t>
            </w:r>
            <w:r>
              <w:rPr>
                <w:rFonts w:hint="default"/>
              </w:rPr>
              <w:t>的全流程闭环管理体系，实现废水零排放。</w:t>
            </w:r>
          </w:p>
          <w:p w14:paraId="0DEEF758">
            <w:pPr>
              <w:bidi w:val="0"/>
              <w:rPr>
                <w:rFonts w:hint="default"/>
                <w:b/>
                <w:bCs/>
              </w:rPr>
            </w:pPr>
            <w:r>
              <w:rPr>
                <w:rFonts w:hint="default"/>
                <w:b/>
                <w:bCs/>
              </w:rPr>
              <w:t>（1）废钻井泥浆处理与水资源循环利用</w:t>
            </w:r>
          </w:p>
          <w:p w14:paraId="7C045F46">
            <w:pPr>
              <w:bidi w:val="0"/>
              <w:rPr>
                <w:rFonts w:hint="default"/>
              </w:rPr>
            </w:pPr>
            <w:r>
              <w:rPr>
                <w:rFonts w:hint="default"/>
              </w:rPr>
              <w:t>钻探过程中产生的废钻井泥浆主要由水、膨润土、环保型助剂（速氪散、闭氪散）及携带的岩屑组成，属于低污染、非油基的水基泥浆体系。为实现水资源高效循环与固相废弃物的规范化处置，采取以下措施：</w:t>
            </w:r>
          </w:p>
          <w:p w14:paraId="78ADF522">
            <w:pPr>
              <w:bidi w:val="0"/>
              <w:rPr>
                <w:rFonts w:hint="default"/>
              </w:rPr>
            </w:pPr>
            <w:r>
              <w:rPr>
                <w:rFonts w:hint="default"/>
              </w:rPr>
              <w:t>①收集与导流：各勘探作业区产生的废钻井泥浆通过管道或柔性导流槽，全部引流至就近设置的可拆卸式双格防渗沉淀池；泥浆在沉淀池中经自然沉降实现固液分离。</w:t>
            </w:r>
          </w:p>
          <w:p w14:paraId="15F46202">
            <w:pPr>
              <w:bidi w:val="0"/>
              <w:rPr>
                <w:rFonts w:hint="default"/>
              </w:rPr>
            </w:pPr>
            <w:r>
              <w:rPr>
                <w:rFonts w:hint="default"/>
              </w:rPr>
              <w:t>②水资源回用：上清液进入清水池后，通过水泵自动抽回钻机系统，用于钻机冷却、泥浆复配及循环钻进，水资源循环利用率≥90%。</w:t>
            </w:r>
          </w:p>
          <w:p w14:paraId="7B84F7FB">
            <w:pPr>
              <w:bidi w:val="0"/>
              <w:rPr>
                <w:rFonts w:hint="default"/>
              </w:rPr>
            </w:pPr>
            <w:r>
              <w:rPr>
                <w:rFonts w:hint="default"/>
              </w:rPr>
              <w:t>③固相废弃物处置：沉淀池底部沉积物主要成分为岩屑、泥沙及少量膨润土残留物。所有沉淀池底泥在勘探结束后就地填埋于钻探作业区，并进行覆土平整和植被恢复。</w:t>
            </w:r>
          </w:p>
          <w:p w14:paraId="4E6C40CE">
            <w:pPr>
              <w:bidi w:val="0"/>
              <w:rPr>
                <w:rFonts w:hint="default"/>
              </w:rPr>
            </w:pPr>
            <w:r>
              <w:rPr>
                <w:rFonts w:hint="default"/>
              </w:rPr>
              <w:t>④设施拆除：施工结束后，及时拆除沉淀池并回收，恢复场地原貌。</w:t>
            </w:r>
          </w:p>
          <w:p w14:paraId="4724DEAA">
            <w:pPr>
              <w:bidi w:val="0"/>
              <w:rPr>
                <w:rFonts w:hint="default"/>
                <w:b/>
                <w:bCs/>
              </w:rPr>
            </w:pPr>
            <w:r>
              <w:rPr>
                <w:rFonts w:hint="default"/>
                <w:b/>
                <w:bCs/>
              </w:rPr>
              <w:t>（2）设备冲洗废水处理</w:t>
            </w:r>
          </w:p>
          <w:p w14:paraId="28FC7DB4">
            <w:pPr>
              <w:bidi w:val="0"/>
              <w:rPr>
                <w:rFonts w:hint="default"/>
              </w:rPr>
            </w:pPr>
            <w:r>
              <w:rPr>
                <w:rFonts w:hint="default"/>
              </w:rPr>
              <w:t>钻探设备在作业间隙或终孔后冲洗产生的废水，水质与钻井泥浆废水相近，主要含少量泥浆和悬浮物。设备冲洗废水排入防渗沉淀池，与钻井泥浆废水一并沉淀处理，上清液回用，不外排。</w:t>
            </w:r>
          </w:p>
          <w:p w14:paraId="1ADBEF09">
            <w:pPr>
              <w:bidi w:val="0"/>
              <w:rPr>
                <w:rFonts w:hint="default"/>
                <w:b/>
                <w:bCs/>
              </w:rPr>
            </w:pPr>
            <w:r>
              <w:rPr>
                <w:rFonts w:hint="default"/>
                <w:b/>
                <w:bCs/>
              </w:rPr>
              <w:t>（3）水泥浆废水防控</w:t>
            </w:r>
          </w:p>
          <w:p w14:paraId="4B970170">
            <w:pPr>
              <w:bidi w:val="0"/>
              <w:rPr>
                <w:rFonts w:hint="default"/>
              </w:rPr>
            </w:pPr>
            <w:r>
              <w:rPr>
                <w:rFonts w:hint="default"/>
              </w:rPr>
              <w:t>封孔水泥搅拌及注浆作业过程中产生的少量搅拌容器清洗水和场地冲洗水，主要污染物为SS和碱性物质。搅拌作业在铺设防渗膜的专用区域进行，清洗水引流至沉淀池处理，上清液回用于洒水抑尘；严禁将未凝固的水泥浆或清洗水直接倾倒于地表；封孔结束后及时清理场地残留水泥浆，硬化水泥块作为一般固废清理。</w:t>
            </w:r>
          </w:p>
          <w:p w14:paraId="24F3743A">
            <w:pPr>
              <w:bidi w:val="0"/>
              <w:rPr>
                <w:rFonts w:hint="default"/>
                <w:b/>
                <w:bCs/>
              </w:rPr>
            </w:pPr>
            <w:r>
              <w:rPr>
                <w:rFonts w:hint="default"/>
                <w:b/>
                <w:bCs/>
              </w:rPr>
              <w:t>（4）地下涌水预防与处理措施</w:t>
            </w:r>
          </w:p>
          <w:p w14:paraId="1D854E39">
            <w:pPr>
              <w:bidi w:val="0"/>
              <w:rPr>
                <w:rFonts w:hint="default"/>
              </w:rPr>
            </w:pPr>
            <w:r>
              <w:rPr>
                <w:rFonts w:hint="default"/>
              </w:rPr>
              <w:t>钻进过程中密切监测返浆流量及压力变化，发现异常立即停钻检查。若遇地下涌水，涌水经导流槽引入防渗沉淀池沉淀处理，上清液优先回用于钻探生产或洒水抑尘，不外排。若涌水量超出沉淀池接纳能力，通过调整钻进参数或投放堵漏材料控制涌水，必要时启用备用防渗集水设施暂存，待沉淀处理后回用。若涌水持续影响施工安全或环境，应组织水文地质专家评估并调整钻探方案。</w:t>
            </w:r>
          </w:p>
          <w:p w14:paraId="0E1680CB">
            <w:pPr>
              <w:bidi w:val="0"/>
              <w:rPr>
                <w:rFonts w:hint="default"/>
                <w:b/>
                <w:bCs/>
              </w:rPr>
            </w:pPr>
            <w:r>
              <w:rPr>
                <w:rFonts w:hint="default"/>
                <w:b/>
                <w:bCs/>
              </w:rPr>
              <w:t>（5）生活污水处理措施</w:t>
            </w:r>
          </w:p>
          <w:p w14:paraId="6725C4A5">
            <w:pPr>
              <w:bidi w:val="0"/>
              <w:rPr>
                <w:rFonts w:hint="default"/>
              </w:rPr>
            </w:pPr>
            <w:r>
              <w:rPr>
                <w:rFonts w:hint="default"/>
              </w:rPr>
              <w:t>施工人员生活污水主要包括洗漱水、厨房清洗水及粪尿。项目实行流动式帐篷营地、无固定生活设施，采取以下措施：</w:t>
            </w:r>
          </w:p>
          <w:p w14:paraId="0FCFC490">
            <w:pPr>
              <w:bidi w:val="0"/>
              <w:rPr>
                <w:rFonts w:hint="default"/>
              </w:rPr>
            </w:pPr>
            <w:r>
              <w:rPr>
                <w:rFonts w:hint="default"/>
              </w:rPr>
              <w:t>①设置可拆卸式移动防渗环保厕所，每套服务于一个主要作业片区，随营地轮动迁移，所有生活污水统一收集于密闭储污罐。</w:t>
            </w:r>
          </w:p>
          <w:p w14:paraId="79525239">
            <w:pPr>
              <w:bidi w:val="0"/>
              <w:rPr>
                <w:rFonts w:hint="default"/>
              </w:rPr>
            </w:pPr>
            <w:r>
              <w:rPr>
                <w:rFonts w:hint="default"/>
              </w:rPr>
              <w:t>②由专用吸污车定期清运至木垒哈萨克自治县污水处理厂进行集中处理，不外排。</w:t>
            </w:r>
          </w:p>
          <w:p w14:paraId="276ACF52">
            <w:pPr>
              <w:bidi w:val="0"/>
              <w:rPr>
                <w:b/>
                <w:bCs/>
              </w:rPr>
            </w:pPr>
            <w:r>
              <w:rPr>
                <w:rFonts w:hint="default"/>
                <w:b/>
                <w:bCs/>
              </w:rPr>
              <w:t>（6）生活污水依托处理的可行性分析</w:t>
            </w:r>
          </w:p>
          <w:p w14:paraId="56612D9C">
            <w:pPr>
              <w:bidi w:val="0"/>
              <w:rPr>
                <w:rFonts w:hint="default"/>
              </w:rPr>
            </w:pPr>
            <w:r>
              <w:rPr>
                <w:rFonts w:hint="default"/>
              </w:rPr>
              <w:t>本项目施工期生活污水产生总量约337m³（约0.43m³/d），通过移动式防渗环保厕所收集后，定期由吸污车清运至木垒哈萨克自治县污水处理厂集中处理。从水质接管、水量冲击、管网覆盖及运行稳定性四个方面分析论证。</w:t>
            </w:r>
          </w:p>
          <w:p w14:paraId="5D2E9C8D">
            <w:pPr>
              <w:bidi w:val="0"/>
              <w:rPr>
                <w:rFonts w:hint="default"/>
              </w:rPr>
            </w:pPr>
            <w:r>
              <w:rPr>
                <w:rFonts w:hint="default"/>
              </w:rPr>
              <w:t>①处理规模与水量承接能力</w:t>
            </w:r>
          </w:p>
          <w:p w14:paraId="307B1947">
            <w:pPr>
              <w:bidi w:val="0"/>
              <w:rPr>
                <w:rFonts w:hint="default"/>
              </w:rPr>
            </w:pPr>
            <w:r>
              <w:rPr>
                <w:rFonts w:hint="eastAsia"/>
                <w:lang w:eastAsia="zh-CN"/>
              </w:rPr>
              <w:t>木垒哈萨克自治县</w:t>
            </w:r>
            <w:r>
              <w:rPr>
                <w:rFonts w:hint="default"/>
              </w:rPr>
              <w:t>城乡园区一体化污水处理厂位于县城东北15公里处，设计处理规模为近期10000m³/d、远期20000m³/d，采用</w:t>
            </w:r>
            <w:r>
              <w:rPr>
                <w:rFonts w:hint="eastAsia"/>
                <w:lang w:eastAsia="zh-CN"/>
              </w:rPr>
              <w:t>“</w:t>
            </w:r>
            <w:r>
              <w:rPr>
                <w:rFonts w:hint="default"/>
              </w:rPr>
              <w:t>A²/O+MBR+臭氧消毒</w:t>
            </w:r>
            <w:r>
              <w:rPr>
                <w:rFonts w:hint="eastAsia"/>
                <w:lang w:eastAsia="zh-CN"/>
              </w:rPr>
              <w:t>”</w:t>
            </w:r>
            <w:r>
              <w:rPr>
                <w:rFonts w:hint="default"/>
              </w:rPr>
              <w:t>处理工艺，出水水质执行《城镇污水处理厂污染物排放标准》（GB 18918-2002）一级A标准。该厂于2018年建成投运，负责处理</w:t>
            </w:r>
            <w:r>
              <w:rPr>
                <w:rFonts w:hint="eastAsia"/>
                <w:lang w:eastAsia="zh-CN"/>
              </w:rPr>
              <w:t>木垒哈萨克自治县</w:t>
            </w:r>
            <w:r>
              <w:rPr>
                <w:rFonts w:hint="default"/>
              </w:rPr>
              <w:t>城生活废水和民生工业园区工业废水，配套建设41万m³尾水库，实现再生水冬储夏灌。</w:t>
            </w:r>
          </w:p>
          <w:p w14:paraId="022DFFE9">
            <w:pPr>
              <w:bidi w:val="0"/>
              <w:rPr>
                <w:rFonts w:hint="default"/>
              </w:rPr>
            </w:pPr>
            <w:r>
              <w:rPr>
                <w:rFonts w:hint="default"/>
              </w:rPr>
              <w:t>本项目施工期日均生活污水产生量约0.43m³/d，仅占该厂设计处理规模的约0.0043%，即使单次清运量（约每10天清运一次，约4.3m³），也远低于厂区处理能力的波动调节范围，不会对处理厂的水力负荷产生冲击。</w:t>
            </w:r>
          </w:p>
          <w:p w14:paraId="5ADB0991">
            <w:pPr>
              <w:bidi w:val="0"/>
              <w:rPr>
                <w:rFonts w:hint="default"/>
              </w:rPr>
            </w:pPr>
            <w:r>
              <w:rPr>
                <w:rFonts w:hint="default"/>
              </w:rPr>
              <w:t>②处理工艺与水质接管可行性</w:t>
            </w:r>
          </w:p>
          <w:p w14:paraId="741090C1">
            <w:pPr>
              <w:bidi w:val="0"/>
              <w:rPr>
                <w:rFonts w:hint="default"/>
              </w:rPr>
            </w:pPr>
            <w:r>
              <w:rPr>
                <w:rFonts w:hint="default"/>
              </w:rPr>
              <w:t>本项目生活污水为常规生活污水，主要污染物为COD、NH₃-N、SS等，不含重金属、有毒有害有机物及工业特征污染物，水质成分简单，与城镇生活污水一致，属于该厂接纳处理的常规范围。该厂采用A²/O+MBR+臭氧消毒工艺，对COD、氨氮、SS等常规污染物去除效率高，出水稳定达到一级A标准，完全具备处理本项目生活污水的能力。</w:t>
            </w:r>
          </w:p>
          <w:p w14:paraId="0F6B104E">
            <w:pPr>
              <w:bidi w:val="0"/>
              <w:rPr>
                <w:rFonts w:hint="default"/>
              </w:rPr>
            </w:pPr>
            <w:r>
              <w:rPr>
                <w:rFonts w:hint="eastAsia"/>
                <w:lang w:val="en-US" w:eastAsia="zh-CN"/>
              </w:rPr>
              <w:t>③</w:t>
            </w:r>
            <w:r>
              <w:rPr>
                <w:rFonts w:hint="default"/>
              </w:rPr>
              <w:t>运行稳定性</w:t>
            </w:r>
          </w:p>
          <w:p w14:paraId="6B7CC060">
            <w:pPr>
              <w:bidi w:val="0"/>
              <w:rPr>
                <w:rFonts w:hint="default"/>
              </w:rPr>
            </w:pPr>
            <w:r>
              <w:rPr>
                <w:rFonts w:hint="default"/>
              </w:rPr>
              <w:t>根据昌吉州住房和城乡建设局公开信息，2025年上半年全州城镇生活污水处理厂均达标排放，未发生超标排放，城镇生活污水处理率达100%。该厂已正常运行多年，具备可靠的处理能力和稳定的运行记录，依托其处理生活污水是可行的。</w:t>
            </w:r>
          </w:p>
          <w:p w14:paraId="3C99C9BC">
            <w:pPr>
              <w:bidi w:val="0"/>
              <w:rPr>
                <w:rFonts w:hint="default"/>
              </w:rPr>
            </w:pPr>
            <w:r>
              <w:rPr>
                <w:rFonts w:hint="eastAsia"/>
                <w:lang w:val="en-US" w:eastAsia="zh-CN"/>
              </w:rPr>
              <w:t>④</w:t>
            </w:r>
            <w:r>
              <w:rPr>
                <w:rFonts w:hint="default"/>
              </w:rPr>
              <w:t>清运方式可行性</w:t>
            </w:r>
          </w:p>
          <w:p w14:paraId="4226CD19">
            <w:pPr>
              <w:bidi w:val="0"/>
              <w:rPr>
                <w:rFonts w:hint="default"/>
              </w:rPr>
            </w:pPr>
            <w:r>
              <w:rPr>
                <w:rFonts w:hint="default"/>
              </w:rPr>
              <w:t>本项目采用专用吸污车定期清运方式，每10天清运一次。吸污车与市政污水管网指定排口对接，将生活污水排入污水处理系统。运输路线沿S228省道至</w:t>
            </w:r>
            <w:r>
              <w:rPr>
                <w:rFonts w:hint="eastAsia"/>
                <w:lang w:eastAsia="zh-CN"/>
              </w:rPr>
              <w:t>木垒哈萨克自治县</w:t>
            </w:r>
            <w:r>
              <w:rPr>
                <w:rFonts w:hint="default"/>
              </w:rPr>
              <w:t>城，道路通行条件良好，可保障定期清运需求。建设单位应做好每次清运记录，包括时间、运量、去向等信息，留存备查。</w:t>
            </w:r>
          </w:p>
          <w:p w14:paraId="1DC37A48">
            <w:pPr>
              <w:bidi w:val="0"/>
            </w:pPr>
            <w:r>
              <w:t>综上，项目生活污水依托木垒哈萨克自治县污水处理厂处理，在水质、水量、处理工艺及运行监管等方面均具备可行性和可靠性。</w:t>
            </w:r>
          </w:p>
          <w:p w14:paraId="5EF0E9C2">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综上所述，在采取上述有效措施后，项目施工期</w:t>
            </w:r>
            <w:r>
              <w:rPr>
                <w:rFonts w:hint="eastAsia" w:cs="Times New Roman"/>
                <w:color w:val="000000" w:themeColor="text1"/>
                <w:kern w:val="0"/>
                <w:sz w:val="24"/>
                <w:szCs w:val="24"/>
                <w:lang w:val="en-US" w:eastAsia="zh-CN" w:bidi="ar"/>
                <w14:textFill>
                  <w14:solidFill>
                    <w14:schemeClr w14:val="tx1"/>
                  </w14:solidFill>
                </w14:textFill>
              </w:rPr>
              <w:t>废水</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对周边环境影响较小。</w:t>
            </w:r>
          </w:p>
          <w:p w14:paraId="4F69443A">
            <w:pPr>
              <w:pStyle w:val="2"/>
              <w:bidi w:val="0"/>
            </w:pPr>
            <w:r>
              <w:rPr>
                <w:rFonts w:hint="eastAsia"/>
                <w:lang w:val="en-US" w:eastAsia="zh-CN"/>
              </w:rPr>
              <w:t>4.噪声污染防治措施</w:t>
            </w:r>
          </w:p>
          <w:p w14:paraId="37071020">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（1）合理安排施工时间，应尽可能避免大量高</w:t>
            </w:r>
            <w:r>
              <w:rPr>
                <w:rFonts w:hint="eastAsia" w:cs="Times New Roman"/>
                <w:color w:val="000000" w:themeColor="text1"/>
                <w:kern w:val="0"/>
                <w:sz w:val="24"/>
                <w:szCs w:val="24"/>
                <w:lang w:val="en-US" w:eastAsia="zh-CN" w:bidi="ar"/>
                <w14:textFill>
                  <w14:solidFill>
                    <w14:schemeClr w14:val="tx1"/>
                  </w14:solidFill>
                </w14:textFill>
              </w:rPr>
              <w:t>噪声</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设备同时施工，且高</w:t>
            </w:r>
            <w:r>
              <w:rPr>
                <w:rFonts w:hint="eastAsia" w:cs="Times New Roman"/>
                <w:color w:val="000000" w:themeColor="text1"/>
                <w:kern w:val="0"/>
                <w:sz w:val="24"/>
                <w:szCs w:val="24"/>
                <w:lang w:val="en-US" w:eastAsia="zh-CN" w:bidi="ar"/>
                <w14:textFill>
                  <w14:solidFill>
                    <w14:schemeClr w14:val="tx1"/>
                  </w14:solidFill>
                </w14:textFill>
              </w:rPr>
              <w:t>噪声</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设备施工时间尽量安排在昼间，减少夜间施工量；</w:t>
            </w:r>
          </w:p>
          <w:p w14:paraId="184CBD81">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（2）合理布局施工场地，避免在同一地点安排大量动力机械设备，以避免局部声级过高；</w:t>
            </w:r>
          </w:p>
          <w:p w14:paraId="559045CA">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（3）降低设备声级，尽量采用低噪声设备（如全液压钻机、低噪声发电机）；</w:t>
            </w:r>
          </w:p>
          <w:p w14:paraId="6E6EA76B">
            <w:pPr>
              <w:keepNext w:val="0"/>
              <w:keepLines w:val="0"/>
              <w:widowControl/>
              <w:suppressLineNumbers w:val="0"/>
              <w:jc w:val="left"/>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（4）对动力机械设备和运输车辆进行定期的维修、养护。</w:t>
            </w:r>
          </w:p>
          <w:p w14:paraId="2C8C9452">
            <w:pPr>
              <w:keepNext w:val="0"/>
              <w:keepLines w:val="0"/>
              <w:widowControl/>
              <w:suppressLineNumbers w:val="0"/>
              <w:jc w:val="left"/>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cs="Times New Roman"/>
                <w:color w:val="000000" w:themeColor="text1"/>
                <w:kern w:val="0"/>
                <w:sz w:val="24"/>
                <w:szCs w:val="24"/>
                <w:lang w:val="en-US" w:eastAsia="zh-CN" w:bidi="ar"/>
                <w14:textFill>
                  <w14:solidFill>
                    <w14:schemeClr w14:val="tx1"/>
                  </w14:solidFill>
                </w14:textFill>
              </w:rPr>
              <w:t>（5）</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柴油发电机安装橡胶减振垫，以降低振动噪声。</w:t>
            </w:r>
          </w:p>
          <w:p w14:paraId="6E61787A">
            <w:pPr>
              <w:keepNext w:val="0"/>
              <w:keepLines w:val="0"/>
              <w:widowControl/>
              <w:suppressLineNumbers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综上所述，在采取上述有效措施后，项目施工期噪声对周边环境影响较小。</w:t>
            </w:r>
          </w:p>
          <w:p w14:paraId="35C9B951">
            <w:pPr>
              <w:pStyle w:val="2"/>
              <w:bidi w:val="0"/>
            </w:pPr>
            <w:r>
              <w:rPr>
                <w:rFonts w:hint="eastAsia"/>
                <w:lang w:val="en-US" w:eastAsia="zh-CN"/>
              </w:rPr>
              <w:t>5.固体废物环境保护措施</w:t>
            </w:r>
          </w:p>
          <w:p w14:paraId="66358FCE">
            <w:pPr>
              <w:bidi w:val="0"/>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（1）剥离表土</w:t>
            </w:r>
          </w:p>
          <w:p w14:paraId="2B934362">
            <w:pPr>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①</w:t>
            </w:r>
            <w:r>
              <w:rPr>
                <w:rFonts w:hint="default"/>
                <w:color w:val="000000" w:themeColor="text1"/>
                <w:lang w:val="en-US" w:eastAsia="zh-CN"/>
                <w14:textFill>
                  <w14:solidFill>
                    <w14:schemeClr w14:val="tx1"/>
                  </w14:solidFill>
                </w14:textFill>
              </w:rPr>
              <w:t>剥离的表土暂存于防雨防渗临时堆土场，并采取系统性抑尘与防护措施，严禁混入建筑垃圾或生活垃圾。</w:t>
            </w:r>
          </w:p>
          <w:p w14:paraId="49799E35">
            <w:pPr>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②</w:t>
            </w:r>
            <w:r>
              <w:rPr>
                <w:rFonts w:hint="default"/>
                <w:color w:val="000000" w:themeColor="text1"/>
                <w:lang w:val="en-US" w:eastAsia="zh-CN"/>
                <w14:textFill>
                  <w14:solidFill>
                    <w14:schemeClr w14:val="tx1"/>
                  </w14:solidFill>
                </w14:textFill>
              </w:rPr>
              <w:t>堆土场优先选址在植被稀疏、地势较低或背风区域，每个堆土场占地面积约30m²，堆高不超过1.5米，周边设置0.5米高编织袋装土围堰。</w:t>
            </w:r>
          </w:p>
          <w:p w14:paraId="547DC7AC">
            <w:pPr>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③</w:t>
            </w:r>
            <w:r>
              <w:rPr>
                <w:rFonts w:hint="default"/>
                <w:color w:val="000000" w:themeColor="text1"/>
                <w:lang w:val="en-US" w:eastAsia="zh-CN"/>
                <w14:textFill>
                  <w14:solidFill>
                    <w14:schemeClr w14:val="tx1"/>
                  </w14:solidFill>
                </w14:textFill>
              </w:rPr>
              <w:t>堆土表面必须采用防尘网（抑尘网）全覆盖，边缘压实固定。每日至少洒水2次，在干旱、大风天气条件下增加至3</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4次，保持表层土壤湿润。</w:t>
            </w:r>
          </w:p>
          <w:p w14:paraId="07128ACE">
            <w:pPr>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④</w:t>
            </w:r>
            <w:r>
              <w:rPr>
                <w:rFonts w:hint="default"/>
                <w:color w:val="000000" w:themeColor="text1"/>
                <w:lang w:val="en-US" w:eastAsia="zh-CN"/>
                <w14:textFill>
                  <w14:solidFill>
                    <w14:schemeClr w14:val="tx1"/>
                  </w14:solidFill>
                </w14:textFill>
              </w:rPr>
              <w:t>堆土场底部铺设0.5mm厚HDPE防渗膜。设置简易排水沟，引导雨水有序排放，防止积水冲刷。</w:t>
            </w:r>
          </w:p>
          <w:p w14:paraId="6A5FF803">
            <w:pPr>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⑤</w:t>
            </w:r>
            <w:r>
              <w:rPr>
                <w:rFonts w:hint="default"/>
                <w:color w:val="000000" w:themeColor="text1"/>
                <w:lang w:val="en-US" w:eastAsia="zh-CN"/>
                <w14:textFill>
                  <w14:solidFill>
                    <w14:schemeClr w14:val="tx1"/>
                  </w14:solidFill>
                </w14:textFill>
              </w:rPr>
              <w:t>勘探结束后，所有剥离表土全部回用于</w:t>
            </w:r>
            <w:r>
              <w:rPr>
                <w:rFonts w:hint="eastAsia"/>
                <w:color w:val="000000" w:themeColor="text1"/>
                <w:lang w:val="en-US" w:eastAsia="zh-CN"/>
                <w14:textFill>
                  <w14:solidFill>
                    <w14:schemeClr w14:val="tx1"/>
                  </w14:solidFill>
                </w14:textFill>
              </w:rPr>
              <w:t>勘探作业区</w:t>
            </w:r>
            <w:r>
              <w:rPr>
                <w:rFonts w:hint="default"/>
                <w:color w:val="000000" w:themeColor="text1"/>
                <w:lang w:val="en-US" w:eastAsia="zh-CN"/>
                <w14:textFill>
                  <w14:solidFill>
                    <w14:schemeClr w14:val="tx1"/>
                  </w14:solidFill>
                </w14:textFill>
              </w:rPr>
              <w:t>、施工便道等区域的覆土绿化，实现</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原土还原、原境复绿</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w:t>
            </w:r>
          </w:p>
          <w:p w14:paraId="585CE6D5">
            <w:pPr>
              <w:keepNext w:val="0"/>
              <w:keepLines w:val="0"/>
              <w:widowControl/>
              <w:suppressLineNumbers w:val="0"/>
              <w:jc w:val="left"/>
              <w:rPr>
                <w:rFonts w:hint="default" w:ascii="Times New Roman" w:hAnsi="Times New Roman"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b/>
                <w:bCs/>
                <w:color w:val="000000" w:themeColor="text1"/>
                <w:kern w:val="0"/>
                <w:sz w:val="24"/>
                <w:szCs w:val="24"/>
                <w:lang w:val="en-US" w:eastAsia="zh-CN" w:bidi="ar"/>
                <w14:textFill>
                  <w14:solidFill>
                    <w14:schemeClr w14:val="tx1"/>
                  </w14:solidFill>
                </w14:textFill>
              </w:rPr>
              <w:t>（2）废钻井泥浆沉淀物（含岩屑）及沉淀池底泥</w:t>
            </w:r>
          </w:p>
          <w:p w14:paraId="271F3A45">
            <w:pPr>
              <w:widowControl/>
              <w:ind w:firstLine="0"/>
              <w:jc w:val="left"/>
              <w:rPr>
                <w:color w:val="000000" w:themeColor="text1"/>
                <w:kern w:val="0"/>
                <w:lang w:bidi="ar"/>
                <w14:textFill>
                  <w14:solidFill>
                    <w14:schemeClr w14:val="tx1"/>
                  </w14:solidFill>
                </w14:textFill>
              </w:rPr>
            </w:pPr>
            <w:r>
              <w:rPr>
                <w:rFonts w:hint="eastAsia"/>
                <w:color w:val="000000" w:themeColor="text1"/>
                <w:kern w:val="0"/>
                <w:lang w:val="en-US" w:eastAsia="zh-CN" w:bidi="ar"/>
                <w14:textFill>
                  <w14:solidFill>
                    <w14:schemeClr w14:val="tx1"/>
                  </w14:solidFill>
                </w14:textFill>
              </w:rPr>
              <w:t>①</w:t>
            </w:r>
            <w:r>
              <w:rPr>
                <w:color w:val="000000" w:themeColor="text1"/>
                <w:kern w:val="0"/>
                <w:lang w:bidi="ar"/>
                <w14:textFill>
                  <w14:solidFill>
                    <w14:schemeClr w14:val="tx1"/>
                  </w14:solidFill>
                </w14:textFill>
              </w:rPr>
              <w:t>各钻孔旁均设可拆卸式HDPE防渗沉淀池（1.5mm厚膜），废泥浆经导流槽全部引入池内，实现</w:t>
            </w:r>
            <w:r>
              <w:rPr>
                <w:rFonts w:hint="eastAsia"/>
                <w:color w:val="000000" w:themeColor="text1"/>
                <w:kern w:val="0"/>
                <w:lang w:eastAsia="zh-CN" w:bidi="ar"/>
                <w14:textFill>
                  <w14:solidFill>
                    <w14:schemeClr w14:val="tx1"/>
                  </w14:solidFill>
                </w14:textFill>
              </w:rPr>
              <w:t>“</w:t>
            </w:r>
            <w:r>
              <w:rPr>
                <w:color w:val="000000" w:themeColor="text1"/>
                <w:kern w:val="0"/>
                <w:lang w:bidi="ar"/>
                <w14:textFill>
                  <w14:solidFill>
                    <w14:schemeClr w14:val="tx1"/>
                  </w14:solidFill>
                </w14:textFill>
              </w:rPr>
              <w:t>浆不落地</w:t>
            </w:r>
            <w:r>
              <w:rPr>
                <w:rFonts w:hint="eastAsia"/>
                <w:color w:val="000000" w:themeColor="text1"/>
                <w:kern w:val="0"/>
                <w:lang w:eastAsia="zh-CN" w:bidi="ar"/>
                <w14:textFill>
                  <w14:solidFill>
                    <w14:schemeClr w14:val="tx1"/>
                  </w14:solidFill>
                </w14:textFill>
              </w:rPr>
              <w:t>”</w:t>
            </w:r>
            <w:r>
              <w:rPr>
                <w:color w:val="000000" w:themeColor="text1"/>
                <w:kern w:val="0"/>
                <w:lang w:bidi="ar"/>
                <w14:textFill>
                  <w14:solidFill>
                    <w14:schemeClr w14:val="tx1"/>
                  </w14:solidFill>
                </w14:textFill>
              </w:rPr>
              <w:t>。沉淀后的底泥暂存于池旁铺设了HDPE膜的防渗堆放区，并用防雨布覆盖，严防扬尘和雨水冲刷。</w:t>
            </w:r>
          </w:p>
          <w:p w14:paraId="6D6872AC">
            <w:pPr>
              <w:widowControl/>
              <w:ind w:firstLine="0"/>
              <w:jc w:val="left"/>
              <w:rPr>
                <w:rFonts w:hint="eastAsia"/>
                <w:color w:val="000000" w:themeColor="text1"/>
                <w:kern w:val="0"/>
                <w:highlight w:val="none"/>
                <w:lang w:val="en-US" w:eastAsia="zh-CN" w:bidi="ar"/>
                <w14:textFill>
                  <w14:solidFill>
                    <w14:schemeClr w14:val="tx1"/>
                  </w14:solidFill>
                </w14:textFill>
              </w:rPr>
            </w:pPr>
            <w:r>
              <w:rPr>
                <w:rFonts w:hint="eastAsia"/>
                <w:color w:val="000000" w:themeColor="text1"/>
                <w:kern w:val="0"/>
                <w:highlight w:val="none"/>
                <w:lang w:val="en-US" w:eastAsia="zh-CN" w:bidi="ar"/>
                <w14:textFill>
                  <w14:solidFill>
                    <w14:schemeClr w14:val="tx1"/>
                  </w14:solidFill>
                </w14:textFill>
              </w:rPr>
              <w:t>②</w:t>
            </w:r>
            <w:r>
              <w:rPr>
                <w:color w:val="000000" w:themeColor="text1"/>
                <w:kern w:val="0"/>
                <w:highlight w:val="none"/>
                <w:lang w:bidi="ar"/>
                <w14:textFill>
                  <w14:solidFill>
                    <w14:schemeClr w14:val="tx1"/>
                  </w14:solidFill>
                </w14:textFill>
              </w:rPr>
              <w:t>勘探结束后，所有底泥经自然干化后，就地填埋于钻探作业区</w:t>
            </w:r>
            <w:r>
              <w:rPr>
                <w:rFonts w:hint="eastAsia"/>
                <w:color w:val="000000" w:themeColor="text1"/>
                <w:kern w:val="0"/>
                <w:highlight w:val="none"/>
                <w:lang w:eastAsia="zh-CN" w:bidi="ar"/>
                <w14:textFill>
                  <w14:solidFill>
                    <w14:schemeClr w14:val="tx1"/>
                  </w14:solidFill>
                </w14:textFill>
              </w:rPr>
              <w:t>，</w:t>
            </w:r>
            <w:r>
              <w:rPr>
                <w:color w:val="000000" w:themeColor="text1"/>
                <w:kern w:val="0"/>
                <w:highlight w:val="none"/>
                <w:lang w:bidi="ar"/>
                <w14:textFill>
                  <w14:solidFill>
                    <w14:schemeClr w14:val="tx1"/>
                  </w14:solidFill>
                </w14:textFill>
              </w:rPr>
              <w:t>并覆土平整</w:t>
            </w:r>
            <w:r>
              <w:rPr>
                <w:rFonts w:hint="eastAsia"/>
                <w:color w:val="000000" w:themeColor="text1"/>
                <w:kern w:val="0"/>
                <w:highlight w:val="none"/>
                <w:lang w:eastAsia="zh-CN" w:bidi="ar"/>
                <w14:textFill>
                  <w14:solidFill>
                    <w14:schemeClr w14:val="tx1"/>
                  </w14:solidFill>
                </w14:textFill>
              </w:rPr>
              <w:t>，</w:t>
            </w:r>
            <w:r>
              <w:rPr>
                <w:rFonts w:hint="eastAsia"/>
                <w:color w:val="000000" w:themeColor="text1"/>
                <w:kern w:val="0"/>
                <w:highlight w:val="none"/>
                <w:lang w:val="en-US" w:eastAsia="zh-CN" w:bidi="ar"/>
                <w14:textFill>
                  <w14:solidFill>
                    <w14:schemeClr w14:val="tx1"/>
                  </w14:solidFill>
                </w14:textFill>
              </w:rPr>
              <w:t>恢复原地貌。</w:t>
            </w:r>
          </w:p>
          <w:p w14:paraId="7C71B9AF">
            <w:pPr>
              <w:widowControl/>
              <w:ind w:firstLine="0"/>
              <w:rPr>
                <w:color w:val="000000" w:themeColor="text1"/>
                <w:kern w:val="0"/>
                <w:highlight w:val="yellow"/>
                <w:lang w:bidi="ar"/>
                <w14:textFill>
                  <w14:solidFill>
                    <w14:schemeClr w14:val="tx1"/>
                  </w14:solidFill>
                </w14:textFill>
              </w:rPr>
            </w:pPr>
            <w:r>
              <w:rPr>
                <w:rFonts w:hint="eastAsia"/>
                <w:color w:val="000000" w:themeColor="text1"/>
                <w:kern w:val="0"/>
                <w:highlight w:val="none"/>
                <w:lang w:val="en-US" w:eastAsia="zh-CN" w:bidi="ar"/>
                <w14:textFill>
                  <w14:solidFill>
                    <w14:schemeClr w14:val="tx1"/>
                  </w14:solidFill>
                </w14:textFill>
              </w:rPr>
              <w:t>③</w:t>
            </w:r>
            <w:r>
              <w:rPr>
                <w:rFonts w:ascii="Segoe UI" w:hAnsi="Segoe UI" w:eastAsia="Segoe UI" w:cs="Segoe UI"/>
                <w:i w:val="0"/>
                <w:iCs w:val="0"/>
                <w:caps w:val="0"/>
                <w:color w:val="0F1115"/>
                <w:spacing w:val="0"/>
                <w:sz w:val="24"/>
                <w:szCs w:val="24"/>
                <w:highlight w:val="none"/>
                <w:shd w:val="clear" w:fill="FFFFFF"/>
              </w:rPr>
              <w:t>建设单位应建立固废管理台账，记录钻井泥浆沉淀物的产生量、暂存量、处置方式及去向，确保全过程可追溯。严禁将泥浆沉淀物随意倾倒、掩埋或混入生活垃圾。</w:t>
            </w:r>
          </w:p>
          <w:p w14:paraId="657B3C32">
            <w:pPr>
              <w:keepNext w:val="0"/>
              <w:keepLines w:val="0"/>
              <w:widowControl/>
              <w:suppressLineNumbers w:val="0"/>
              <w:jc w:val="left"/>
              <w:rPr>
                <w:rFonts w:hint="default" w:ascii="Times New Roman" w:hAnsi="Times New Roman"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b/>
                <w:bCs/>
                <w:color w:val="000000" w:themeColor="text1"/>
                <w:kern w:val="0"/>
                <w:sz w:val="24"/>
                <w:szCs w:val="24"/>
                <w:lang w:val="en-US" w:eastAsia="zh-CN" w:bidi="ar"/>
                <w14:textFill>
                  <w14:solidFill>
                    <w14:schemeClr w14:val="tx1"/>
                  </w14:solidFill>
                </w14:textFill>
              </w:rPr>
              <w:t>（3）生活垃圾</w:t>
            </w:r>
          </w:p>
          <w:p w14:paraId="6E55DE49">
            <w:pPr>
              <w:keepNext w:val="0"/>
              <w:keepLines w:val="0"/>
              <w:widowControl/>
              <w:suppressLineNumbers w:val="0"/>
              <w:jc w:val="left"/>
              <w:rPr>
                <w:rFonts w:hint="default" w:ascii="Times New Roman" w:hAnsi="Times New Roman"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为切实做好本项目施工期间的生活垃圾管理，</w:t>
            </w:r>
            <w:r>
              <w:rPr>
                <w:rFonts w:hint="eastAsia" w:cs="Times New Roman"/>
                <w:color w:val="000000" w:themeColor="text1"/>
                <w:kern w:val="0"/>
                <w:sz w:val="24"/>
                <w:szCs w:val="24"/>
                <w:lang w:val="en-US" w:eastAsia="zh-CN" w:bidi="ar"/>
                <w14:textFill>
                  <w14:solidFill>
                    <w14:schemeClr w14:val="tx1"/>
                  </w14:solidFill>
                </w14:textFill>
              </w:rPr>
              <w:t>拟采取以下防治措施：</w:t>
            </w:r>
          </w:p>
          <w:p w14:paraId="195B8034">
            <w:pPr>
              <w:keepNext w:val="0"/>
              <w:keepLines w:val="0"/>
              <w:widowControl/>
              <w:suppressLineNumbers w:val="0"/>
              <w:jc w:val="left"/>
              <w:rPr>
                <w:rFonts w:hint="default" w:ascii="Times New Roman" w:hAnsi="Times New Roman"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项目施工期间，所有作业人员产生的生活垃圾（包括餐厨垃圾、塑料包装、废弃物品等）必须进行集中管理。在临时营地内，应设置足够数量的带盖垃圾桶，用于收集生活垃圾。为防止雨水进入和垃圾散落，垃圾桶应放置在相对平整、避雨的位置，底部可简单铺设塑料布防渗。</w:t>
            </w:r>
          </w:p>
          <w:p w14:paraId="19446F71">
            <w:pPr>
              <w:keepNext w:val="0"/>
              <w:keepLines w:val="0"/>
              <w:widowControl/>
              <w:suppressLineNumbers w:val="0"/>
              <w:jc w:val="left"/>
              <w:rPr>
                <w:rFonts w:hint="default" w:ascii="Times New Roman" w:hAnsi="Times New Roman"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生活垃圾实行</w:t>
            </w:r>
            <w:r>
              <w:rPr>
                <w:rFonts w:hint="eastAsia"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日产日清</w:t>
            </w:r>
            <w:r>
              <w:rPr>
                <w:rFonts w:hint="eastAsia"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的原则。营地管理人员或指定人员应每天将桶内垃圾打包，使用结实的塑料袋密封，然后装车运走。严禁在营地外随意丢弃</w:t>
            </w:r>
            <w:r>
              <w:rPr>
                <w:rFonts w:hint="eastAsia" w:cs="Times New Roman"/>
                <w:color w:val="000000" w:themeColor="text1"/>
                <w:kern w:val="0"/>
                <w:sz w:val="24"/>
                <w:szCs w:val="24"/>
                <w:lang w:val="en-US" w:eastAsia="zh-CN" w:bidi="ar"/>
                <w14:textFill>
                  <w14:solidFill>
                    <w14:schemeClr w14:val="tx1"/>
                  </w14:solidFill>
                </w14:textFill>
              </w:rPr>
              <w:t>，就</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地掩埋或焚烧垃圾。</w:t>
            </w:r>
          </w:p>
          <w:p w14:paraId="79C32835">
            <w:pPr>
              <w:keepNext w:val="0"/>
              <w:keepLines w:val="0"/>
              <w:widowControl/>
              <w:suppressLineNumbers w:val="0"/>
              <w:jc w:val="left"/>
              <w:rPr>
                <w:rFonts w:hint="default" w:ascii="Times New Roman" w:hAnsi="Times New Roman"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所有打包好的生活垃圾，安排车辆统一清运至</w:t>
            </w:r>
            <w:r>
              <w:rPr>
                <w:rFonts w:ascii="Segoe UI" w:hAnsi="Segoe UI" w:eastAsia="Segoe UI" w:cs="Segoe UI"/>
                <w:i w:val="0"/>
                <w:iCs w:val="0"/>
                <w:caps w:val="0"/>
                <w:color w:val="0F1115"/>
                <w:spacing w:val="0"/>
                <w:sz w:val="24"/>
                <w:szCs w:val="24"/>
                <w:shd w:val="clear" w:fill="FFFFFF"/>
              </w:rPr>
              <w:t>木垒哈萨克自治县</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生活垃圾填埋场进行处置。建设单位应保留好清运记录，以备检查。</w:t>
            </w:r>
          </w:p>
          <w:p w14:paraId="185EAC0F">
            <w:pPr>
              <w:keepNext w:val="0"/>
              <w:keepLines w:val="0"/>
              <w:widowControl/>
              <w:suppressLineNumbers w:val="0"/>
              <w:jc w:val="left"/>
              <w:rPr>
                <w:rFonts w:hint="default" w:ascii="Times New Roman" w:hAnsi="Times New Roman"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b/>
                <w:bCs/>
                <w:color w:val="000000" w:themeColor="text1"/>
                <w:kern w:val="0"/>
                <w:sz w:val="24"/>
                <w:szCs w:val="24"/>
                <w:lang w:val="en-US" w:eastAsia="zh-CN" w:bidi="ar"/>
                <w14:textFill>
                  <w14:solidFill>
                    <w14:schemeClr w14:val="tx1"/>
                  </w14:solidFill>
                </w14:textFill>
              </w:rPr>
              <w:t>（</w:t>
            </w:r>
            <w:r>
              <w:rPr>
                <w:rFonts w:hint="eastAsia" w:cs="Times New Roman"/>
                <w:b/>
                <w:bCs/>
                <w:color w:val="000000" w:themeColor="text1"/>
                <w:kern w:val="0"/>
                <w:sz w:val="24"/>
                <w:szCs w:val="24"/>
                <w:lang w:val="en-US" w:eastAsia="zh-CN" w:bidi="ar"/>
                <w14:textFill>
                  <w14:solidFill>
                    <w14:schemeClr w14:val="tx1"/>
                  </w14:solidFill>
                </w14:textFill>
              </w:rPr>
              <w:t>4</w:t>
            </w:r>
            <w:r>
              <w:rPr>
                <w:rFonts w:hint="default" w:ascii="Times New Roman" w:hAnsi="Times New Roman" w:cs="Times New Roman"/>
                <w:b/>
                <w:bCs/>
                <w:color w:val="000000" w:themeColor="text1"/>
                <w:kern w:val="0"/>
                <w:sz w:val="24"/>
                <w:szCs w:val="24"/>
                <w:lang w:val="en-US" w:eastAsia="zh-CN" w:bidi="ar"/>
                <w14:textFill>
                  <w14:solidFill>
                    <w14:schemeClr w14:val="tx1"/>
                  </w14:solidFill>
                </w14:textFill>
              </w:rPr>
              <w:t>）废包装物管理</w:t>
            </w:r>
          </w:p>
          <w:p w14:paraId="2E24E942">
            <w:pPr>
              <w:bidi w:val="0"/>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ascii="Segoe UI" w:hAnsi="Segoe UI" w:eastAsia="Segoe UI" w:cs="Segoe UI"/>
                <w:i w:val="0"/>
                <w:iCs w:val="0"/>
                <w:caps w:val="0"/>
                <w:color w:val="0F1115"/>
                <w:spacing w:val="0"/>
                <w:sz w:val="24"/>
                <w:szCs w:val="24"/>
                <w:shd w:val="clear" w:fill="FFFFFF"/>
              </w:rPr>
              <w:t>钻探助剂使用后的废弃包装袋及水泥废弃包装袋应集中收集</w:t>
            </w:r>
            <w:r>
              <w:rPr>
                <w:rFonts w:hint="default"/>
                <w:color w:val="000000" w:themeColor="text1"/>
                <w:lang w:val="en-US" w:eastAsia="zh-CN"/>
                <w14:textFill>
                  <w14:solidFill>
                    <w14:schemeClr w14:val="tx1"/>
                  </w14:solidFill>
                </w14:textFill>
              </w:rPr>
              <w:t>，严禁随意丢弃或焚烧。施工结束后，与其他一般固体废物一同清运至</w:t>
            </w:r>
            <w:r>
              <w:rPr>
                <w:rFonts w:hint="eastAsia"/>
                <w:color w:val="000000" w:themeColor="text1"/>
                <w:lang w:val="en-US" w:eastAsia="zh-CN"/>
                <w14:textFill>
                  <w14:solidFill>
                    <w14:schemeClr w14:val="tx1"/>
                  </w14:solidFill>
                </w14:textFill>
              </w:rPr>
              <w:t>木垒哈萨克自治县</w:t>
            </w:r>
            <w:r>
              <w:rPr>
                <w:rFonts w:hint="default"/>
                <w:color w:val="000000" w:themeColor="text1"/>
                <w:lang w:val="en-US" w:eastAsia="zh-CN"/>
                <w14:textFill>
                  <w14:solidFill>
                    <w14:schemeClr w14:val="tx1"/>
                  </w14:solidFill>
                </w14:textFill>
              </w:rPr>
              <w:t>生活垃圾填埋场进行无害化处置。</w:t>
            </w:r>
          </w:p>
          <w:p w14:paraId="7E15EA1A">
            <w:pPr>
              <w:pStyle w:val="2"/>
              <w:bidi w:val="0"/>
            </w:pPr>
            <w:r>
              <w:rPr>
                <w:rFonts w:hint="default"/>
              </w:rPr>
              <w:t>6.土壤环境保护措施</w:t>
            </w:r>
          </w:p>
          <w:p w14:paraId="5FF4174A">
            <w:pPr>
              <w:bidi w:val="0"/>
              <w:rPr>
                <w:rFonts w:hint="default"/>
              </w:rPr>
            </w:pPr>
            <w:r>
              <w:rPr>
                <w:rFonts w:hint="default"/>
              </w:rPr>
              <w:t>（1）柴油临时存放区防渗</w:t>
            </w:r>
          </w:p>
          <w:p w14:paraId="593FAEFB">
            <w:pPr>
              <w:bidi w:val="0"/>
              <w:rPr>
                <w:rFonts w:hint="default"/>
              </w:rPr>
            </w:pPr>
            <w:r>
              <w:rPr>
                <w:rFonts w:hint="default"/>
              </w:rPr>
              <w:t>柴油采用200L专用防泄漏塑料桶密封运输和临时存放，不设固定储罐，现场一次存放不超过3桶。临时存放点铺设2mm厚HDPE防渗膜，并设置可拆卸式围堰（容积不小于单桶容量），配备吸油毡、防渗托盘等应急物资。加油操作在指定专用区域进行，禁止在设备运转状态下加油。柴油即用即拉，用毕及时清理存放点。</w:t>
            </w:r>
          </w:p>
          <w:p w14:paraId="4B073F8C">
            <w:pPr>
              <w:bidi w:val="0"/>
              <w:rPr>
                <w:rFonts w:hint="default"/>
              </w:rPr>
            </w:pPr>
            <w:r>
              <w:rPr>
                <w:rFonts w:hint="default"/>
              </w:rPr>
              <w:t>（2）泥浆循环系统防渗</w:t>
            </w:r>
          </w:p>
          <w:p w14:paraId="3BCA877B">
            <w:pPr>
              <w:bidi w:val="0"/>
              <w:rPr>
                <w:rFonts w:hint="default"/>
              </w:rPr>
            </w:pPr>
            <w:r>
              <w:rPr>
                <w:rFonts w:hint="default"/>
              </w:rPr>
              <w:t>各勘探作业区配套的可拆卸式HDPE双格防渗沉淀池底部铺设1.5mm厚HDPE防渗膜，泥浆经管道或导流槽全部引入池内，实现</w:t>
            </w:r>
            <w:r>
              <w:rPr>
                <w:rFonts w:hint="eastAsia"/>
                <w:lang w:eastAsia="zh-CN"/>
              </w:rPr>
              <w:t>“</w:t>
            </w:r>
            <w:r>
              <w:rPr>
                <w:rFonts w:hint="default"/>
              </w:rPr>
              <w:t>浆不落地</w:t>
            </w:r>
            <w:r>
              <w:rPr>
                <w:rFonts w:hint="eastAsia"/>
                <w:lang w:eastAsia="zh-CN"/>
              </w:rPr>
              <w:t>”</w:t>
            </w:r>
            <w:r>
              <w:rPr>
                <w:rFonts w:hint="default"/>
              </w:rPr>
              <w:t>，杜绝泥浆渗入土壤。</w:t>
            </w:r>
          </w:p>
          <w:p w14:paraId="04E9C4A9">
            <w:pPr>
              <w:bidi w:val="0"/>
              <w:rPr>
                <w:rFonts w:hint="default"/>
              </w:rPr>
            </w:pPr>
            <w:r>
              <w:rPr>
                <w:rFonts w:hint="default"/>
              </w:rPr>
              <w:t>（3）水泥存放与使用防渗</w:t>
            </w:r>
          </w:p>
          <w:p w14:paraId="14DBBBDA">
            <w:pPr>
              <w:bidi w:val="0"/>
              <w:rPr>
                <w:rFonts w:hint="default"/>
              </w:rPr>
            </w:pPr>
            <w:r>
              <w:rPr>
                <w:rFonts w:hint="default"/>
              </w:rPr>
              <w:t>袋装水泥分区堆放于各钻探平台，下垫防渗膜，上覆防雨布，四周设简易挡水埂，防止雨水冲刷和水泥下渗。搅拌作业在铺设防渗膜的专用区域进行，搅拌废水引流至沉淀池处理。</w:t>
            </w:r>
          </w:p>
          <w:p w14:paraId="7B536B59">
            <w:pPr>
              <w:bidi w:val="0"/>
              <w:rPr>
                <w:rFonts w:hint="default"/>
              </w:rPr>
            </w:pPr>
            <w:r>
              <w:rPr>
                <w:rFonts w:hint="default"/>
              </w:rPr>
              <w:t>（4）生活污水收集防渗</w:t>
            </w:r>
          </w:p>
          <w:p w14:paraId="6A1789FC">
            <w:pPr>
              <w:bidi w:val="0"/>
              <w:rPr>
                <w:rFonts w:hint="default"/>
              </w:rPr>
            </w:pPr>
            <w:r>
              <w:rPr>
                <w:rFonts w:hint="default"/>
              </w:rPr>
              <w:t>生活营地设置移动式防渗环保厕所，储污罐密闭防渗，生活污水全部收集于罐内，定期由吸污车清运，杜绝生活污水渗入土壤。</w:t>
            </w:r>
          </w:p>
          <w:p w14:paraId="1FEDE92C">
            <w:pPr>
              <w:bidi w:val="0"/>
              <w:rPr>
                <w:rFonts w:hint="default"/>
              </w:rPr>
            </w:pPr>
            <w:r>
              <w:rPr>
                <w:rFonts w:hint="default"/>
              </w:rPr>
              <w:t>（5）固废暂存区防渗</w:t>
            </w:r>
          </w:p>
          <w:p w14:paraId="526F626C">
            <w:pPr>
              <w:bidi w:val="0"/>
              <w:rPr>
                <w:rFonts w:hint="default"/>
              </w:rPr>
            </w:pPr>
            <w:r>
              <w:rPr>
                <w:rFonts w:hint="default"/>
              </w:rPr>
              <w:t>生活垃圾集中存放点底部铺设防渗膜；废弃包装袋集中堆存于防雨布覆盖区域；沉淀池底泥暂存于防渗堆放区，用防雨布覆盖。</w:t>
            </w:r>
          </w:p>
          <w:p w14:paraId="5D43B0DB">
            <w:pPr>
              <w:bidi w:val="0"/>
              <w:rPr>
                <w:rFonts w:hint="default"/>
              </w:rPr>
            </w:pPr>
            <w:r>
              <w:rPr>
                <w:rFonts w:hint="default"/>
              </w:rPr>
              <w:t>（6）日常巡检制度</w:t>
            </w:r>
          </w:p>
          <w:p w14:paraId="4A98A0AC">
            <w:pPr>
              <w:bidi w:val="0"/>
              <w:rPr>
                <w:rFonts w:hint="default"/>
              </w:rPr>
            </w:pPr>
            <w:r>
              <w:rPr>
                <w:rFonts w:hint="default"/>
              </w:rPr>
              <w:t>实行每日巡检制度，重点检查柴油临时存放点、泥浆循环系统、水泥堆放区等是否存在</w:t>
            </w:r>
            <w:r>
              <w:rPr>
                <w:rFonts w:hint="eastAsia"/>
                <w:lang w:eastAsia="zh-CN"/>
              </w:rPr>
              <w:t>“</w:t>
            </w:r>
            <w:r>
              <w:rPr>
                <w:rFonts w:hint="default"/>
              </w:rPr>
              <w:t>跑、冒、滴、漏</w:t>
            </w:r>
            <w:r>
              <w:rPr>
                <w:rFonts w:hint="eastAsia"/>
                <w:lang w:eastAsia="zh-CN"/>
              </w:rPr>
              <w:t>”</w:t>
            </w:r>
            <w:r>
              <w:rPr>
                <w:rFonts w:hint="default"/>
              </w:rPr>
              <w:t>现象，发现渗漏立即处理。加强机械设备维护，避免因故障导致油品泄漏。</w:t>
            </w:r>
          </w:p>
          <w:p w14:paraId="5D6E7127">
            <w:pPr>
              <w:bidi w:val="0"/>
              <w:rPr>
                <w:rFonts w:hint="default"/>
              </w:rPr>
            </w:pPr>
            <w:r>
              <w:rPr>
                <w:rFonts w:hint="default"/>
              </w:rPr>
              <w:t>（7）施工结束后的土壤恢复</w:t>
            </w:r>
          </w:p>
          <w:p w14:paraId="34FA462F">
            <w:pPr>
              <w:bidi w:val="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rPr>
              <w:t>勘探结束后，拆除所有防渗设施，对临时占地进行场地清理、土地平整，将剥离表土全部回覆，播撒本地草种恢复植被，恢复土壤结构与生态功能。</w:t>
            </w:r>
          </w:p>
        </w:tc>
      </w:tr>
      <w:tr w14:paraId="5301E6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92" w:hRule="atLeast"/>
          <w:jc w:val="center"/>
        </w:trPr>
        <w:tc>
          <w:tcPr>
            <w:tcW w:w="753" w:type="dxa"/>
            <w:noWrap w:val="0"/>
            <w:tcMar>
              <w:left w:w="28" w:type="dxa"/>
              <w:right w:w="28" w:type="dxa"/>
            </w:tcMar>
            <w:vAlign w:val="center"/>
          </w:tcPr>
          <w:p w14:paraId="724E2896">
            <w:pPr>
              <w:keepNext w:val="0"/>
              <w:keepLines w:val="0"/>
              <w:pageBreakBefore w:val="0"/>
              <w:widowControl w:val="0"/>
              <w:kinsoku/>
              <w:wordWrap/>
              <w:overflowPunct/>
              <w:topLinePunct w:val="0"/>
              <w:bidi w:val="0"/>
              <w:adjustRightInd/>
              <w:snapToGrid/>
              <w:ind w:left="0" w:leftChars="0" w:firstLine="0" w:firstLineChars="0"/>
              <w:jc w:val="both"/>
              <w:textAlignment w:val="auto"/>
              <w:rPr>
                <w:rFonts w:ascii="宋体" w:hAnsi="宋体" w:cs="宋体"/>
                <w:bCs/>
                <w:color w:val="000000" w:themeColor="text1"/>
                <w:spacing w:val="10"/>
                <w:sz w:val="24"/>
                <w:szCs w:val="24"/>
                <w14:textFill>
                  <w14:solidFill>
                    <w14:schemeClr w14:val="tx1"/>
                  </w14:solidFill>
                </w14:textFill>
              </w:rPr>
            </w:pPr>
            <w:r>
              <w:rPr>
                <w:rFonts w:hint="eastAsia" w:ascii="宋体" w:hAnsi="宋体" w:cs="宋体"/>
                <w:bCs/>
                <w:color w:val="000000" w:themeColor="text1"/>
                <w:spacing w:val="10"/>
                <w:sz w:val="24"/>
                <w:szCs w:val="24"/>
                <w14:textFill>
                  <w14:solidFill>
                    <w14:schemeClr w14:val="tx1"/>
                  </w14:solidFill>
                </w14:textFill>
              </w:rPr>
              <w:t>运营期生态环境保护措施</w:t>
            </w:r>
          </w:p>
        </w:tc>
        <w:tc>
          <w:tcPr>
            <w:tcW w:w="8457" w:type="dxa"/>
            <w:noWrap w:val="0"/>
            <w:vAlign w:val="center"/>
          </w:tcPr>
          <w:p w14:paraId="1025BC3E">
            <w:pPr>
              <w:keepNext w:val="0"/>
              <w:keepLines w:val="0"/>
              <w:widowControl/>
              <w:suppressLineNumbers w:val="0"/>
              <w:jc w:val="left"/>
              <w:rPr>
                <w:rFonts w:hint="eastAsia" w:ascii="Times New Roman" w:hAnsi="Times New Roman" w:eastAsia="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本项目为陆地矿产资源地质勘查，整个项目仅涉及勘查期，勘查结束则本工程结束，勘查结束后建设单位需进行生态修复。本项目不涉及运营期。</w:t>
            </w:r>
          </w:p>
        </w:tc>
      </w:tr>
      <w:tr w14:paraId="3ADD91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53" w:type="dxa"/>
            <w:noWrap w:val="0"/>
            <w:vAlign w:val="center"/>
          </w:tcPr>
          <w:p w14:paraId="2371E41B">
            <w:pPr>
              <w:keepNext w:val="0"/>
              <w:keepLines w:val="0"/>
              <w:pageBreakBefore w:val="0"/>
              <w:widowControl w:val="0"/>
              <w:kinsoku/>
              <w:wordWrap/>
              <w:overflowPunct/>
              <w:topLinePunct w:val="0"/>
              <w:bidi w:val="0"/>
              <w:adjustRightInd/>
              <w:snapToGrid/>
              <w:ind w:left="0" w:leftChars="0" w:firstLine="0" w:firstLineChars="0"/>
              <w:jc w:val="both"/>
              <w:textAlignment w:val="auto"/>
              <w:rPr>
                <w:rFonts w:ascii="宋体" w:hAnsi="宋体" w:cs="宋体"/>
                <w:bCs/>
                <w:color w:val="000000" w:themeColor="text1"/>
                <w:spacing w:val="10"/>
                <w:sz w:val="24"/>
                <w:szCs w:val="24"/>
                <w14:textFill>
                  <w14:solidFill>
                    <w14:schemeClr w14:val="tx1"/>
                  </w14:solidFill>
                </w14:textFill>
              </w:rPr>
            </w:pPr>
            <w:r>
              <w:rPr>
                <w:rFonts w:hint="eastAsia" w:ascii="宋体" w:hAnsi="宋体" w:cs="Times New Roman"/>
                <w:bCs/>
                <w:color w:val="000000" w:themeColor="text1"/>
                <w:sz w:val="24"/>
                <w:szCs w:val="24"/>
                <w14:textFill>
                  <w14:solidFill>
                    <w14:schemeClr w14:val="tx1"/>
                  </w14:solidFill>
                </w14:textFill>
              </w:rPr>
              <w:t>其他</w:t>
            </w:r>
          </w:p>
        </w:tc>
        <w:tc>
          <w:tcPr>
            <w:tcW w:w="8457" w:type="dxa"/>
            <w:noWrap w:val="0"/>
            <w:vAlign w:val="center"/>
          </w:tcPr>
          <w:p w14:paraId="244CCD89">
            <w:pPr>
              <w:bidi w:val="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无。</w:t>
            </w:r>
          </w:p>
        </w:tc>
      </w:tr>
      <w:tr w14:paraId="51D5CB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1" w:hRule="atLeast"/>
          <w:jc w:val="center"/>
        </w:trPr>
        <w:tc>
          <w:tcPr>
            <w:tcW w:w="753" w:type="dxa"/>
            <w:noWrap w:val="0"/>
            <w:vAlign w:val="center"/>
          </w:tcPr>
          <w:p w14:paraId="2063D590">
            <w:pPr>
              <w:keepNext w:val="0"/>
              <w:keepLines w:val="0"/>
              <w:pageBreakBefore w:val="0"/>
              <w:widowControl w:val="0"/>
              <w:kinsoku/>
              <w:wordWrap/>
              <w:overflowPunct/>
              <w:topLinePunct w:val="0"/>
              <w:bidi w:val="0"/>
              <w:adjustRightInd/>
              <w:snapToGrid/>
              <w:ind w:left="0" w:leftChars="0" w:firstLine="0" w:firstLineChars="0"/>
              <w:jc w:val="both"/>
              <w:textAlignment w:val="auto"/>
              <w:rPr>
                <w:rFonts w:ascii="宋体" w:hAnsi="宋体" w:cs="宋体"/>
                <w:bCs/>
                <w:color w:val="000000" w:themeColor="text1"/>
                <w:spacing w:val="10"/>
                <w:sz w:val="24"/>
                <w:szCs w:val="24"/>
                <w14:textFill>
                  <w14:solidFill>
                    <w14:schemeClr w14:val="tx1"/>
                  </w14:solidFill>
                </w14:textFill>
              </w:rPr>
            </w:pPr>
            <w:r>
              <w:rPr>
                <w:rFonts w:hint="eastAsia" w:ascii="宋体" w:hAnsi="宋体" w:cs="Times New Roman"/>
                <w:bCs/>
                <w:color w:val="000000" w:themeColor="text1"/>
                <w:sz w:val="24"/>
                <w:szCs w:val="24"/>
                <w14:textFill>
                  <w14:solidFill>
                    <w14:schemeClr w14:val="tx1"/>
                  </w14:solidFill>
                </w14:textFill>
              </w:rPr>
              <w:t>环保投资</w:t>
            </w:r>
          </w:p>
        </w:tc>
        <w:tc>
          <w:tcPr>
            <w:tcW w:w="8457" w:type="dxa"/>
            <w:shd w:val="clear" w:color="auto" w:fill="auto"/>
            <w:noWrap w:val="0"/>
            <w:vAlign w:val="center"/>
          </w:tcPr>
          <w:p w14:paraId="34E44B5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工程总投资</w:t>
            </w:r>
            <w:r>
              <w:rPr>
                <w:rFonts w:hint="default" w:ascii="Times New Roman" w:hAnsi="Times New Roman" w:cs="Times New Roman"/>
                <w:color w:val="000000" w:themeColor="text1"/>
                <w:sz w:val="24"/>
                <w:szCs w:val="24"/>
                <w:lang w:val="en-US" w:eastAsia="zh-CN"/>
                <w14:textFill>
                  <w14:solidFill>
                    <w14:schemeClr w14:val="tx1"/>
                  </w14:solidFill>
                </w14:textFill>
              </w:rPr>
              <w:t>2000</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万元，环保投资</w:t>
            </w:r>
            <w:r>
              <w:rPr>
                <w:rFonts w:hint="default" w:ascii="Times New Roman" w:hAnsi="Times New Roman" w:cs="Times New Roman"/>
                <w:color w:val="000000" w:themeColor="text1"/>
                <w:kern w:val="0"/>
                <w:sz w:val="24"/>
                <w:szCs w:val="24"/>
                <w:lang w:val="en-US" w:eastAsia="zh-CN"/>
                <w14:textFill>
                  <w14:solidFill>
                    <w14:schemeClr w14:val="tx1"/>
                  </w14:solidFill>
                </w14:textFill>
              </w:rPr>
              <w:t>87.5万元</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，占比</w:t>
            </w:r>
            <w:r>
              <w:rPr>
                <w:rFonts w:hint="default" w:ascii="Times New Roman" w:hAnsi="Times New Roman" w:cs="Times New Roman"/>
                <w:color w:val="000000" w:themeColor="text1"/>
                <w:kern w:val="0"/>
                <w:sz w:val="24"/>
                <w:szCs w:val="24"/>
                <w:lang w:val="en-US" w:eastAsia="zh-CN"/>
                <w14:textFill>
                  <w14:solidFill>
                    <w14:schemeClr w14:val="tx1"/>
                  </w14:solidFill>
                </w14:textFill>
              </w:rPr>
              <w:t>4.375</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%，投资估算详见表</w:t>
            </w:r>
            <w:r>
              <w:rPr>
                <w:rFonts w:hint="default" w:ascii="Times New Roman" w:hAnsi="Times New Roman" w:cs="Times New Roman"/>
                <w:color w:val="000000" w:themeColor="text1"/>
                <w:kern w:val="0"/>
                <w:sz w:val="24"/>
                <w:szCs w:val="24"/>
                <w:lang w:val="en-US" w:eastAsia="zh-CN"/>
                <w14:textFill>
                  <w14:solidFill>
                    <w14:schemeClr w14:val="tx1"/>
                  </w14:solidFill>
                </w14:textFill>
              </w:rPr>
              <w:t>5-1</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w:t>
            </w:r>
          </w:p>
          <w:p w14:paraId="0774199A">
            <w:pPr>
              <w:pStyle w:val="5"/>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表5-1   项目环保投资估算一览表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429"/>
              <w:gridCol w:w="3624"/>
              <w:gridCol w:w="1636"/>
              <w:gridCol w:w="1539"/>
            </w:tblGrid>
            <w:tr w14:paraId="2CCF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868" w:type="pct"/>
                  <w:shd w:val="clear" w:color="auto" w:fill="FFFFFF"/>
                  <w:vAlign w:val="center"/>
                </w:tcPr>
                <w:p w14:paraId="006257D6">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bCs/>
                      <w:i w:val="0"/>
                      <w:iCs w:val="0"/>
                      <w:color w:val="0F1115"/>
                      <w:sz w:val="20"/>
                      <w:szCs w:val="20"/>
                      <w:u w:val="none"/>
                    </w:rPr>
                  </w:pPr>
                  <w:r>
                    <w:rPr>
                      <w:rFonts w:hint="default" w:ascii="Times New Roman" w:hAnsi="Times New Roman" w:eastAsia="宋体" w:cs="Times New Roman"/>
                      <w:b/>
                      <w:bCs/>
                      <w:i w:val="0"/>
                      <w:iCs w:val="0"/>
                      <w:color w:val="0F1115"/>
                      <w:kern w:val="0"/>
                      <w:sz w:val="20"/>
                      <w:szCs w:val="20"/>
                      <w:u w:val="none"/>
                      <w:lang w:val="en-US" w:eastAsia="zh-CN" w:bidi="ar"/>
                    </w:rPr>
                    <w:t>类别</w:t>
                  </w:r>
                </w:p>
              </w:tc>
              <w:tc>
                <w:tcPr>
                  <w:tcW w:w="2202" w:type="pct"/>
                  <w:shd w:val="clear" w:color="auto" w:fill="FFFFFF"/>
                  <w:vAlign w:val="center"/>
                </w:tcPr>
                <w:p w14:paraId="14E7488E">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bCs/>
                      <w:i w:val="0"/>
                      <w:iCs w:val="0"/>
                      <w:color w:val="0F1115"/>
                      <w:sz w:val="20"/>
                      <w:szCs w:val="20"/>
                      <w:u w:val="none"/>
                    </w:rPr>
                  </w:pPr>
                  <w:r>
                    <w:rPr>
                      <w:rFonts w:hint="default" w:ascii="Times New Roman" w:hAnsi="Times New Roman" w:eastAsia="宋体" w:cs="Times New Roman"/>
                      <w:b/>
                      <w:bCs/>
                      <w:i w:val="0"/>
                      <w:iCs w:val="0"/>
                      <w:color w:val="0F1115"/>
                      <w:kern w:val="0"/>
                      <w:sz w:val="20"/>
                      <w:szCs w:val="20"/>
                      <w:u w:val="none"/>
                      <w:lang w:val="en-US" w:eastAsia="zh-CN" w:bidi="ar"/>
                    </w:rPr>
                    <w:t>措施名称</w:t>
                  </w:r>
                </w:p>
              </w:tc>
              <w:tc>
                <w:tcPr>
                  <w:tcW w:w="994" w:type="pct"/>
                  <w:shd w:val="clear" w:color="auto" w:fill="FFFFFF"/>
                  <w:vAlign w:val="center"/>
                </w:tcPr>
                <w:p w14:paraId="5E16FFDB">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bCs/>
                      <w:i w:val="0"/>
                      <w:iCs w:val="0"/>
                      <w:color w:val="0F1115"/>
                      <w:sz w:val="20"/>
                      <w:szCs w:val="20"/>
                      <w:u w:val="none"/>
                    </w:rPr>
                  </w:pPr>
                  <w:r>
                    <w:rPr>
                      <w:rFonts w:hint="default" w:ascii="Times New Roman" w:hAnsi="Times New Roman" w:eastAsia="宋体" w:cs="Times New Roman"/>
                      <w:b/>
                      <w:bCs/>
                      <w:i w:val="0"/>
                      <w:iCs w:val="0"/>
                      <w:color w:val="0F1115"/>
                      <w:kern w:val="0"/>
                      <w:sz w:val="20"/>
                      <w:szCs w:val="20"/>
                      <w:u w:val="none"/>
                      <w:lang w:val="en-US" w:eastAsia="zh-CN" w:bidi="ar"/>
                    </w:rPr>
                    <w:t>数量</w:t>
                  </w:r>
                  <w:r>
                    <w:rPr>
                      <w:rStyle w:val="26"/>
                      <w:rFonts w:hint="default" w:ascii="Times New Roman" w:hAnsi="Times New Roman" w:eastAsia="宋体" w:cs="Times New Roman"/>
                      <w:lang w:val="en-US" w:eastAsia="zh-CN" w:bidi="ar"/>
                    </w:rPr>
                    <w:t>/</w:t>
                  </w:r>
                  <w:r>
                    <w:rPr>
                      <w:rFonts w:hint="default" w:ascii="Times New Roman" w:hAnsi="Times New Roman" w:eastAsia="宋体" w:cs="Times New Roman"/>
                      <w:b/>
                      <w:bCs/>
                      <w:i w:val="0"/>
                      <w:iCs w:val="0"/>
                      <w:color w:val="0F1115"/>
                      <w:kern w:val="0"/>
                      <w:sz w:val="20"/>
                      <w:szCs w:val="20"/>
                      <w:u w:val="none"/>
                      <w:lang w:val="en-US" w:eastAsia="zh-CN" w:bidi="ar"/>
                    </w:rPr>
                    <w:t>规格</w:t>
                  </w:r>
                </w:p>
              </w:tc>
              <w:tc>
                <w:tcPr>
                  <w:tcW w:w="935" w:type="pct"/>
                  <w:shd w:val="clear" w:color="auto" w:fill="FFFFFF"/>
                  <w:vAlign w:val="center"/>
                </w:tcPr>
                <w:p w14:paraId="54634DB7">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bCs/>
                      <w:i w:val="0"/>
                      <w:iCs w:val="0"/>
                      <w:color w:val="0F1115"/>
                      <w:sz w:val="20"/>
                      <w:szCs w:val="20"/>
                      <w:u w:val="none"/>
                    </w:rPr>
                  </w:pPr>
                  <w:r>
                    <w:rPr>
                      <w:rFonts w:hint="default" w:ascii="Times New Roman" w:hAnsi="Times New Roman" w:eastAsia="宋体" w:cs="Times New Roman"/>
                      <w:b/>
                      <w:bCs/>
                      <w:i w:val="0"/>
                      <w:iCs w:val="0"/>
                      <w:color w:val="0F1115"/>
                      <w:kern w:val="0"/>
                      <w:sz w:val="20"/>
                      <w:szCs w:val="20"/>
                      <w:u w:val="none"/>
                      <w:lang w:val="en-US" w:eastAsia="zh-CN" w:bidi="ar"/>
                    </w:rPr>
                    <w:t>投资（万元）</w:t>
                  </w:r>
                </w:p>
              </w:tc>
            </w:tr>
            <w:tr w14:paraId="6BAE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868" w:type="pct"/>
                  <w:vMerge w:val="restart"/>
                  <w:shd w:val="clear" w:color="auto" w:fill="FFFFFF"/>
                  <w:vAlign w:val="center"/>
                </w:tcPr>
                <w:p w14:paraId="34C20784">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废气治理</w:t>
                  </w:r>
                </w:p>
              </w:tc>
              <w:tc>
                <w:tcPr>
                  <w:tcW w:w="2202" w:type="pct"/>
                  <w:shd w:val="clear" w:color="auto" w:fill="FFFFFF"/>
                  <w:vAlign w:val="center"/>
                </w:tcPr>
                <w:p w14:paraId="0EA8903E">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洒水降尘</w:t>
                  </w:r>
                </w:p>
              </w:tc>
              <w:tc>
                <w:tcPr>
                  <w:tcW w:w="994" w:type="pct"/>
                  <w:shd w:val="clear" w:color="auto" w:fill="FFFFFF"/>
                  <w:vAlign w:val="center"/>
                </w:tcPr>
                <w:p w14:paraId="6EC3E036">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780天</w:t>
                  </w:r>
                </w:p>
              </w:tc>
              <w:tc>
                <w:tcPr>
                  <w:tcW w:w="935" w:type="pct"/>
                  <w:shd w:val="clear" w:color="auto" w:fill="FFFFFF"/>
                  <w:vAlign w:val="center"/>
                </w:tcPr>
                <w:p w14:paraId="0C07D2CD">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12</w:t>
                  </w:r>
                </w:p>
              </w:tc>
            </w:tr>
            <w:tr w14:paraId="39A0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868" w:type="pct"/>
                  <w:vMerge w:val="continue"/>
                  <w:shd w:val="clear" w:color="auto" w:fill="FFFFFF"/>
                  <w:vAlign w:val="center"/>
                </w:tcPr>
                <w:p w14:paraId="10D3920A">
                  <w:pPr>
                    <w:jc w:val="center"/>
                    <w:rPr>
                      <w:rFonts w:hint="default" w:ascii="Times New Roman" w:hAnsi="Times New Roman" w:eastAsia="宋体" w:cs="Times New Roman"/>
                      <w:i w:val="0"/>
                      <w:iCs w:val="0"/>
                      <w:color w:val="0F1115"/>
                      <w:sz w:val="20"/>
                      <w:szCs w:val="20"/>
                      <w:u w:val="none"/>
                    </w:rPr>
                  </w:pPr>
                </w:p>
              </w:tc>
              <w:tc>
                <w:tcPr>
                  <w:tcW w:w="2202" w:type="pct"/>
                  <w:shd w:val="clear" w:color="auto" w:fill="FFFFFF"/>
                  <w:vAlign w:val="center"/>
                </w:tcPr>
                <w:p w14:paraId="5ADAC499">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防尘网覆盖（临时堆场）</w:t>
                  </w:r>
                </w:p>
              </w:tc>
              <w:tc>
                <w:tcPr>
                  <w:tcW w:w="994" w:type="pct"/>
                  <w:shd w:val="clear" w:color="auto" w:fill="FFFFFF"/>
                  <w:vAlign w:val="center"/>
                </w:tcPr>
                <w:p w14:paraId="0E69CA40">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临时堆土场+探槽两侧</w:t>
                  </w:r>
                </w:p>
              </w:tc>
              <w:tc>
                <w:tcPr>
                  <w:tcW w:w="935" w:type="pct"/>
                  <w:shd w:val="clear" w:color="auto" w:fill="FFFFFF"/>
                  <w:vAlign w:val="center"/>
                </w:tcPr>
                <w:p w14:paraId="6FF7B51A">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lang w:val="en-US" w:eastAsia="zh-CN"/>
                    </w:rPr>
                  </w:pPr>
                  <w:r>
                    <w:rPr>
                      <w:rFonts w:hint="default" w:ascii="Times New Roman" w:hAnsi="Times New Roman" w:cs="Times New Roman"/>
                      <w:i w:val="0"/>
                      <w:iCs w:val="0"/>
                      <w:color w:val="0F1115"/>
                      <w:sz w:val="20"/>
                      <w:szCs w:val="20"/>
                      <w:u w:val="none"/>
                      <w:lang w:val="en-US" w:eastAsia="zh-CN"/>
                    </w:rPr>
                    <w:t>3.0</w:t>
                  </w:r>
                </w:p>
              </w:tc>
            </w:tr>
            <w:tr w14:paraId="2A60A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868" w:type="pct"/>
                  <w:vMerge w:val="restart"/>
                  <w:shd w:val="clear" w:color="auto" w:fill="FFFFFF"/>
                  <w:vAlign w:val="center"/>
                </w:tcPr>
                <w:p w14:paraId="3C789622">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废水处理</w:t>
                  </w:r>
                </w:p>
              </w:tc>
              <w:tc>
                <w:tcPr>
                  <w:tcW w:w="2202" w:type="pct"/>
                  <w:shd w:val="clear" w:color="auto" w:fill="FFFFFF"/>
                  <w:vAlign w:val="center"/>
                </w:tcPr>
                <w:p w14:paraId="599D5684">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HDPE防渗沉淀池（可拆卸双格）</w:t>
                  </w:r>
                </w:p>
              </w:tc>
              <w:tc>
                <w:tcPr>
                  <w:tcW w:w="994" w:type="pct"/>
                  <w:shd w:val="clear" w:color="auto" w:fill="FFFFFF"/>
                  <w:vAlign w:val="center"/>
                </w:tcPr>
                <w:p w14:paraId="02343431">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cs="Times New Roman"/>
                      <w:i w:val="0"/>
                      <w:iCs w:val="0"/>
                      <w:color w:val="0F1115"/>
                      <w:kern w:val="0"/>
                      <w:sz w:val="20"/>
                      <w:szCs w:val="20"/>
                      <w:u w:val="none"/>
                      <w:lang w:val="en-US" w:eastAsia="zh-CN" w:bidi="ar"/>
                    </w:rPr>
                    <w:t>24</w:t>
                  </w:r>
                  <w:r>
                    <w:rPr>
                      <w:rFonts w:hint="default" w:ascii="Times New Roman" w:hAnsi="Times New Roman" w:eastAsia="宋体" w:cs="Times New Roman"/>
                      <w:i w:val="0"/>
                      <w:iCs w:val="0"/>
                      <w:color w:val="0F1115"/>
                      <w:kern w:val="0"/>
                      <w:sz w:val="20"/>
                      <w:szCs w:val="20"/>
                      <w:u w:val="none"/>
                      <w:lang w:val="en-US" w:eastAsia="zh-CN" w:bidi="ar"/>
                    </w:rPr>
                    <w:t>组</w:t>
                  </w:r>
                </w:p>
              </w:tc>
              <w:tc>
                <w:tcPr>
                  <w:tcW w:w="935" w:type="pct"/>
                  <w:shd w:val="clear" w:color="auto" w:fill="FFFFFF"/>
                  <w:vAlign w:val="center"/>
                </w:tcPr>
                <w:p w14:paraId="6D44B405">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lang w:val="en-US"/>
                    </w:rPr>
                  </w:pPr>
                  <w:r>
                    <w:rPr>
                      <w:rFonts w:hint="default" w:ascii="Times New Roman" w:hAnsi="Times New Roman" w:cs="Times New Roman"/>
                      <w:i w:val="0"/>
                      <w:iCs w:val="0"/>
                      <w:color w:val="0F1115"/>
                      <w:kern w:val="0"/>
                      <w:sz w:val="20"/>
                      <w:szCs w:val="20"/>
                      <w:u w:val="none"/>
                      <w:lang w:val="en-US" w:eastAsia="zh-CN" w:bidi="ar"/>
                    </w:rPr>
                    <w:t>24</w:t>
                  </w:r>
                </w:p>
              </w:tc>
            </w:tr>
            <w:tr w14:paraId="0473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868" w:type="pct"/>
                  <w:vMerge w:val="continue"/>
                  <w:shd w:val="clear" w:color="auto" w:fill="FFFFFF"/>
                  <w:vAlign w:val="center"/>
                </w:tcPr>
                <w:p w14:paraId="211EB8D6">
                  <w:pPr>
                    <w:jc w:val="center"/>
                    <w:rPr>
                      <w:rFonts w:hint="default" w:ascii="Times New Roman" w:hAnsi="Times New Roman" w:eastAsia="宋体" w:cs="Times New Roman"/>
                      <w:i w:val="0"/>
                      <w:iCs w:val="0"/>
                      <w:color w:val="0F1115"/>
                      <w:sz w:val="20"/>
                      <w:szCs w:val="20"/>
                      <w:u w:val="none"/>
                    </w:rPr>
                  </w:pPr>
                </w:p>
              </w:tc>
              <w:tc>
                <w:tcPr>
                  <w:tcW w:w="2202" w:type="pct"/>
                  <w:shd w:val="clear" w:color="auto" w:fill="FFFFFF"/>
                  <w:vAlign w:val="center"/>
                </w:tcPr>
                <w:p w14:paraId="2ECA8676">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移动防渗环保厕所（含储污罐）</w:t>
                  </w:r>
                </w:p>
              </w:tc>
              <w:tc>
                <w:tcPr>
                  <w:tcW w:w="994" w:type="pct"/>
                  <w:shd w:val="clear" w:color="auto" w:fill="FFFFFF"/>
                  <w:vAlign w:val="center"/>
                </w:tcPr>
                <w:p w14:paraId="60F09649">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cs="Times New Roman"/>
                      <w:i w:val="0"/>
                      <w:iCs w:val="0"/>
                      <w:color w:val="0F1115"/>
                      <w:kern w:val="0"/>
                      <w:sz w:val="20"/>
                      <w:szCs w:val="20"/>
                      <w:u w:val="none"/>
                      <w:lang w:val="en-US" w:eastAsia="zh-CN" w:bidi="ar"/>
                    </w:rPr>
                    <w:t>1</w:t>
                  </w:r>
                  <w:r>
                    <w:rPr>
                      <w:rFonts w:hint="default" w:ascii="Times New Roman" w:hAnsi="Times New Roman" w:eastAsia="宋体" w:cs="Times New Roman"/>
                      <w:i w:val="0"/>
                      <w:iCs w:val="0"/>
                      <w:color w:val="0F1115"/>
                      <w:kern w:val="0"/>
                      <w:sz w:val="20"/>
                      <w:szCs w:val="20"/>
                      <w:u w:val="none"/>
                      <w:lang w:val="en-US" w:eastAsia="zh-CN" w:bidi="ar"/>
                    </w:rPr>
                    <w:t>套</w:t>
                  </w:r>
                </w:p>
              </w:tc>
              <w:tc>
                <w:tcPr>
                  <w:tcW w:w="935" w:type="pct"/>
                  <w:shd w:val="clear" w:color="auto" w:fill="FFFFFF"/>
                  <w:vAlign w:val="center"/>
                </w:tcPr>
                <w:p w14:paraId="10CBE442">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cs="Times New Roman"/>
                      <w:i w:val="0"/>
                      <w:iCs w:val="0"/>
                      <w:color w:val="0F1115"/>
                      <w:kern w:val="0"/>
                      <w:sz w:val="20"/>
                      <w:szCs w:val="20"/>
                      <w:u w:val="none"/>
                      <w:lang w:val="en-US" w:eastAsia="zh-CN" w:bidi="ar"/>
                    </w:rPr>
                    <w:t>2</w:t>
                  </w:r>
                </w:p>
              </w:tc>
            </w:tr>
            <w:tr w14:paraId="1FD9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68" w:type="pct"/>
                  <w:vMerge w:val="continue"/>
                  <w:shd w:val="clear" w:color="auto" w:fill="FFFFFF"/>
                  <w:vAlign w:val="center"/>
                </w:tcPr>
                <w:p w14:paraId="633C969F">
                  <w:pPr>
                    <w:jc w:val="center"/>
                    <w:rPr>
                      <w:rFonts w:hint="default" w:ascii="Times New Roman" w:hAnsi="Times New Roman" w:eastAsia="宋体" w:cs="Times New Roman"/>
                      <w:i w:val="0"/>
                      <w:iCs w:val="0"/>
                      <w:color w:val="0F1115"/>
                      <w:sz w:val="20"/>
                      <w:szCs w:val="20"/>
                      <w:u w:val="none"/>
                    </w:rPr>
                  </w:pPr>
                </w:p>
              </w:tc>
              <w:tc>
                <w:tcPr>
                  <w:tcW w:w="2202" w:type="pct"/>
                  <w:shd w:val="clear" w:color="auto" w:fill="FFFFFF"/>
                  <w:vAlign w:val="center"/>
                </w:tcPr>
                <w:p w14:paraId="2188B65D">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吸污车清运服务（生活污水）</w:t>
                  </w:r>
                </w:p>
              </w:tc>
              <w:tc>
                <w:tcPr>
                  <w:tcW w:w="994" w:type="pct"/>
                  <w:shd w:val="clear" w:color="auto" w:fill="FFFFFF"/>
                  <w:vAlign w:val="center"/>
                </w:tcPr>
                <w:p w14:paraId="339E93C1">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780天</w:t>
                  </w:r>
                </w:p>
              </w:tc>
              <w:tc>
                <w:tcPr>
                  <w:tcW w:w="935" w:type="pct"/>
                  <w:shd w:val="clear" w:color="auto" w:fill="FFFFFF"/>
                  <w:vAlign w:val="center"/>
                </w:tcPr>
                <w:p w14:paraId="76862A23">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6</w:t>
                  </w:r>
                </w:p>
              </w:tc>
            </w:tr>
            <w:tr w14:paraId="2DAE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9" w:hRule="atLeast"/>
                <w:jc w:val="center"/>
              </w:trPr>
              <w:tc>
                <w:tcPr>
                  <w:tcW w:w="868" w:type="pct"/>
                  <w:vMerge w:val="restart"/>
                  <w:shd w:val="clear" w:color="auto" w:fill="FFFFFF"/>
                  <w:vAlign w:val="center"/>
                </w:tcPr>
                <w:p w14:paraId="13795E8C">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固体废物管理</w:t>
                  </w:r>
                </w:p>
              </w:tc>
              <w:tc>
                <w:tcPr>
                  <w:tcW w:w="2202" w:type="pct"/>
                  <w:shd w:val="clear" w:color="auto" w:fill="FFFFFF"/>
                  <w:vAlign w:val="center"/>
                </w:tcPr>
                <w:p w14:paraId="31EA27D0">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防渗堆放区建设（沉渣暂存）</w:t>
                  </w:r>
                </w:p>
              </w:tc>
              <w:tc>
                <w:tcPr>
                  <w:tcW w:w="994" w:type="pct"/>
                  <w:shd w:val="clear" w:color="auto" w:fill="FFFFFF"/>
                  <w:vAlign w:val="center"/>
                </w:tcPr>
                <w:p w14:paraId="3C6F6657">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sz w:val="20"/>
                      <w:szCs w:val="20"/>
                      <w:u w:val="none"/>
                    </w:rPr>
                    <w:t>24处（每个钻孔1处）</w:t>
                  </w:r>
                </w:p>
              </w:tc>
              <w:tc>
                <w:tcPr>
                  <w:tcW w:w="935" w:type="pct"/>
                  <w:shd w:val="clear" w:color="auto" w:fill="FFFFFF"/>
                  <w:vAlign w:val="center"/>
                </w:tcPr>
                <w:p w14:paraId="39D829C0">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cs="Times New Roman"/>
                      <w:i w:val="0"/>
                      <w:iCs w:val="0"/>
                      <w:color w:val="0F1115"/>
                      <w:kern w:val="0"/>
                      <w:sz w:val="20"/>
                      <w:szCs w:val="20"/>
                      <w:u w:val="none"/>
                      <w:lang w:val="en-US" w:eastAsia="zh-CN" w:bidi="ar"/>
                    </w:rPr>
                    <w:t>4</w:t>
                  </w:r>
                </w:p>
              </w:tc>
            </w:tr>
            <w:tr w14:paraId="4160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68" w:type="pct"/>
                  <w:vMerge w:val="continue"/>
                  <w:shd w:val="clear" w:color="auto" w:fill="FFFFFF"/>
                  <w:vAlign w:val="center"/>
                </w:tcPr>
                <w:p w14:paraId="21C843FC">
                  <w:pPr>
                    <w:jc w:val="center"/>
                    <w:rPr>
                      <w:rFonts w:hint="default" w:ascii="Times New Roman" w:hAnsi="Times New Roman" w:eastAsia="宋体" w:cs="Times New Roman"/>
                      <w:i w:val="0"/>
                      <w:iCs w:val="0"/>
                      <w:color w:val="0F1115"/>
                      <w:sz w:val="20"/>
                      <w:szCs w:val="20"/>
                      <w:u w:val="none"/>
                    </w:rPr>
                  </w:pPr>
                </w:p>
              </w:tc>
              <w:tc>
                <w:tcPr>
                  <w:tcW w:w="2202" w:type="pct"/>
                  <w:shd w:val="clear" w:color="auto" w:fill="FFFFFF"/>
                  <w:vAlign w:val="center"/>
                </w:tcPr>
                <w:p w14:paraId="3471A3D5">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生活垃圾、废包装袋清运处置费</w:t>
                  </w:r>
                </w:p>
              </w:tc>
              <w:tc>
                <w:tcPr>
                  <w:tcW w:w="994" w:type="pct"/>
                  <w:shd w:val="clear" w:color="auto" w:fill="FFFFFF"/>
                  <w:vAlign w:val="center"/>
                </w:tcPr>
                <w:p w14:paraId="02A7031F">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w:t>
                  </w:r>
                </w:p>
              </w:tc>
              <w:tc>
                <w:tcPr>
                  <w:tcW w:w="935" w:type="pct"/>
                  <w:shd w:val="clear" w:color="auto" w:fill="FFFFFF"/>
                  <w:vAlign w:val="center"/>
                </w:tcPr>
                <w:p w14:paraId="11180750">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1.5</w:t>
                  </w:r>
                </w:p>
              </w:tc>
            </w:tr>
            <w:tr w14:paraId="36C0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68" w:type="pct"/>
                  <w:vMerge w:val="restart"/>
                  <w:shd w:val="clear" w:color="auto" w:fill="FFFFFF"/>
                  <w:vAlign w:val="center"/>
                </w:tcPr>
                <w:p w14:paraId="6C2C74B6">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土壤与地下水防护</w:t>
                  </w:r>
                </w:p>
              </w:tc>
              <w:tc>
                <w:tcPr>
                  <w:tcW w:w="2202" w:type="pct"/>
                  <w:shd w:val="clear" w:color="auto" w:fill="FFFFFF"/>
                  <w:vAlign w:val="center"/>
                </w:tcPr>
                <w:p w14:paraId="6A7A44EF">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柴油临时存放区防渗（HDPE膜+围堰）</w:t>
                  </w:r>
                </w:p>
              </w:tc>
              <w:tc>
                <w:tcPr>
                  <w:tcW w:w="994" w:type="pct"/>
                  <w:shd w:val="clear" w:color="auto" w:fill="FFFFFF"/>
                  <w:vAlign w:val="center"/>
                </w:tcPr>
                <w:p w14:paraId="45CA0F84">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cs="Times New Roman"/>
                      <w:i w:val="0"/>
                      <w:iCs w:val="0"/>
                      <w:color w:val="0F1115"/>
                      <w:kern w:val="0"/>
                      <w:sz w:val="20"/>
                      <w:szCs w:val="20"/>
                      <w:u w:val="none"/>
                      <w:lang w:val="en-US" w:eastAsia="zh-CN" w:bidi="ar"/>
                    </w:rPr>
                    <w:t>1</w:t>
                  </w:r>
                  <w:r>
                    <w:rPr>
                      <w:rFonts w:hint="default" w:ascii="Times New Roman" w:hAnsi="Times New Roman" w:eastAsia="宋体" w:cs="Times New Roman"/>
                      <w:i w:val="0"/>
                      <w:iCs w:val="0"/>
                      <w:color w:val="0F1115"/>
                      <w:kern w:val="0"/>
                      <w:sz w:val="20"/>
                      <w:szCs w:val="20"/>
                      <w:u w:val="none"/>
                      <w:lang w:val="en-US" w:eastAsia="zh-CN" w:bidi="ar"/>
                    </w:rPr>
                    <w:t>处</w:t>
                  </w:r>
                </w:p>
              </w:tc>
              <w:tc>
                <w:tcPr>
                  <w:tcW w:w="935" w:type="pct"/>
                  <w:shd w:val="clear" w:color="auto" w:fill="FFFFFF"/>
                  <w:vAlign w:val="center"/>
                </w:tcPr>
                <w:p w14:paraId="57CB3C9A">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cs="Times New Roman"/>
                      <w:i w:val="0"/>
                      <w:iCs w:val="0"/>
                      <w:color w:val="0F1115"/>
                      <w:kern w:val="0"/>
                      <w:sz w:val="20"/>
                      <w:szCs w:val="20"/>
                      <w:u w:val="none"/>
                      <w:lang w:val="en-US" w:eastAsia="zh-CN" w:bidi="ar"/>
                    </w:rPr>
                    <w:t>1</w:t>
                  </w:r>
                </w:p>
              </w:tc>
            </w:tr>
            <w:tr w14:paraId="7396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868" w:type="pct"/>
                  <w:vMerge w:val="continue"/>
                  <w:shd w:val="clear" w:color="auto" w:fill="FFFFFF"/>
                  <w:vAlign w:val="center"/>
                </w:tcPr>
                <w:p w14:paraId="246B13EA">
                  <w:pPr>
                    <w:jc w:val="center"/>
                    <w:rPr>
                      <w:rFonts w:hint="default" w:ascii="Times New Roman" w:hAnsi="Times New Roman" w:eastAsia="宋体" w:cs="Times New Roman"/>
                      <w:i w:val="0"/>
                      <w:iCs w:val="0"/>
                      <w:color w:val="0F1115"/>
                      <w:sz w:val="20"/>
                      <w:szCs w:val="20"/>
                      <w:u w:val="none"/>
                    </w:rPr>
                  </w:pPr>
                </w:p>
              </w:tc>
              <w:tc>
                <w:tcPr>
                  <w:tcW w:w="2202" w:type="pct"/>
                  <w:shd w:val="clear" w:color="auto" w:fill="FFFFFF"/>
                  <w:vAlign w:val="center"/>
                </w:tcPr>
                <w:p w14:paraId="42FE79EA">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钻井泥浆循环系统防渗（沉淀池底部）</w:t>
                  </w:r>
                </w:p>
              </w:tc>
              <w:tc>
                <w:tcPr>
                  <w:tcW w:w="994" w:type="pct"/>
                  <w:shd w:val="clear" w:color="auto" w:fill="FFFFFF"/>
                  <w:vAlign w:val="center"/>
                </w:tcPr>
                <w:p w14:paraId="30BF9824">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已计入沉淀池成本</w:t>
                  </w:r>
                </w:p>
              </w:tc>
              <w:tc>
                <w:tcPr>
                  <w:tcW w:w="935" w:type="pct"/>
                  <w:shd w:val="clear" w:color="auto" w:fill="FFFFFF"/>
                  <w:vAlign w:val="center"/>
                </w:tcPr>
                <w:p w14:paraId="72874E85">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w:t>
                  </w:r>
                </w:p>
              </w:tc>
            </w:tr>
            <w:tr w14:paraId="53C8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868" w:type="pct"/>
                  <w:vMerge w:val="restart"/>
                  <w:shd w:val="clear" w:color="auto" w:fill="FFFFFF"/>
                  <w:vAlign w:val="center"/>
                </w:tcPr>
                <w:p w14:paraId="38C01CEA">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生态恢复与植被重建</w:t>
                  </w:r>
                </w:p>
              </w:tc>
              <w:tc>
                <w:tcPr>
                  <w:tcW w:w="2202" w:type="pct"/>
                  <w:shd w:val="clear" w:color="auto" w:fill="FFFFFF"/>
                  <w:vAlign w:val="center"/>
                </w:tcPr>
                <w:p w14:paraId="74C9A376">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表土剥离、运输与堆存管理</w:t>
                  </w:r>
                </w:p>
              </w:tc>
              <w:tc>
                <w:tcPr>
                  <w:tcW w:w="994" w:type="pct"/>
                  <w:shd w:val="clear" w:color="auto" w:fill="FFFFFF"/>
                  <w:vAlign w:val="center"/>
                </w:tcPr>
                <w:p w14:paraId="0F388134">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cs="Times New Roman"/>
                      <w:i w:val="0"/>
                      <w:iCs w:val="0"/>
                      <w:color w:val="0F1115"/>
                      <w:kern w:val="0"/>
                      <w:sz w:val="20"/>
                      <w:szCs w:val="20"/>
                      <w:u w:val="none"/>
                      <w:lang w:val="en-US" w:eastAsia="zh-CN" w:bidi="ar"/>
                    </w:rPr>
                    <w:t>3043</w:t>
                  </w:r>
                  <w:r>
                    <w:rPr>
                      <w:rFonts w:hint="default" w:ascii="Times New Roman" w:hAnsi="Times New Roman" w:eastAsia="宋体" w:cs="Times New Roman"/>
                      <w:i w:val="0"/>
                      <w:iCs w:val="0"/>
                      <w:color w:val="0F1115"/>
                      <w:kern w:val="0"/>
                      <w:sz w:val="20"/>
                      <w:szCs w:val="20"/>
                      <w:u w:val="none"/>
                      <w:lang w:val="en-US" w:eastAsia="zh-CN" w:bidi="ar"/>
                    </w:rPr>
                    <w:t>m³</w:t>
                  </w:r>
                </w:p>
              </w:tc>
              <w:tc>
                <w:tcPr>
                  <w:tcW w:w="935" w:type="pct"/>
                  <w:shd w:val="clear" w:color="auto" w:fill="FFFFFF"/>
                  <w:vAlign w:val="center"/>
                </w:tcPr>
                <w:p w14:paraId="25D3CC93">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lang w:val="en-US"/>
                    </w:rPr>
                  </w:pPr>
                  <w:r>
                    <w:rPr>
                      <w:rFonts w:hint="default" w:ascii="Times New Roman" w:hAnsi="Times New Roman" w:cs="Times New Roman"/>
                      <w:i w:val="0"/>
                      <w:iCs w:val="0"/>
                      <w:color w:val="0F1115"/>
                      <w:kern w:val="0"/>
                      <w:sz w:val="20"/>
                      <w:szCs w:val="20"/>
                      <w:u w:val="none"/>
                      <w:lang w:val="en-US" w:eastAsia="zh-CN" w:bidi="ar"/>
                    </w:rPr>
                    <w:t>15</w:t>
                  </w:r>
                </w:p>
              </w:tc>
            </w:tr>
            <w:tr w14:paraId="2434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68" w:type="pct"/>
                  <w:vMerge w:val="continue"/>
                  <w:shd w:val="clear" w:color="auto" w:fill="FFFFFF"/>
                  <w:vAlign w:val="center"/>
                </w:tcPr>
                <w:p w14:paraId="4934D78B">
                  <w:pPr>
                    <w:jc w:val="center"/>
                    <w:rPr>
                      <w:rFonts w:hint="default" w:ascii="Times New Roman" w:hAnsi="Times New Roman" w:eastAsia="宋体" w:cs="Times New Roman"/>
                      <w:i w:val="0"/>
                      <w:iCs w:val="0"/>
                      <w:color w:val="0F1115"/>
                      <w:sz w:val="20"/>
                      <w:szCs w:val="20"/>
                      <w:u w:val="none"/>
                    </w:rPr>
                  </w:pPr>
                </w:p>
              </w:tc>
              <w:tc>
                <w:tcPr>
                  <w:tcW w:w="2202" w:type="pct"/>
                  <w:shd w:val="clear" w:color="auto" w:fill="FFFFFF"/>
                  <w:vAlign w:val="center"/>
                </w:tcPr>
                <w:p w14:paraId="231EE870">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场地平整与覆土回填</w:t>
                  </w:r>
                </w:p>
              </w:tc>
              <w:tc>
                <w:tcPr>
                  <w:tcW w:w="994" w:type="pct"/>
                  <w:shd w:val="clear" w:color="auto" w:fill="FFFFFF"/>
                  <w:vAlign w:val="center"/>
                </w:tcPr>
                <w:p w14:paraId="582FB309">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cs="Times New Roman"/>
                      <w:i w:val="0"/>
                      <w:iCs w:val="0"/>
                      <w:color w:val="0F1115"/>
                      <w:kern w:val="0"/>
                      <w:sz w:val="20"/>
                      <w:szCs w:val="20"/>
                      <w:u w:val="none"/>
                      <w:lang w:val="en-US" w:eastAsia="zh-CN" w:bidi="ar"/>
                    </w:rPr>
                    <w:t>15217</w:t>
                  </w:r>
                  <w:r>
                    <w:rPr>
                      <w:rFonts w:hint="default" w:ascii="Times New Roman" w:hAnsi="Times New Roman" w:eastAsia="宋体" w:cs="Times New Roman"/>
                      <w:i w:val="0"/>
                      <w:iCs w:val="0"/>
                      <w:color w:val="0F1115"/>
                      <w:kern w:val="0"/>
                      <w:sz w:val="20"/>
                      <w:szCs w:val="20"/>
                      <w:u w:val="none"/>
                      <w:lang w:val="en-US" w:eastAsia="zh-CN" w:bidi="ar"/>
                    </w:rPr>
                    <w:t>m²</w:t>
                  </w:r>
                </w:p>
              </w:tc>
              <w:tc>
                <w:tcPr>
                  <w:tcW w:w="935" w:type="pct"/>
                  <w:shd w:val="clear" w:color="auto" w:fill="FFFFFF"/>
                  <w:vAlign w:val="center"/>
                </w:tcPr>
                <w:p w14:paraId="0FE894F2">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lang w:val="en-US"/>
                    </w:rPr>
                  </w:pPr>
                  <w:r>
                    <w:rPr>
                      <w:rFonts w:hint="default" w:ascii="Times New Roman" w:hAnsi="Times New Roman" w:cs="Times New Roman"/>
                      <w:i w:val="0"/>
                      <w:iCs w:val="0"/>
                      <w:color w:val="0F1115"/>
                      <w:kern w:val="0"/>
                      <w:sz w:val="20"/>
                      <w:szCs w:val="20"/>
                      <w:u w:val="none"/>
                      <w:lang w:val="en-US" w:eastAsia="zh-CN" w:bidi="ar"/>
                    </w:rPr>
                    <w:t>8.0</w:t>
                  </w:r>
                </w:p>
              </w:tc>
            </w:tr>
            <w:tr w14:paraId="085F9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868" w:type="pct"/>
                  <w:vMerge w:val="continue"/>
                  <w:shd w:val="clear" w:color="auto" w:fill="FFFFFF"/>
                  <w:vAlign w:val="center"/>
                </w:tcPr>
                <w:p w14:paraId="703F794C">
                  <w:pPr>
                    <w:jc w:val="center"/>
                    <w:rPr>
                      <w:rFonts w:hint="default" w:ascii="Times New Roman" w:hAnsi="Times New Roman" w:eastAsia="宋体" w:cs="Times New Roman"/>
                      <w:i w:val="0"/>
                      <w:iCs w:val="0"/>
                      <w:color w:val="0F1115"/>
                      <w:sz w:val="20"/>
                      <w:szCs w:val="20"/>
                      <w:u w:val="none"/>
                    </w:rPr>
                  </w:pPr>
                </w:p>
              </w:tc>
              <w:tc>
                <w:tcPr>
                  <w:tcW w:w="2202" w:type="pct"/>
                  <w:shd w:val="clear" w:color="auto" w:fill="FFFFFF"/>
                  <w:vAlign w:val="center"/>
                </w:tcPr>
                <w:p w14:paraId="7091D7E3">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本地草种采购与播种</w:t>
                  </w:r>
                </w:p>
              </w:tc>
              <w:tc>
                <w:tcPr>
                  <w:tcW w:w="994" w:type="pct"/>
                  <w:shd w:val="clear" w:color="auto" w:fill="FFFFFF"/>
                  <w:vAlign w:val="center"/>
                </w:tcPr>
                <w:p w14:paraId="610C858E">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cs="Times New Roman"/>
                      <w:i w:val="0"/>
                      <w:iCs w:val="0"/>
                      <w:color w:val="0F1115"/>
                      <w:kern w:val="0"/>
                      <w:sz w:val="20"/>
                      <w:szCs w:val="20"/>
                      <w:u w:val="none"/>
                      <w:lang w:val="en-US" w:eastAsia="zh-CN" w:bidi="ar"/>
                    </w:rPr>
                    <w:t>15217</w:t>
                  </w:r>
                  <w:r>
                    <w:rPr>
                      <w:rFonts w:hint="default" w:ascii="Times New Roman" w:hAnsi="Times New Roman" w:eastAsia="宋体" w:cs="Times New Roman"/>
                      <w:i w:val="0"/>
                      <w:iCs w:val="0"/>
                      <w:color w:val="0F1115"/>
                      <w:kern w:val="0"/>
                      <w:sz w:val="20"/>
                      <w:szCs w:val="20"/>
                      <w:u w:val="none"/>
                      <w:lang w:val="en-US" w:eastAsia="zh-CN" w:bidi="ar"/>
                    </w:rPr>
                    <w:t>m²</w:t>
                  </w:r>
                </w:p>
              </w:tc>
              <w:tc>
                <w:tcPr>
                  <w:tcW w:w="935" w:type="pct"/>
                  <w:shd w:val="clear" w:color="auto" w:fill="FFFFFF"/>
                  <w:vAlign w:val="center"/>
                </w:tcPr>
                <w:p w14:paraId="3096788F">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lang w:val="en-US" w:eastAsia="zh-CN"/>
                    </w:rPr>
                  </w:pPr>
                  <w:r>
                    <w:rPr>
                      <w:rFonts w:hint="default" w:ascii="Times New Roman" w:hAnsi="Times New Roman" w:cs="Times New Roman"/>
                      <w:i w:val="0"/>
                      <w:iCs w:val="0"/>
                      <w:color w:val="0F1115"/>
                      <w:sz w:val="20"/>
                      <w:szCs w:val="20"/>
                      <w:u w:val="none"/>
                      <w:lang w:val="en-US" w:eastAsia="zh-CN"/>
                    </w:rPr>
                    <w:t>8.0</w:t>
                  </w:r>
                </w:p>
              </w:tc>
            </w:tr>
            <w:tr w14:paraId="35D2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68" w:type="pct"/>
                  <w:vMerge w:val="restart"/>
                  <w:shd w:val="clear" w:color="auto" w:fill="FFFFFF"/>
                  <w:vAlign w:val="center"/>
                </w:tcPr>
                <w:p w14:paraId="6680FFD4">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应急管理</w:t>
                  </w:r>
                </w:p>
              </w:tc>
              <w:tc>
                <w:tcPr>
                  <w:tcW w:w="2202" w:type="pct"/>
                  <w:shd w:val="clear" w:color="auto" w:fill="FFFFFF"/>
                  <w:vAlign w:val="center"/>
                </w:tcPr>
                <w:p w14:paraId="35A308F1">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环境风险应急物资箱（吸油毡、堵漏剂等）</w:t>
                  </w:r>
                </w:p>
              </w:tc>
              <w:tc>
                <w:tcPr>
                  <w:tcW w:w="994" w:type="pct"/>
                  <w:shd w:val="clear" w:color="auto" w:fill="FFFFFF"/>
                  <w:vAlign w:val="center"/>
                </w:tcPr>
                <w:p w14:paraId="55496124">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1套</w:t>
                  </w:r>
                </w:p>
              </w:tc>
              <w:tc>
                <w:tcPr>
                  <w:tcW w:w="935" w:type="pct"/>
                  <w:shd w:val="clear" w:color="auto" w:fill="FFFFFF"/>
                  <w:vAlign w:val="center"/>
                </w:tcPr>
                <w:p w14:paraId="06AA30DA">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2</w:t>
                  </w:r>
                </w:p>
              </w:tc>
            </w:tr>
            <w:tr w14:paraId="26A6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868" w:type="pct"/>
                  <w:vMerge w:val="continue"/>
                  <w:shd w:val="clear" w:color="auto" w:fill="FFFFFF"/>
                  <w:vAlign w:val="center"/>
                </w:tcPr>
                <w:p w14:paraId="661906BB">
                  <w:pPr>
                    <w:jc w:val="center"/>
                    <w:rPr>
                      <w:rFonts w:hint="default" w:ascii="Times New Roman" w:hAnsi="Times New Roman" w:eastAsia="宋体" w:cs="Times New Roman"/>
                      <w:i w:val="0"/>
                      <w:iCs w:val="0"/>
                      <w:color w:val="0F1115"/>
                      <w:sz w:val="20"/>
                      <w:szCs w:val="20"/>
                      <w:u w:val="none"/>
                    </w:rPr>
                  </w:pPr>
                </w:p>
              </w:tc>
              <w:tc>
                <w:tcPr>
                  <w:tcW w:w="2202" w:type="pct"/>
                  <w:shd w:val="clear" w:color="auto" w:fill="FFFFFF"/>
                  <w:vAlign w:val="center"/>
                </w:tcPr>
                <w:p w14:paraId="2356046F">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突发环境事件应急预案编制与培训</w:t>
                  </w:r>
                </w:p>
              </w:tc>
              <w:tc>
                <w:tcPr>
                  <w:tcW w:w="994" w:type="pct"/>
                  <w:shd w:val="clear" w:color="auto" w:fill="FFFFFF"/>
                  <w:vAlign w:val="center"/>
                </w:tcPr>
                <w:p w14:paraId="13C8D126">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1项</w:t>
                  </w:r>
                </w:p>
              </w:tc>
              <w:tc>
                <w:tcPr>
                  <w:tcW w:w="935" w:type="pct"/>
                  <w:shd w:val="clear" w:color="auto" w:fill="FFFFFF"/>
                  <w:vAlign w:val="center"/>
                </w:tcPr>
                <w:p w14:paraId="16CE3982">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sz w:val="20"/>
                      <w:szCs w:val="20"/>
                      <w:u w:val="none"/>
                    </w:rPr>
                  </w:pPr>
                  <w:r>
                    <w:rPr>
                      <w:rFonts w:hint="default" w:ascii="Times New Roman" w:hAnsi="Times New Roman" w:eastAsia="宋体" w:cs="Times New Roman"/>
                      <w:i w:val="0"/>
                      <w:iCs w:val="0"/>
                      <w:color w:val="0F1115"/>
                      <w:kern w:val="0"/>
                      <w:sz w:val="20"/>
                      <w:szCs w:val="20"/>
                      <w:u w:val="none"/>
                      <w:lang w:val="en-US" w:eastAsia="zh-CN" w:bidi="ar"/>
                    </w:rPr>
                    <w:t>1</w:t>
                  </w:r>
                </w:p>
              </w:tc>
            </w:tr>
            <w:tr w14:paraId="0C45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064" w:type="pct"/>
                  <w:gridSpan w:val="3"/>
                  <w:shd w:val="clear" w:color="auto" w:fill="FFFFFF"/>
                  <w:vAlign w:val="center"/>
                </w:tcPr>
                <w:p w14:paraId="43A020CE">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kern w:val="0"/>
                      <w:sz w:val="20"/>
                      <w:szCs w:val="20"/>
                      <w:u w:val="none"/>
                      <w:lang w:val="en-US" w:eastAsia="zh-CN" w:bidi="ar"/>
                    </w:rPr>
                  </w:pPr>
                  <w:r>
                    <w:rPr>
                      <w:rFonts w:hint="default" w:ascii="Times New Roman" w:hAnsi="Times New Roman" w:eastAsia="宋体" w:cs="Times New Roman"/>
                      <w:i w:val="0"/>
                      <w:iCs w:val="0"/>
                      <w:color w:val="0F1115"/>
                      <w:kern w:val="0"/>
                      <w:sz w:val="20"/>
                      <w:szCs w:val="20"/>
                      <w:u w:val="none"/>
                      <w:lang w:val="en-US" w:eastAsia="zh-CN" w:bidi="ar"/>
                    </w:rPr>
                    <w:t>总计</w:t>
                  </w:r>
                </w:p>
              </w:tc>
              <w:tc>
                <w:tcPr>
                  <w:tcW w:w="935" w:type="pct"/>
                  <w:shd w:val="clear" w:color="auto" w:fill="FFFFFF"/>
                  <w:vAlign w:val="center"/>
                </w:tcPr>
                <w:p w14:paraId="492A1778">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0F1115"/>
                      <w:kern w:val="0"/>
                      <w:sz w:val="20"/>
                      <w:szCs w:val="20"/>
                      <w:u w:val="none"/>
                      <w:lang w:val="en-US" w:eastAsia="zh-CN" w:bidi="ar"/>
                    </w:rPr>
                  </w:pPr>
                  <w:r>
                    <w:rPr>
                      <w:rFonts w:hint="default" w:ascii="Times New Roman" w:hAnsi="Times New Roman" w:cs="Times New Roman"/>
                      <w:i w:val="0"/>
                      <w:iCs w:val="0"/>
                      <w:color w:val="0F1115"/>
                      <w:kern w:val="0"/>
                      <w:sz w:val="20"/>
                      <w:szCs w:val="20"/>
                      <w:u w:val="none"/>
                      <w:lang w:val="en-US" w:eastAsia="zh-CN" w:bidi="ar"/>
                    </w:rPr>
                    <w:t>87.5</w:t>
                  </w:r>
                </w:p>
              </w:tc>
            </w:tr>
          </w:tbl>
          <w:p w14:paraId="0F0BD169">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textAlignment w:val="auto"/>
              <w:rPr>
                <w:rFonts w:hint="eastAsia" w:ascii="Times New Roman" w:hAnsi="Times New Roman" w:eastAsia="宋体" w:cs="宋体"/>
                <w:color w:val="000000" w:themeColor="text1"/>
                <w:kern w:val="0"/>
                <w:sz w:val="24"/>
                <w:szCs w:val="24"/>
                <w:lang w:val="en-US" w:eastAsia="zh-CN" w:bidi="ar-SA"/>
                <w14:textFill>
                  <w14:solidFill>
                    <w14:schemeClr w14:val="tx1"/>
                  </w14:solidFill>
                </w14:textFill>
              </w:rPr>
            </w:pPr>
          </w:p>
        </w:tc>
      </w:tr>
    </w:tbl>
    <w:p w14:paraId="759A07D3">
      <w:pPr>
        <w:widowControl/>
        <w:spacing w:before="100" w:beforeAutospacing="1" w:after="100" w:afterAutospacing="1" w:line="360" w:lineRule="auto"/>
        <w:ind w:firstLine="600" w:firstLineChars="200"/>
        <w:jc w:val="center"/>
        <w:outlineLvl w:val="0"/>
        <w:rPr>
          <w:rFonts w:hint="eastAsia" w:ascii="黑体" w:hAnsi="黑体" w:eastAsia="黑体" w:cs="Times New Roman"/>
          <w:snapToGrid w:val="0"/>
          <w:color w:val="000000" w:themeColor="text1"/>
          <w:kern w:val="0"/>
          <w:sz w:val="30"/>
          <w:szCs w:val="30"/>
          <w:lang w:val="en-US" w:eastAsia="zh-CN" w:bidi="ar-SA"/>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7F4CEF15">
      <w:pPr>
        <w:widowControl/>
        <w:spacing w:before="100" w:beforeAutospacing="1" w:after="100" w:afterAutospacing="1" w:line="360" w:lineRule="auto"/>
        <w:ind w:firstLine="600" w:firstLineChars="200"/>
        <w:jc w:val="center"/>
        <w:outlineLvl w:val="0"/>
        <w:rPr>
          <w:rFonts w:ascii="黑体" w:hAnsi="黑体" w:eastAsia="黑体" w:cs="Times New Roman"/>
          <w:snapToGrid w:val="0"/>
          <w:color w:val="000000" w:themeColor="text1"/>
          <w:kern w:val="0"/>
          <w:sz w:val="30"/>
          <w:szCs w:val="30"/>
          <w:lang w:val="en-US" w:eastAsia="zh-CN" w:bidi="ar-SA"/>
          <w14:textFill>
            <w14:solidFill>
              <w14:schemeClr w14:val="tx1"/>
            </w14:solidFill>
          </w14:textFill>
        </w:rPr>
      </w:pPr>
      <w:r>
        <w:rPr>
          <w:rFonts w:hint="eastAsia" w:ascii="黑体" w:hAnsi="黑体" w:eastAsia="黑体" w:cs="Times New Roman"/>
          <w:snapToGrid w:val="0"/>
          <w:color w:val="000000" w:themeColor="text1"/>
          <w:kern w:val="0"/>
          <w:sz w:val="30"/>
          <w:szCs w:val="30"/>
          <w:lang w:val="en-US" w:eastAsia="zh-CN" w:bidi="ar-SA"/>
          <w14:textFill>
            <w14:solidFill>
              <w14:schemeClr w14:val="tx1"/>
            </w14:solidFill>
          </w14:textFill>
        </w:rPr>
        <w:t>六、生态环境保护措施监督检查清单</w:t>
      </w:r>
    </w:p>
    <w:tbl>
      <w:tblPr>
        <w:tblStyle w:val="13"/>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6"/>
        <w:gridCol w:w="2953"/>
        <w:gridCol w:w="2324"/>
        <w:gridCol w:w="1401"/>
        <w:gridCol w:w="1181"/>
      </w:tblGrid>
      <w:tr w14:paraId="2C3739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pct"/>
            <w:vMerge w:val="restart"/>
            <w:tcBorders>
              <w:tl2br w:val="single" w:color="auto" w:sz="4" w:space="0"/>
            </w:tcBorders>
            <w:noWrap w:val="0"/>
            <w:vAlign w:val="center"/>
          </w:tcPr>
          <w:p w14:paraId="6F0CE960">
            <w:pPr>
              <w:keepNext w:val="0"/>
              <w:keepLines w:val="0"/>
              <w:pageBreakBefore w:val="0"/>
              <w:widowControl w:val="0"/>
              <w:kinsoku/>
              <w:wordWrap/>
              <w:overflowPunct/>
              <w:topLinePunct w:val="0"/>
              <w:autoSpaceDE/>
              <w:autoSpaceDN/>
              <w:bidi w:val="0"/>
              <w:adjustRightInd/>
              <w:snapToGrid/>
              <w:spacing w:before="72" w:beforeLines="30" w:beforeAutospacing="0" w:after="0" w:afterAutospacing="0" w:line="240" w:lineRule="auto"/>
              <w:ind w:firstLine="0" w:firstLineChars="0"/>
              <w:jc w:val="center"/>
              <w:textAlignment w:val="auto"/>
              <w:outlineLvl w:val="0"/>
              <w:rPr>
                <w:rFonts w:hint="default" w:ascii="Times New Roman" w:hAnsi="Times New Roman" w:eastAsia="宋体" w:cs="Times New Roman"/>
                <w:color w:val="000000" w:themeColor="text1"/>
                <w:kern w:val="2"/>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14:textFill>
                  <w14:solidFill>
                    <w14:schemeClr w14:val="tx1"/>
                  </w14:solidFill>
                </w14:textFill>
              </w:rPr>
              <w:t>内容</w:t>
            </w:r>
          </w:p>
          <w:p w14:paraId="694C89D5">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0" w:firstLineChars="0"/>
              <w:textAlignment w:val="auto"/>
              <w:outlineLvl w:val="0"/>
              <w:rPr>
                <w:rFonts w:hint="default" w:ascii="Times New Roman" w:hAnsi="Times New Roman" w:eastAsia="宋体" w:cs="Times New Roman"/>
                <w:color w:val="000000" w:themeColor="text1"/>
                <w:kern w:val="2"/>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14:textFill>
                  <w14:solidFill>
                    <w14:schemeClr w14:val="tx1"/>
                  </w14:solidFill>
                </w14:textFill>
              </w:rPr>
              <w:t>要素</w:t>
            </w:r>
          </w:p>
        </w:tc>
        <w:tc>
          <w:tcPr>
            <w:tcW w:w="2913" w:type="pct"/>
            <w:gridSpan w:val="2"/>
            <w:noWrap w:val="0"/>
            <w:vAlign w:val="center"/>
          </w:tcPr>
          <w:p w14:paraId="722F9B25">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outlineLvl w:val="0"/>
              <w:rPr>
                <w:rFonts w:hint="default" w:ascii="Times New Roman" w:hAnsi="Times New Roman" w:eastAsia="宋体" w:cs="Times New Roman"/>
                <w:color w:val="000000" w:themeColor="text1"/>
                <w:kern w:val="2"/>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14:textFill>
                  <w14:solidFill>
                    <w14:schemeClr w14:val="tx1"/>
                  </w14:solidFill>
                </w14:textFill>
              </w:rPr>
              <w:t>施工期</w:t>
            </w:r>
          </w:p>
        </w:tc>
        <w:tc>
          <w:tcPr>
            <w:tcW w:w="1425" w:type="pct"/>
            <w:gridSpan w:val="2"/>
            <w:noWrap w:val="0"/>
            <w:vAlign w:val="center"/>
          </w:tcPr>
          <w:p w14:paraId="30F96925">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outlineLvl w:val="0"/>
              <w:rPr>
                <w:rFonts w:hint="default" w:ascii="Times New Roman" w:hAnsi="Times New Roman" w:eastAsia="宋体" w:cs="Times New Roman"/>
                <w:color w:val="000000" w:themeColor="text1"/>
                <w:kern w:val="2"/>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14:textFill>
                  <w14:solidFill>
                    <w14:schemeClr w14:val="tx1"/>
                  </w14:solidFill>
                </w14:textFill>
              </w:rPr>
              <w:t>运营期</w:t>
            </w:r>
          </w:p>
        </w:tc>
      </w:tr>
      <w:tr w14:paraId="74BD2D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pct"/>
            <w:vMerge w:val="continue"/>
            <w:noWrap w:val="0"/>
            <w:vAlign w:val="center"/>
          </w:tcPr>
          <w:p w14:paraId="3DB3E665">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840" w:firstLineChars="0"/>
              <w:jc w:val="center"/>
              <w:textAlignment w:val="auto"/>
              <w:outlineLvl w:val="0"/>
              <w:rPr>
                <w:rFonts w:hint="default" w:ascii="Times New Roman" w:hAnsi="Times New Roman" w:eastAsia="宋体" w:cs="Times New Roman"/>
                <w:color w:val="000000" w:themeColor="text1"/>
                <w:kern w:val="2"/>
                <w:sz w:val="24"/>
                <w:szCs w:val="24"/>
                <w14:textFill>
                  <w14:solidFill>
                    <w14:schemeClr w14:val="tx1"/>
                  </w14:solidFill>
                </w14:textFill>
              </w:rPr>
            </w:pPr>
          </w:p>
        </w:tc>
        <w:tc>
          <w:tcPr>
            <w:tcW w:w="1630" w:type="pct"/>
            <w:noWrap w:val="0"/>
            <w:vAlign w:val="center"/>
          </w:tcPr>
          <w:p w14:paraId="1869C9A6">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outlineLvl w:val="0"/>
              <w:rPr>
                <w:rFonts w:hint="default" w:ascii="Times New Roman" w:hAnsi="Times New Roman" w:eastAsia="宋体" w:cs="Times New Roman"/>
                <w:color w:val="000000" w:themeColor="text1"/>
                <w:kern w:val="2"/>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14:textFill>
                  <w14:solidFill>
                    <w14:schemeClr w14:val="tx1"/>
                  </w14:solidFill>
                </w14:textFill>
              </w:rPr>
              <w:t>环境保护措施</w:t>
            </w:r>
          </w:p>
        </w:tc>
        <w:tc>
          <w:tcPr>
            <w:tcW w:w="1283" w:type="pct"/>
            <w:noWrap w:val="0"/>
            <w:vAlign w:val="center"/>
          </w:tcPr>
          <w:p w14:paraId="19283D05">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outlineLvl w:val="0"/>
              <w:rPr>
                <w:rFonts w:hint="default" w:ascii="Times New Roman" w:hAnsi="Times New Roman" w:eastAsia="宋体" w:cs="Times New Roman"/>
                <w:color w:val="000000" w:themeColor="text1"/>
                <w:kern w:val="2"/>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14:textFill>
                  <w14:solidFill>
                    <w14:schemeClr w14:val="tx1"/>
                  </w14:solidFill>
                </w14:textFill>
              </w:rPr>
              <w:t>验收要求</w:t>
            </w:r>
          </w:p>
        </w:tc>
        <w:tc>
          <w:tcPr>
            <w:tcW w:w="773" w:type="pct"/>
            <w:noWrap w:val="0"/>
            <w:vAlign w:val="center"/>
          </w:tcPr>
          <w:p w14:paraId="6FA9C267">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outlineLvl w:val="0"/>
              <w:rPr>
                <w:rFonts w:hint="default" w:ascii="Times New Roman" w:hAnsi="Times New Roman" w:eastAsia="宋体" w:cs="Times New Roman"/>
                <w:color w:val="000000" w:themeColor="text1"/>
                <w:kern w:val="2"/>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14:textFill>
                  <w14:solidFill>
                    <w14:schemeClr w14:val="tx1"/>
                  </w14:solidFill>
                </w14:textFill>
              </w:rPr>
              <w:t>环境保护措施</w:t>
            </w:r>
          </w:p>
        </w:tc>
        <w:tc>
          <w:tcPr>
            <w:tcW w:w="652" w:type="pct"/>
            <w:noWrap w:val="0"/>
            <w:vAlign w:val="center"/>
          </w:tcPr>
          <w:p w14:paraId="46642654">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outlineLvl w:val="0"/>
              <w:rPr>
                <w:rFonts w:hint="default" w:ascii="Times New Roman" w:hAnsi="Times New Roman" w:eastAsia="宋体" w:cs="Times New Roman"/>
                <w:color w:val="000000" w:themeColor="text1"/>
                <w:kern w:val="2"/>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14:textFill>
                  <w14:solidFill>
                    <w14:schemeClr w14:val="tx1"/>
                  </w14:solidFill>
                </w14:textFill>
              </w:rPr>
              <w:t>验收要求</w:t>
            </w:r>
          </w:p>
        </w:tc>
      </w:tr>
      <w:tr w14:paraId="6A86A4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0" w:type="pct"/>
            <w:noWrap w:val="0"/>
            <w:vAlign w:val="center"/>
          </w:tcPr>
          <w:p w14:paraId="33C037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陆生生态</w:t>
            </w:r>
          </w:p>
        </w:tc>
        <w:tc>
          <w:tcPr>
            <w:tcW w:w="1630" w:type="pct"/>
            <w:noWrap w:val="0"/>
            <w:vAlign w:val="center"/>
          </w:tcPr>
          <w:p w14:paraId="2065AF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Times New Roman"/>
                <w:b w:val="0"/>
                <w:bCs w:val="0"/>
                <w:color w:val="000000" w:themeColor="text1"/>
                <w:sz w:val="24"/>
                <w:szCs w:val="24"/>
                <w:lang w:val="en-US" w:eastAsia="zh-CN"/>
                <w14:textFill>
                  <w14:solidFill>
                    <w14:schemeClr w14:val="tx1"/>
                  </w14:solidFill>
                </w14:textFill>
              </w:rPr>
            </w:pPr>
            <w:r>
              <w:rPr>
                <w:rFonts w:hint="eastAsia" w:eastAsia="宋体" w:cs="Times New Roman"/>
                <w:b w:val="0"/>
                <w:bCs w:val="0"/>
                <w:color w:val="000000" w:themeColor="text1"/>
                <w:sz w:val="24"/>
                <w:szCs w:val="24"/>
                <w:lang w:val="en-US" w:eastAsia="zh-CN"/>
                <w14:textFill>
                  <w14:solidFill>
                    <w14:schemeClr w14:val="tx1"/>
                  </w14:solidFill>
                </w14:textFill>
              </w:rPr>
              <w:t>①生态避让与减缓：项目选址及钻孔布设全面避让自然保护区、饮用水水源保护区等生态敏感目标。严格控制作业范围，明确标识施工边界，严禁超范围占地或扩大扰动面积。施工车辆及人员活动限定在既定路线和作业区内。</w:t>
            </w:r>
            <w:r>
              <w:rPr>
                <w:rFonts w:hint="default" w:eastAsia="宋体" w:cs="Times New Roman"/>
                <w:b w:val="0"/>
                <w:bCs w:val="0"/>
                <w:color w:val="000000" w:themeColor="text1"/>
                <w:sz w:val="24"/>
                <w:szCs w:val="24"/>
                <w:lang w:val="en-US" w:eastAsia="zh-CN"/>
                <w14:textFill>
                  <w14:solidFill>
                    <w14:schemeClr w14:val="tx1"/>
                  </w14:solidFill>
                </w14:textFill>
              </w:rPr>
              <w:br w:type="textWrapping"/>
            </w:r>
            <w:r>
              <w:rPr>
                <w:rFonts w:hint="default" w:eastAsia="宋体" w:cs="Times New Roman"/>
                <w:b w:val="0"/>
                <w:bCs w:val="0"/>
                <w:color w:val="000000" w:themeColor="text1"/>
                <w:sz w:val="24"/>
                <w:szCs w:val="24"/>
                <w:lang w:val="en-US" w:eastAsia="zh-CN"/>
                <w14:textFill>
                  <w14:solidFill>
                    <w14:schemeClr w14:val="tx1"/>
                  </w14:solidFill>
                </w14:textFill>
              </w:rPr>
              <w:t>②生态恢复：施工前对勘探作业区、临时道路、生活营地等区域进行表土分层剥离，就近在临时堆土场规范堆存，采取编织袋围堰、防雨布全覆盖等措施。施工结束后，立即拆除临时设施，彻底清理和平整场地。将剥离的表土均匀回覆至原地，恢复原有地形地貌。在回填区域播撒本地适生草种，进行植被恢复。③野生动物保护：高噪声设备远离动物活动频繁区域，禁止夜间强光照明，禁止捕猎野生动物，发现受伤或受困野生动物及时联系当地保护机构处置。④封闭钻孔：钻孔终孔后采用水泥浆封孔</w:t>
            </w:r>
            <w:r>
              <w:rPr>
                <w:rFonts w:hint="eastAsia" w:eastAsia="宋体" w:cs="Times New Roman"/>
                <w:b w:val="0"/>
                <w:bCs w:val="0"/>
                <w:color w:val="000000" w:themeColor="text1"/>
                <w:sz w:val="24"/>
                <w:szCs w:val="24"/>
                <w:lang w:val="en-US" w:eastAsia="zh-CN"/>
                <w14:textFill>
                  <w14:solidFill>
                    <w14:schemeClr w14:val="tx1"/>
                  </w14:solidFill>
                </w14:textFill>
              </w:rPr>
              <w:t>，</w:t>
            </w:r>
            <w:r>
              <w:rPr>
                <w:rFonts w:hint="default" w:eastAsia="宋体" w:cs="Times New Roman"/>
                <w:b w:val="0"/>
                <w:bCs w:val="0"/>
                <w:color w:val="000000" w:themeColor="text1"/>
                <w:sz w:val="24"/>
                <w:szCs w:val="24"/>
                <w:lang w:val="en-US" w:eastAsia="zh-CN"/>
                <w14:textFill>
                  <w14:solidFill>
                    <w14:schemeClr w14:val="tx1"/>
                  </w14:solidFill>
                </w14:textFill>
              </w:rPr>
              <w:t>孔口区域进行土地平整、表土回覆和播撒草籽。</w:t>
            </w:r>
          </w:p>
        </w:tc>
        <w:tc>
          <w:tcPr>
            <w:tcW w:w="1283" w:type="pct"/>
            <w:noWrap w:val="0"/>
            <w:vAlign w:val="center"/>
          </w:tcPr>
          <w:p w14:paraId="047394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b w:val="0"/>
                <w:bCs w:val="0"/>
                <w:color w:val="000000" w:themeColor="text1"/>
                <w:sz w:val="24"/>
                <w:szCs w:val="24"/>
                <w:lang w:val="en-US" w:eastAsia="zh-CN"/>
                <w14:textFill>
                  <w14:solidFill>
                    <w14:schemeClr w14:val="tx1"/>
                  </w14:solidFill>
                </w14:textFill>
              </w:rPr>
            </w:pPr>
            <w:r>
              <w:rPr>
                <w:rFonts w:hint="eastAsia" w:eastAsia="宋体" w:cs="Times New Roman"/>
                <w:b w:val="0"/>
                <w:bCs w:val="0"/>
                <w:color w:val="000000" w:themeColor="text1"/>
                <w:sz w:val="24"/>
                <w:szCs w:val="24"/>
                <w:lang w:val="en-US" w:eastAsia="zh-CN"/>
                <w14:textFill>
                  <w14:solidFill>
                    <w14:schemeClr w14:val="tx1"/>
                  </w14:solidFill>
                </w14:textFill>
              </w:rPr>
              <w:t>临时占地范围符合设计要求，无超范围扰动。剥离表土得到规范、单独堆存，无混杂现象，防护措施到位。临时占地完成土方回填、场地平整和表土回覆，地形地貌恢复至原有状态。所有钻孔已完成规范化封孔，封孔质量经验证合格，孔口区域已完成土地平整和植被恢复。植被恢复区域覆盖度不低于周边原生植被水平。</w:t>
            </w:r>
          </w:p>
        </w:tc>
        <w:tc>
          <w:tcPr>
            <w:tcW w:w="773" w:type="pct"/>
            <w:noWrap w:val="0"/>
            <w:vAlign w:val="center"/>
          </w:tcPr>
          <w:p w14:paraId="31DB85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652" w:type="pct"/>
            <w:noWrap w:val="0"/>
            <w:vAlign w:val="center"/>
          </w:tcPr>
          <w:p w14:paraId="1A3203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r>
      <w:tr w14:paraId="54FEC9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pct"/>
            <w:noWrap w:val="0"/>
            <w:vAlign w:val="center"/>
          </w:tcPr>
          <w:p w14:paraId="462635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水生生态</w:t>
            </w:r>
          </w:p>
        </w:tc>
        <w:tc>
          <w:tcPr>
            <w:tcW w:w="1630" w:type="pct"/>
            <w:noWrap w:val="0"/>
            <w:vAlign w:val="center"/>
          </w:tcPr>
          <w:p w14:paraId="779D4E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tc>
        <w:tc>
          <w:tcPr>
            <w:tcW w:w="1283" w:type="pct"/>
            <w:noWrap w:val="0"/>
            <w:vAlign w:val="center"/>
          </w:tcPr>
          <w:p w14:paraId="027B25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tc>
        <w:tc>
          <w:tcPr>
            <w:tcW w:w="773" w:type="pct"/>
            <w:noWrap w:val="0"/>
            <w:vAlign w:val="center"/>
          </w:tcPr>
          <w:p w14:paraId="623BAA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652" w:type="pct"/>
            <w:noWrap w:val="0"/>
            <w:vAlign w:val="center"/>
          </w:tcPr>
          <w:p w14:paraId="2D64D2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tc>
      </w:tr>
      <w:tr w14:paraId="534191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pct"/>
            <w:noWrap w:val="0"/>
            <w:vAlign w:val="center"/>
          </w:tcPr>
          <w:p w14:paraId="3AE1C4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地表水环境</w:t>
            </w:r>
          </w:p>
        </w:tc>
        <w:tc>
          <w:tcPr>
            <w:tcW w:w="1630" w:type="pct"/>
            <w:noWrap w:val="0"/>
            <w:vAlign w:val="center"/>
          </w:tcPr>
          <w:p w14:paraId="4AEF6A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eastAsia="宋体" w:cs="Times New Roman"/>
                <w:b w:val="0"/>
                <w:bCs w:val="0"/>
                <w:color w:val="000000" w:themeColor="text1"/>
                <w:sz w:val="24"/>
                <w:szCs w:val="24"/>
                <w:lang w:val="en-US" w:eastAsia="zh-CN"/>
                <w14:textFill>
                  <w14:solidFill>
                    <w14:schemeClr w14:val="tx1"/>
                  </w14:solidFill>
                </w14:textFill>
              </w:rPr>
              <w:t>①钻井泥浆水：各</w:t>
            </w:r>
            <w:r>
              <w:rPr>
                <w:rFonts w:hint="eastAsia" w:cs="Times New Roman"/>
                <w:b w:val="0"/>
                <w:bCs w:val="0"/>
                <w:color w:val="000000" w:themeColor="text1"/>
                <w:sz w:val="24"/>
                <w:szCs w:val="24"/>
                <w:lang w:val="en-US" w:eastAsia="zh-CN"/>
                <w14:textFill>
                  <w14:solidFill>
                    <w14:schemeClr w14:val="tx1"/>
                  </w14:solidFill>
                </w14:textFill>
              </w:rPr>
              <w:t>钻</w:t>
            </w:r>
            <w:r>
              <w:rPr>
                <w:rFonts w:hint="eastAsia" w:eastAsia="宋体" w:cs="Times New Roman"/>
                <w:b w:val="0"/>
                <w:bCs w:val="0"/>
                <w:color w:val="000000" w:themeColor="text1"/>
                <w:sz w:val="24"/>
                <w:szCs w:val="24"/>
                <w:lang w:val="en-US" w:eastAsia="zh-CN"/>
                <w14:textFill>
                  <w14:solidFill>
                    <w14:schemeClr w14:val="tx1"/>
                  </w14:solidFill>
                </w14:textFill>
              </w:rPr>
              <w:t>探作业区设置可拆卸式HDPE双格防渗沉淀池。废钻井泥浆经沉淀池固液分离，上清液回用于钻机冷却、泥浆调配及洒水抑尘，不外排。</w:t>
            </w:r>
            <w:r>
              <w:rPr>
                <w:rFonts w:hint="default" w:eastAsia="宋体" w:cs="Times New Roman"/>
                <w:b w:val="0"/>
                <w:bCs w:val="0"/>
                <w:color w:val="000000" w:themeColor="text1"/>
                <w:sz w:val="24"/>
                <w:szCs w:val="24"/>
                <w:lang w:val="en-US" w:eastAsia="zh-CN"/>
                <w14:textFill>
                  <w14:solidFill>
                    <w14:schemeClr w14:val="tx1"/>
                  </w14:solidFill>
                </w14:textFill>
              </w:rPr>
              <w:t>②设备冲洗废水：排入防渗沉淀池与泥浆废水一并处理，上清液回用，不外排。③水泥浆废水：搅拌作业在防渗膜专用区域进行，清洗水引流至沉淀池处理，上清液回用于洒水抑尘；严禁未凝固水泥浆直接倾倒地表。④地下涌水处理：钻进中监测返浆流量及压力变化，遇涌水时经导流槽引入沉淀池处理，上清液回用，不外排；涌水量大时调整钻进参数或投放堵漏材料，必要时启用备用防渗集水设施。⑤生活污水：设置移动式防渗环保厕所，全部收集于密闭储污罐，由吸污车定期清运至木垒哈萨克自治县污水处理厂集中处理。</w:t>
            </w:r>
          </w:p>
        </w:tc>
        <w:tc>
          <w:tcPr>
            <w:tcW w:w="1283" w:type="pct"/>
            <w:noWrap w:val="0"/>
            <w:vAlign w:val="center"/>
          </w:tcPr>
          <w:p w14:paraId="0FBD75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钻井泥浆水实现闭路循环，无外排现象。生活污水全部收集并清运至污水处理厂，无渗漏、无直排。</w:t>
            </w:r>
          </w:p>
        </w:tc>
        <w:tc>
          <w:tcPr>
            <w:tcW w:w="773" w:type="pct"/>
            <w:noWrap w:val="0"/>
            <w:vAlign w:val="center"/>
          </w:tcPr>
          <w:p w14:paraId="74D83D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652" w:type="pct"/>
            <w:noWrap w:val="0"/>
            <w:vAlign w:val="center"/>
          </w:tcPr>
          <w:p w14:paraId="7E0BD4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r>
      <w:tr w14:paraId="2FB162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0" w:type="pct"/>
            <w:noWrap w:val="0"/>
            <w:vAlign w:val="center"/>
          </w:tcPr>
          <w:p w14:paraId="2FB9DA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地下水及土壤环境</w:t>
            </w:r>
          </w:p>
        </w:tc>
        <w:tc>
          <w:tcPr>
            <w:tcW w:w="2953" w:type="dxa"/>
            <w:noWrap w:val="0"/>
            <w:vAlign w:val="center"/>
          </w:tcPr>
          <w:p w14:paraId="79D169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b w:val="0"/>
                <w:bCs w:val="0"/>
                <w:color w:val="000000" w:themeColor="text1"/>
                <w:sz w:val="24"/>
                <w:szCs w:val="24"/>
                <w:lang w:val="en-US" w:eastAsia="zh-CN"/>
                <w14:textFill>
                  <w14:solidFill>
                    <w14:schemeClr w14:val="tx1"/>
                  </w14:solidFill>
                </w14:textFill>
              </w:rPr>
            </w:pPr>
            <w:r>
              <w:rPr>
                <w:rFonts w:hint="eastAsia" w:eastAsia="宋体" w:cs="Times New Roman"/>
                <w:b w:val="0"/>
                <w:bCs w:val="0"/>
                <w:color w:val="000000" w:themeColor="text1"/>
                <w:sz w:val="24"/>
                <w:szCs w:val="24"/>
                <w:lang w:val="en-US" w:eastAsia="zh-CN"/>
                <w14:textFill>
                  <w14:solidFill>
                    <w14:schemeClr w14:val="tx1"/>
                  </w14:solidFill>
                </w14:textFill>
              </w:rPr>
              <w:t>①柴油临时存放防渗：柴油采用专用防泄漏塑料桶密封运输和临时存放，不设固定储罐，现场一次存放不超过3桶。临时存放点铺设2mm厚HDPE防渗膜，设置可拆卸式围堰和防渗托盘，配备吸油毡。用毕及时清理。</w:t>
            </w:r>
            <w:r>
              <w:rPr>
                <w:rFonts w:hint="default" w:eastAsia="宋体" w:cs="Times New Roman"/>
                <w:b w:val="0"/>
                <w:bCs w:val="0"/>
                <w:color w:val="000000" w:themeColor="text1"/>
                <w:sz w:val="24"/>
                <w:szCs w:val="24"/>
                <w:lang w:val="en-US" w:eastAsia="zh-CN"/>
                <w14:textFill>
                  <w14:solidFill>
                    <w14:schemeClr w14:val="tx1"/>
                  </w14:solidFill>
                </w14:textFill>
              </w:rPr>
              <w:t>②泥浆循环系统防渗：沉淀池底部铺设1.5mm厚HDPE防渗膜，泥浆全部引入池内，实现</w:t>
            </w:r>
            <w:r>
              <w:rPr>
                <w:rFonts w:hint="eastAsia" w:cs="Times New Roman"/>
                <w:b w:val="0"/>
                <w:bCs w:val="0"/>
                <w:color w:val="000000" w:themeColor="text1"/>
                <w:sz w:val="24"/>
                <w:szCs w:val="24"/>
                <w:lang w:val="en-US" w:eastAsia="zh-CN"/>
                <w14:textFill>
                  <w14:solidFill>
                    <w14:schemeClr w14:val="tx1"/>
                  </w14:solidFill>
                </w14:textFill>
              </w:rPr>
              <w:t>“</w:t>
            </w:r>
            <w:r>
              <w:rPr>
                <w:rFonts w:hint="default" w:eastAsia="宋体" w:cs="Times New Roman"/>
                <w:b w:val="0"/>
                <w:bCs w:val="0"/>
                <w:color w:val="000000" w:themeColor="text1"/>
                <w:sz w:val="24"/>
                <w:szCs w:val="24"/>
                <w:lang w:val="en-US" w:eastAsia="zh-CN"/>
                <w14:textFill>
                  <w14:solidFill>
                    <w14:schemeClr w14:val="tx1"/>
                  </w14:solidFill>
                </w14:textFill>
              </w:rPr>
              <w:t>浆不落地</w:t>
            </w:r>
            <w:r>
              <w:rPr>
                <w:rFonts w:hint="eastAsia" w:cs="Times New Roman"/>
                <w:b w:val="0"/>
                <w:bCs w:val="0"/>
                <w:color w:val="000000" w:themeColor="text1"/>
                <w:sz w:val="24"/>
                <w:szCs w:val="24"/>
                <w:lang w:val="en-US" w:eastAsia="zh-CN"/>
                <w14:textFill>
                  <w14:solidFill>
                    <w14:schemeClr w14:val="tx1"/>
                  </w14:solidFill>
                </w14:textFill>
              </w:rPr>
              <w:t>”</w:t>
            </w:r>
            <w:r>
              <w:rPr>
                <w:rFonts w:hint="default" w:eastAsia="宋体" w:cs="Times New Roman"/>
                <w:b w:val="0"/>
                <w:bCs w:val="0"/>
                <w:color w:val="000000" w:themeColor="text1"/>
                <w:sz w:val="24"/>
                <w:szCs w:val="24"/>
                <w:lang w:val="en-US" w:eastAsia="zh-CN"/>
                <w14:textFill>
                  <w14:solidFill>
                    <w14:schemeClr w14:val="tx1"/>
                  </w14:solidFill>
                </w14:textFill>
              </w:rPr>
              <w:t>。③水泥存放与使用防渗：袋装水泥下垫防渗膜，上覆防雨布，四周设简易挡水埂；搅拌作业在防渗膜专用区域进行，废水引流至沉淀池。④生活污水收集防渗：移动式防渗环保厕所储污罐密闭防渗。⑤固废暂存区防渗：生活垃圾集中存放点底部铺设防渗膜；沉淀池底泥暂存于防渗堆放区，用防雨布覆盖。⑥钻孔封孔：终孔后全孔水泥封孔，防止形成地下水污染通道。⑦施工结束后土壤恢复：拆除防渗设施，对临时占地进行场地清理、土地平整，将剥离表土全部回覆，播撒草种恢复植被。</w:t>
            </w:r>
          </w:p>
        </w:tc>
        <w:tc>
          <w:tcPr>
            <w:tcW w:w="1283" w:type="pct"/>
            <w:noWrap w:val="0"/>
            <w:vAlign w:val="center"/>
          </w:tcPr>
          <w:p w14:paraId="0502DB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分区防渗措施落实到位，无渗漏风险。柴油存放规范，无泄漏现象。钻井泥浆、生活污水等污染物得到有效控制，不进入土壤和地下水环境。钻孔封孔质量符合要求。施工结束后临时占地完成表土回覆和植被恢复。</w:t>
            </w:r>
          </w:p>
        </w:tc>
        <w:tc>
          <w:tcPr>
            <w:tcW w:w="773" w:type="pct"/>
            <w:noWrap w:val="0"/>
            <w:vAlign w:val="center"/>
          </w:tcPr>
          <w:p w14:paraId="0D57C4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652" w:type="pct"/>
            <w:noWrap w:val="0"/>
            <w:vAlign w:val="center"/>
          </w:tcPr>
          <w:p w14:paraId="7C351B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r>
      <w:tr w14:paraId="7652F2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0" w:type="pct"/>
            <w:noWrap w:val="0"/>
            <w:vAlign w:val="center"/>
          </w:tcPr>
          <w:p w14:paraId="6CDAD8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声环境</w:t>
            </w:r>
          </w:p>
        </w:tc>
        <w:tc>
          <w:tcPr>
            <w:tcW w:w="1630" w:type="pct"/>
            <w:noWrap w:val="0"/>
            <w:vAlign w:val="center"/>
          </w:tcPr>
          <w:p w14:paraId="46583E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①</w:t>
            </w:r>
            <w:r>
              <w:rPr>
                <w:rFonts w:hint="default" w:ascii="Times New Roman" w:hAnsi="Times New Roman" w:eastAsia="宋体" w:cs="Times New Roman"/>
                <w:b w:val="0"/>
                <w:bCs w:val="0"/>
                <w:color w:val="000000" w:themeColor="text1"/>
                <w:sz w:val="24"/>
                <w:szCs w:val="24"/>
                <w14:textFill>
                  <w14:solidFill>
                    <w14:schemeClr w14:val="tx1"/>
                  </w14:solidFill>
                </w14:textFill>
              </w:rPr>
              <w:t>设备选型：优先选用低噪声设备。</w:t>
            </w:r>
            <w:r>
              <w:rPr>
                <w:rFonts w:hint="eastAsia" w:cs="Times New Roman"/>
                <w:b w:val="0"/>
                <w:bCs w:val="0"/>
                <w:color w:val="000000" w:themeColor="text1"/>
                <w:sz w:val="24"/>
                <w:szCs w:val="24"/>
                <w:lang w:val="en-US" w:eastAsia="zh-CN"/>
                <w14:textFill>
                  <w14:solidFill>
                    <w14:schemeClr w14:val="tx1"/>
                  </w14:solidFill>
                </w14:textFill>
              </w:rPr>
              <w:t>②</w:t>
            </w:r>
            <w:r>
              <w:rPr>
                <w:rFonts w:hint="default" w:ascii="Times New Roman" w:hAnsi="Times New Roman" w:eastAsia="宋体" w:cs="Times New Roman"/>
                <w:b w:val="0"/>
                <w:bCs w:val="0"/>
                <w:color w:val="000000" w:themeColor="text1"/>
                <w:sz w:val="24"/>
                <w:szCs w:val="24"/>
                <w14:textFill>
                  <w14:solidFill>
                    <w14:schemeClr w14:val="tx1"/>
                  </w14:solidFill>
                </w14:textFill>
              </w:rPr>
              <w:t>减振降噪：柴油发电机安装橡胶减振垫。</w:t>
            </w:r>
            <w:r>
              <w:rPr>
                <w:rFonts w:hint="eastAsia" w:cs="Times New Roman"/>
                <w:b w:val="0"/>
                <w:bCs w:val="0"/>
                <w:color w:val="000000" w:themeColor="text1"/>
                <w:sz w:val="24"/>
                <w:szCs w:val="24"/>
                <w:lang w:val="en-US" w:eastAsia="zh-CN"/>
                <w14:textFill>
                  <w14:solidFill>
                    <w14:schemeClr w14:val="tx1"/>
                  </w14:solidFill>
                </w14:textFill>
              </w:rPr>
              <w:t>③</w:t>
            </w:r>
            <w:r>
              <w:rPr>
                <w:rFonts w:hint="default" w:ascii="Times New Roman" w:hAnsi="Times New Roman" w:eastAsia="宋体" w:cs="Times New Roman"/>
                <w:b w:val="0"/>
                <w:bCs w:val="0"/>
                <w:color w:val="000000" w:themeColor="text1"/>
                <w:sz w:val="24"/>
                <w:szCs w:val="24"/>
                <w14:textFill>
                  <w14:solidFill>
                    <w14:schemeClr w14:val="tx1"/>
                  </w14:solidFill>
                </w14:textFill>
              </w:rPr>
              <w:t>运行管理：</w:t>
            </w:r>
            <w:r>
              <w:rPr>
                <w:rFonts w:hint="default" w:ascii="Times New Roman" w:hAnsi="Times New Roman" w:eastAsia="宋体" w:cs="Times New Roman"/>
                <w:color w:val="000000" w:themeColor="text1"/>
                <w:sz w:val="24"/>
                <w:szCs w:val="24"/>
                <w14:textFill>
                  <w14:solidFill>
                    <w14:schemeClr w14:val="tx1"/>
                  </w14:solidFill>
                </w14:textFill>
              </w:rPr>
              <w:t>加强设备日常维护保养，及时更换老旧设备；合理安排施工时间。</w:t>
            </w:r>
          </w:p>
        </w:tc>
        <w:tc>
          <w:tcPr>
            <w:tcW w:w="1283" w:type="pct"/>
            <w:noWrap w:val="0"/>
            <w:vAlign w:val="center"/>
          </w:tcPr>
          <w:p w14:paraId="69E8A4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施工噪声满足《建筑施工场界环境噪声排放标准》（GB12523-20</w:t>
            </w:r>
            <w:r>
              <w:rPr>
                <w:rFonts w:hint="eastAsia" w:cs="Times New Roman"/>
                <w:color w:val="000000" w:themeColor="text1"/>
                <w:sz w:val="24"/>
                <w:szCs w:val="24"/>
                <w:lang w:val="en-US" w:eastAsia="zh-CN"/>
                <w14:textFill>
                  <w14:solidFill>
                    <w14:schemeClr w14:val="tx1"/>
                  </w14:solidFill>
                </w14:textFill>
              </w:rPr>
              <w:t>25</w:t>
            </w:r>
            <w:r>
              <w:rPr>
                <w:rFonts w:hint="default" w:ascii="Times New Roman" w:hAnsi="Times New Roman" w:eastAsia="宋体" w:cs="Times New Roman"/>
                <w:color w:val="000000" w:themeColor="text1"/>
                <w:sz w:val="24"/>
                <w:szCs w:val="24"/>
                <w14:textFill>
                  <w14:solidFill>
                    <w14:schemeClr w14:val="tx1"/>
                  </w14:solidFill>
                </w14:textFill>
              </w:rPr>
              <w:t>）要求。</w:t>
            </w:r>
          </w:p>
        </w:tc>
        <w:tc>
          <w:tcPr>
            <w:tcW w:w="773" w:type="pct"/>
            <w:noWrap w:val="0"/>
            <w:vAlign w:val="center"/>
          </w:tcPr>
          <w:p w14:paraId="391AA2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652" w:type="pct"/>
            <w:noWrap w:val="0"/>
            <w:vAlign w:val="center"/>
          </w:tcPr>
          <w:p w14:paraId="24726A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r>
      <w:tr w14:paraId="73CD23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pct"/>
            <w:noWrap w:val="0"/>
            <w:vAlign w:val="center"/>
          </w:tcPr>
          <w:p w14:paraId="0D47C0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振动</w:t>
            </w:r>
          </w:p>
        </w:tc>
        <w:tc>
          <w:tcPr>
            <w:tcW w:w="1630" w:type="pct"/>
            <w:noWrap w:val="0"/>
            <w:vAlign w:val="center"/>
          </w:tcPr>
          <w:p w14:paraId="6C1B2D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1283" w:type="pct"/>
            <w:noWrap w:val="0"/>
            <w:vAlign w:val="center"/>
          </w:tcPr>
          <w:p w14:paraId="079831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773" w:type="pct"/>
            <w:noWrap w:val="0"/>
            <w:vAlign w:val="center"/>
          </w:tcPr>
          <w:p w14:paraId="1E0187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652" w:type="pct"/>
            <w:noWrap w:val="0"/>
            <w:vAlign w:val="center"/>
          </w:tcPr>
          <w:p w14:paraId="05F849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r>
      <w:tr w14:paraId="71138D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0" w:type="pct"/>
            <w:noWrap w:val="0"/>
            <w:vAlign w:val="center"/>
          </w:tcPr>
          <w:p w14:paraId="32B362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大气环境</w:t>
            </w:r>
          </w:p>
        </w:tc>
        <w:tc>
          <w:tcPr>
            <w:tcW w:w="2953" w:type="dxa"/>
            <w:shd w:val="clear" w:color="auto" w:fill="auto"/>
            <w:noWrap w:val="0"/>
            <w:vAlign w:val="center"/>
          </w:tcPr>
          <w:p w14:paraId="264B85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eastAsia="宋体" w:cs="Times New Roman"/>
                <w:b w:val="0"/>
                <w:bCs w:val="0"/>
                <w:color w:val="000000" w:themeColor="text1"/>
                <w:sz w:val="24"/>
                <w:szCs w:val="24"/>
                <w:lang w:val="en-US" w:eastAsia="zh-CN"/>
                <w14:textFill>
                  <w14:solidFill>
                    <w14:schemeClr w14:val="tx1"/>
                  </w14:solidFill>
                </w14:textFill>
              </w:rPr>
              <w:t>①扬尘控制：钻探作业采用湿式钻孔工艺。对临时堆土场采取防尘网全覆盖，定期洒水。施工场地、临时道路每日洒水，大风天气增加。临时道路优先利用既有道路，宽度控制在4米以内，严禁路面硬化。</w:t>
            </w:r>
            <w:r>
              <w:rPr>
                <w:rFonts w:hint="default" w:eastAsia="宋体" w:cs="Times New Roman"/>
                <w:b w:val="0"/>
                <w:bCs w:val="0"/>
                <w:color w:val="000000" w:themeColor="text1"/>
                <w:sz w:val="24"/>
                <w:szCs w:val="24"/>
                <w:lang w:val="en-US" w:eastAsia="zh-CN"/>
                <w14:textFill>
                  <w14:solidFill>
                    <w14:schemeClr w14:val="tx1"/>
                  </w14:solidFill>
                </w14:textFill>
              </w:rPr>
              <w:t>②水泥粉尘防治：水泥采用密封袋装运输，现场拆袋和搅拌在背风侧进行；堆放点铺设防渗膜垫层，堆体全覆盖防雨布，每日洒水；单个平台一次存放不超过1.0t；遇4级以上大风暂停拆袋搅拌作业。③柴油储存废气：柴油使用标准密闭防泄漏塑料桶，闪点高、不易挥发，正常存放桶盖密闭，无呼吸气排放。④燃油废气：使用优质柴油，加强施工机械和车辆维护保养。</w:t>
            </w:r>
          </w:p>
        </w:tc>
        <w:tc>
          <w:tcPr>
            <w:tcW w:w="1283" w:type="pct"/>
            <w:shd w:val="clear" w:color="auto" w:fill="auto"/>
            <w:noWrap w:val="0"/>
            <w:vAlign w:val="center"/>
          </w:tcPr>
          <w:p w14:paraId="69F31F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施工场地周界外无组织颗粒物浓度满足《大气污染物综合排放标准》（GB16297-1996）中无组织排放监控浓度限值（≤1.0mg/m³）。</w:t>
            </w:r>
          </w:p>
        </w:tc>
        <w:tc>
          <w:tcPr>
            <w:tcW w:w="773" w:type="pct"/>
            <w:noWrap w:val="0"/>
            <w:vAlign w:val="center"/>
          </w:tcPr>
          <w:p w14:paraId="16D58A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652" w:type="pct"/>
            <w:noWrap w:val="0"/>
            <w:vAlign w:val="center"/>
          </w:tcPr>
          <w:p w14:paraId="3B844C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r>
      <w:tr w14:paraId="0ED25D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60" w:type="pct"/>
            <w:noWrap w:val="0"/>
            <w:vAlign w:val="center"/>
          </w:tcPr>
          <w:p w14:paraId="345632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固体废物</w:t>
            </w:r>
          </w:p>
        </w:tc>
        <w:tc>
          <w:tcPr>
            <w:tcW w:w="2953" w:type="dxa"/>
            <w:noWrap w:val="0"/>
            <w:vAlign w:val="center"/>
          </w:tcPr>
          <w:p w14:paraId="21D4B128">
            <w:pPr>
              <w:spacing w:line="240" w:lineRule="auto"/>
              <w:ind w:firstLine="0" w:firstLineChars="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eastAsia="宋体" w:cs="Times New Roman"/>
                <w:b w:val="0"/>
                <w:bCs w:val="0"/>
                <w:color w:val="000000" w:themeColor="text1"/>
                <w:sz w:val="24"/>
                <w:szCs w:val="24"/>
                <w:lang w:val="en-US" w:eastAsia="zh-CN"/>
                <w14:textFill>
                  <w14:solidFill>
                    <w14:schemeClr w14:val="tx1"/>
                  </w14:solidFill>
                </w14:textFill>
              </w:rPr>
              <w:t>①剥离表土：集中堆放在临时堆土场，采取防尘网全覆盖、定期洒水等抑尘措施。施工结束后全部用于场地覆土绿化，实现</w:t>
            </w:r>
            <w:r>
              <w:rPr>
                <w:rFonts w:hint="eastAsia" w:cs="Times New Roman"/>
                <w:b w:val="0"/>
                <w:bCs w:val="0"/>
                <w:color w:val="000000" w:themeColor="text1"/>
                <w:sz w:val="24"/>
                <w:szCs w:val="24"/>
                <w:lang w:val="en-US" w:eastAsia="zh-CN"/>
                <w14:textFill>
                  <w14:solidFill>
                    <w14:schemeClr w14:val="tx1"/>
                  </w14:solidFill>
                </w14:textFill>
              </w:rPr>
              <w:t>“</w:t>
            </w:r>
            <w:r>
              <w:rPr>
                <w:rFonts w:hint="default" w:eastAsia="宋体" w:cs="Times New Roman"/>
                <w:b w:val="0"/>
                <w:bCs w:val="0"/>
                <w:color w:val="000000" w:themeColor="text1"/>
                <w:sz w:val="24"/>
                <w:szCs w:val="24"/>
                <w:lang w:val="en-US" w:eastAsia="zh-CN"/>
                <w14:textFill>
                  <w14:solidFill>
                    <w14:schemeClr w14:val="tx1"/>
                  </w14:solidFill>
                </w14:textFill>
              </w:rPr>
              <w:t>原土还原、原境复绿</w:t>
            </w:r>
            <w:r>
              <w:rPr>
                <w:rFonts w:hint="eastAsia" w:cs="Times New Roman"/>
                <w:b w:val="0"/>
                <w:bCs w:val="0"/>
                <w:color w:val="000000" w:themeColor="text1"/>
                <w:sz w:val="24"/>
                <w:szCs w:val="24"/>
                <w:lang w:val="en-US" w:eastAsia="zh-CN"/>
                <w14:textFill>
                  <w14:solidFill>
                    <w14:schemeClr w14:val="tx1"/>
                  </w14:solidFill>
                </w14:textFill>
              </w:rPr>
              <w:t>”</w:t>
            </w:r>
            <w:r>
              <w:rPr>
                <w:rFonts w:hint="default" w:eastAsia="宋体" w:cs="Times New Roman"/>
                <w:b w:val="0"/>
                <w:bCs w:val="0"/>
                <w:color w:val="000000" w:themeColor="text1"/>
                <w:sz w:val="24"/>
                <w:szCs w:val="24"/>
                <w:lang w:val="en-US" w:eastAsia="zh-CN"/>
                <w14:textFill>
                  <w14:solidFill>
                    <w14:schemeClr w14:val="tx1"/>
                  </w14:solidFill>
                </w14:textFill>
              </w:rPr>
              <w:t>。②钻井泥浆沉淀物（含岩屑）及沉淀池底泥：排入防渗沉淀池，沉淀后底泥暂存于防渗堆放区并用防雨布覆盖。勘探结束后自然干化，就地填埋于钻探作业区并覆土平整。③废包装袋：废弃包装袋及水泥废弃包装袋集中收集，与生活垃圾一同清运至木垒哈萨克自治县生活垃圾填埋场处置。④生活垃圾：设置带盖密闭垃圾桶，分类收集。日产日清，定期统一清运至木垒哈萨克自治县生活垃圾填埋场进行无害化处置。</w:t>
            </w:r>
          </w:p>
        </w:tc>
        <w:tc>
          <w:tcPr>
            <w:tcW w:w="1283" w:type="pct"/>
            <w:noWrap w:val="0"/>
            <w:vAlign w:val="center"/>
          </w:tcPr>
          <w:p w14:paraId="23146F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剥离表土得到资源化利用，无废弃。钻井泥浆沉淀物、废包装袋、生活垃圾等固体废物全部得到妥善处置，无随意倾倒、填埋或焚烧现象，符合《一般工业固体废物贮存和填埋污染控制标准》（GB 18599-2020）要求。</w:t>
            </w:r>
          </w:p>
        </w:tc>
        <w:tc>
          <w:tcPr>
            <w:tcW w:w="773" w:type="pct"/>
            <w:noWrap w:val="0"/>
            <w:vAlign w:val="center"/>
          </w:tcPr>
          <w:p w14:paraId="05C258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652" w:type="pct"/>
            <w:noWrap w:val="0"/>
            <w:vAlign w:val="center"/>
          </w:tcPr>
          <w:p w14:paraId="2E1E77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r>
      <w:tr w14:paraId="299AB5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pct"/>
            <w:noWrap w:val="0"/>
            <w:vAlign w:val="center"/>
          </w:tcPr>
          <w:p w14:paraId="5904A9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电磁环境</w:t>
            </w:r>
          </w:p>
        </w:tc>
        <w:tc>
          <w:tcPr>
            <w:tcW w:w="1630" w:type="pct"/>
            <w:noWrap w:val="0"/>
            <w:vAlign w:val="center"/>
          </w:tcPr>
          <w:p w14:paraId="5AC36D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1283" w:type="pct"/>
            <w:noWrap w:val="0"/>
            <w:vAlign w:val="center"/>
          </w:tcPr>
          <w:p w14:paraId="246E8C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773" w:type="pct"/>
            <w:noWrap w:val="0"/>
            <w:vAlign w:val="center"/>
          </w:tcPr>
          <w:p w14:paraId="4852B0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652" w:type="pct"/>
            <w:noWrap w:val="0"/>
            <w:vAlign w:val="center"/>
          </w:tcPr>
          <w:p w14:paraId="6F1A00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r>
      <w:tr w14:paraId="7BD2C5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pct"/>
            <w:noWrap w:val="0"/>
            <w:vAlign w:val="center"/>
          </w:tcPr>
          <w:p w14:paraId="0F6B4C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环境风险</w:t>
            </w:r>
          </w:p>
        </w:tc>
        <w:tc>
          <w:tcPr>
            <w:tcW w:w="1630" w:type="pct"/>
            <w:noWrap w:val="0"/>
            <w:vAlign w:val="center"/>
          </w:tcPr>
          <w:p w14:paraId="2FE4CB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①柴油使用防泄漏塑料桶密封运输和临时存放，不设固定储罐，现场一次存放不超过3桶。临时存放点设可拆卸式围堰和防渗托盘，远离火源、热源和生活区。柴油即用即拉，用毕及时清理。②配备吸油毡、干粉灭火器等应急物资。③制定《突发环境事件应急预案简要方案》，组织人员进行应急培训和演练。④实行每日巡查制度，重点检查柴油临时存放点安全性、容器完整性。</w:t>
            </w:r>
          </w:p>
        </w:tc>
        <w:tc>
          <w:tcPr>
            <w:tcW w:w="1283" w:type="pct"/>
            <w:noWrap w:val="0"/>
            <w:vAlign w:val="center"/>
          </w:tcPr>
          <w:p w14:paraId="725BD5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柴油储存与使用规范，风险防范措施到位，无泄漏、火灾事故发生。</w:t>
            </w:r>
          </w:p>
        </w:tc>
        <w:tc>
          <w:tcPr>
            <w:tcW w:w="773" w:type="pct"/>
            <w:noWrap w:val="0"/>
            <w:vAlign w:val="center"/>
          </w:tcPr>
          <w:p w14:paraId="49D46C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652" w:type="pct"/>
            <w:noWrap w:val="0"/>
            <w:vAlign w:val="center"/>
          </w:tcPr>
          <w:p w14:paraId="08646A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r>
      <w:tr w14:paraId="38D7E0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pct"/>
            <w:noWrap w:val="0"/>
            <w:vAlign w:val="center"/>
          </w:tcPr>
          <w:p w14:paraId="42DB89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环境监测</w:t>
            </w:r>
          </w:p>
        </w:tc>
        <w:tc>
          <w:tcPr>
            <w:tcW w:w="1630" w:type="pct"/>
            <w:noWrap w:val="0"/>
            <w:vAlign w:val="center"/>
          </w:tcPr>
          <w:p w14:paraId="2F499D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1283" w:type="pct"/>
            <w:noWrap w:val="0"/>
            <w:vAlign w:val="center"/>
          </w:tcPr>
          <w:p w14:paraId="7B7067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773" w:type="pct"/>
            <w:noWrap w:val="0"/>
            <w:vAlign w:val="center"/>
          </w:tcPr>
          <w:p w14:paraId="33932D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w:t>
            </w:r>
          </w:p>
        </w:tc>
        <w:tc>
          <w:tcPr>
            <w:tcW w:w="652" w:type="pct"/>
            <w:noWrap w:val="0"/>
            <w:vAlign w:val="center"/>
          </w:tcPr>
          <w:p w14:paraId="48BC8A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w:t>
            </w:r>
          </w:p>
        </w:tc>
      </w:tr>
      <w:tr w14:paraId="29A1A0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pct"/>
            <w:noWrap w:val="0"/>
            <w:vAlign w:val="center"/>
          </w:tcPr>
          <w:p w14:paraId="4E56AC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其他</w:t>
            </w:r>
          </w:p>
        </w:tc>
        <w:tc>
          <w:tcPr>
            <w:tcW w:w="1630" w:type="pct"/>
            <w:noWrap w:val="0"/>
            <w:vAlign w:val="center"/>
          </w:tcPr>
          <w:p w14:paraId="5F292D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生态恢复：勘探工程结束后，及时完成钻孔回填、设备撤离、临时设施拆除、场地清理、土地平整、表土回覆和播撒草籽等工作，全面恢复草地原状。</w:t>
            </w:r>
          </w:p>
        </w:tc>
        <w:tc>
          <w:tcPr>
            <w:tcW w:w="1283" w:type="pct"/>
            <w:noWrap w:val="0"/>
            <w:vAlign w:val="center"/>
          </w:tcPr>
          <w:p w14:paraId="361441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项目临时占地全部完成生态修复，恢复至施工前状态。</w:t>
            </w:r>
          </w:p>
        </w:tc>
        <w:tc>
          <w:tcPr>
            <w:tcW w:w="773" w:type="pct"/>
            <w:noWrap w:val="0"/>
            <w:vAlign w:val="center"/>
          </w:tcPr>
          <w:p w14:paraId="144C70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w:t>
            </w:r>
          </w:p>
        </w:tc>
        <w:tc>
          <w:tcPr>
            <w:tcW w:w="652" w:type="pct"/>
            <w:noWrap w:val="0"/>
            <w:vAlign w:val="center"/>
          </w:tcPr>
          <w:p w14:paraId="213038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w:t>
            </w:r>
          </w:p>
        </w:tc>
      </w:tr>
    </w:tbl>
    <w:p w14:paraId="74029AA2">
      <w:pPr>
        <w:rPr>
          <w:rFonts w:ascii="宋体"/>
          <w:color w:val="000000" w:themeColor="text1"/>
          <w14:textFill>
            <w14:solidFill>
              <w14:schemeClr w14:val="tx1"/>
            </w14:solidFill>
          </w14:textFill>
        </w:rPr>
      </w:pPr>
    </w:p>
    <w:p w14:paraId="2441B5F3">
      <w:pPr>
        <w:rPr>
          <w:rFonts w:ascii="宋体"/>
          <w:color w:val="000000" w:themeColor="text1"/>
          <w14:textFill>
            <w14:solidFill>
              <w14:schemeClr w14:val="tx1"/>
            </w14:solidFill>
          </w14:textFill>
        </w:rPr>
      </w:pPr>
    </w:p>
    <w:p w14:paraId="213B16B9">
      <w:pPr>
        <w:rPr>
          <w:rFonts w:ascii="宋体"/>
          <w:color w:val="000000" w:themeColor="text1"/>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F65BEFA">
      <w:pPr>
        <w:spacing w:before="192" w:beforeLines="80" w:beforeAutospacing="0" w:line="240" w:lineRule="auto"/>
        <w:ind w:firstLine="0" w:firstLineChars="0"/>
        <w:jc w:val="center"/>
        <w:outlineLvl w:val="0"/>
        <w:rPr>
          <w:rFonts w:ascii="黑体" w:hAnsi="黑体" w:eastAsia="黑体" w:cs="Times New Roman"/>
          <w:snapToGrid w:val="0"/>
          <w:color w:val="000000" w:themeColor="text1"/>
          <w:sz w:val="30"/>
          <w:szCs w:val="30"/>
          <w14:textFill>
            <w14:solidFill>
              <w14:schemeClr w14:val="tx1"/>
            </w14:solidFill>
          </w14:textFill>
        </w:rPr>
      </w:pPr>
      <w:r>
        <w:rPr>
          <w:rFonts w:hint="eastAsia" w:ascii="黑体" w:hAnsi="黑体" w:eastAsia="黑体" w:cs="Times New Roman"/>
          <w:snapToGrid w:val="0"/>
          <w:color w:val="000000" w:themeColor="text1"/>
          <w:sz w:val="30"/>
          <w:szCs w:val="30"/>
          <w14:textFill>
            <w14:solidFill>
              <w14:schemeClr w14:val="tx1"/>
            </w14:solidFill>
          </w14:textFill>
        </w:rPr>
        <w:t>七、结论</w:t>
      </w:r>
    </w:p>
    <w:tbl>
      <w:tblPr>
        <w:tblStyle w:val="13"/>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502350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4" w:hRule="atLeast"/>
          <w:jc w:val="center"/>
        </w:trPr>
        <w:tc>
          <w:tcPr>
            <w:tcW w:w="9289" w:type="dxa"/>
            <w:noWrap w:val="0"/>
            <w:vAlign w:val="center"/>
          </w:tcPr>
          <w:p w14:paraId="0EDFA714">
            <w:pPr>
              <w:keepNext w:val="0"/>
              <w:keepLines w:val="0"/>
              <w:widowControl/>
              <w:suppressLineNumbers w:val="0"/>
              <w:jc w:val="left"/>
              <w:rPr>
                <w:rFonts w:ascii="宋体" w:hAnsi="宋体" w:eastAsia="宋体" w:cs="宋体"/>
                <w:color w:val="000000" w:themeColor="text1"/>
                <w:sz w:val="24"/>
                <w:szCs w:val="2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项目</w:t>
            </w:r>
            <w:r>
              <w:rPr>
                <w:rFonts w:hint="eastAsia" w:ascii="宋体" w:hAnsi="宋体" w:eastAsia="宋体" w:cs="宋体"/>
                <w:color w:val="000000" w:themeColor="text1"/>
                <w:kern w:val="0"/>
                <w:sz w:val="24"/>
                <w:szCs w:val="24"/>
                <w:lang w:val="en-US" w:eastAsia="zh-CN" w:bidi="ar"/>
                <w14:textFill>
                  <w14:solidFill>
                    <w14:schemeClr w14:val="tx1"/>
                  </w14:solidFill>
                </w14:textFill>
              </w:rPr>
              <w:t>所在地环境现状满足功能区划要求，项目建设符合相关规划、符合产业政策，选址合理，不违背</w:t>
            </w:r>
            <w:r>
              <w:rPr>
                <w:rFonts w:hint="eastAsia" w:ascii="宋体" w:hAnsi="宋体" w:cs="宋体"/>
                <w:color w:val="000000" w:themeColor="text1"/>
                <w:kern w:val="0"/>
                <w:sz w:val="24"/>
                <w:szCs w:val="24"/>
                <w:lang w:val="en-US" w:eastAsia="zh-CN" w:bidi="ar"/>
                <w14:textFill>
                  <w14:solidFill>
                    <w14:schemeClr w14:val="tx1"/>
                  </w14:solidFill>
                </w14:textFill>
              </w:rPr>
              <w:t>“</w:t>
            </w:r>
            <w:r>
              <w:rPr>
                <w:rFonts w:hint="eastAsia" w:ascii="宋体" w:hAnsi="宋体" w:eastAsia="宋体" w:cs="宋体"/>
                <w:color w:val="000000" w:themeColor="text1"/>
                <w:kern w:val="0"/>
                <w:sz w:val="24"/>
                <w:szCs w:val="24"/>
                <w:lang w:val="en-US" w:eastAsia="zh-CN" w:bidi="ar"/>
                <w14:textFill>
                  <w14:solidFill>
                    <w14:schemeClr w14:val="tx1"/>
                  </w14:solidFill>
                </w14:textFill>
              </w:rPr>
              <w:t>三线一单</w:t>
            </w:r>
            <w:r>
              <w:rPr>
                <w:rFonts w:hint="eastAsia" w:ascii="宋体" w:hAnsi="宋体" w:cs="宋体"/>
                <w:color w:val="000000" w:themeColor="text1"/>
                <w:kern w:val="0"/>
                <w:sz w:val="24"/>
                <w:szCs w:val="24"/>
                <w:lang w:val="en-US" w:eastAsia="zh-CN" w:bidi="ar"/>
                <w14:textFill>
                  <w14:solidFill>
                    <w14:schemeClr w14:val="tx1"/>
                  </w14:solidFill>
                </w14:textFill>
              </w:rPr>
              <w:t>”</w:t>
            </w:r>
            <w:r>
              <w:rPr>
                <w:rFonts w:hint="eastAsia" w:ascii="宋体" w:hAnsi="宋体" w:eastAsia="宋体" w:cs="宋体"/>
                <w:color w:val="000000" w:themeColor="text1"/>
                <w:kern w:val="0"/>
                <w:sz w:val="24"/>
                <w:szCs w:val="24"/>
                <w:lang w:val="en-US" w:eastAsia="zh-CN" w:bidi="ar"/>
                <w14:textFill>
                  <w14:solidFill>
                    <w14:schemeClr w14:val="tx1"/>
                  </w14:solidFill>
                </w14:textFill>
              </w:rPr>
              <w:t>相关规定。其施工期将产生一定的污染物和环境污染，通过采取环评提出的防治措施后，项目产生的污染物可得到有效控制，符合达标排放原则。项目建设不会降低当地环境功能，对区域环境影响不大。从环境影响角度分析，通过采取相应的防治措施后，本项目建设是可行的</w:t>
            </w:r>
            <w:r>
              <w:rPr>
                <w:rFonts w:hint="eastAsia" w:ascii="宋体" w:hAnsi="宋体" w:eastAsia="宋体" w:cs="宋体"/>
                <w:color w:val="000000" w:themeColor="text1"/>
                <w:sz w:val="24"/>
                <w:szCs w:val="24"/>
                <w14:textFill>
                  <w14:solidFill>
                    <w14:schemeClr w14:val="tx1"/>
                  </w14:solidFill>
                </w14:textFill>
              </w:rPr>
              <w:t>。</w:t>
            </w:r>
          </w:p>
        </w:tc>
      </w:tr>
    </w:tbl>
    <w:p w14:paraId="080F880B">
      <w:pPr>
        <w:spacing w:line="240" w:lineRule="auto"/>
        <w:ind w:firstLine="0" w:firstLineChars="0"/>
        <w:rPr>
          <w:rFonts w:ascii="宋体" w:hAnsi="Times New Roman" w:eastAsia="宋体" w:cs="Times New Roman"/>
          <w:color w:val="000000" w:themeColor="text1"/>
          <w:sz w:val="24"/>
          <w:szCs w:val="24"/>
          <w14:textFill>
            <w14:solidFill>
              <w14:schemeClr w14:val="tx1"/>
            </w14:solidFill>
          </w14:textFill>
        </w:rPr>
      </w:pPr>
    </w:p>
    <w:p w14:paraId="0F4076F4">
      <w:pPr>
        <w:rPr>
          <w:color w:val="000000" w:themeColor="text1"/>
          <w14:textFill>
            <w14:solidFill>
              <w14:schemeClr w14:val="tx1"/>
            </w14:solidFill>
          </w14:textFill>
        </w:rPr>
      </w:pPr>
    </w:p>
    <w:sectPr>
      <w:headerReference r:id="rId8" w:type="default"/>
      <w:footerReference r:id="rId9"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5AB7D">
    <w:pPr>
      <w:widowControl w:val="0"/>
      <w:snapToGrid w:val="0"/>
      <w:spacing w:line="360" w:lineRule="auto"/>
      <w:ind w:right="360" w:firstLine="360" w:firstLineChars="200"/>
      <w:jc w:val="center"/>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8662BF">
                          <w:pPr>
                            <w:widowControl w:val="0"/>
                            <w:snapToGrid w:val="0"/>
                            <w:spacing w:line="360" w:lineRule="auto"/>
                            <w:ind w:firstLine="360" w:firstLineChars="20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fldChar w:fldCharType="begin"/>
                          </w:r>
                          <w:r>
                            <w:rPr>
                              <w:rFonts w:ascii="Times New Roman" w:hAnsi="Times New Roman" w:eastAsia="宋体" w:cs="Times New Roman"/>
                              <w:kern w:val="0"/>
                              <w:sz w:val="18"/>
                              <w:szCs w:val="20"/>
                              <w:lang w:val="en-US" w:eastAsia="zh-CN" w:bidi="ar-SA"/>
                            </w:rPr>
                            <w:instrText xml:space="preserve"> PAGE  \* MERGEFORMAT </w:instrText>
                          </w:r>
                          <w:r>
                            <w:rPr>
                              <w:rFonts w:ascii="Times New Roman" w:hAnsi="Times New Roman" w:eastAsia="宋体" w:cs="Times New Roman"/>
                              <w:kern w:val="0"/>
                              <w:sz w:val="18"/>
                              <w:szCs w:val="20"/>
                              <w:lang w:val="en-US" w:eastAsia="zh-CN" w:bidi="ar-SA"/>
                            </w:rPr>
                            <w:fldChar w:fldCharType="separate"/>
                          </w:r>
                          <w:r>
                            <w:rPr>
                              <w:rFonts w:ascii="Times New Roman" w:hAnsi="Times New Roman" w:eastAsia="宋体" w:cs="Times New Roman"/>
                              <w:kern w:val="0"/>
                              <w:sz w:val="18"/>
                              <w:szCs w:val="20"/>
                              <w:lang w:val="en-US" w:eastAsia="zh-CN" w:bidi="ar-SA"/>
                            </w:rPr>
                            <w:t>1</w:t>
                          </w:r>
                          <w:r>
                            <w:rPr>
                              <w:rFonts w:ascii="Times New Roman" w:hAnsi="Times New Roman" w:eastAsia="宋体" w:cs="Times New Roman"/>
                              <w:kern w:val="0"/>
                              <w:sz w:val="18"/>
                              <w:szCs w:val="20"/>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voDH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dc4d8ctTvz888f515/z7+8E&#10;fShQH6DGvIeAmWn44Adcm9kP6My8BxVt/iIjgnGU93SRVw6JiPxotVytKgwJjM0XxGePz0OE9FF6&#10;S7LR0IjzK7Ly4x2kMXVOydWcv9XGlBka958DMbOH5d7HHrOVht0wEdr59oR8ehx9Qx1uOiXmk0Nl&#10;85bMRpyN3WwcQtT7rqxRrgfh/SFhE6W3XGGEnQrjzAq7ab/yUvx7L1mP/9T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W+gMcyQEAAJsDAAAOAAAAAAAAAAEAIAAAAB4BAABkcnMvZTJvRG9j&#10;LnhtbFBLBQYAAAAABgAGAFkBAABZBQAAAAA=&#10;">
              <v:fill on="f" focussize="0,0"/>
              <v:stroke on="f"/>
              <v:imagedata o:title=""/>
              <o:lock v:ext="edit" aspectratio="f"/>
              <v:textbox inset="0mm,0mm,0mm,0mm" style="mso-fit-shape-to-text:t;">
                <w:txbxContent>
                  <w:p w14:paraId="438662BF">
                    <w:pPr>
                      <w:widowControl w:val="0"/>
                      <w:snapToGrid w:val="0"/>
                      <w:spacing w:line="360" w:lineRule="auto"/>
                      <w:ind w:firstLine="360" w:firstLineChars="20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fldChar w:fldCharType="begin"/>
                    </w:r>
                    <w:r>
                      <w:rPr>
                        <w:rFonts w:ascii="Times New Roman" w:hAnsi="Times New Roman" w:eastAsia="宋体" w:cs="Times New Roman"/>
                        <w:kern w:val="0"/>
                        <w:sz w:val="18"/>
                        <w:szCs w:val="20"/>
                        <w:lang w:val="en-US" w:eastAsia="zh-CN" w:bidi="ar-SA"/>
                      </w:rPr>
                      <w:instrText xml:space="preserve"> PAGE  \* MERGEFORMAT </w:instrText>
                    </w:r>
                    <w:r>
                      <w:rPr>
                        <w:rFonts w:ascii="Times New Roman" w:hAnsi="Times New Roman" w:eastAsia="宋体" w:cs="Times New Roman"/>
                        <w:kern w:val="0"/>
                        <w:sz w:val="18"/>
                        <w:szCs w:val="20"/>
                        <w:lang w:val="en-US" w:eastAsia="zh-CN" w:bidi="ar-SA"/>
                      </w:rPr>
                      <w:fldChar w:fldCharType="separate"/>
                    </w:r>
                    <w:r>
                      <w:rPr>
                        <w:rFonts w:ascii="Times New Roman" w:hAnsi="Times New Roman" w:eastAsia="宋体" w:cs="Times New Roman"/>
                        <w:kern w:val="0"/>
                        <w:sz w:val="18"/>
                        <w:szCs w:val="20"/>
                        <w:lang w:val="en-US" w:eastAsia="zh-CN" w:bidi="ar-SA"/>
                      </w:rPr>
                      <w:t>1</w:t>
                    </w:r>
                    <w:r>
                      <w:rPr>
                        <w:rFonts w:ascii="Times New Roman" w:hAnsi="Times New Roman" w:eastAsia="宋体" w:cs="Times New Roman"/>
                        <w:kern w:val="0"/>
                        <w:sz w:val="18"/>
                        <w:szCs w:val="20"/>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5C2F6">
    <w:pPr>
      <w:widowControl w:val="0"/>
      <w:snapToGrid w:val="0"/>
      <w:spacing w:line="360" w:lineRule="auto"/>
      <w:ind w:right="360" w:firstLine="360" w:firstLineChars="200"/>
      <w:jc w:val="center"/>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80D17E">
                          <w:pPr>
                            <w:widowControl w:val="0"/>
                            <w:snapToGrid w:val="0"/>
                            <w:spacing w:line="360" w:lineRule="auto"/>
                            <w:ind w:firstLine="360" w:firstLineChars="20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fldChar w:fldCharType="begin"/>
                          </w:r>
                          <w:r>
                            <w:rPr>
                              <w:rFonts w:ascii="Times New Roman" w:hAnsi="Times New Roman" w:eastAsia="宋体" w:cs="Times New Roman"/>
                              <w:kern w:val="0"/>
                              <w:sz w:val="18"/>
                              <w:szCs w:val="20"/>
                              <w:lang w:val="en-US" w:eastAsia="zh-CN" w:bidi="ar-SA"/>
                            </w:rPr>
                            <w:instrText xml:space="preserve"> PAGE  \* MERGEFORMAT </w:instrText>
                          </w:r>
                          <w:r>
                            <w:rPr>
                              <w:rFonts w:ascii="Times New Roman" w:hAnsi="Times New Roman" w:eastAsia="宋体" w:cs="Times New Roman"/>
                              <w:kern w:val="0"/>
                              <w:sz w:val="18"/>
                              <w:szCs w:val="20"/>
                              <w:lang w:val="en-US" w:eastAsia="zh-CN" w:bidi="ar-SA"/>
                            </w:rPr>
                            <w:fldChar w:fldCharType="separate"/>
                          </w:r>
                          <w:r>
                            <w:rPr>
                              <w:rFonts w:ascii="Times New Roman" w:hAnsi="Times New Roman" w:eastAsia="宋体" w:cs="Times New Roman"/>
                              <w:kern w:val="0"/>
                              <w:sz w:val="18"/>
                              <w:szCs w:val="20"/>
                              <w:lang w:val="en-US" w:eastAsia="zh-CN" w:bidi="ar-SA"/>
                            </w:rPr>
                            <w:t>2</w:t>
                          </w:r>
                          <w:r>
                            <w:rPr>
                              <w:rFonts w:ascii="Times New Roman" w:hAnsi="Times New Roman" w:eastAsia="宋体" w:cs="Times New Roman"/>
                              <w:kern w:val="0"/>
                              <w:sz w:val="18"/>
                              <w:szCs w:val="20"/>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780D17E">
                    <w:pPr>
                      <w:widowControl w:val="0"/>
                      <w:snapToGrid w:val="0"/>
                      <w:spacing w:line="360" w:lineRule="auto"/>
                      <w:ind w:firstLine="360" w:firstLineChars="20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fldChar w:fldCharType="begin"/>
                    </w:r>
                    <w:r>
                      <w:rPr>
                        <w:rFonts w:ascii="Times New Roman" w:hAnsi="Times New Roman" w:eastAsia="宋体" w:cs="Times New Roman"/>
                        <w:kern w:val="0"/>
                        <w:sz w:val="18"/>
                        <w:szCs w:val="20"/>
                        <w:lang w:val="en-US" w:eastAsia="zh-CN" w:bidi="ar-SA"/>
                      </w:rPr>
                      <w:instrText xml:space="preserve"> PAGE  \* MERGEFORMAT </w:instrText>
                    </w:r>
                    <w:r>
                      <w:rPr>
                        <w:rFonts w:ascii="Times New Roman" w:hAnsi="Times New Roman" w:eastAsia="宋体" w:cs="Times New Roman"/>
                        <w:kern w:val="0"/>
                        <w:sz w:val="18"/>
                        <w:szCs w:val="20"/>
                        <w:lang w:val="en-US" w:eastAsia="zh-CN" w:bidi="ar-SA"/>
                      </w:rPr>
                      <w:fldChar w:fldCharType="separate"/>
                    </w:r>
                    <w:r>
                      <w:rPr>
                        <w:rFonts w:ascii="Times New Roman" w:hAnsi="Times New Roman" w:eastAsia="宋体" w:cs="Times New Roman"/>
                        <w:kern w:val="0"/>
                        <w:sz w:val="18"/>
                        <w:szCs w:val="20"/>
                        <w:lang w:val="en-US" w:eastAsia="zh-CN" w:bidi="ar-SA"/>
                      </w:rPr>
                      <w:t>2</w:t>
                    </w:r>
                    <w:r>
                      <w:rPr>
                        <w:rFonts w:ascii="Times New Roman" w:hAnsi="Times New Roman" w:eastAsia="宋体" w:cs="Times New Roman"/>
                        <w:kern w:val="0"/>
                        <w:sz w:val="18"/>
                        <w:szCs w:val="20"/>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58F2A">
    <w:pPr>
      <w:widowControl w:val="0"/>
      <w:snapToGrid w:val="0"/>
      <w:spacing w:line="360" w:lineRule="auto"/>
      <w:ind w:right="360" w:firstLine="360" w:firstLineChars="200"/>
      <w:jc w:val="center"/>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E56664">
                          <w:pPr>
                            <w:widowControl w:val="0"/>
                            <w:snapToGrid w:val="0"/>
                            <w:spacing w:line="360" w:lineRule="auto"/>
                            <w:ind w:firstLine="360" w:firstLineChars="20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fldChar w:fldCharType="begin"/>
                          </w:r>
                          <w:r>
                            <w:rPr>
                              <w:rFonts w:ascii="Times New Roman" w:hAnsi="Times New Roman" w:eastAsia="宋体" w:cs="Times New Roman"/>
                              <w:kern w:val="0"/>
                              <w:sz w:val="18"/>
                              <w:szCs w:val="20"/>
                              <w:lang w:val="en-US" w:eastAsia="zh-CN" w:bidi="ar-SA"/>
                            </w:rPr>
                            <w:instrText xml:space="preserve"> PAGE  \* MERGEFORMAT </w:instrText>
                          </w:r>
                          <w:r>
                            <w:rPr>
                              <w:rFonts w:ascii="Times New Roman" w:hAnsi="Times New Roman" w:eastAsia="宋体" w:cs="Times New Roman"/>
                              <w:kern w:val="0"/>
                              <w:sz w:val="18"/>
                              <w:szCs w:val="20"/>
                              <w:lang w:val="en-US" w:eastAsia="zh-CN" w:bidi="ar-SA"/>
                            </w:rPr>
                            <w:fldChar w:fldCharType="separate"/>
                          </w:r>
                          <w:r>
                            <w:rPr>
                              <w:rFonts w:ascii="Times New Roman" w:hAnsi="Times New Roman" w:eastAsia="宋体" w:cs="Times New Roman"/>
                              <w:kern w:val="0"/>
                              <w:sz w:val="18"/>
                              <w:szCs w:val="20"/>
                              <w:lang w:val="en-US" w:eastAsia="zh-CN" w:bidi="ar-SA"/>
                            </w:rPr>
                            <w:t>2</w:t>
                          </w:r>
                          <w:r>
                            <w:rPr>
                              <w:rFonts w:ascii="Times New Roman" w:hAnsi="Times New Roman" w:eastAsia="宋体" w:cs="Times New Roman"/>
                              <w:kern w:val="0"/>
                              <w:sz w:val="18"/>
                              <w:szCs w:val="20"/>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8E56664">
                    <w:pPr>
                      <w:widowControl w:val="0"/>
                      <w:snapToGrid w:val="0"/>
                      <w:spacing w:line="360" w:lineRule="auto"/>
                      <w:ind w:firstLine="360" w:firstLineChars="20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fldChar w:fldCharType="begin"/>
                    </w:r>
                    <w:r>
                      <w:rPr>
                        <w:rFonts w:ascii="Times New Roman" w:hAnsi="Times New Roman" w:eastAsia="宋体" w:cs="Times New Roman"/>
                        <w:kern w:val="0"/>
                        <w:sz w:val="18"/>
                        <w:szCs w:val="20"/>
                        <w:lang w:val="en-US" w:eastAsia="zh-CN" w:bidi="ar-SA"/>
                      </w:rPr>
                      <w:instrText xml:space="preserve"> PAGE  \* MERGEFORMAT </w:instrText>
                    </w:r>
                    <w:r>
                      <w:rPr>
                        <w:rFonts w:ascii="Times New Roman" w:hAnsi="Times New Roman" w:eastAsia="宋体" w:cs="Times New Roman"/>
                        <w:kern w:val="0"/>
                        <w:sz w:val="18"/>
                        <w:szCs w:val="20"/>
                        <w:lang w:val="en-US" w:eastAsia="zh-CN" w:bidi="ar-SA"/>
                      </w:rPr>
                      <w:fldChar w:fldCharType="separate"/>
                    </w:r>
                    <w:r>
                      <w:rPr>
                        <w:rFonts w:ascii="Times New Roman" w:hAnsi="Times New Roman" w:eastAsia="宋体" w:cs="Times New Roman"/>
                        <w:kern w:val="0"/>
                        <w:sz w:val="18"/>
                        <w:szCs w:val="20"/>
                        <w:lang w:val="en-US" w:eastAsia="zh-CN" w:bidi="ar-SA"/>
                      </w:rPr>
                      <w:t>2</w:t>
                    </w:r>
                    <w:r>
                      <w:rPr>
                        <w:rFonts w:ascii="Times New Roman" w:hAnsi="Times New Roman" w:eastAsia="宋体" w:cs="Times New Roman"/>
                        <w:kern w:val="0"/>
                        <w:sz w:val="18"/>
                        <w:szCs w:val="20"/>
                        <w:lang w:val="en-US" w:eastAsia="zh-CN" w:bidi="ar-S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CEFDA">
    <w:pPr>
      <w:widowControl w:val="0"/>
      <w:pBdr>
        <w:bottom w:val="none" w:color="auto" w:sz="0" w:space="1"/>
      </w:pBdr>
      <w:snapToGrid w:val="0"/>
      <w:spacing w:line="360" w:lineRule="auto"/>
      <w:ind w:firstLine="360" w:firstLineChars="200"/>
      <w:jc w:val="center"/>
      <w:rPr>
        <w:rFonts w:ascii="Times New Roman" w:hAnsi="Times New Roman" w:eastAsia="宋体" w:cs="Times New Roman"/>
        <w:kern w:val="0"/>
        <w:sz w:val="18"/>
        <w:szCs w:val="20"/>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C9722">
    <w:pPr>
      <w:widowControl w:val="0"/>
      <w:pBdr>
        <w:bottom w:val="none" w:color="auto" w:sz="0" w:space="1"/>
      </w:pBdr>
      <w:snapToGrid w:val="0"/>
      <w:spacing w:line="360" w:lineRule="auto"/>
      <w:ind w:firstLine="360" w:firstLineChars="200"/>
      <w:jc w:val="center"/>
      <w:rPr>
        <w:rFonts w:ascii="Times New Roman" w:hAnsi="Times New Roman" w:eastAsia="宋体" w:cs="Times New Roman"/>
        <w:kern w:val="0"/>
        <w:sz w:val="18"/>
        <w:szCs w:val="20"/>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3ADCF2"/>
    <w:multiLevelType w:val="singleLevel"/>
    <w:tmpl w:val="D43ADCF2"/>
    <w:lvl w:ilvl="0" w:tentative="0">
      <w:start w:val="1"/>
      <w:numFmt w:val="bullet"/>
      <w:pStyle w:val="8"/>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05BC2"/>
    <w:rsid w:val="025347DB"/>
    <w:rsid w:val="027C41D4"/>
    <w:rsid w:val="05B54070"/>
    <w:rsid w:val="08123589"/>
    <w:rsid w:val="09B4321D"/>
    <w:rsid w:val="09E842DF"/>
    <w:rsid w:val="0B3B7875"/>
    <w:rsid w:val="0CE46B18"/>
    <w:rsid w:val="0D1B1BBB"/>
    <w:rsid w:val="0E49589A"/>
    <w:rsid w:val="0E79435F"/>
    <w:rsid w:val="1003218E"/>
    <w:rsid w:val="11446286"/>
    <w:rsid w:val="116616FE"/>
    <w:rsid w:val="12C71B9D"/>
    <w:rsid w:val="131504C3"/>
    <w:rsid w:val="13BD155E"/>
    <w:rsid w:val="15230762"/>
    <w:rsid w:val="169A7A83"/>
    <w:rsid w:val="18147845"/>
    <w:rsid w:val="19AB36AC"/>
    <w:rsid w:val="19BC1F42"/>
    <w:rsid w:val="19BE5A4B"/>
    <w:rsid w:val="1BF70D35"/>
    <w:rsid w:val="1DEB1048"/>
    <w:rsid w:val="1E4133ED"/>
    <w:rsid w:val="1F170A4F"/>
    <w:rsid w:val="20354072"/>
    <w:rsid w:val="21A244F3"/>
    <w:rsid w:val="21B73D93"/>
    <w:rsid w:val="21FD620E"/>
    <w:rsid w:val="22CE2891"/>
    <w:rsid w:val="23B3245D"/>
    <w:rsid w:val="244F25AD"/>
    <w:rsid w:val="24B61280"/>
    <w:rsid w:val="24B76A25"/>
    <w:rsid w:val="25955D50"/>
    <w:rsid w:val="267A6352"/>
    <w:rsid w:val="276F6846"/>
    <w:rsid w:val="287F5F8E"/>
    <w:rsid w:val="28BF3AB9"/>
    <w:rsid w:val="29754E5D"/>
    <w:rsid w:val="2BD25271"/>
    <w:rsid w:val="2F5800FF"/>
    <w:rsid w:val="303E31A5"/>
    <w:rsid w:val="321150C9"/>
    <w:rsid w:val="32CF641C"/>
    <w:rsid w:val="3360541E"/>
    <w:rsid w:val="34FC508B"/>
    <w:rsid w:val="37405B09"/>
    <w:rsid w:val="3AD3623B"/>
    <w:rsid w:val="3B9C6372"/>
    <w:rsid w:val="3C2C4FD9"/>
    <w:rsid w:val="3E587BDC"/>
    <w:rsid w:val="3E6F7BEC"/>
    <w:rsid w:val="4199652C"/>
    <w:rsid w:val="41C95079"/>
    <w:rsid w:val="41DF121F"/>
    <w:rsid w:val="43FA01AB"/>
    <w:rsid w:val="44923ABD"/>
    <w:rsid w:val="467F4E0A"/>
    <w:rsid w:val="47583443"/>
    <w:rsid w:val="48966425"/>
    <w:rsid w:val="49374FBE"/>
    <w:rsid w:val="4AE760B8"/>
    <w:rsid w:val="4E690745"/>
    <w:rsid w:val="4F6F20B4"/>
    <w:rsid w:val="51577749"/>
    <w:rsid w:val="51612756"/>
    <w:rsid w:val="51BB62E5"/>
    <w:rsid w:val="52973447"/>
    <w:rsid w:val="52F81343"/>
    <w:rsid w:val="56497FE3"/>
    <w:rsid w:val="572B1EDA"/>
    <w:rsid w:val="57D7752B"/>
    <w:rsid w:val="57FD3876"/>
    <w:rsid w:val="58C1077D"/>
    <w:rsid w:val="595D7A55"/>
    <w:rsid w:val="5AC90A7E"/>
    <w:rsid w:val="5AF718DB"/>
    <w:rsid w:val="5C3B6762"/>
    <w:rsid w:val="5C3E3E63"/>
    <w:rsid w:val="5D825EEF"/>
    <w:rsid w:val="5F3633C9"/>
    <w:rsid w:val="5FEF6815"/>
    <w:rsid w:val="61C72D76"/>
    <w:rsid w:val="627D2DC3"/>
    <w:rsid w:val="62987670"/>
    <w:rsid w:val="632D39EF"/>
    <w:rsid w:val="63A757F3"/>
    <w:rsid w:val="643A5739"/>
    <w:rsid w:val="643C74D4"/>
    <w:rsid w:val="648C5075"/>
    <w:rsid w:val="65FF7891"/>
    <w:rsid w:val="66374183"/>
    <w:rsid w:val="67302D72"/>
    <w:rsid w:val="6816444D"/>
    <w:rsid w:val="68A41BCD"/>
    <w:rsid w:val="6924075C"/>
    <w:rsid w:val="6B5A2C61"/>
    <w:rsid w:val="6CB47C22"/>
    <w:rsid w:val="6CDC4DF4"/>
    <w:rsid w:val="6D9003EF"/>
    <w:rsid w:val="6E162B44"/>
    <w:rsid w:val="70BA7641"/>
    <w:rsid w:val="724F5727"/>
    <w:rsid w:val="7371350F"/>
    <w:rsid w:val="737D110D"/>
    <w:rsid w:val="744209BD"/>
    <w:rsid w:val="74F87B4B"/>
    <w:rsid w:val="75DC1D18"/>
    <w:rsid w:val="76394E40"/>
    <w:rsid w:val="7AA57C46"/>
    <w:rsid w:val="7AE33697"/>
    <w:rsid w:val="7C3645D3"/>
    <w:rsid w:val="7C6B6BEC"/>
    <w:rsid w:val="7CD23E1A"/>
    <w:rsid w:val="7D3B0B84"/>
    <w:rsid w:val="7F5E1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7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20"/>
    <w:qFormat/>
    <w:uiPriority w:val="0"/>
    <w:pPr>
      <w:keepNext/>
      <w:keepLines/>
      <w:spacing w:beforeLines="0" w:beforeAutospacing="0" w:afterLines="0" w:afterAutospacing="0" w:line="360" w:lineRule="auto"/>
      <w:ind w:firstLine="0" w:firstLineChars="0"/>
      <w:outlineLvl w:val="0"/>
    </w:pPr>
    <w:rPr>
      <w:rFonts w:ascii="Times New Roman" w:hAnsi="Times New Roman" w:eastAsia="宋体"/>
      <w:b/>
      <w:kern w:val="44"/>
      <w:sz w:val="24"/>
      <w:szCs w:val="24"/>
    </w:rPr>
  </w:style>
  <w:style w:type="paragraph" w:styleId="3">
    <w:name w:val="heading 2"/>
    <w:basedOn w:val="1"/>
    <w:next w:val="1"/>
    <w:unhideWhenUsed/>
    <w:qFormat/>
    <w:uiPriority w:val="0"/>
    <w:pPr>
      <w:keepNext/>
      <w:keepLines/>
      <w:spacing w:beforeLines="0" w:beforeAutospacing="0" w:afterLines="0" w:afterAutospacing="0" w:line="360" w:lineRule="auto"/>
      <w:ind w:firstLine="720" w:firstLineChars="200"/>
      <w:outlineLvl w:val="1"/>
    </w:pPr>
    <w:rPr>
      <w:rFonts w:ascii="Arial" w:hAnsi="Arial" w:eastAsia="宋体"/>
      <w:b/>
      <w:sz w:val="24"/>
      <w:szCs w:val="24"/>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link w:val="19"/>
    <w:unhideWhenUsed/>
    <w:qFormat/>
    <w:uiPriority w:val="0"/>
    <w:pPr>
      <w:keepNext/>
      <w:keepLines/>
      <w:spacing w:beforeLines="0" w:beforeAutospacing="0" w:afterLines="0" w:afterAutospacing="0" w:line="240" w:lineRule="auto"/>
      <w:ind w:firstLine="0" w:firstLineChars="0"/>
      <w:jc w:val="center"/>
      <w:outlineLvl w:val="3"/>
    </w:pPr>
    <w:rPr>
      <w:rFonts w:ascii="Arial" w:hAnsi="Arial" w:eastAsia="黑体"/>
      <w:b/>
      <w:sz w:val="21"/>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7">
    <w:name w:val="Body Text"/>
    <w:basedOn w:val="1"/>
    <w:next w:val="8"/>
    <w:qFormat/>
    <w:uiPriority w:val="0"/>
    <w:rPr>
      <w:rFonts w:eastAsia="楷体"/>
      <w:sz w:val="28"/>
      <w:szCs w:val="20"/>
    </w:rPr>
  </w:style>
  <w:style w:type="paragraph" w:styleId="8">
    <w:name w:val="List Bullet 5"/>
    <w:basedOn w:val="1"/>
    <w:qFormat/>
    <w:uiPriority w:val="0"/>
    <w:pPr>
      <w:numPr>
        <w:ilvl w:val="0"/>
        <w:numId w:val="1"/>
      </w:numPr>
    </w:pPr>
  </w:style>
  <w:style w:type="paragraph" w:styleId="9">
    <w:name w:val="Body Text 2"/>
    <w:basedOn w:val="1"/>
    <w:qFormat/>
    <w:uiPriority w:val="0"/>
    <w:pPr>
      <w:spacing w:after="120" w:afterLines="0" w:line="480" w:lineRule="auto"/>
    </w:pPr>
    <w:rPr>
      <w:rFonts w:eastAsia="仿宋_GB2312"/>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index 1"/>
    <w:basedOn w:val="1"/>
    <w:next w:val="1"/>
    <w:unhideWhenUsed/>
    <w:qFormat/>
    <w:uiPriority w:val="99"/>
  </w:style>
  <w:style w:type="paragraph" w:styleId="12">
    <w:name w:val="Body Text First Indent"/>
    <w:basedOn w:val="7"/>
    <w:next w:val="1"/>
    <w:qFormat/>
    <w:uiPriority w:val="0"/>
    <w:pPr>
      <w:ind w:firstLine="420" w:firstLineChars="100"/>
    </w:pPr>
    <w:rPr>
      <w:szCs w:val="24"/>
    </w:rPr>
  </w:style>
  <w:style w:type="table" w:styleId="14">
    <w:name w:val="Table Grid"/>
    <w:basedOn w:val="13"/>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报告书正文"/>
    <w:next w:val="1"/>
    <w:qFormat/>
    <w:uiPriority w:val="0"/>
    <w:pPr>
      <w:spacing w:line="360" w:lineRule="auto"/>
      <w:ind w:firstLine="1687" w:firstLineChars="200"/>
      <w:jc w:val="both"/>
    </w:pPr>
    <w:rPr>
      <w:rFonts w:ascii="Times New Roman" w:hAnsi="Times New Roman" w:eastAsiaTheme="minorEastAsia" w:cstheme="minorBidi"/>
      <w:sz w:val="24"/>
      <w:szCs w:val="24"/>
    </w:rPr>
  </w:style>
  <w:style w:type="paragraph" w:customStyle="1" w:styleId="18">
    <w:name w:val="表格文字2"/>
    <w:basedOn w:val="1"/>
    <w:qFormat/>
    <w:uiPriority w:val="0"/>
    <w:pPr>
      <w:keepNext w:val="0"/>
      <w:keepLines w:val="0"/>
      <w:adjustRightInd w:val="0"/>
      <w:spacing w:line="240" w:lineRule="auto"/>
      <w:ind w:firstLine="0" w:firstLineChars="0"/>
      <w:jc w:val="center"/>
      <w:textAlignment w:val="baseline"/>
    </w:pPr>
    <w:rPr>
      <w:rFonts w:ascii="Times New Roman" w:hAnsi="Times New Roman" w:eastAsia="宋体"/>
      <w:kern w:val="0"/>
      <w:sz w:val="21"/>
    </w:rPr>
  </w:style>
  <w:style w:type="character" w:customStyle="1" w:styleId="19">
    <w:name w:val="标题 4 Char"/>
    <w:link w:val="5"/>
    <w:qFormat/>
    <w:uiPriority w:val="0"/>
    <w:rPr>
      <w:rFonts w:ascii="Arial" w:hAnsi="Arial" w:eastAsia="黑体"/>
      <w:b/>
      <w:sz w:val="21"/>
    </w:rPr>
  </w:style>
  <w:style w:type="character" w:customStyle="1" w:styleId="20">
    <w:name w:val="标题 1 Char"/>
    <w:link w:val="2"/>
    <w:qFormat/>
    <w:uiPriority w:val="0"/>
    <w:rPr>
      <w:rFonts w:ascii="Times New Roman" w:hAnsi="Times New Roman" w:eastAsia="宋体"/>
      <w:b/>
      <w:kern w:val="44"/>
      <w:sz w:val="24"/>
      <w:szCs w:val="24"/>
    </w:rPr>
  </w:style>
  <w:style w:type="character" w:customStyle="1" w:styleId="21">
    <w:name w:val="font31"/>
    <w:basedOn w:val="15"/>
    <w:qFormat/>
    <w:uiPriority w:val="0"/>
    <w:rPr>
      <w:rFonts w:ascii="宋体" w:hAnsi="宋体" w:eastAsia="宋体" w:cs="宋体"/>
      <w:b/>
      <w:bCs/>
      <w:color w:val="000000"/>
      <w:sz w:val="28"/>
      <w:szCs w:val="28"/>
      <w:u w:val="none"/>
    </w:rPr>
  </w:style>
  <w:style w:type="character" w:customStyle="1" w:styleId="22">
    <w:name w:val="font41"/>
    <w:basedOn w:val="15"/>
    <w:qFormat/>
    <w:uiPriority w:val="0"/>
    <w:rPr>
      <w:rFonts w:ascii="宋体" w:hAnsi="宋体" w:eastAsia="宋体" w:cs="宋体"/>
      <w:color w:val="000000"/>
      <w:sz w:val="28"/>
      <w:szCs w:val="28"/>
      <w:u w:val="none"/>
    </w:rPr>
  </w:style>
  <w:style w:type="character" w:customStyle="1" w:styleId="23">
    <w:name w:val="font21"/>
    <w:basedOn w:val="15"/>
    <w:qFormat/>
    <w:uiPriority w:val="0"/>
    <w:rPr>
      <w:rFonts w:ascii="宋体" w:hAnsi="宋体" w:eastAsia="宋体" w:cs="宋体"/>
      <w:color w:val="000000"/>
      <w:sz w:val="28"/>
      <w:szCs w:val="28"/>
      <w:u w:val="none"/>
    </w:rPr>
  </w:style>
  <w:style w:type="character" w:customStyle="1" w:styleId="24">
    <w:name w:val="font51"/>
    <w:basedOn w:val="15"/>
    <w:qFormat/>
    <w:uiPriority w:val="0"/>
    <w:rPr>
      <w:rFonts w:ascii="宋体" w:hAnsi="宋体" w:eastAsia="宋体" w:cs="宋体"/>
      <w:color w:val="504050"/>
      <w:sz w:val="26"/>
      <w:szCs w:val="26"/>
      <w:u w:val="none"/>
    </w:rPr>
  </w:style>
  <w:style w:type="character" w:customStyle="1" w:styleId="25">
    <w:name w:val="font61"/>
    <w:basedOn w:val="15"/>
    <w:qFormat/>
    <w:uiPriority w:val="0"/>
    <w:rPr>
      <w:rFonts w:ascii="宋体" w:hAnsi="宋体" w:eastAsia="宋体" w:cs="宋体"/>
      <w:color w:val="504050"/>
      <w:sz w:val="26"/>
      <w:szCs w:val="26"/>
      <w:u w:val="none"/>
    </w:rPr>
  </w:style>
  <w:style w:type="character" w:customStyle="1" w:styleId="26">
    <w:name w:val="font11"/>
    <w:basedOn w:val="15"/>
    <w:qFormat/>
    <w:uiPriority w:val="0"/>
    <w:rPr>
      <w:rFonts w:hint="default" w:ascii="Times New Roman" w:hAnsi="Times New Roman" w:cs="Times New Roman"/>
      <w:b/>
      <w:bCs/>
      <w:color w:val="0F1115"/>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caeb416c-126f-423a-a05b-f0b524babfff</errorID>
      <errorWord>与</errorWord>
      <group>L1_Punc</group>
      <groupName>标点问题</groupName>
      <ability>L2_Punc_CN</ability>
      <abilityName>标点符号问题</abilityName>
      <candidateList>
        <item>. 与</item>
      </candidateList>
      <explain/>
      <paraID>5E33CE13</paraID>
      <start>1</start>
      <end>4</end>
      <status>modified</status>
      <modifiedWord>. 与</modifiedWord>
      <trackRevisions>false</trackRevisions>
    </reviewItem>
    <reviewItem>
      <errorID>3e007033-36a8-474a-957c-271b84aa7e62</errorID>
      <errorWord>  </errorWord>
      <group>L1_Punc</group>
      <groupName>标点问题</groupName>
      <ability>L2_Punc_CN</ability>
      <abilityName>标点符号问题</abilityName>
      <candidateList>
        <item/>
      </candidateList>
      <explain>此处空格冗余，建议删除。</explain>
      <paraID>2101D2FF</paraID>
      <start>6</start>
      <end>6</end>
      <status>modified</status>
      <modifiedWord/>
      <trackRevisions>false</trackRevisions>
    </reviewItem>
    <reviewItem>
      <errorID>8a3c191a-785c-4e6b-9b3c-848c4879f0c5</errorID>
      <errorWord>、</errorWord>
      <group>L1_Punc</group>
      <groupName>标点问题</groupName>
      <ability>L2_Punc_CN</ability>
      <abilityName>标点符号问题</abilityName>
      <candidateList>
        <item>. </item>
      </candidateList>
      <explain/>
      <paraID>2F75AD39</paraID>
      <start>15</start>
      <end>17</end>
      <status>modified</status>
      <modifiedWord>. </modifiedWord>
      <trackRevisions>false</trackRevisions>
    </reviewItem>
    <reviewItem>
      <errorID>9c2e127b-1ec3-4967-acf2-68f29a0e1b9c</errorID>
      <errorWord>、</errorWord>
      <group>L1_Punc</group>
      <groupName>标点问题</groupName>
      <ability>L2_Punc_CN</ability>
      <abilityName>标点符号问题</abilityName>
      <candidateList>
        <item>. </item>
      </candidateList>
      <explain/>
      <paraID>137ACC05</paraID>
      <start>26</start>
      <end>28</end>
      <status>modified</status>
      <modifiedWord>. </modifiedWord>
      <trackRevisions>false</trackRevisions>
    </reviewItem>
    <reviewItem>
      <errorID>328f1b33-e643-41d3-a639-3a965ee8d57b</errorID>
      <errorWord>、</errorWord>
      <group>L1_Punc</group>
      <groupName>标点问题</groupName>
      <ability>L2_Punc_CN</ability>
      <abilityName>标点符号问题</abilityName>
      <candidateList>
        <item>. </item>
      </candidateList>
      <explain/>
      <paraID> 63C17EA</paraID>
      <start>19</start>
      <end>21</end>
      <status>modified</status>
      <modifiedWord>. </modifiedWord>
      <trackRevisions>false</trackRevisions>
    </reviewItem>
    <reviewItem>
      <errorID>ebbafe57-dc30-49fa-8bff-83b74bdf37e1</errorID>
      <errorWord>能、源</errorWord>
      <group>L1_Word</group>
      <groupName>字词问题</groupName>
      <ability>L2_Typo</ability>
      <abilityName>字词错误</abilityName>
      <candidateList>
        <item>能源</item>
      </candidateList>
      <explain/>
      <paraID>1217882D</paraID>
      <start>32</start>
      <end>34</end>
      <status>modified</status>
      <modifiedWord>能源</modifiedWord>
      <trackRevisions>false</trackRevisions>
    </reviewItem>
    <reviewItem>
      <errorID>4e2b3b1a-d89b-411c-a4e4-3de9a9578d4b</errorID>
      <errorWord>4所示</errorWord>
      <group>L1_Grammar</group>
      <groupName>语法问题</groupName>
      <ability>L2_Grammar</ability>
      <abilityName>语法错误</abilityName>
      <candidateList>
        <item>4</item>
      </candidateList>
      <explain/>
      <paraID> 4B9289E</paraID>
      <start>24</start>
      <end>25</end>
      <status>modified</status>
      <modifiedWord>4</modifiedWord>
      <trackRevisions>false</trackRevisions>
    </reviewItem>
    <reviewItem>
      <errorID>460ac269-7e60-4b70-945b-05927c91bbd9</errorID>
      <errorWord>理性性质</errorWord>
      <group>L1_Word</group>
      <groupName>字词问题</groupName>
      <ability>L2_Typo</ability>
      <abilityName>字词错误</abilityName>
      <candidateList>
        <item>物理性质</item>
      </candidateList>
      <explain/>
      <paraID>627B5F93</paraID>
      <start>0</start>
      <end>4</end>
      <status>ignored</status>
      <modifiedWord/>
      <trackRevisions>false</trackRevisions>
    </reviewItem>
    <reviewItem>
      <errorID>0051e6b1-8c77-46fe-8ed9-79ed993be7ce</errorID>
      <errorWord>–</errorWord>
      <group>L1_Word</group>
      <groupName>字词问题</groupName>
      <ability>L2_Typo</ability>
      <abilityName>字词错误</abilityName>
      <candidateList>
        <item>～</item>
      </candidateList>
      <explain/>
      <paraID>6B6F78FE</paraID>
      <start>72</start>
      <end>73</end>
      <status>modified</status>
      <modifiedWord>～</modifiedWord>
      <trackRevisions>false</trackRevisions>
    </reviewItem>
    <reviewItem>
      <errorID>55b8d92a-1e79-4dfe-a8f9-18bf7f708384</errorID>
      <errorWord> </errorWord>
      <group>L1_Punc</group>
      <groupName>标点问题</groupName>
      <ability>L2_Punc_CN</ability>
      <abilityName>标点符号问题</abilityName>
      <candidateList>
        <item>·</item>
      </candidateList>
      <explain/>
      <paraID>6B6F78FE</paraID>
      <start>79</start>
      <end>80</end>
      <status>modified</status>
      <modifiedWord> </modifiedWord>
      <trackRevisions>false</trackRevisions>
    </reviewItem>
    <reviewItem>
      <errorID>b9547f0d-cdc7-4643-ad0c-17a5c7fa31fa</errorID>
      <errorWord> </errorWord>
      <group>L1_Punc</group>
      <groupName>标点问题</groupName>
      <ability>L2_Punc_CN</ability>
      <abilityName>标点符号问题</abilityName>
      <candidateList>
        <item>·</item>
      </candidateList>
      <explain/>
      <paraID>6B6F78FE</paraID>
      <start>96</start>
      <end>97</end>
      <status>modified</status>
      <modifiedWord> </modifiedWord>
      <trackRevisions>false</trackRevisions>
    </reviewItem>
    <reviewItem>
      <errorID>b83e889d-6499-4fa4-90c8-28a786b9210a</errorID>
      <errorWord> </errorWord>
      <group>L1_Punc</group>
      <groupName>标点问题</groupName>
      <ability>L2_Punc_CN</ability>
      <abilityName>标点符号问题</abilityName>
      <candidateList>
        <item>·</item>
      </candidateList>
      <explain/>
      <paraID>6B6F78FE</paraID>
      <start>127</start>
      <end>128</end>
      <status>modified</status>
      <modifiedWord> </modifiedWord>
      <trackRevisions>false</trackRevisions>
    </reviewItem>
    <reviewItem>
      <errorID>d2c4b4bc-822f-455b-8438-1a009c317608</errorID>
      <errorWord>、</errorWord>
      <group>L1_Punc</group>
      <groupName>标点问题</groupName>
      <ability>L2_Punc_CN</ability>
      <abilityName>标点符号问题</abilityName>
      <candidateList>
        <item>，</item>
      </candidateList>
      <explain/>
      <paraID>651FA251</paraID>
      <start>140</start>
      <end>141</end>
      <status>modified</status>
      <modifiedWord>，</modifiedWord>
      <trackRevisions>false</trackRevisions>
    </reviewItem>
    <reviewItem>
      <errorID>d2d992c2-5466-48b7-8b42-fee7c189e07b</errorID>
      <errorWord>后回覆</errorWord>
      <group>L1_Word</group>
      <groupName>字词问题</groupName>
      <ability>L2_Fanti</ability>
      <abilityName>繁转简</abilityName>
      <candidateList>
        <item>后回复</item>
      </candidateList>
      <explain/>
      <paraID>1976B653</paraID>
      <start>4</start>
      <end>7</end>
      <status>ignored</status>
      <modifiedWord/>
      <trackRevisions>false</trackRevisions>
    </reviewItem>
    <reviewItem>
      <errorID>74434093-2b58-48c3-b941-2df02c8fb296</errorID>
      <errorWord>均</errorWord>
      <group>L1_Grammar</group>
      <groupName>语法问题</groupName>
      <ability>L2_Grammar</ability>
      <abilityName>语法错误</abilityName>
      <candidateList>
        <item>这些工程均</item>
      </candidateList>
      <explain/>
      <paraID>1A29D496</paraID>
      <start>170</start>
      <end>175</end>
      <status>modified</status>
      <modifiedWord>这些工程均</modifiedWord>
      <trackRevisions>false</trackRevisions>
    </reviewItem>
    <reviewItem>
      <errorID>c920b795-0075-4833-90d9-66648a279f8f</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645CDED3</paraID>
      <start>16</start>
      <end>23</end>
      <status>ignored</status>
      <modifiedWord/>
      <trackRevisions>false</trackRevisions>
    </reviewItem>
    <reviewItem>
      <errorID>c2f674d2-c3a0-4ce9-97ea-82c64c66f36e</errorID>
      <errorWord>GB3095</errorWord>
      <group>L1_Word</group>
      <groupName>字词问题</groupName>
      <ability>L2_Typo</ability>
      <abilityName>字词错误</abilityName>
      <candidateList>
        <item>GB 3095</item>
      </candidateList>
      <explain/>
      <paraID>64CDB928</paraID>
      <start>39</start>
      <end>46</end>
      <status>modified</status>
      <modifiedWord>GB 3095</modifiedWord>
      <trackRevisions>false</trackRevisions>
    </reviewItem>
    <reviewItem>
      <errorID>a29517fc-3846-4ac0-8892-dda210e7d000</errorID>
      <errorWord>4所示</errorWord>
      <group>L1_Grammar</group>
      <groupName>语法问题</groupName>
      <ability>L2_Grammar</ability>
      <abilityName>语法错误</abilityName>
      <candidateList>
        <item>4</item>
      </candidateList>
      <explain/>
      <paraID>7A981FFC</paraID>
      <start>55</start>
      <end>56</end>
      <status>modified</status>
      <modifiedWord>4</modifiedWord>
      <trackRevisions>false</trackRevisions>
    </reviewItem>
    <reviewItem>
      <errorID>22f90b39-309a-4d7e-b0dd-f75eb62f6d7b</errorID>
      <errorWord>环境质量标准表</errorWord>
      <group>L1_Word</group>
      <groupName>字词问题</groupName>
      <ability>L2_Typo</ability>
      <abilityName>字词错误</abilityName>
      <candidateList>
        <item>环境质量标准</item>
      </candidateList>
      <explain/>
      <paraID>780CAF89</paraID>
      <start>9</start>
      <end>15</end>
      <status>modified</status>
      <modifiedWord>环境质量标准</modifiedWord>
      <trackRevisions>false</trackRevisions>
    </reviewItem>
    <reviewItem>
      <errorID>b65889c3-3795-4964-b74c-acb2822d47de</errorID>
      <errorWord>勘察</errorWord>
      <group>L1_Word</group>
      <groupName>字词问题</groupName>
      <ability>L2_Typo</ability>
      <abilityName>字词错误</abilityName>
      <candidateList>
        <item>勘探</item>
      </candidateList>
      <explain/>
      <paraID>5C4AF112</paraID>
      <start>56</start>
      <end>58</end>
      <status>modified</status>
      <modifiedWord>勘探</modifiedWord>
      <trackRevisions>false</trackRevisions>
    </reviewItem>
    <reviewItem>
      <errorID>9a696491-5f18-4b5d-a86a-152df7d21a6b</errorID>
      <errorWord>氪</errorWord>
      <group>L1_Word</group>
      <groupName>字词问题</groupName>
      <ability>L2_Typo</ability>
      <abilityName>字词错误</abilityName>
      <candidateList>
        <item>凝</item>
      </candidateList>
      <explain/>
      <paraID>606D1C9A</paraID>
      <start>27</start>
      <end>28</end>
      <status>modified</status>
      <modifiedWord>凝</modifiedWord>
      <trackRevisions>false</trackRevisions>
    </reviewItem>
    <reviewItem>
      <errorID>a1a15fec-57d0-4a1e-8b9a-4593e0265053</errorID>
      <errorWord>氪</errorWord>
      <group>L1_Word</group>
      <groupName>字词问题</groupName>
      <ability>L2_Typo</ability>
      <abilityName>字词错误</abilityName>
      <candidateList>
        <item>凝</item>
      </candidateList>
      <explain/>
      <paraID>606D1C9A</paraID>
      <start>31</start>
      <end>32</end>
      <status>modified</status>
      <modifiedWord>凝</modifiedWord>
      <trackRevisions>false</trackRevisions>
    </reviewItem>
    <reviewItem>
      <errorID>e83709c6-d4f8-4d26-b671-32adce36cfbc</errorID>
      <errorWord>速氪散</errorWord>
      <group>L1_Word</group>
      <groupName>字词问题</groupName>
      <ability>L2_Typo</ability>
      <abilityName>字词错误</abilityName>
      <candidateList>
        <item>速凝剂</item>
      </candidateList>
      <explain/>
      <paraID>4F7BDF9A</paraID>
      <start>26</start>
      <end>26</end>
      <status>modified</status>
      <modifiedWord>速凝剂</modifiedWord>
      <trackRevisions>false</trackRevisions>
    </reviewItem>
    <reviewItem>
      <errorID>fd302e0f-6c3f-496f-bea5-6b0f4d031da1</errorID>
      <errorWord>氪散</errorWord>
      <group>L1_Word</group>
      <groupName>字词问题</groupName>
      <ability>L2_Typo</ability>
      <abilityName>字词错误</abilityName>
      <candidateList>
        <item>凝剂</item>
      </candidateList>
      <explain/>
      <paraID>4F7BDF9A</paraID>
      <start>37</start>
      <end>39</end>
      <status>modified</status>
      <modifiedWord>凝剂</modifiedWord>
      <trackRevisions>false</trackRevisions>
    </reviewItem>
    <reviewItem>
      <errorID>7da644fa-2f45-4795-b2f3-645d3dcc95ff</errorID>
      <errorWord>风险</errorWord>
      <group>L1_Word</group>
      <groupName>字词问题</groupName>
      <ability>L2_Typo</ability>
      <abilityName>字词错误</abilityName>
      <candidateList>
        <item> 风险</item>
      </candidateList>
      <explain/>
      <paraID>14EB3F25</paraID>
      <start>3</start>
      <end>6</end>
      <status>modified</status>
      <modifiedWord> 风险</modifiedWord>
      <trackRevisions>false</trackRevisions>
    </reviewItem>
    <reviewItem>
      <errorID>f75f9622-a018-48d6-a041-548dd932c50b</errorID>
      <errorWord>回覆</errorWord>
      <group>L1_Word</group>
      <groupName>字词问题</groupName>
      <ability>L2_Fanti</ability>
      <abilityName>繁转简</abilityName>
      <candidateList>
        <item>回复</item>
      </candidateList>
      <explain/>
      <paraID>1FCC0CC8</paraID>
      <start>186</start>
      <end>188</end>
      <status>ignored</status>
      <modifiedWord/>
      <trackRevisions>false</trackRevisions>
    </reviewItem>
    <reviewItem>
      <errorID>f4bb945b-1077-4ff7-bc3f-8da905e8002f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2065AFE1</paraID>
      <start>143</start>
      <end>144</end>
      <status>modified</status>
      <modifiedWord>—</modifiedWord>
      <trackRevisions>false</trackRevisions>
    </reviewItem>
    <reviewItem>
      <errorID>3b821f60-a512-4164-859b-d88376b99cfc</errorID>
      <errorWord>回覆</errorWord>
      <group>L1_Word</group>
      <groupName>字词问题</groupName>
      <ability>L2_Fanti</ability>
      <abilityName>繁转简</abilityName>
      <candidateList>
        <item>回复</item>
      </candidateList>
      <explain/>
      <paraID>2065AFE1</paraID>
      <start>224</start>
      <end>226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313abe-9c60-45d1-8552-578b8a56a2c7}">
  <ds:schemaRefs/>
</ds:datastoreItem>
</file>

<file path=docProps/app.xml><?xml version="1.0" encoding="utf-8"?>
<Properties xmlns="http://schemas.openxmlformats.org/officeDocument/2006/extended-properties" xmlns:vt="http://schemas.openxmlformats.org/officeDocument/2006/docPropsVTypes">
  <Template>Normal.dotm</Template>
  <Pages>57</Pages>
  <Words>10306</Words>
  <Characters>11185</Characters>
  <Lines>0</Lines>
  <Paragraphs>0</Paragraphs>
  <TotalTime>3</TotalTime>
  <ScaleCrop>false</ScaleCrop>
  <LinksUpToDate>false</LinksUpToDate>
  <CharactersWithSpaces>11247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2023-08-17T02:13:00Z</dcterms:created>
  <dc:creator>Administrator</dc:creator>
  <cp:lastModifiedBy>慧慧杨</cp:lastModifiedBy>
  <dcterms:modified xsi:type="dcterms:W3CDTF">2026-07-13T13:16:07Z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58BEF0975C624088A4875485D4377543_13</vt:lpwstr>
  </property>
  <property fmtid="{D5CDD505-2E9C-101B-9397-08002B2CF9AE}" pid="4" name="KSOTemplateDocerSaveRecord">
    <vt:lpwstr>eyJoZGlkIjoiNTY0OGQ4ZWI3YmI3YTE1NTM1MTY1M2YxYjIyN2Y3N2YiLCJ1c2VySWQiOiIyMjczNDM1MzMifQ==</vt:lpwstr>
  </property>
</Properties>
</file>